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line="480" w:lineRule="auto"/>
        <w:jc w:val="center"/>
      </w:pPr>
      <w:r>
        <w:rPr>
          <w:rFonts w:ascii="Times New Roman" w:cs="Times New Roman" w:eastAsia="Times New Roman" w:hAnsi="Times New Roman"/>
          <w:b/>
          <w:bCs/>
          <w:sz w:val="22"/>
          <w:szCs w:val="22"/>
        </w:rPr>
        <w:t xml:space="preserve">RESULTS</w:t>
      </w:r>
    </w:p>
    <w:p>
      <w:pPr>
        <w:spacing w:after="0" w:before="0" w:line="480" w:lineRule="auto"/>
        <w:ind w:firstLine="720"/>
        <w:jc w:val="both"/>
      </w:pPr>
      <w:r>
        <w:rPr>
          <w:rFonts w:ascii="Times New Roman" w:cs="Times New Roman" w:eastAsia="Times New Roman" w:hAnsi="Times New Roman"/>
          <w:sz w:val="22"/>
          <w:szCs w:val="22"/>
        </w:rPr>
        <w:t xml:space="preserve">The study examined whether global psychosocial, lifestyle, and contextual factors could be used to identify adolescents with predictor profiles associated with victimization, perpetration, and victim–perpetrator overlap, using a dual-classifier machine learning framework applied to a representative community sample (n = 4,024; final analytical sample after data quality filtering: n = 3,767). Of the analytical sample, 372 adolescents (9.9%) had experienced at least one form of victimization during the preceding twelve months, 221 (5.9%) had perpetrated at least one form of violence, and 178 (4.7%) met criteria for victim–perpetrator overlap—that is, they had simultaneously experienced victimization and engaged in perpetration. The following sections report the results in five parts: (1) the data organisation step applied before model training; (2) the victimization classifier, including how the final approach was selected, its detection performance, and which risk factors contributed most strongly to its predictions; (3) the perpetration classifier; (4) the victim–perpetrator overlap classifier, including a comparison of two detection strategies; and (5) a complementary exploratory cluster analysis examining latent subgroups of adolescents with distinct risk profiles.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1. Organising the Predictors: A Common Preprocessing Step</w:t>
      </w:r>
    </w:p>
    <w:p>
      <w:pPr>
        <w:spacing w:after="0" w:before="0" w:line="480" w:lineRule="auto"/>
        <w:ind w:firstLine="720"/>
        <w:jc w:val="both"/>
      </w:pPr>
      <w:r>
        <w:rPr>
          <w:rFonts w:ascii="Times New Roman" w:cs="Times New Roman" w:eastAsia="Times New Roman" w:hAnsi="Times New Roman"/>
          <w:sz w:val="22"/>
          <w:szCs w:val="22"/>
        </w:rPr>
        <w:t xml:space="preserve">Before building the classification models, the 27 predictor variables were mathematically reorganised into a smaller set of composite dimensions through a technique known as Principal Component Analysis (PCA). The purpose of this step is to reduce redundancy among variables—many of which are naturally correlated with one another—and to create a more compact and statistically stable input for the classifiers. In practical terms, PCA works by identifying the main patterns of co-variation across the full predictor set and recombining the original variables into a smaller number of independent dimensions, each capturing a distinct source of variability. The retained components preserved approximately 95% of the variance in the original predictor set: 18 dimensions were retained for the victimization model and 22 for the perpetration model, both under the same variance criterion. This transformation was computed exclusively using the training data and then applied to the test partition, ensuring that no information from the evaluation sample influenced the model-building process.</w:t>
      </w:r>
    </w:p>
    <w:p>
      <w:pPr>
        <w:spacing w:after="0" w:before="0" w:line="480" w:lineRule="auto"/>
        <w:ind w:firstLine="720"/>
        <w:jc w:val="both"/>
      </w:pPr>
      <w:r>
        <w:rPr>
          <w:rFonts w:ascii="Times New Roman" w:cs="Times New Roman" w:eastAsia="Times New Roman" w:hAnsi="Times New Roman"/>
          <w:sz w:val="22"/>
          <w:szCs w:val="22"/>
        </w:rPr>
        <w:t xml:space="preserve">The structure of these composite dimensions revealed four main types of variability that recurred across multiple components, providing a useful conceptual overview of the risk landscape captured by the predictor set.</w:t>
      </w:r>
    </w:p>
    <w:p>
      <w:pPr>
        <w:spacing w:after="0" w:before="0" w:line="480" w:lineRule="auto"/>
        <w:ind w:firstLine="720"/>
        <w:jc w:val="both"/>
      </w:pPr>
      <w:r>
        <w:rPr>
          <w:rFonts w:ascii="Times New Roman" w:cs="Times New Roman" w:eastAsia="Times New Roman" w:hAnsi="Times New Roman"/>
          <w:sz w:val="22"/>
          <w:szCs w:val="22"/>
        </w:rPr>
        <w:t xml:space="preserve">The most prominent type involved household and family composition. The pattern of who an adolescent lives with—whether with both parents, a single parent, other relatives, step-parents, or in alternative care settings—appeared consistently among the most influential sources of variability across multiple components. This suggests that the family structure is one of the central axes along which adolescent vulnerability is organised in this sample, a finding consistent with the broader victimization and delinquency literature (Turner et al., 2013; Kierkus &amp; Hewitt, 2009).</w:t>
      </w:r>
    </w:p>
    <w:p>
      <w:pPr>
        <w:spacing w:after="0" w:before="0" w:line="480" w:lineRule="auto"/>
        <w:ind w:firstLine="720"/>
        <w:jc w:val="both"/>
      </w:pPr>
      <w:r>
        <w:rPr>
          <w:rFonts w:ascii="Times New Roman" w:cs="Times New Roman" w:eastAsia="Times New Roman" w:hAnsi="Times New Roman"/>
          <w:sz w:val="22"/>
          <w:szCs w:val="22"/>
        </w:rPr>
        <w:t xml:space="preserve">The second type comprised behavioural and lifestyle risk factors. Alcohol consumption, pornography use, and running away from home or a residential care setting contributed substantially to several dimensions. Running away behaviour was especially notable, appearing across multiple independent components, which suggests that it functions as a broad indicator of vulnerability rather than a single, narrowly defined risk. This finding is consistent with evidence that running away is simultaneously a consequence of ongoing victimization and a gateway to further risk exposure (Kaufman &amp; Widom, 1999).</w:t>
      </w:r>
    </w:p>
    <w:p>
      <w:pPr>
        <w:spacing w:after="0" w:before="0" w:line="480" w:lineRule="auto"/>
        <w:ind w:firstLine="720"/>
        <w:jc w:val="both"/>
      </w:pPr>
      <w:r>
        <w:rPr>
          <w:rFonts w:ascii="Times New Roman" w:cs="Times New Roman" w:eastAsia="Times New Roman" w:hAnsi="Times New Roman"/>
          <w:sz w:val="22"/>
          <w:szCs w:val="22"/>
        </w:rPr>
        <w:t xml:space="preserve">The third type reflected psychosocial resources and vulnerabilities. Perceived social support, self-efficacy, impulsivity, and moral emotions all contributed to the retained components. A notable feature of this domain is that both average levels and intraindividual variability in these characteristics were represented: not only how much social support or self-efficacy an adolescent reports, but also how consistent or fluctuating these resources appear to be across different domains of life. This suggests that instability in psychosocial functioning may carry independent predictive information beyond average levels alone.</w:t>
      </w:r>
    </w:p>
    <w:p>
      <w:pPr>
        <w:spacing w:after="0" w:before="0" w:line="480" w:lineRule="auto"/>
        <w:ind w:firstLine="720"/>
        <w:jc w:val="both"/>
      </w:pPr>
      <w:r>
        <w:rPr>
          <w:rFonts w:ascii="Times New Roman" w:cs="Times New Roman" w:eastAsia="Times New Roman" w:hAnsi="Times New Roman"/>
          <w:sz w:val="22"/>
          <w:szCs w:val="22"/>
        </w:rPr>
        <w:t xml:space="preserve">The fourth type consisted of demographic characteristics, including gender, sexual orientation, country of origin, and ethnic background, which accounted for a notable proportion of between-person variability. These variables likely capture both differential exposure to risk environments and vulnerability linked to minority status and associated forms of social stress.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Table 1. Classification Performance of the Three-Classifier Framework</w:t>
      </w:r>
    </w:p>
    <w:p>
      <w:pPr>
        <w:spacing w:after="240" w:before="120" w:line="240" w:lineRule="auto"/>
      </w:pPr>
      <w:r>
        <w:rPr>
          <w:rFonts w:ascii="Times New Roman" w:cs="Times New Roman" w:eastAsia="Times New Roman" w:hAnsi="Times New Roman"/>
          <w:i/>
          <w:iCs/>
          <w:sz w:val="20"/>
          <w:szCs w:val="20"/>
        </w:rPr>
        <w:t xml:space="preserve">Note. Each model's performance was evaluated on a held-out test partition that was not used during training. †Victimization and Perpetration results are based on outcome-specific test partitions (25% of the sample, stratified by the respective outcome), reflecting each classifier's detection capacity for its own target. ‡Overlap results are based on a shared test partition stratified by the joint victim–perpetrator profile (four strata: neither role, victimization only, perpetration only, both roles), ensuring that both classifiers made predictions on the same adolescents. Recall (sensitivity) = proportion of true positive cases correctly identified. Specificity = proportion of true negative cases correctly classified. Precision (Positive Predictive Value, PPV) = proportion of positive classifications that are genuine cases. Negative Predictive Value (NPV) = proportion of negative classifications that are genuine non-cases. Balanced accuracy = average of recall and specificity. TP = true positive (correctly flagged); FP = false positive (incorrectly flagged); TN = true negative (correctly cleared); FN = false negative (incorrectly cleared).</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820"/>
        <w:gridCol w:w="980"/>
        <w:gridCol w:w="570"/>
        <w:gridCol w:w="650"/>
        <w:gridCol w:w="600"/>
        <w:gridCol w:w="600"/>
        <w:gridCol w:w="640"/>
        <w:gridCol w:w="550"/>
        <w:gridCol w:w="510"/>
        <w:gridCol w:w="510"/>
        <w:gridCol w:w="510"/>
        <w:gridCol w:w="510"/>
        <w:gridCol w:w="510"/>
      </w:tblGrid>
      <w:tr>
        <w:trPr>
          <w:tblHeader/>
        </w:trPr>
        <w:tc>
          <w:tcPr>
            <w:tcW w:type="dxa" w:w="82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Outcome</w:t>
            </w:r>
          </w:p>
        </w:tc>
        <w:tc>
          <w:tcPr>
            <w:tcW w:type="dxa" w:w="9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Model</w:t>
            </w:r>
          </w:p>
        </w:tc>
        <w:tc>
          <w:tcPr>
            <w:tcW w:type="dxa" w:w="57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Accuracy</w:t>
            </w:r>
          </w:p>
        </w:tc>
        <w:tc>
          <w:tcPr>
            <w:tcW w:type="dxa" w:w="6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Balanced
Accuracy</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
(Sensitivity)</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Specificity</w:t>
            </w:r>
          </w:p>
        </w:tc>
        <w:tc>
          <w:tcPr>
            <w:tcW w:type="dxa" w:w="64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Precision
(PPV)</w:t>
            </w:r>
          </w:p>
        </w:tc>
        <w:tc>
          <w:tcPr>
            <w:tcW w:type="dxa" w:w="5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NPV</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TP
(Hit)</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FP
(False
alarm)</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TN
(Correct
rejection)</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FN
(Miss)</w:t>
            </w:r>
          </w:p>
        </w:tc>
      </w:tr>
      <w:tr>
        <w:tc>
          <w:tcPr>
            <w:tcW w:type="dxa" w:w="8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Victimization†</w:t>
            </w:r>
          </w:p>
        </w:tc>
        <w:tc>
          <w:tcPr>
            <w:tcW w:type="dxa" w:w="9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Decision Tree</w:t>
            </w:r>
          </w:p>
        </w:tc>
        <w:tc>
          <w:tcPr>
            <w:tcW w:type="dxa" w:w="57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57.2%</w:t>
            </w:r>
          </w:p>
        </w:tc>
        <w:tc>
          <w:tcPr>
            <w:tcW w:type="dxa" w:w="6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57.6%</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90.5%</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24.7%</w:t>
            </w:r>
          </w:p>
        </w:tc>
        <w:tc>
          <w:tcPr>
            <w:tcW w:type="dxa" w:w="6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54.0%</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72.8%</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67.6%</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421</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359</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118</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44</w:t>
            </w:r>
          </w:p>
        </w:tc>
      </w:tr>
      <w:tr>
        <w:tc>
          <w:tcPr>
            <w:tcW w:type="dxa" w:w="8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Perpetration†</w:t>
            </w:r>
          </w:p>
        </w:tc>
        <w:tc>
          <w:tcPr>
            <w:tcW w:type="dxa" w:w="9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Neural Network (DNN)</w:t>
            </w:r>
          </w:p>
        </w:tc>
        <w:tc>
          <w:tcPr>
            <w:tcW w:type="dxa" w:w="57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45.5%</w:t>
            </w:r>
          </w:p>
        </w:tc>
        <w:tc>
          <w:tcPr>
            <w:tcW w:type="dxa" w:w="6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61.0%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31.9%</w:t>
            </w:r>
          </w:p>
        </w:tc>
        <w:tc>
          <w:tcPr>
            <w:tcW w:type="dxa" w:w="6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28.8%</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91.3%</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43.7%</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199</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491</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230</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22</w:t>
            </w:r>
          </w:p>
        </w:tc>
      </w:tr>
      <w:tr>
        <w:tc>
          <w:tcPr>
            <w:tcW w:type="dxa" w:w="8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Overlap‡</w:t>
            </w:r>
          </w:p>
        </w:tc>
        <w:tc>
          <w:tcPr>
            <w:tcW w:type="dxa" w:w="9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Neural Network (DNN)</w:t>
            </w:r>
          </w:p>
        </w:tc>
        <w:tc>
          <w:tcPr>
            <w:tcW w:type="dxa" w:w="57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60.5%</w:t>
            </w:r>
          </w:p>
        </w:tc>
        <w:tc>
          <w:tcPr>
            <w:tcW w:type="dxa" w:w="6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80.0%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56.0%</w:t>
            </w:r>
          </w:p>
        </w:tc>
        <w:tc>
          <w:tcPr>
            <w:tcW w:type="dxa" w:w="6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30.0%</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92.0%</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44.0%</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142</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336</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428</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36</w:t>
            </w:r>
          </w:p>
        </w:tc>
      </w:tr>
    </w:tbl>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2. Victimization Classifier</w:t>
      </w:r>
    </w:p>
    <w:p>
      <w:pPr>
        <w:spacing w:after="0" w:before="240" w:line="480" w:lineRule="auto"/>
        <w:ind w:firstLine="720"/>
        <w:jc w:val="left"/>
      </w:pPr>
      <w:r>
        <w:rPr>
          <w:rFonts w:ascii="Times New Roman" w:cs="Times New Roman" w:eastAsia="Times New Roman" w:hAnsi="Times New Roman"/>
          <w:b/>
          <w:bCs/>
          <w:i/>
          <w:iCs/>
          <w:sz w:val="22"/>
          <w:szCs w:val="22"/>
        </w:rPr>
        <w:t xml:space="preserve">Selecting the Most Appropriate Approach</w:t>
      </w:r>
    </w:p>
    <w:p>
      <w:pPr>
        <w:spacing w:after="0" w:before="0" w:line="480" w:lineRule="auto"/>
        <w:ind w:firstLine="720"/>
        <w:jc w:val="both"/>
      </w:pPr>
      <w:r>
        <w:rPr>
          <w:rFonts w:ascii="Times New Roman" w:cs="Times New Roman" w:eastAsia="Times New Roman" w:hAnsi="Times New Roman"/>
          <w:sz w:val="22"/>
          <w:szCs w:val="22"/>
        </w:rPr>
        <w:t xml:space="preserve">To identify the most suitable approach for detecting victimized adolescents, five different classification algorithms were trained and evaluated on the same PCA-transformed predictor set: a pruned decision tree, a logistic regression model with class-imbalance correction, a random forest, gradient boosting, and a histogram-based gradient boosting method. Because the primary objective was to develop a screening tool for prevention-oriented settings—where missing a genuinely victimized adolescent carries greater consequences than generating an unnecessary alert—the main selection criterion was recall (sensitivity), that is, the proportion of truly victimized adolescents that the model correctly identifies. All models were evaluated across multiple decision thresholds, and Table 2 presents performance at the operating point at which each model achieved at least 90% recall.</w:t>
      </w:r>
    </w:p>
    <w:p>
      <w:pPr>
        <w:spacing w:after="0" w:before="0" w:line="480" w:lineRule="auto"/>
        <w:ind w:firstLine="720"/>
        <w:jc w:val="both"/>
      </w:pPr>
      <w:r>
        <w:rPr>
          <w:rFonts w:ascii="Times New Roman" w:cs="Times New Roman" w:eastAsia="Times New Roman" w:hAnsi="Times New Roman"/>
          <w:sz w:val="22"/>
          <w:szCs w:val="22"/>
        </w:rPr>
        <w:t xml:space="preserve">Although more complex ensemble-based models showed slightly higher overall discriminative capacity, none offered a meaningful improvement in sensitivity, false-positive control, or overall balance of performance at the target operating point. The pruned decision tree was therefore selected as the final victimization classifier. Its key practical advantage lies in greater transparency: unlike more complex algorithms, a pruned decision tree classifies adolescents through a small number of explicit decision rules that can be inspected and understood more easily than black-box approaches, without requiring specialist knowledge in machine learning or computational methods.</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Table 2. Model Comparison — Victimization Classifier (Operating Points at Recall ≥ 90%)</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700"/>
        <w:gridCol w:w="750"/>
        <w:gridCol w:w="600"/>
        <w:gridCol w:w="750"/>
        <w:gridCol w:w="700"/>
      </w:tblGrid>
      <w:tr>
        <w:trPr>
          <w:tblHeader/>
        </w:trPr>
        <w:tc>
          <w:tcPr>
            <w:tcW w:type="dxa" w:w="18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Model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Threshold</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Precision</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Specificity</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Bal. Acc.</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AUC-PR</w:t>
            </w:r>
          </w:p>
        </w:tc>
      </w:tr>
      <w:tr>
        <w:tc>
          <w:tcPr>
            <w:tcW w:type="dxa" w:w="18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Decision Tree (final)</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90.5%</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54.0%</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24.7%</w:t>
            </w:r>
          </w:p>
        </w:tc>
        <w:tc>
          <w:tcPr>
            <w:tcW w:type="dxa" w:w="6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67.6%</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57.6%</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0.537</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Logistic Regression</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90.1%</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53.9%</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25.1%</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57.6%</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Random Forest</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90.9%</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53.8%</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24.1%</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67.6%</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57.5%</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Gradient Boosting</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93.3%</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20.9%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68.0%</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57.1%</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0.720</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HistGradientBoosting</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0.25</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53.9%</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22.5%</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68.2%</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57.8%</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0.726</w:t>
            </w:r>
          </w:p>
        </w:tc>
      </w:tr>
    </w:tbl>
    <w:p>
      <w:pPr>
        <w:spacing w:after="240" w:before="120" w:line="240" w:lineRule="auto"/>
      </w:pPr>
      <w:r>
        <w:rPr>
          <w:rFonts w:ascii="Times New Roman" w:cs="Times New Roman" w:eastAsia="Times New Roman" w:hAnsi="Times New Roman"/>
          <w:i/>
          <w:iCs/>
          <w:sz w:val="20"/>
          <w:szCs w:val="20"/>
        </w:rPr>
        <w:t xml:space="preserve">Note. Each threshold was selected independently for each model to achieve a minimum recall of 90%. AUC-PR = area under the precision-recall curve, a measure of overall discriminative performance that is robust to class imbalance. The selected model (Decision Tree) is highlighted.</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How Well Did the Classifier Detect Victimized Adolescents?</w:t>
      </w:r>
    </w:p>
    <w:p>
      <w:pPr>
        <w:spacing w:after="0" w:before="0" w:line="480" w:lineRule="auto"/>
        <w:ind w:firstLine="720"/>
        <w:jc w:val="both"/>
      </w:pPr>
      <w:r>
        <w:rPr>
          <w:rFonts w:ascii="Times New Roman" w:cs="Times New Roman" w:eastAsia="Times New Roman" w:hAnsi="Times New Roman"/>
          <w:sz w:val="22"/>
          <w:szCs w:val="22"/>
        </w:rPr>
        <w:t xml:space="preserve">In the test partition, the victimization classifier correctly identified 421 out of 465 victimized adolescents—a recall of 90.5%—meaning that approximately 9 out of every 10 victimized adolescents received a positive classification. The 44 adolescents who were missed (false negatives) represent cases that the model did not flag, despite meeting victimization criteria.</w:t>
      </w:r>
    </w:p>
    <w:p>
      <w:pPr>
        <w:spacing w:after="0" w:before="0" w:line="480" w:lineRule="auto"/>
        <w:ind w:firstLine="720"/>
        <w:jc w:val="both"/>
      </w:pPr>
      <w:r>
        <w:rPr>
          <w:rFonts w:ascii="Times New Roman" w:cs="Times New Roman" w:eastAsia="Times New Roman" w:hAnsi="Times New Roman"/>
          <w:sz w:val="22"/>
          <w:szCs w:val="22"/>
        </w:rPr>
        <w:t xml:space="preserve">Of the 477 non-victimized adolescents in the test partition, 118 were correctly classified as non-victimized cases (specificity = 24.7%), while 359 were assigned a positive classification despite not having experienced victimization (false positives). This means that, for every 100 adolescents flagged by the system, approximately 54 are genuinely victimized (precision = 54.0%), while the remainder would require further assessment to confirm or rule out risk. The negative predictive value (NPV = 72.8%) indicates that when the model assigns a negative classification—that is, when it judges an adolescent as unlikely to be a victim—this assessment is correct in approximately 73 out of every 100 cases. The F1-score, which balances recall and precision, was 67.6%, and balanced accuracy was 57.6%.</w:t>
      </w:r>
    </w:p>
    <w:p>
      <w:pPr>
        <w:spacing w:after="0" w:before="240" w:line="480" w:lineRule="auto"/>
        <w:ind w:firstLine="720"/>
        <w:jc w:val="left"/>
      </w:pPr>
      <w:r>
        <w:rPr>
          <w:rFonts w:ascii="Times New Roman" w:cs="Times New Roman" w:eastAsia="Times New Roman" w:hAnsi="Times New Roman"/>
          <w:b/>
          <w:bCs/>
          <w:i/>
          <w:iCs/>
          <w:sz w:val="22"/>
          <w:szCs w:val="22"/>
        </w:rPr>
        <w:t xml:space="preserve">What Drives the Victimization Classifier?</w:t>
      </w:r>
    </w:p>
    <w:p>
      <w:pPr>
        <w:spacing w:after="0" w:before="0" w:line="480" w:lineRule="auto"/>
        <w:ind w:firstLine="720"/>
        <w:jc w:val="both"/>
      </w:pPr>
      <w:r>
        <w:rPr>
          <w:rFonts w:ascii="Times New Roman" w:cs="Times New Roman" w:eastAsia="Times New Roman" w:hAnsi="Times New Roman"/>
          <w:sz w:val="22"/>
          <w:szCs w:val="22"/>
        </w:rPr>
        <w:t xml:space="preserve">The pruned decision tree makes its classification decision using a single rule based on a PCA-derived dimension mainly reflecting household composition—specifically, the pattern of who the adolescent lives with. This extreme parsimony suggests that, within the current predictor set and modelling strategy, this composite dimension provided the most efficient statistical separation between victimized and non-victimized adolescents. This finding should not be interpreted causally, nor as implying that household structure alone explains victimization; rather, it indicates that this dimension provided the strongest separation available to the model among the retained PCA components, given the variables included and the constraints of the modelling approach. The resulting structure can be inspected and understood more easily than more complex models, but it also implies that the classifier captures a narrow slice of the overall risk space; it is best understood as an initial screening filter rather than a comprehensive risk assessment tool.</w:t>
      </w:r>
    </w:p>
    <w:p>
      <w:pPr>
        <w:spacing w:after="0" w:before="0" w:line="480" w:lineRule="auto"/>
        <w:ind w:firstLine="720"/>
        <w:jc w:val="both"/>
      </w:pPr>
      <w:r>
        <w:rPr>
          <w:rFonts w:ascii="Times New Roman" w:cs="Times New Roman" w:eastAsia="Times New Roman" w:hAnsi="Times New Roman"/>
          <w:sz w:val="22"/>
          <w:szCs w:val="22"/>
        </w:rPr>
        <w:t xml:space="preserve">Looking beyond this primary split, the predictor domains most strongly associated with victimization risk—identified through back-projection of the component structure to the original variables—are as follows. Household composition and co-residence arrangements remain the most prominent predictor domain. Running away from home or from a residential care setting emerges as the second major contributor: this behaviour simultaneously reflects a response to ongoing abuse and a gateway to exposure to further risk environments (Kaufman &amp; Widom, 1999). Ethnic minority background and non-heterosexual sexual orientation appear as markers of heightened social vulnerability and elevated exposure to targeted forms of violence. Finally, low or unstable perceived social support points to reduced access to protective resources that might otherwise buffer victimization risk. Taken together, these findings suggest that structural conditions in the home environment and indicators of social marginalization represent the primary axes along which the victimization classifier distinguishes at-risk from non-at-risk adolescents.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3. Perpetration Classifier</w:t>
      </w:r>
    </w:p>
    <w:p>
      <w:pPr>
        <w:spacing w:after="0" w:before="240" w:line="480" w:lineRule="auto"/>
        <w:ind w:firstLine="720"/>
        <w:jc w:val="left"/>
      </w:pPr>
      <w:r>
        <w:rPr>
          <w:rFonts w:ascii="Times New Roman" w:cs="Times New Roman" w:eastAsia="Times New Roman" w:hAnsi="Times New Roman"/>
          <w:b/>
          <w:bCs/>
          <w:i/>
          <w:iCs/>
          <w:sz w:val="22"/>
          <w:szCs w:val="22"/>
        </w:rPr>
        <w:t xml:space="preserve">Selecting the Most Appropriate Approach</w:t>
      </w:r>
    </w:p>
    <w:p>
      <w:pPr>
        <w:spacing w:after="0" w:before="0" w:line="480" w:lineRule="auto"/>
        <w:ind w:firstLine="720"/>
        <w:jc w:val="both"/>
      </w:pPr>
      <w:r>
        <w:rPr>
          <w:rFonts w:ascii="Times New Roman" w:cs="Times New Roman" w:eastAsia="Times New Roman" w:hAnsi="Times New Roman"/>
          <w:sz w:val="22"/>
          <w:szCs w:val="22"/>
        </w:rPr>
        <w:t xml:space="preserve">Five model families were evaluated for the perpetration outcome using the same pipeline. Because the proportion of adolescents who reported perpetrating violence was smaller (5.9%, compared to 9.9% for victimization), correctly detecting true perpetrators was a more challenging task for all algorithms, and the class imbalance was more pronounced. As with the victimization classifier, recall was the primary selection criterion.</w:t>
      </w:r>
    </w:p>
    <w:p>
      <w:pPr>
        <w:spacing w:after="0" w:before="0" w:line="480" w:lineRule="auto"/>
        <w:ind w:firstLine="720"/>
        <w:jc w:val="both"/>
      </w:pPr>
      <w:r>
        <w:rPr>
          <w:rFonts w:ascii="Times New Roman" w:cs="Times New Roman" w:eastAsia="Times New Roman" w:hAnsi="Times New Roman"/>
          <w:sz w:val="22"/>
          <w:szCs w:val="22"/>
        </w:rPr>
        <w:t xml:space="preserve">At the standard decision threshold, gradient boosting variants showed relatively high overall accuracy but failed to flag enough true perpetrators to meet the sensitivity target, and were excluded from further comparison. For the remaining models, Table 3 presents performance at the threshold achieving at least 90% recall. The compact neural network was selected as the final perpetration classifier. Although logistic regression and random forest achieved comparable or slightly higher recall by lowering the decision threshold substantially, the neural network offered better overall balance between sensitivity and false-positive control at its standard operating point, and allowed subsequent analysis of predictor contributions through a permutation-based procedure.</w:t>
      </w:r>
    </w:p>
    <w:p>
      <w:pPr>
        <w:spacing w:after="0" w:before="0" w:line="480" w:lineRule="auto"/>
        <w:ind w:firstLine="720"/>
        <w:jc w:val="both"/>
      </w:pPr>
      <w:r>
        <w:rPr>
          <w:rFonts w:ascii="Times New Roman" w:cs="Times New Roman" w:eastAsia="Times New Roman" w:hAnsi="Times New Roman"/>
          <w:sz w:val="22"/>
          <w:szCs w:val="22"/>
        </w:rPr>
        <w:t xml:space="preserve">Unlike a decision tree, a neural network does not generate a human-readable decision rule. Its classifications emerge from a large number of small, learned adjustments distributed across an internal computational architecture. This means the model is less interpretable in direct terms but is capable of detecting more complex patterns involving the simultaneous interaction of multiple risk factors—patterns that may be relevant to the more heterogeneous nature of perpetration.</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Table 3. Model Comparison — Perpetration Classifier (Operating Points at Recall ≥ 90%)</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700"/>
        <w:gridCol w:w="750"/>
        <w:gridCol w:w="600"/>
        <w:gridCol w:w="750"/>
        <w:gridCol w:w="700"/>
      </w:tblGrid>
      <w:tr>
        <w:trPr>
          <w:tblHeader/>
        </w:trPr>
        <w:tc>
          <w:tcPr>
            <w:tcW w:type="dxa" w:w="18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Model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Threshold</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Precision</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Specificity</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Bal. Acc.</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AUC-PR</w:t>
            </w:r>
          </w:p>
        </w:tc>
      </w:tr>
      <w:tr>
        <w:tc>
          <w:tcPr>
            <w:tcW w:type="dxa" w:w="18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Neural Network (final)</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0.50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28.8%</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31.9%</w:t>
            </w:r>
          </w:p>
        </w:tc>
        <w:tc>
          <w:tcPr>
            <w:tcW w:type="dxa" w:w="6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43.7%</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61.0%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0.390</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Logistic Regression</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91.9%</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27.5%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43.8%</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58.9%</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0.412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Random Forest</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0.15</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93.7%</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26.5%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20.4%</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41.3%</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0.402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Decision Tree</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0.20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92.8%</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24.8%</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13.9%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39.2%</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53.3%</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0.355</w:t>
            </w:r>
          </w:p>
        </w:tc>
      </w:tr>
    </w:tbl>
    <w:p>
      <w:pPr>
        <w:spacing w:after="240" w:before="120" w:line="240" w:lineRule="auto"/>
      </w:pPr>
      <w:r>
        <w:rPr>
          <w:rFonts w:ascii="Times New Roman" w:cs="Times New Roman" w:eastAsia="Times New Roman" w:hAnsi="Times New Roman"/>
          <w:i/>
          <w:iCs/>
          <w:sz w:val="20"/>
          <w:szCs w:val="20"/>
        </w:rPr>
        <w:t xml:space="preserve">Note. Gradient Boosting and HistGradientBoosting did not achieve recall ≥ 90% at any tested threshold and are excluded. AUC-PR = area under the precision-recall curve. The selected model (Neural Network) is highlighted.</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How Well Did the Classifier Detect Perpetrating Adolescents?</w:t>
      </w:r>
    </w:p>
    <w:p>
      <w:pPr>
        <w:spacing w:after="0" w:before="0" w:line="480" w:lineRule="auto"/>
        <w:ind w:firstLine="720"/>
        <w:jc w:val="both"/>
      </w:pPr>
      <w:r>
        <w:rPr>
          <w:rFonts w:ascii="Times New Roman" w:cs="Times New Roman" w:eastAsia="Times New Roman" w:hAnsi="Times New Roman"/>
          <w:sz w:val="22"/>
          <w:szCs w:val="22"/>
        </w:rPr>
        <w:t xml:space="preserve">The perpetration classifier correctly identified 199 out of 221 adolescents who reported perpetrating violence—a recall of 90.0%—meaning that approximately 9 out of every 10 perpetrators were flagged by the system. The 22 adolescents missed (false negatives) represent perpetrators who received a negative classification.</w:t>
      </w:r>
    </w:p>
    <w:p>
      <w:pPr>
        <w:spacing w:after="0" w:before="0" w:line="480" w:lineRule="auto"/>
        <w:ind w:firstLine="720"/>
        <w:jc w:val="both"/>
      </w:pPr>
      <w:r>
        <w:rPr>
          <w:rFonts w:ascii="Times New Roman" w:cs="Times New Roman" w:eastAsia="Times New Roman" w:hAnsi="Times New Roman"/>
          <w:sz w:val="22"/>
          <w:szCs w:val="22"/>
        </w:rPr>
        <w:t xml:space="preserve">Of the 721 non-perpetrators in the test partition, 230 were correctly classified as non-perpetrators (specificity = 31.9%), while 491 received a false positive classification. Precision was 28.8%, meaning that roughly 3 in every 10 flagged adolescents are genuine perpetrators; the remainder would require further evaluation. The F1-score was 43.7% and balanced accuracy was 61.0%.</w:t>
      </w:r>
    </w:p>
    <w:p>
      <w:pPr>
        <w:spacing w:after="0" w:before="0" w:line="480" w:lineRule="auto"/>
        <w:ind w:firstLine="720"/>
        <w:jc w:val="both"/>
      </w:pPr>
      <w:r>
        <w:rPr>
          <w:rFonts w:ascii="Times New Roman" w:cs="Times New Roman" w:eastAsia="Times New Roman" w:hAnsi="Times New Roman"/>
          <w:sz w:val="22"/>
          <w:szCs w:val="22"/>
        </w:rPr>
        <w:t xml:space="preserve">The negative predictive value (NPV = 91.3%) is particularly relevant from a practical standpoint: when the perpetration classifier assigns a negative classification, this judgement is correct in more than 9 out of every 10 cases. In a screening context, this means the system can be used not only to identify adolescents who may warrant further assessment, but also to help professionals deprioritise adolescents who appear less likely to be involved in perpetration, enabling more efficient use of professional attention and intervention resources.</w:t>
      </w:r>
    </w:p>
    <w:p>
      <w:pPr>
        <w:spacing w:after="0" w:before="240" w:line="480" w:lineRule="auto"/>
        <w:ind w:firstLine="720"/>
        <w:jc w:val="left"/>
      </w:pPr>
      <w:r>
        <w:rPr>
          <w:rFonts w:ascii="Times New Roman" w:cs="Times New Roman" w:eastAsia="Times New Roman" w:hAnsi="Times New Roman"/>
          <w:b/>
          <w:bCs/>
          <w:i/>
          <w:iCs/>
          <w:sz w:val="22"/>
          <w:szCs w:val="22"/>
        </w:rPr>
        <w:t xml:space="preserve">What Drives the Perpetration Classifier?</w:t>
      </w:r>
    </w:p>
    <w:p>
      <w:pPr>
        <w:spacing w:after="0" w:before="0" w:line="480" w:lineRule="auto"/>
        <w:ind w:firstLine="720"/>
        <w:jc w:val="both"/>
      </w:pPr>
      <w:r>
        <w:rPr>
          <w:rFonts w:ascii="Times New Roman" w:cs="Times New Roman" w:eastAsia="Times New Roman" w:hAnsi="Times New Roman"/>
          <w:sz w:val="22"/>
          <w:szCs w:val="22"/>
        </w:rPr>
        <w:t xml:space="preserve">Unlike the victimization classifier, the perpetration neural network draws on information distributed across multiple composite dimensions simultaneously, without any single dimension dominating the classification. A permutation importance analysis—which measured how much recall decreased when the information in each dimension was independently disrupted—identified the following predictor domains as most relevant to perpetration risk: household composition and family structure; running away from home or a residential care setting; age (with perpetration risk appearing to peak in mid-adolescence, consistent with age–crime curve research); ethnic minority background; pornography use; variability in perceived social support (reflecting inconsistency in available support, not only its average level); frequency of alcohol use; and instability in self-efficacy (reflecting a fluctuating sense of personal agency and capacity for self-regulation).</w:t>
      </w:r>
    </w:p>
    <w:p>
      <w:pPr>
        <w:spacing w:after="0" w:before="0" w:line="480" w:lineRule="auto"/>
        <w:ind w:firstLine="720"/>
        <w:jc w:val="both"/>
      </w:pPr>
      <w:r>
        <w:rPr>
          <w:rFonts w:ascii="Times New Roman" w:cs="Times New Roman" w:eastAsia="Times New Roman" w:hAnsi="Times New Roman"/>
          <w:sz w:val="22"/>
          <w:szCs w:val="22"/>
        </w:rPr>
        <w:t xml:space="preserve">Several of these predictors also appeared in the victimization classifier—particularly household composition, running away behaviour, and perceived social support—suggesting that a shared vulnerability core underlies both roles, consistent with the victim–offender overlap literature (Berg &amp; Mulford, 2020; Jennings et al., 2012). At the same time, pornography use, self-efficacy instability, and alcohol consumption appear more specifically in the perpetration predictor profile. This pattern suggests that behavioural and self-regulatory factors may play a relatively more distinctive role in perpetration pathways, over and above the structural and contextual risk factors shared with victimization.</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4. Detecting Dual-Role Adolescents: The Victim–Perpetrator Overlap</w:t>
      </w:r>
    </w:p>
    <w:p>
      <w:pPr>
        <w:spacing w:after="0" w:before="240" w:line="480" w:lineRule="auto"/>
        <w:ind w:firstLine="720"/>
        <w:jc w:val="left"/>
      </w:pPr>
      <w:r>
        <w:rPr>
          <w:rFonts w:ascii="Times New Roman" w:cs="Times New Roman" w:eastAsia="Times New Roman" w:hAnsi="Times New Roman"/>
          <w:b/>
          <w:bCs/>
          <w:i/>
          <w:iCs/>
          <w:sz w:val="22"/>
          <w:szCs w:val="22"/>
        </w:rPr>
        <w:t xml:space="preserve">Selecting the Most Appropriate Approach</w:t>
      </w:r>
    </w:p>
    <w:p>
      <w:pPr>
        <w:spacing w:after="0" w:before="0" w:line="480" w:lineRule="auto"/>
        <w:ind w:firstLine="720"/>
        <w:jc w:val="both"/>
      </w:pPr>
      <w:r>
        <w:rPr>
          <w:rFonts w:ascii="Times New Roman" w:cs="Times New Roman" w:eastAsia="Times New Roman" w:hAnsi="Times New Roman"/>
          <w:sz w:val="22"/>
          <w:szCs w:val="22"/>
        </w:rPr>
        <w:t xml:space="preserve">For the victim–perpetrator overlap, two detection strategies were developed and systematically compared. The first was a conjunctive rule (Smart AND): an adolescent was flagged as a dual-risk case only when both the victimization classifier and the perpetration classifier independently produced a positive prediction. This approach requires no additional model training and preserves the conceptual definition of overlap as the intersection of the two individual outcome groups. The second was an independent classifier—a dedicated neural network trained directly on the dual-role outcome, treating victim–perpetrator overlap as its own prediction target. This approach does not assume that the overlap group's predictor profile is simply the intersection of the victimization and perpetration profiles; instead, it allows the model to learn the specific pattern of characteristics that distinguishes dual-role adolescents from non-overlapping cases. Both approaches were evaluated on a shared test partition stratified by the joint victim–perpetrator profile, ensuring that all four possible role combinations (neither role, victimization only, perpetration only, both roles simultaneously) were proportionally represented.</w:t>
      </w:r>
    </w:p>
    <w:p>
      <w:pPr>
        <w:spacing w:after="0" w:before="0" w:line="480" w:lineRule="auto"/>
        <w:ind w:firstLine="720"/>
        <w:jc w:val="both"/>
      </w:pPr>
      <w:r>
        <w:rPr>
          <w:rFonts w:ascii="Times New Roman" w:cs="Times New Roman" w:eastAsia="Times New Roman" w:hAnsi="Times New Roman"/>
          <w:sz w:val="22"/>
          <w:szCs w:val="22"/>
        </w:rPr>
        <w:t xml:space="preserve">Table 4 presents the comparison. At comparable recall levels—80.0% for the independent classifier versus 80.9% for the Smart AND rule—the dedicated neural network outperformed the conjunctive rule on every other metric: specificity (56.0% vs. 43.8%), precision (30.0% vs. 25.1%), negative predictive value (92.0% vs. 90.8%), F1-score (44.0% vs. 38.3%), balanced accuracy (68.0% vs. 62.4%), and overall accuracy (60.5% vs. 50.8%). The consistent and meaningful advantage across multiple indicators—while maintaining equivalent recall—suggests that the overlap group possesses a distinctive predictor signature that is not fully captured by the intersection of the victimization and perpetration profiles alone. The independent neural network was therefore selected as the final overlap classifier.</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Table 4. Overlap Detection Strategy Comparison</w:t>
      </w:r>
    </w:p>
    <w:tbl>
      <w:tblPr>
        <w:tblW w:type="dxa" w:w="6770"/>
        <w:tblBorders>
          <w:top w:val="single" w:color="auto" w:sz="4"/>
          <w:left w:val="single" w:color="auto" w:sz="4"/>
          <w:bottom w:val="single" w:color="auto" w:sz="4"/>
          <w:right w:val="single" w:color="auto" w:sz="4"/>
          <w:insideH w:val="single" w:color="auto" w:sz="4"/>
          <w:insideV w:val="single" w:color="auto" w:sz="4"/>
        </w:tblBorders>
      </w:tblPr>
      <w:tblGrid>
        <w:gridCol w:w="2100"/>
        <w:gridCol w:w="630"/>
        <w:gridCol w:w="730"/>
        <w:gridCol w:w="730"/>
        <w:gridCol w:w="630"/>
        <w:gridCol w:w="550"/>
        <w:gridCol w:w="720"/>
        <w:gridCol w:w="680"/>
      </w:tblGrid>
      <w:tr>
        <w:trPr>
          <w:tblHeader/>
        </w:trPr>
        <w:tc>
          <w:tcPr>
            <w:tcW w:type="dxa" w:w="21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Approach</w:t>
            </w:r>
          </w:p>
        </w:tc>
        <w:tc>
          <w:tcPr>
            <w:tcW w:type="dxa" w:w="6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w:t>
            </w:r>
          </w:p>
        </w:tc>
        <w:tc>
          <w:tcPr>
            <w:tcW w:type="dxa" w:w="7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Specificity</w:t>
            </w:r>
          </w:p>
        </w:tc>
        <w:tc>
          <w:tcPr>
            <w:tcW w:type="dxa" w:w="7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Precision
(PPV)</w:t>
            </w:r>
          </w:p>
        </w:tc>
        <w:tc>
          <w:tcPr>
            <w:tcW w:type="dxa" w:w="6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NPV</w:t>
            </w:r>
          </w:p>
        </w:tc>
        <w:tc>
          <w:tcPr>
            <w:tcW w:type="dxa" w:w="5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72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Bal.
Acc.</w:t>
            </w:r>
          </w:p>
        </w:tc>
        <w:tc>
          <w:tcPr>
            <w:tcW w:type="dxa" w:w="6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Accuracy</w:t>
            </w:r>
          </w:p>
        </w:tc>
      </w:tr>
      <w:tr>
        <w:tc>
          <w:tcPr>
            <w:tcW w:type="dxa" w:w="21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Neural Network — independent classifier (final)</w:t>
            </w:r>
          </w:p>
        </w:tc>
        <w:tc>
          <w:tcPr>
            <w:tcW w:type="dxa" w:w="6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80.0%</w:t>
            </w:r>
          </w:p>
        </w:tc>
        <w:tc>
          <w:tcPr>
            <w:tcW w:type="dxa" w:w="7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56.0%</w:t>
            </w:r>
          </w:p>
        </w:tc>
        <w:tc>
          <w:tcPr>
            <w:tcW w:type="dxa" w:w="7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30.0%</w:t>
            </w:r>
          </w:p>
        </w:tc>
        <w:tc>
          <w:tcPr>
            <w:tcW w:type="dxa" w:w="6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92.0%</w:t>
            </w:r>
          </w:p>
        </w:tc>
        <w:tc>
          <w:tcPr>
            <w:tcW w:type="dxa" w:w="5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44.0%</w:t>
            </w:r>
          </w:p>
        </w:tc>
        <w:tc>
          <w:tcPr>
            <w:tcW w:type="dxa" w:w="72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68.0%</w:t>
            </w:r>
          </w:p>
        </w:tc>
        <w:tc>
          <w:tcPr>
            <w:tcW w:type="dxa" w:w="68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60.5%</w:t>
            </w:r>
          </w:p>
        </w:tc>
      </w:tr>
      <w:tr>
        <w:tc>
          <w:tcPr>
            <w:tcW w:type="dxa" w:w="21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Smart AND — conjunctive rule</w:t>
            </w:r>
          </w:p>
        </w:tc>
        <w:tc>
          <w:tcPr>
            <w:tcW w:type="dxa" w:w="6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80.9%</w:t>
            </w:r>
          </w:p>
        </w:tc>
        <w:tc>
          <w:tcPr>
            <w:tcW w:type="dxa" w:w="7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43.8%</w:t>
            </w:r>
          </w:p>
        </w:tc>
        <w:tc>
          <w:tcPr>
            <w:tcW w:type="dxa" w:w="7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25.1%</w:t>
            </w:r>
          </w:p>
        </w:tc>
        <w:tc>
          <w:tcPr>
            <w:tcW w:type="dxa" w:w="6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90.8%</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38.3%</w:t>
            </w:r>
          </w:p>
        </w:tc>
        <w:tc>
          <w:tcPr>
            <w:tcW w:type="dxa" w:w="7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62.4%</w:t>
            </w:r>
          </w:p>
        </w:tc>
        <w:tc>
          <w:tcPr>
            <w:tcW w:type="dxa" w:w="6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50.8%</w:t>
            </w:r>
          </w:p>
        </w:tc>
      </w:tr>
    </w:tbl>
    <w:p>
      <w:pPr>
        <w:spacing w:after="240" w:before="120" w:line="240" w:lineRule="auto"/>
      </w:pPr>
      <w:r>
        <w:rPr>
          <w:rFonts w:ascii="Times New Roman" w:cs="Times New Roman" w:eastAsia="Times New Roman" w:hAnsi="Times New Roman"/>
          <w:i/>
          <w:iCs/>
          <w:sz w:val="20"/>
          <w:szCs w:val="20"/>
        </w:rPr>
        <w:t xml:space="preserve">Note. Both strategies were evaluated on the same shared test partition, stratified by the joint victim–perpetrator profile (four strata). Recall was maintained at comparable levels (~80%) to allow a fair comparison of all other metrics. The selected approach (Neural Network — independent classifier) is highlighted.</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How Well Did the Classifier Detect Dual-Role Adolescents?</w:t>
      </w:r>
    </w:p>
    <w:p>
      <w:pPr>
        <w:spacing w:after="0" w:before="0" w:line="480" w:lineRule="auto"/>
        <w:ind w:firstLine="720"/>
        <w:jc w:val="both"/>
      </w:pPr>
      <w:r>
        <w:rPr>
          <w:rFonts w:ascii="Times New Roman" w:cs="Times New Roman" w:eastAsia="Times New Roman" w:hAnsi="Times New Roman"/>
          <w:sz w:val="22"/>
          <w:szCs w:val="22"/>
        </w:rPr>
        <w:t xml:space="preserve">The independent overlap classifier correctly identified 142 out of 178 adolescents with confirmed dual-role involvement—a recall of 80.0%—meaning that approximately 8 out of every 10 dual-role adolescents were correctly flagged. The 36 adolescents who were missed (false negatives) represent dual-role cases that received a negative classification.</w:t>
      </w:r>
    </w:p>
    <w:p>
      <w:pPr>
        <w:spacing w:after="0" w:before="0" w:line="480" w:lineRule="auto"/>
        <w:ind w:firstLine="720"/>
        <w:jc w:val="both"/>
      </w:pPr>
      <w:r>
        <w:rPr>
          <w:rFonts w:ascii="Times New Roman" w:cs="Times New Roman" w:eastAsia="Times New Roman" w:hAnsi="Times New Roman"/>
          <w:sz w:val="22"/>
          <w:szCs w:val="22"/>
        </w:rPr>
        <w:t xml:space="preserve">Of the 764 adolescents without dual-role involvement, 428 were correctly classified as non-overlap cases (specificity = 56.0%), while 336 received a false positive classification. Precision was 30.0%, meaning that approximately 3 in every 10 adolescents flagged by the overlap classifier have confirmed dual-role status; the remaining flagged cases would require further evaluation to confirm their status. The negative predictive value (NPV = 92.0%) indicates that when the overlap classifier assigns a negative classification, this judgement is correct in approximately 9 out of every 10 cases—a level of reliability that may be practically useful for deprioritising adolescents who appear unlikely to present dual-role involvement. The F1-score was 44.0% and balanced accuracy was 68.0%.</w:t>
      </w:r>
    </w:p>
    <w:p>
      <w:pPr>
        <w:spacing w:after="0" w:before="240" w:line="480" w:lineRule="auto"/>
        <w:ind w:firstLine="720"/>
        <w:jc w:val="left"/>
      </w:pPr>
      <w:r>
        <w:rPr>
          <w:rFonts w:ascii="Times New Roman" w:cs="Times New Roman" w:eastAsia="Times New Roman" w:hAnsi="Times New Roman"/>
          <w:b/>
          <w:bCs/>
          <w:i/>
          <w:iCs/>
          <w:sz w:val="22"/>
          <w:szCs w:val="22"/>
        </w:rPr>
        <w:t xml:space="preserve">What Drives the Overlap Classifier?</w:t>
      </w:r>
    </w:p>
    <w:p>
      <w:pPr>
        <w:spacing w:after="0" w:before="0" w:line="480" w:lineRule="auto"/>
        <w:ind w:firstLine="720"/>
        <w:jc w:val="both"/>
      </w:pPr>
      <w:r>
        <w:rPr>
          <w:rFonts w:ascii="Times New Roman" w:cs="Times New Roman" w:eastAsia="Times New Roman" w:hAnsi="Times New Roman"/>
          <w:sz w:val="22"/>
          <w:szCs w:val="22"/>
        </w:rPr>
        <w:t xml:space="preserve">The overlap neural network draws on a predictor profile that reflects characteristics from both the victimization and perpetration domains, while also capturing patterns that appear more specific to dual-role adolescents. Shared predictors—appearing prominently in both individual classifiers—include household composition and family structure, running away from home or a residential care setting, ethnic minority background, and both the level and consistency of perceived social support. The presence of this shared core across all three classifiers is consistent with theoretical accounts that characterise dual-role adolescents as individuals who simultaneously occupy positions of structural vulnerability and behavioural risk (Berg &amp; Mulford, 2020; Falla et al., 2020). At the same time, the independent classifier's improved specificity and precision—relative to the conjunctive Smart AND rule—suggests that it captures additional nuances in the dual-role predictor profile: the combination and intensity of risk factors within a single individual may carry more predictive information than the simple co-occurrence of victimization and perpetration risk flags. This finding is consistent with theoretical frameworks emphasising that the victim–perpetrator overlap is not merely the statistical intersection of two independent risk processes, but a distinct phenomenon with its own developmental and contextual determinants (Jennings et al., 2012; Beckley et al., 2018).</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5. Overall Performance: What the Framework Offers in Practice</w:t>
      </w:r>
    </w:p>
    <w:p>
      <w:pPr>
        <w:spacing w:after="0" w:before="0" w:line="480" w:lineRule="auto"/>
        <w:ind w:firstLine="720"/>
        <w:jc w:val="both"/>
      </w:pPr>
      <w:r>
        <w:rPr>
          <w:rFonts w:ascii="Times New Roman" w:cs="Times New Roman" w:eastAsia="Times New Roman" w:hAnsi="Times New Roman"/>
          <w:sz w:val="22"/>
          <w:szCs w:val="22"/>
        </w:rPr>
        <w:t xml:space="preserve">Considered together, the results indicate that the three-classifier framework demonstrates a consistent and practically relevant screening profile across all outcomes assessed. In all three cases, the models achieved recall rates of 80–91%—meaning that between 8 and 9 out of every 10 adolescents at genuine risk were correctly flagged for further attention. This level of sensitivity is appropriate for a preventive screening application, where the primary concern is avoiding the omission of adolescents meeting the outcome criteria, rather than maximising the proportion of correct classifications overall.</w:t>
      </w:r>
    </w:p>
    <w:p>
      <w:pPr>
        <w:spacing w:after="0" w:before="0" w:line="480" w:lineRule="auto"/>
        <w:ind w:firstLine="720"/>
        <w:jc w:val="both"/>
      </w:pPr>
      <w:r>
        <w:rPr>
          <w:rFonts w:ascii="Times New Roman" w:cs="Times New Roman" w:eastAsia="Times New Roman" w:hAnsi="Times New Roman"/>
          <w:sz w:val="22"/>
          <w:szCs w:val="22"/>
        </w:rPr>
        <w:t xml:space="preserve">This recall-oriented profile is accompanied by comparatively lower precision, particularly for perpetration and the victim–perpetrator overlap, reflecting the fact that a substantial proportion of flagged adolescents will not meet full risk criteria upon in-depth clinical evaluation. This trade-off is expected and accepted within a screening framework: positive classifications are intended to function as prioritisation alerts—signals that warrant closer professional attention and further assessment—rather than as definitive determinations of risk status. Practitioners should therefore treat a positive classification from this system as the beginning of a clinical inquiry, not its conclusion.</w:t>
      </w:r>
    </w:p>
    <w:p>
      <w:pPr>
        <w:spacing w:after="0" w:before="0" w:line="480" w:lineRule="auto"/>
        <w:ind w:firstLine="720"/>
        <w:jc w:val="both"/>
      </w:pPr>
      <w:r>
        <w:rPr>
          <w:rFonts w:ascii="Times New Roman" w:cs="Times New Roman" w:eastAsia="Times New Roman" w:hAnsi="Times New Roman"/>
          <w:sz w:val="22"/>
          <w:szCs w:val="22"/>
        </w:rPr>
        <w:t xml:space="preserve">Two additional properties of the framework merit particular attention from a practical standpoint. First, the high negative predictive values across all three outcomes—NPV = 72.8% for victimization, 91.3% for perpetration, and 92.0% for the victim–perpetrator overlap—indicate that negative classifications carry a substantial degree of reliability, particularly for perpetration and overlap. When the system assigns a negative classification for these two outcomes, this judgement is correct in more than 9 out of 10 cases. This means the framework is useful not only for identifying which adolescents may need further evaluation, but also for helping professionals deprioritise adolescents who appear less likely to be involved—a property that may support more efficient allocation of professional resources in large educational or community settings, where universal in-depth assessment is rarely feasible.</w:t>
      </w:r>
    </w:p>
    <w:p>
      <w:pPr>
        <w:spacing w:after="0" w:before="0" w:line="480" w:lineRule="auto"/>
        <w:ind w:firstLine="720"/>
        <w:jc w:val="both"/>
      </w:pPr>
      <w:r>
        <w:rPr>
          <w:rFonts w:ascii="Times New Roman" w:cs="Times New Roman" w:eastAsia="Times New Roman" w:hAnsi="Times New Roman"/>
          <w:sz w:val="22"/>
          <w:szCs w:val="22"/>
        </w:rPr>
        <w:t xml:space="preserve">Second, all three models generate a continuous probability score for each adolescent, rather than a simple binary flag. This score reflects the estimated likelihood that a given adolescent meets the criteria for each outcome, based on their overall predictor profile. Practitioners can use these scores to rank adolescents by estimated risk level, applying different response protocols according to this ranking: those with the highest estimated probabilities could be prioritised for immediate referral or assessment, while those with intermediate scores might be monitored over time. This tiered approach extends the practical utility of the framework beyond the application of a fixed alert threshold, allowing for more flexible and resource-sensitive deployment in real-world prevention settings.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6. Complementary Analysis: Identifying Subgroups of At-Risk Adolescents</w:t>
      </w:r>
    </w:p>
    <w:p>
      <w:pPr>
        <w:spacing w:after="0" w:before="0" w:line="480" w:lineRule="auto"/>
        <w:ind w:firstLine="720"/>
        <w:jc w:val="both"/>
      </w:pPr>
      <w:r>
        <w:rPr>
          <w:rFonts w:ascii="Times New Roman" w:cs="Times New Roman" w:eastAsia="Times New Roman" w:hAnsi="Times New Roman"/>
          <w:sz w:val="22"/>
          <w:szCs w:val="22"/>
        </w:rPr>
        <w:t xml:space="preserve">To complement the supervised classification approach and explore the heterogeneity of risk profiles within the sample, an exploratory cluster analysis was conducted separately for victimized adolescents and for perpetrating adolescents. Rather than using the global psychosocial and contextual predictors employed in the classifiers, this analysis was conducted directly on the item-level responses from the victimization and perpetration batteries, allowing the identification of subgroups based on the specific types and combinations of violence each adolescent had experienced or perpetrated. The goal was not to classify new cases, but to describe the diversity of risk profiles within each group—an important complement to the binary classification framework, as it can reveal that the concepts of 'victim' and 'perpetrator' are not homogeneous categories but encompass adolescents with markedly different patterns of involvement.</w:t>
      </w:r>
    </w:p>
    <w:p>
      <w:pPr>
        <w:spacing w:after="0" w:before="0" w:line="480" w:lineRule="auto"/>
        <w:ind w:firstLine="720"/>
        <w:jc w:val="both"/>
      </w:pPr>
      <w:r>
        <w:rPr>
          <w:rFonts w:ascii="Times New Roman" w:cs="Times New Roman" w:eastAsia="Times New Roman" w:hAnsi="Times New Roman"/>
          <w:sz w:val="22"/>
          <w:szCs w:val="22"/>
        </w:rPr>
        <w:t xml:space="preserve">For each analysis, the optimal grouping solution was identified through an iterative search combining two complementary methods. First, a non-linear dimensionality reduction technique (UMAP) was applied to project the high-dimensional item response data into a two-dimensional space that preserves both local similarity and global structure. Second, a density-based clustering algorithm (DBSCAN) was used to identify groups of similar adolescents within this representation, without requiring the number of groups to be fixed in advance. This approach was preferred over classical hierarchical or k-means methods because it makes no assumptions about the shape or size of the clusters and can identify cases that do not fit cleanly into any group—often the most clinically interesting cases. Ninety different parameter configurations were evaluated for the victim analysis and 160 for the perpetrator analysis; each solution was assessed using the silhouette coefficient, a measure of how clearly separated the resulting groups are, ranging from 0 (no separation) to 1 (perfect separation). Values above 0.70 are generally considered to indicate well-separated, meaningful groupings (Rousseeuw, 1987).</w:t>
      </w:r>
    </w:p>
    <w:p>
      <w:pPr>
        <w:spacing w:after="0" w:before="0" w:line="480" w:lineRule="auto"/>
        <w:ind w:firstLine="720"/>
        <w:jc w:val="both"/>
      </w:pPr>
      <w:r>
        <w:rPr>
          <w:rFonts w:ascii="Times New Roman" w:cs="Times New Roman" w:eastAsia="Times New Roman" w:hAnsi="Times New Roman"/>
          <w:sz w:val="22"/>
          <w:szCs w:val="22"/>
        </w:rPr>
        <w:t xml:space="preserve">The best victimization clustering solution yielded nine distinct subgroups (silhouette = 0.913), and the best perpetration solution yielded five subgroups (silhouette = 0.930), both indicating well-separated solutions according to this criterion. These findings are consistent with and extend the results of a complementary cluster analysis conducted on the same representative sample by Pereda and Guerra (2025), who applied a hierarchical clustering approach (Ward method, squared Euclidean distance) to total victimization and perpetration scores and identified four broad profiles: a large group with no violence experience (59.4%), a group reporting victimization only (32.0%), a group with polyvictimization and some perpetration (8.1%), and a small group characterised by polyvictimization and polyperpetration (0.5%). The finer-grained solution obtained in the present study—based on item-level patterns rather than aggregate scores—extends these findings by revealing internal heterogeneity within those broad profiles, while remaining consistent with their core structural observation: that victim–offender overlap is not uniformly distributed, but is concentrated in specific subgroups with elevated and diversified involvement across multiple forms of violence.</w:t>
      </w:r>
    </w:p>
    <w:p>
      <w:pPr>
        <w:spacing w:after="0" w:before="0" w:line="480" w:lineRule="auto"/>
        <w:ind w:firstLine="720"/>
        <w:jc w:val="both"/>
      </w:pPr>
      <w:r>
        <w:rPr>
          <w:rFonts w:ascii="Times New Roman" w:cs="Times New Roman" w:eastAsia="Times New Roman" w:hAnsi="Times New Roman"/>
          <w:sz w:val="22"/>
          <w:szCs w:val="22"/>
        </w:rPr>
        <w:t xml:space="preserve">A cross-tabulation analysis examined the overlap between cluster membership and outcome group status. Two findings are particularly noteworthy. Among victim clusters, Cluster 3 (n = 1,092) exhibited a perpetration rate of approximately 48%, compared to approximately 9% in Cluster 0 and a sample-wide perpetration prevalence of 5.9%. This means that within this specific subgroup of victimized adolescents, nearly one in two was also identified as a perpetrator—a rate roughly eight times higher than the overall sample prevalence. This pattern is consistent with the dual-role or bully-victim profile documented in both the victimization and criminological literatures (Beckley et al., 2018; Pereda &amp; Guerra, 2025) and suggests that for a substantial proportion of victimized adolescents, experiencing violence and perpetrating violence may be co-occurring rather than sequential phenomena. Among perpetrator clusters, Clusters 2 and 3 showed a victimization rate of approximately 89%, compared to a sample-wide victimization prevalence of 9.9%, further supporting the existence of a high-overlap subgroup embedded within the broader perpetrating population.</w:t>
      </w:r>
    </w:p>
    <w:p>
      <w:pPr>
        <w:spacing w:after="0" w:before="0" w:line="480" w:lineRule="auto"/>
        <w:ind w:firstLine="720"/>
        <w:jc w:val="both"/>
      </w:pPr>
      <w:r>
        <w:rPr>
          <w:rFonts w:ascii="Times New Roman" w:cs="Times New Roman" w:eastAsia="Times New Roman" w:hAnsi="Times New Roman"/>
          <w:sz w:val="22"/>
          <w:szCs w:val="22"/>
        </w:rPr>
        <w:t xml:space="preserve">These findings should be interpreted with appropriate caution. The cluster analysis is exploratory and post-hoc; the groupings represent patterns observed in the data and should not be interpreted as diagnostic or clinically validated categories. The high within-cluster overlap rates reflect statistical tendencies across groups of adolescents and should not be used to make determinations about any individual case. Moreover, the clusters were derived from victimization and perpetration item responses, not from the global psychosocial and contextual predictors used in the classifiers; the two analyses therefore capture different aspects of adolescent risk. Nevertheless, the identification of subgroups with markedly elevated overlap rates may help inform the design of targeted intervention programmes and supports the importance of assessing both victimization and perpetration experiences together rather than in isolation when working with adolescents in educational or clinical settings.</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Table 5. Top Contributing Predictors by Outcome</w:t>
      </w: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400"/>
        <w:gridCol w:w="3080"/>
        <w:gridCol w:w="3080"/>
        <w:gridCol w:w="400"/>
      </w:tblGrid>
      <w:tr>
        <w:trPr>
          <w:tblHeader/>
        </w:trPr>
        <w:tc>
          <w:tcPr>
            <w:tcW w:type="dxa" w:w="4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Rank</w:t>
            </w:r>
          </w:p>
        </w:tc>
        <w:tc>
          <w:tcPr>
            <w:tcW w:type="dxa" w:w="30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Victimization (Decision Tree)</w:t>
            </w:r>
          </w:p>
        </w:tc>
        <w:tc>
          <w:tcPr>
            <w:tcW w:type="dxa" w:w="30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Perpetration (Neural Network)</w:t>
            </w:r>
          </w:p>
        </w:tc>
        <w:tc>
          <w:tcPr>
            <w:tcW w:type="dxa" w:w="4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Shared</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1</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Household composition</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Household composition</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2</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Father co-residence</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Father co-residence</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3</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Ethnic background</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Running away from home</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4</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Sexual orientation</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Age</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5</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Running away from home</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Ethnic background</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6</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Mother co-residence</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Pornography use</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7</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Country of origin</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Variability in social support</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8</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Step-parent co-residence</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Level of social support</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9</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Level of social support</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Frequency of alcohol use</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10</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Mean level of social support</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Instability in self-efficacy</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t>
            </w:r>
          </w:p>
        </w:tc>
      </w:tr>
    </w:tbl>
    <w:p>
      <w:pPr>
        <w:spacing w:after="240" w:before="120" w:line="240" w:lineRule="auto"/>
      </w:pPr>
      <w:r>
        <w:rPr>
          <w:rFonts w:ascii="Times New Roman" w:cs="Times New Roman" w:eastAsia="Times New Roman" w:hAnsi="Times New Roman"/>
          <w:i/>
          <w:iCs/>
          <w:sz w:val="20"/>
          <w:szCs w:val="20"/>
        </w:rPr>
        <w:t xml:space="preserve">Note. Variable importance estimated via feature_importances_ (Decision Tree, victimization) and permutation importance based on recall drop averaged across 10 repetitions (Neural Network, perpetration). Scores were back-projected from the PCA component space to the original predictor space via the loading matrix. Labels are simplified descriptive names of the original variables; they do not imply causal or protective interpretations. ✓ = predictor appears among the top 10 for both outcomes.</w:t>
      </w:r>
    </w:p>
    <w:p>
      <w:r>
        <w:br w:type="page"/>
      </w:r>
    </w:p>
    <w:p>
      <w:pPr>
        <w:spacing w:after="240" w:before="240" w:line="240" w:lineRule="auto"/>
        <w:jc w:val="center"/>
      </w:pPr>
      <w:r>
        <w:rPr>
          <w:rFonts w:ascii="Times New Roman" w:cs="Times New Roman" w:eastAsia="Times New Roman" w:hAnsi="Times New Roman"/>
          <w:b/>
          <w:bCs/>
          <w:color w:val="2E75B6"/>
          <w:sz w:val="22"/>
          <w:szCs w:val="22"/>
        </w:rPr>
        <w:t xml:space="preserve">─── VERSIÓN EN ESPAÑOL — REVISIÓN INTERNA DEL EQUIPO ───</w:t>
      </w:r>
    </w:p>
    <w:p>
      <w:pPr>
        <w:spacing w:after="240" w:before="480" w:line="480" w:lineRule="auto"/>
        <w:jc w:val="center"/>
      </w:pPr>
      <w:r>
        <w:rPr>
          <w:rFonts w:ascii="Times New Roman" w:cs="Times New Roman" w:eastAsia="Times New Roman" w:hAnsi="Times New Roman"/>
          <w:b/>
          <w:bCs/>
          <w:sz w:val="22"/>
          <w:szCs w:val="22"/>
        </w:rPr>
        <w:t xml:space="preserve">RESULTADOS</w:t>
      </w:r>
    </w:p>
    <w:p>
      <w:pPr>
        <w:spacing w:after="0" w:before="0" w:line="480" w:lineRule="auto"/>
        <w:ind w:firstLine="720"/>
        <w:jc w:val="both"/>
      </w:pPr>
      <w:r>
        <w:rPr>
          <w:rFonts w:ascii="Times New Roman" w:cs="Times New Roman" w:eastAsia="Times New Roman" w:hAnsi="Times New Roman"/>
          <w:sz w:val="22"/>
          <w:szCs w:val="22"/>
        </w:rPr>
        <w:t xml:space="preserve">El estudio examinó si factores globales psicosociales, de estilo de vida y contextuales podían emplearse para identificar a adolescentes con perfiles predictores asociados a la victimización, la perpetración y el solapamiento víctima–perpetrador, utilizando un sistema de clasificación con tres modelos especializados aplicado a una muestra representativa de base comunitaria (n = 4.024; muestra analítica tras el filtrado de calidad de datos: n = 3.767). De la muestra analítica, 372 adolescentes (9,9%) habían experimentado al menos una forma de victimización durante los doce meses anteriores, 221 (5,9%) habían perpetrado al menos una forma de violencia, y 178 (4,7%) cumplían criterios de solapamiento víctima–perpetrador, es decir, habían experimentado victimización y cometido actos violentos de manera simultánea. Las secciones siguientes presentan los resultados en cinco partes: (1) el paso de organización de los datos aplicado antes del entrenamiento de los modelos; (2) el clasificador de victimización; (3) el clasificador de perpetración; (4) el clasificador de solapamiento víctima–perpetrador, incluyendo una comparación de dos estrategias de detección; y (5) un análisis clúster exploratorio complementario que examina subgrupos latentes de adolescentes con perfiles de riesgo diferenciados.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1. Organización de los Predictores: Un Paso de Preprocesamiento Común</w:t>
      </w:r>
    </w:p>
    <w:p>
      <w:pPr>
        <w:spacing w:after="0" w:before="0" w:line="480" w:lineRule="auto"/>
        <w:ind w:firstLine="720"/>
        <w:jc w:val="both"/>
      </w:pPr>
      <w:r>
        <w:rPr>
          <w:rFonts w:ascii="Times New Roman" w:cs="Times New Roman" w:eastAsia="Times New Roman" w:hAnsi="Times New Roman"/>
          <w:sz w:val="22"/>
          <w:szCs w:val="22"/>
        </w:rPr>
        <w:t xml:space="preserve">Antes de construir los modelos de clasificación, las 27 variables predictoras fueron reorganizadas matemáticamente en un conjunto más reducido de dimensiones compuestas mediante una técnica conocida como Análisis de Componentes Principales (ACP). El objetivo de este paso es reducir la redundancia entre variables —muchas de las cuales están naturalmente correlacionadas entre sí— y crear una entrada más compacta y estadísticamente estable para los clasificadores. En términos prácticos, el ACP identifica los principales patrones de covariación en el conjunto de predictores y los recombina en un número menor de dimensiones independientes, cada una de las cuales captura una fuente distinta de variabilidad. Los componentes retenidos preservaron aproximadamente el 95% de la varianza del conjunto de predictores original: se retuvieron 18 dimensiones para el modelo de victimización y 22 para el de perpetración, ambas bajo el mismo criterio de varianza. Esta transformación se calculó exclusivamente con los datos de entrenamiento y luego se aplicó a la partición de evaluación, garantizando que ninguna información de la muestra de evaluación influyera en el proceso de construcción del modelo.</w:t>
      </w:r>
    </w:p>
    <w:p>
      <w:pPr>
        <w:spacing w:after="0" w:before="0" w:line="480" w:lineRule="auto"/>
        <w:ind w:firstLine="720"/>
        <w:jc w:val="both"/>
      </w:pPr>
      <w:r>
        <w:rPr>
          <w:rFonts w:ascii="Times New Roman" w:cs="Times New Roman" w:eastAsia="Times New Roman" w:hAnsi="Times New Roman"/>
          <w:sz w:val="22"/>
          <w:szCs w:val="22"/>
        </w:rPr>
        <w:t xml:space="preserve">La estructura de estas dimensiones compuestas reveló cuatro tipos principales de variabilidad que se repitieron en múltiples componentes, y que ofrecen un mapa conceptual útil del panorama de riesgo capturado por los predictores.</w:t>
      </w:r>
    </w:p>
    <w:p>
      <w:pPr>
        <w:spacing w:after="0" w:before="0" w:line="480" w:lineRule="auto"/>
        <w:ind w:firstLine="720"/>
        <w:jc w:val="both"/>
      </w:pPr>
      <w:r>
        <w:rPr>
          <w:rFonts w:ascii="Times New Roman" w:cs="Times New Roman" w:eastAsia="Times New Roman" w:hAnsi="Times New Roman"/>
          <w:sz w:val="22"/>
          <w:szCs w:val="22"/>
        </w:rPr>
        <w:t xml:space="preserve">El tipo más prominente correspondía a la composición del hogar y la estructura familiar. El patrón de convivencia del adolescente —ya sea con ambos progenitores, con uno solo, con otros familiares, con un padrastro o madrastra, o en un entorno de acogida alternativo— apareció consistentemente entre las fuentes de variabilidad más influyentes en múltiples componentes. Esto sugiere que la estructura familiar es uno de los ejes centrales a partir de los cuales se organiza la vulnerabilidad adolescente en esta muestra, un hallazgo coherente con la literatura sobre victimización y delincuencia juvenil (Turner et al., 2013; Kierkus &amp; Hewitt, 2009).</w:t>
      </w:r>
    </w:p>
    <w:p>
      <w:pPr>
        <w:spacing w:after="0" w:before="0" w:line="480" w:lineRule="auto"/>
        <w:ind w:firstLine="720"/>
        <w:jc w:val="both"/>
      </w:pPr>
      <w:r>
        <w:rPr>
          <w:rFonts w:ascii="Times New Roman" w:cs="Times New Roman" w:eastAsia="Times New Roman" w:hAnsi="Times New Roman"/>
          <w:sz w:val="22"/>
          <w:szCs w:val="22"/>
        </w:rPr>
        <w:t xml:space="preserve">El segundo tipo comprendía factores de riesgo conductuales y de estilo de vida. El consumo de alcohol, el consumo de pornografía y la conducta de fuga del hogar o de un centro de acogida contribuyeron sustancialmente a varias dimensiones. La conducta de fuga fue especialmente relevante, ya que apareció en múltiples componentes independientes, lo que sugiere que funciona como un indicador amplio de vulnerabilidad más que como un riesgo puntual y acotado. Este hallazgo es coherente con la evidencia de que las fugas son simultáneamente una respuesta a situaciones de victimización en curso y una puerta de entrada a nuevos entornos de riesgo (Kaufman &amp; Widom, 1999).</w:t>
      </w:r>
    </w:p>
    <w:p>
      <w:pPr>
        <w:spacing w:after="0" w:before="0" w:line="480" w:lineRule="auto"/>
        <w:ind w:firstLine="720"/>
        <w:jc w:val="both"/>
      </w:pPr>
      <w:r>
        <w:rPr>
          <w:rFonts w:ascii="Times New Roman" w:cs="Times New Roman" w:eastAsia="Times New Roman" w:hAnsi="Times New Roman"/>
          <w:sz w:val="22"/>
          <w:szCs w:val="22"/>
        </w:rPr>
        <w:t xml:space="preserve">El tercer tipo reflejaba recursos y vulnerabilidades psicosociales. El apoyo social percibido, la autoeficacia, la impulsividad y las emociones morales contribuyeron a los componentes retenidos. Un aspecto destacado de este dominio es que tanto los niveles medios como la variabilidad intraindividual de estas características quedaron representados: no solo cuánto apoyo social o autoeficacia declara un adolescente, sino también en qué medida estos recursos se mantienen estables o fluctúan en los distintos ámbitos de su vida. Esto sugiere que la inestabilidad en el funcionamiento psicosocial puede aportar información predictiva independiente, más allá de los niveles medios.</w:t>
      </w:r>
    </w:p>
    <w:p>
      <w:pPr>
        <w:spacing w:after="0" w:before="0" w:line="480" w:lineRule="auto"/>
        <w:ind w:firstLine="720"/>
        <w:jc w:val="both"/>
      </w:pPr>
      <w:r>
        <w:rPr>
          <w:rFonts w:ascii="Times New Roman" w:cs="Times New Roman" w:eastAsia="Times New Roman" w:hAnsi="Times New Roman"/>
          <w:sz w:val="22"/>
          <w:szCs w:val="22"/>
        </w:rPr>
        <w:t xml:space="preserve">El cuarto tipo estaba formado por las características demográficas, incluyendo el género, la orientación sexual, el país de origen y el origen étnico, que explicaron una proporción notable de la variabilidad entre personas. Estas variables capturan probablemente tanto la exposición diferencial a entornos de riesgo como la vulnerabilidad asociada a la pertenencia a grupos minoritarios y al estrés social vinculado a dicha pertenencia.</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Tabla 1. Rendimiento Clasificatorio del Sistema de Tres Clasificadores</w:t>
      </w:r>
    </w:p>
    <w:p>
      <w:pPr>
        <w:spacing w:after="240" w:before="120" w:line="240" w:lineRule="auto"/>
      </w:pPr>
      <w:r>
        <w:rPr>
          <w:rFonts w:ascii="Times New Roman" w:cs="Times New Roman" w:eastAsia="Times New Roman" w:hAnsi="Times New Roman"/>
          <w:i/>
          <w:iCs/>
          <w:sz w:val="20"/>
          <w:szCs w:val="20"/>
        </w:rPr>
        <w:t xml:space="preserve">Nota. El rendimiento de cada modelo se evaluó en una partición de evaluación reservada, no utilizada durante el entrenamiento. †Los resultados de Victimización y Perpetración se basan en particiones de evaluación específicas para cada outcome (25% de la muestra, estratificadas por el outcome correspondiente), reflejando la capacidad de detección de cada clasificador para su propio objetivo. ‡Los resultados de Solapamiento se basan en una partición de evaluación compartida, estratificada por el perfil víctima–perpetrador conjunto (cuatro estratos: ningún rol, solo victimización, solo perpetración, ambos roles simultáneamente), garantizando que los clasificadores realizaran predicciones sobre los mismos adolescentes. Recall (sensibilidad) = proporción de casos positivos reales correctamente identificados. Especificidad = proporción de casos negativos reales correctamente clasificados. Precisión (Valor Predictivo Positivo, VPP) = proporción de clasificaciones positivas que son casos genuinos. Valor Predictivo Negativo (VPN) = proporción de clasificaciones negativas que son no-casos genuinos. Exactitud balanceada = media de recall y especificidad. VP = verdadero positivo; FP = falso positivo; VN = verdadero negativo; FN = falso negativo.</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820"/>
        <w:gridCol w:w="980"/>
        <w:gridCol w:w="570"/>
        <w:gridCol w:w="650"/>
        <w:gridCol w:w="600"/>
        <w:gridCol w:w="600"/>
        <w:gridCol w:w="640"/>
        <w:gridCol w:w="550"/>
        <w:gridCol w:w="510"/>
        <w:gridCol w:w="510"/>
        <w:gridCol w:w="510"/>
        <w:gridCol w:w="510"/>
        <w:gridCol w:w="510"/>
      </w:tblGrid>
      <w:tr>
        <w:trPr>
          <w:tblHeader/>
        </w:trPr>
        <w:tc>
          <w:tcPr>
            <w:tcW w:type="dxa" w:w="82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Outcome</w:t>
            </w:r>
          </w:p>
        </w:tc>
        <w:tc>
          <w:tcPr>
            <w:tcW w:type="dxa" w:w="9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Modelo</w:t>
            </w:r>
          </w:p>
        </w:tc>
        <w:tc>
          <w:tcPr>
            <w:tcW w:type="dxa" w:w="57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Exactitud</w:t>
            </w:r>
          </w:p>
        </w:tc>
        <w:tc>
          <w:tcPr>
            <w:tcW w:type="dxa" w:w="6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Exactitud
balanceada</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
(Sensibilidad)</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Especificidad</w:t>
            </w:r>
          </w:p>
        </w:tc>
        <w:tc>
          <w:tcPr>
            <w:tcW w:type="dxa" w:w="64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Precisión
(VPP)</w:t>
            </w:r>
          </w:p>
        </w:tc>
        <w:tc>
          <w:tcPr>
            <w:tcW w:type="dxa" w:w="5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VPN</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VP
(Acierto)</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FP
(Falsa
alarma)</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VN
(Rechazo
correcto)</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FN
(Omisión)</w:t>
            </w:r>
          </w:p>
        </w:tc>
      </w:tr>
      <w:tr>
        <w:tc>
          <w:tcPr>
            <w:tcW w:type="dxa" w:w="8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Victimización†</w:t>
            </w:r>
          </w:p>
        </w:tc>
        <w:tc>
          <w:tcPr>
            <w:tcW w:type="dxa" w:w="9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Árbol de decisión</w:t>
            </w:r>
          </w:p>
        </w:tc>
        <w:tc>
          <w:tcPr>
            <w:tcW w:type="dxa" w:w="57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57,2%</w:t>
            </w:r>
          </w:p>
        </w:tc>
        <w:tc>
          <w:tcPr>
            <w:tcW w:type="dxa" w:w="6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57,6%</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90,5%</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24,7%</w:t>
            </w:r>
          </w:p>
        </w:tc>
        <w:tc>
          <w:tcPr>
            <w:tcW w:type="dxa" w:w="6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54,0%</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72,8%</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67,6%</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421</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359</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118</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44</w:t>
            </w:r>
          </w:p>
        </w:tc>
      </w:tr>
      <w:tr>
        <w:tc>
          <w:tcPr>
            <w:tcW w:type="dxa" w:w="8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Perpetración†</w:t>
            </w:r>
          </w:p>
        </w:tc>
        <w:tc>
          <w:tcPr>
            <w:tcW w:type="dxa" w:w="9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Red neuronal (DNN)</w:t>
            </w:r>
          </w:p>
        </w:tc>
        <w:tc>
          <w:tcPr>
            <w:tcW w:type="dxa" w:w="57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45,5%</w:t>
            </w:r>
          </w:p>
        </w:tc>
        <w:tc>
          <w:tcPr>
            <w:tcW w:type="dxa" w:w="6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61,0%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31,9%</w:t>
            </w:r>
          </w:p>
        </w:tc>
        <w:tc>
          <w:tcPr>
            <w:tcW w:type="dxa" w:w="6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28,8%</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91,3%</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43,7%</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199</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491</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230</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22</w:t>
            </w:r>
          </w:p>
        </w:tc>
      </w:tr>
      <w:tr>
        <w:tc>
          <w:tcPr>
            <w:tcW w:type="dxa" w:w="8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Solapamiento‡</w:t>
            </w:r>
          </w:p>
        </w:tc>
        <w:tc>
          <w:tcPr>
            <w:tcW w:type="dxa" w:w="9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Red neuronal (DNN)</w:t>
            </w:r>
          </w:p>
        </w:tc>
        <w:tc>
          <w:tcPr>
            <w:tcW w:type="dxa" w:w="57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60,5%</w:t>
            </w:r>
          </w:p>
        </w:tc>
        <w:tc>
          <w:tcPr>
            <w:tcW w:type="dxa" w:w="6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80,0%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56,0%</w:t>
            </w:r>
          </w:p>
        </w:tc>
        <w:tc>
          <w:tcPr>
            <w:tcW w:type="dxa" w:w="6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30,0%</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92,0%</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44,0%</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142</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336</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428</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36</w:t>
            </w:r>
          </w:p>
        </w:tc>
      </w:tr>
    </w:tbl>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2. Clasificador de Victimización</w:t>
      </w:r>
    </w:p>
    <w:p>
      <w:pPr>
        <w:spacing w:after="0" w:before="240" w:line="480" w:lineRule="auto"/>
        <w:ind w:firstLine="720"/>
        <w:jc w:val="left"/>
      </w:pPr>
      <w:r>
        <w:rPr>
          <w:rFonts w:ascii="Times New Roman" w:cs="Times New Roman" w:eastAsia="Times New Roman" w:hAnsi="Times New Roman"/>
          <w:b/>
          <w:bCs/>
          <w:i/>
          <w:iCs/>
          <w:sz w:val="22"/>
          <w:szCs w:val="22"/>
        </w:rPr>
        <w:t xml:space="preserve">Selección del Enfoque Más Adecuado</w:t>
      </w:r>
    </w:p>
    <w:p>
      <w:pPr>
        <w:spacing w:after="0" w:before="0" w:line="480" w:lineRule="auto"/>
        <w:ind w:firstLine="720"/>
        <w:jc w:val="both"/>
      </w:pPr>
      <w:r>
        <w:rPr>
          <w:rFonts w:ascii="Times New Roman" w:cs="Times New Roman" w:eastAsia="Times New Roman" w:hAnsi="Times New Roman"/>
          <w:sz w:val="22"/>
          <w:szCs w:val="22"/>
        </w:rPr>
        <w:t xml:space="preserve">Para identificar el enfoque más adecuado para detectar adolescentes victimizados, se entrenaron y evaluaron cinco algoritmos de clasificación distintos sobre el mismo conjunto de predictores transformado mediante ACP: un árbol de decisión podado, un modelo de regresión logística con corrección del desequilibrio de clases, un bosque aleatorio, gradient boosting y una variante basada en histogramas de gradient boosting. Dado que el objetivo principal era desarrollar una herramienta de cribado para entornos orientados a la prevención —donde omitir a un adolescente genuinamente victimizado tiene consecuencias más graves que generar una alerta innecesaria— el criterio principal de selección fue el recall (sensibilidad). Todos los modelos fueron evaluados en múltiples umbrales de decisión, y la Tabla 2 presenta el rendimiento en el punto operativo en el que cada modelo alcanzaba al menos el 90% de recall.</w:t>
      </w:r>
    </w:p>
    <w:p>
      <w:pPr>
        <w:spacing w:after="0" w:before="0" w:line="480" w:lineRule="auto"/>
        <w:ind w:firstLine="720"/>
        <w:jc w:val="both"/>
      </w:pPr>
      <w:r>
        <w:rPr>
          <w:rFonts w:ascii="Times New Roman" w:cs="Times New Roman" w:eastAsia="Times New Roman" w:hAnsi="Times New Roman"/>
          <w:sz w:val="22"/>
          <w:szCs w:val="22"/>
        </w:rPr>
        <w:t xml:space="preserve">Aunque los modelos de tipo ensemble más complejos mostraron una capacidad discriminativa global ligeramente superior, ninguno ofreció una mejora sustancial en sensibilidad, control de falsos positivos o equilibrio general de rendimiento en el punto operativo objetivo. El árbol de decisión podado fue por tanto seleccionado como clasificador final de victimización. Su principal ventaja práctica radica en una mayor transparencia: a diferencia de los algoritmos más complejos, un árbol de decisión podado clasifica a los adolescentes mediante un conjunto reducido de reglas de decisión explícitas que pueden inspeccionarse y comprenderse con mayor facilidad, sin necesidad de conocimientos especializados en aprendizaje automático.</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Tabla 2. Comparación de Modelos — Clasificador de Victimización (Puntos Operativos con Recall ≥ 90%)</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700"/>
        <w:gridCol w:w="750"/>
        <w:gridCol w:w="600"/>
        <w:gridCol w:w="750"/>
        <w:gridCol w:w="700"/>
      </w:tblGrid>
      <w:tr>
        <w:trPr>
          <w:tblHeader/>
        </w:trPr>
        <w:tc>
          <w:tcPr>
            <w:tcW w:type="dxa" w:w="18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Modelo</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Umbral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Precisión</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Especificidad</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Exact. bal.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AUC-PR</w:t>
            </w:r>
          </w:p>
        </w:tc>
      </w:tr>
      <w:tr>
        <w:tc>
          <w:tcPr>
            <w:tcW w:type="dxa" w:w="18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Árbol de decisión (final)</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90,5%</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54,0%</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24,7%</w:t>
            </w:r>
          </w:p>
        </w:tc>
        <w:tc>
          <w:tcPr>
            <w:tcW w:type="dxa" w:w="6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67,6%</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57,6%</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0,537</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Regresión logística</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90,1%</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53,9%</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25,1%</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57,6%</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Bosque aleatorio</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90,9%</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53,8%</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24,1%</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67,6%</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57,5%</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Gradient Boosting</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93,3%</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20,9%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68,0%</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57,1%</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0,720</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HistGradientBoosting</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0,25</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53,9%</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22,5%</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68,2%</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57,8%</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0,726</w:t>
            </w:r>
          </w:p>
        </w:tc>
      </w:tr>
    </w:tbl>
    <w:p>
      <w:pPr>
        <w:spacing w:after="240" w:before="120" w:line="240" w:lineRule="auto"/>
      </w:pPr>
      <w:r>
        <w:rPr>
          <w:rFonts w:ascii="Times New Roman" w:cs="Times New Roman" w:eastAsia="Times New Roman" w:hAnsi="Times New Roman"/>
          <w:i/>
          <w:iCs/>
          <w:sz w:val="20"/>
          <w:szCs w:val="20"/>
        </w:rPr>
        <w:t xml:space="preserve">Nota. Cada umbral fue seleccionado de forma independiente para cada modelo con el objetivo de alcanzar un recall mínimo del 90%. AUC-PR = área bajo la curva precisión-recall. El modelo seleccionado (árbol de decisión) aparece destacado.</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¿Con Qué Eficacia Detectó el Clasificador a los Adolescentes Victimizados?</w:t>
      </w:r>
    </w:p>
    <w:p>
      <w:pPr>
        <w:spacing w:after="0" w:before="0" w:line="480" w:lineRule="auto"/>
        <w:ind w:firstLine="720"/>
        <w:jc w:val="both"/>
      </w:pPr>
      <w:r>
        <w:rPr>
          <w:rFonts w:ascii="Times New Roman" w:cs="Times New Roman" w:eastAsia="Times New Roman" w:hAnsi="Times New Roman"/>
          <w:sz w:val="22"/>
          <w:szCs w:val="22"/>
        </w:rPr>
        <w:t xml:space="preserve">En la partición de evaluación, el clasificador de victimización identificó correctamente a 421 de los 465 adolescentes victimizados —un recall del 90,5%— lo que significa que aproximadamente 9 de cada 10 adolescentes victimizados recibieron una clasificación positiva. Los 44 adolescentes no detectados (falsos negativos) representan casos que el modelo no identificó, a pesar de cumplir los criterios de victimización.</w:t>
      </w:r>
    </w:p>
    <w:p>
      <w:pPr>
        <w:spacing w:after="0" w:before="0" w:line="480" w:lineRule="auto"/>
        <w:ind w:firstLine="720"/>
        <w:jc w:val="both"/>
      </w:pPr>
      <w:r>
        <w:rPr>
          <w:rFonts w:ascii="Times New Roman" w:cs="Times New Roman" w:eastAsia="Times New Roman" w:hAnsi="Times New Roman"/>
          <w:sz w:val="22"/>
          <w:szCs w:val="22"/>
        </w:rPr>
        <w:t xml:space="preserve">De los 477 adolescentes no victimizados presentes en la partición de evaluación, 118 fueron correctamente clasificados como casos no victimizados (especificidad = 24,7%), mientras que 359 recibieron una clasificación positiva sin haber experimentado victimización. Esto significa que, de cada 100 adolescentes identificados como en riesgo por el sistema, aproximadamente 54 son genuinamente víctimas (precisión = 54,0%), mientras que el resto requeriría una evaluación adicional. El valor predictivo negativo (VPN = 72,8%) indica que cuando el modelo asigna una clasificación negativa este juicio es correcto en aproximadamente 73 de cada 100 casos. La puntuación F1 fue de 67,6% y la exactitud balanceada alcanzó el 57,6%.</w:t>
      </w:r>
    </w:p>
    <w:p>
      <w:pPr>
        <w:spacing w:after="0" w:before="240" w:line="480" w:lineRule="auto"/>
        <w:ind w:firstLine="720"/>
        <w:jc w:val="left"/>
      </w:pPr>
      <w:r>
        <w:rPr>
          <w:rFonts w:ascii="Times New Roman" w:cs="Times New Roman" w:eastAsia="Times New Roman" w:hAnsi="Times New Roman"/>
          <w:b/>
          <w:bCs/>
          <w:i/>
          <w:iCs/>
          <w:sz w:val="22"/>
          <w:szCs w:val="22"/>
        </w:rPr>
        <w:t xml:space="preserve">¿Qué Factores Impulsan el Clasificador de Victimización?</w:t>
      </w:r>
    </w:p>
    <w:p>
      <w:pPr>
        <w:spacing w:after="0" w:before="0" w:line="480" w:lineRule="auto"/>
        <w:ind w:firstLine="720"/>
        <w:jc w:val="both"/>
      </w:pPr>
      <w:r>
        <w:rPr>
          <w:rFonts w:ascii="Times New Roman" w:cs="Times New Roman" w:eastAsia="Times New Roman" w:hAnsi="Times New Roman"/>
          <w:sz w:val="22"/>
          <w:szCs w:val="22"/>
        </w:rPr>
        <w:t xml:space="preserve">El árbol de decisión podado toma su decisión de clasificación basándose en una única regla derivada de una dimensión del ACP que refleja principalmente la composición del hogar —concretamente, el patrón de convivencia del adolescente—. Esta parsimonia extrema sugiere que, dentro del conjunto actual de predictores y la estrategia de modelización empleada, esta dimensión compuesta proporcionó la separación estadística más eficiente entre adolescentes victimizados y no victimizados. Este hallazgo no debe interpretarse de forma causal ni como una indicación de que la estructura familiar por sí sola explica la victimización; más bien, indica que esta dimensión proporcionó la mayor separación disponible para el modelo entre los componentes del ACP retenidos, dado el conjunto de variables incluidas y las restricciones del enfoque de modelización.</w:t>
      </w:r>
    </w:p>
    <w:p>
      <w:pPr>
        <w:spacing w:after="0" w:before="0" w:line="480" w:lineRule="auto"/>
        <w:ind w:firstLine="720"/>
        <w:jc w:val="both"/>
      </w:pPr>
      <w:r>
        <w:rPr>
          <w:rFonts w:ascii="Times New Roman" w:cs="Times New Roman" w:eastAsia="Times New Roman" w:hAnsi="Times New Roman"/>
          <w:sz w:val="22"/>
          <w:szCs w:val="22"/>
        </w:rPr>
        <w:t xml:space="preserve">Más allá de esta división principal, los dominios predictores más estrechamente asociados al riesgo de victimización —identificados mediante retroproyección de la estructura de componentes a las variables originales— son los siguientes. La composición del hogar y los arreglos de convivencia siguen siendo el dominio predictor más relevante. La conducta de fuga del hogar o de un centro de acogida aparece como el segundo contribuidor principal: este comportamiento refleja simultáneamente una respuesta a situaciones de abuso en curso y una puerta de entrada a entornos de mayor riesgo (Kaufman &amp; Widom, 1999). El origen étnico minoritario y la orientación sexual no heterosexual emergen como marcadores de mayor vulnerabilidad social y de mayor exposición a formas específicas de violencia dirigida. Finalmente, el apoyo social percibido bajo o inestable señala un acceso reducido a recursos protectores que de otro modo podrían amortiguar el riesgo de victimización.</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3. Clasificador de Perpetración</w:t>
      </w:r>
    </w:p>
    <w:p>
      <w:pPr>
        <w:spacing w:after="0" w:before="240" w:line="480" w:lineRule="auto"/>
        <w:ind w:firstLine="720"/>
        <w:jc w:val="left"/>
      </w:pPr>
      <w:r>
        <w:rPr>
          <w:rFonts w:ascii="Times New Roman" w:cs="Times New Roman" w:eastAsia="Times New Roman" w:hAnsi="Times New Roman"/>
          <w:b/>
          <w:bCs/>
          <w:i/>
          <w:iCs/>
          <w:sz w:val="22"/>
          <w:szCs w:val="22"/>
        </w:rPr>
        <w:t xml:space="preserve">Selección del Enfoque Más Adecuado</w:t>
      </w:r>
    </w:p>
    <w:p>
      <w:pPr>
        <w:spacing w:after="0" w:before="0" w:line="480" w:lineRule="auto"/>
        <w:ind w:firstLine="720"/>
        <w:jc w:val="both"/>
      </w:pPr>
      <w:r>
        <w:rPr>
          <w:rFonts w:ascii="Times New Roman" w:cs="Times New Roman" w:eastAsia="Times New Roman" w:hAnsi="Times New Roman"/>
          <w:sz w:val="22"/>
          <w:szCs w:val="22"/>
        </w:rPr>
        <w:t xml:space="preserve">Para el outcome de perpetración se evaluaron cinco familias de modelos usando el mismo pipeline. Dado que la proporción de adolescentes que declararon haber perpetrado violencia era menor (5,9%, frente al 9,9% de victimización), detectar correctamente a los verdaderos perpetradores resultó una tarea más exigente para todos los algoritmos, con un desequilibrio de clases más pronunciado. Al igual que para el clasificador de victimización, el recall fue el criterio principal de selección.</w:t>
      </w:r>
    </w:p>
    <w:p>
      <w:pPr>
        <w:spacing w:after="0" w:before="0" w:line="480" w:lineRule="auto"/>
        <w:ind w:firstLine="720"/>
        <w:jc w:val="both"/>
      </w:pPr>
      <w:r>
        <w:rPr>
          <w:rFonts w:ascii="Times New Roman" w:cs="Times New Roman" w:eastAsia="Times New Roman" w:hAnsi="Times New Roman"/>
          <w:sz w:val="22"/>
          <w:szCs w:val="22"/>
        </w:rPr>
        <w:t xml:space="preserve">Con el umbral de decisión estándar, las variantes de gradient boosting mostraron una exactitud global relativamente alta pero no lograron identificar suficientes perpetradores reales para alcanzar el objetivo de sensibilidad, por lo que fueron excluidas de la comparación posterior. Para los modelos restantes, la Tabla 3 presenta el rendimiento en el umbral que alcanzaba al menos el 90% de recall. La red neuronal compacta fue seleccionada como clasificador final de perpetración. Aunque la regresión logística y el bosque aleatorio alcanzaron un recall comparable reduciendo sustancialmente el umbral de decisión, la red neuronal ofreció un mejor equilibrio general entre sensibilidad y control de falsos positivos en su punto operativo estándar, y permitió posteriormente analizar las contribuciones de los predictores mediante un procedimiento de importancia por permutación.</w:t>
      </w:r>
    </w:p>
    <w:p>
      <w:pPr>
        <w:spacing w:after="0" w:before="0" w:line="480" w:lineRule="auto"/>
        <w:ind w:firstLine="720"/>
        <w:jc w:val="both"/>
      </w:pPr>
      <w:r>
        <w:rPr>
          <w:rFonts w:ascii="Times New Roman" w:cs="Times New Roman" w:eastAsia="Times New Roman" w:hAnsi="Times New Roman"/>
          <w:sz w:val="22"/>
          <w:szCs w:val="22"/>
        </w:rPr>
        <w:t xml:space="preserve">A diferencia de un árbol de decisión, una red neuronal no genera una regla de decisión legible directamente. Sus clasificaciones emergen de un gran número de pequeños ajustes aprendidos distribuidos a lo largo de una arquitectura computacional interna. Esto significa que el modelo resulta menos interpretable en términos directos, pero es capaz de detectar patrones más complejos que implican la interacción simultánea de múltiples factores de riesgo —patrones potencialmente relevantes dada la naturaleza más heterogénea de la perpetración.</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Tabla 3. Comparación de Modelos — Clasificador de Perpetración (Puntos Operativos con Recall ≥ 90%)</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700"/>
        <w:gridCol w:w="750"/>
        <w:gridCol w:w="600"/>
        <w:gridCol w:w="750"/>
        <w:gridCol w:w="700"/>
      </w:tblGrid>
      <w:tr>
        <w:trPr>
          <w:tblHeader/>
        </w:trPr>
        <w:tc>
          <w:tcPr>
            <w:tcW w:type="dxa" w:w="18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Modelo</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Umbral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Precisión</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Especificidad</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Exact. bal.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AUC-PR</w:t>
            </w:r>
          </w:p>
        </w:tc>
      </w:tr>
      <w:tr>
        <w:tc>
          <w:tcPr>
            <w:tcW w:type="dxa" w:w="18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Red neuronal (final)</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0,50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28,8%</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31,9%</w:t>
            </w:r>
          </w:p>
        </w:tc>
        <w:tc>
          <w:tcPr>
            <w:tcW w:type="dxa" w:w="6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43,7%</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61,0%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0,390</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Regresión logística</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91,9%</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27,5%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43,8%</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58,9%</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0,412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Bosque aleatorio</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0,15</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93,7%</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26,5%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20,4%</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41,3%</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0,402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Árbol de decisión</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0,20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92,8%</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24,8%</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13,9%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39,2%</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53,3%</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0,355</w:t>
            </w:r>
          </w:p>
        </w:tc>
      </w:tr>
    </w:tbl>
    <w:p>
      <w:pPr>
        <w:spacing w:after="240" w:before="120" w:line="240" w:lineRule="auto"/>
      </w:pPr>
      <w:r>
        <w:rPr>
          <w:rFonts w:ascii="Times New Roman" w:cs="Times New Roman" w:eastAsia="Times New Roman" w:hAnsi="Times New Roman"/>
          <w:i/>
          <w:iCs/>
          <w:sz w:val="20"/>
          <w:szCs w:val="20"/>
        </w:rPr>
        <w:t xml:space="preserve">Nota. Gradient Boosting e HistGradientBoosting no alcanzaron recall ≥ 90% en ningún umbral evaluado y se excluyen. AUC-PR = área bajo la curva precisión-recall. El modelo seleccionado (red neuronal) aparece destacado.</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¿Con Qué Eficacia Detectó el Clasificador a los Adolescentes Perpetradores?</w:t>
      </w:r>
    </w:p>
    <w:p>
      <w:pPr>
        <w:spacing w:after="0" w:before="0" w:line="480" w:lineRule="auto"/>
        <w:ind w:firstLine="720"/>
        <w:jc w:val="both"/>
      </w:pPr>
      <w:r>
        <w:rPr>
          <w:rFonts w:ascii="Times New Roman" w:cs="Times New Roman" w:eastAsia="Times New Roman" w:hAnsi="Times New Roman"/>
          <w:sz w:val="22"/>
          <w:szCs w:val="22"/>
        </w:rPr>
        <w:t xml:space="preserve">El clasificador de perpetración identificó correctamente a 199 de los 221 adolescentes que declararon haber perpetrado violencia —un recall del 90,0%— lo que significa que aproximadamente 9 de cada 10 perpetradores fueron identificados por el sistema. Los 22 adolescentes no detectados (falsos negativos) representan perpetradores que recibieron una clasificación negativa.</w:t>
      </w:r>
    </w:p>
    <w:p>
      <w:pPr>
        <w:spacing w:after="0" w:before="0" w:line="480" w:lineRule="auto"/>
        <w:ind w:firstLine="720"/>
        <w:jc w:val="both"/>
      </w:pPr>
      <w:r>
        <w:rPr>
          <w:rFonts w:ascii="Times New Roman" w:cs="Times New Roman" w:eastAsia="Times New Roman" w:hAnsi="Times New Roman"/>
          <w:sz w:val="22"/>
          <w:szCs w:val="22"/>
        </w:rPr>
        <w:t xml:space="preserve">De los 721 no perpetradores presentes en la partición de evaluación, 230 fueron correctamente clasificados como no perpetradores (especificidad = 31,9%), mientras que 491 recibieron una clasificación positiva incorrecta. La precisión fue del 28,8%, lo que significa que aproximadamente 3 de cada 10 adolescentes identificados como en riesgo son perpetradores reales; el resto requeriría una evaluación adicional. La puntuación F1 fue de 43,7% y la exactitud balanceada fue del 61,0%.</w:t>
      </w:r>
    </w:p>
    <w:p>
      <w:pPr>
        <w:spacing w:after="0" w:before="0" w:line="480" w:lineRule="auto"/>
        <w:ind w:firstLine="720"/>
        <w:jc w:val="both"/>
      </w:pPr>
      <w:r>
        <w:rPr>
          <w:rFonts w:ascii="Times New Roman" w:cs="Times New Roman" w:eastAsia="Times New Roman" w:hAnsi="Times New Roman"/>
          <w:sz w:val="22"/>
          <w:szCs w:val="22"/>
        </w:rPr>
        <w:t xml:space="preserve">El valor predictivo negativo (VPN = 91,3%) resulta especialmente relevante desde un punto de vista práctico: cuando el clasificador de perpetración asigna una clasificación negativa, este juicio es correcto en más de 9 de cada 10 casos. En un contexto de cribado, esto significa que el sistema puede utilizarse no solo para identificar a adolescentes que pueden requerir evaluación adicional, sino también para ayudar a los profesionales a desestimar a aquellos que parecen menos probables de estar implicados en actos de perpetración.</w:t>
      </w:r>
    </w:p>
    <w:p>
      <w:pPr>
        <w:spacing w:after="0" w:before="240" w:line="480" w:lineRule="auto"/>
        <w:ind w:firstLine="720"/>
        <w:jc w:val="left"/>
      </w:pPr>
      <w:r>
        <w:rPr>
          <w:rFonts w:ascii="Times New Roman" w:cs="Times New Roman" w:eastAsia="Times New Roman" w:hAnsi="Times New Roman"/>
          <w:b/>
          <w:bCs/>
          <w:i/>
          <w:iCs/>
          <w:sz w:val="22"/>
          <w:szCs w:val="22"/>
        </w:rPr>
        <w:t xml:space="preserve">¿Qué Factores Impulsan el Clasificador de Perpetración?</w:t>
      </w:r>
    </w:p>
    <w:p>
      <w:pPr>
        <w:spacing w:after="0" w:before="0" w:line="480" w:lineRule="auto"/>
        <w:ind w:firstLine="720"/>
        <w:jc w:val="both"/>
      </w:pPr>
      <w:r>
        <w:rPr>
          <w:rFonts w:ascii="Times New Roman" w:cs="Times New Roman" w:eastAsia="Times New Roman" w:hAnsi="Times New Roman"/>
          <w:sz w:val="22"/>
          <w:szCs w:val="22"/>
        </w:rPr>
        <w:t xml:space="preserve">A diferencia del clasificador de victimización, la red neuronal de perpetración utiliza información distribuida en múltiples dimensiones compuestas de forma simultánea, sin que ninguna domine la clasificación. Un análisis de importancia por permutación —que midió cuánto disminuía el recall cuando la información de cada dimensión era perturbada de forma independiente— identificó los siguientes dominios predictores como más relevantes para el riesgo de perpetración: composición del hogar y estructura familiar; conducta de fuga del hogar o de un centro de acogida; edad (con el riesgo de perpetración que parece alcanzar su punto máximo en la adolescencia media); origen étnico minoritario; consumo de pornografía; variabilidad del apoyo social percibido; frecuencia del consumo de alcohol; e inestabilidad de la autoeficacia.</w:t>
      </w:r>
    </w:p>
    <w:p>
      <w:pPr>
        <w:spacing w:after="0" w:before="0" w:line="480" w:lineRule="auto"/>
        <w:ind w:firstLine="720"/>
        <w:jc w:val="both"/>
      </w:pPr>
      <w:r>
        <w:rPr>
          <w:rFonts w:ascii="Times New Roman" w:cs="Times New Roman" w:eastAsia="Times New Roman" w:hAnsi="Times New Roman"/>
          <w:sz w:val="22"/>
          <w:szCs w:val="22"/>
        </w:rPr>
        <w:t xml:space="preserve">Varios de estos predictores aparecieron también en el clasificador de victimización —especialmente la composición del hogar, la conducta de fuga y el apoyo social percibido— lo que sugiere que un núcleo de vulnerabilidad compartido subyace a ambos roles, en coherencia con la literatura sobre el solapamiento víctima–agresor (Berg &amp; Mulford, 2020; Jennings et al., 2012). Al mismo tiempo, el consumo de pornografía, la inestabilidad de la autoeficacia y el consumo de alcohol aparecen de forma más específica en el perfil predictor de perpetración. Este patrón sugiere que los factores conductuales y de autorregulación pueden desempeñar un papel relativamente más distintivo en las trayectorias de perpetración.</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4. Detección de Adolescentes con Doble Rol: El Solapamiento Víctima–Perpetrador</w:t>
      </w:r>
    </w:p>
    <w:p>
      <w:pPr>
        <w:spacing w:after="0" w:before="240" w:line="480" w:lineRule="auto"/>
        <w:ind w:firstLine="720"/>
        <w:jc w:val="left"/>
      </w:pPr>
      <w:r>
        <w:rPr>
          <w:rFonts w:ascii="Times New Roman" w:cs="Times New Roman" w:eastAsia="Times New Roman" w:hAnsi="Times New Roman"/>
          <w:b/>
          <w:bCs/>
          <w:i/>
          <w:iCs/>
          <w:sz w:val="22"/>
          <w:szCs w:val="22"/>
        </w:rPr>
        <w:t xml:space="preserve">Selección del Enfoque Más Adecuado</w:t>
      </w:r>
    </w:p>
    <w:p>
      <w:pPr>
        <w:spacing w:after="0" w:before="0" w:line="480" w:lineRule="auto"/>
        <w:ind w:firstLine="720"/>
        <w:jc w:val="both"/>
      </w:pPr>
      <w:r>
        <w:rPr>
          <w:rFonts w:ascii="Times New Roman" w:cs="Times New Roman" w:eastAsia="Times New Roman" w:hAnsi="Times New Roman"/>
          <w:sz w:val="22"/>
          <w:szCs w:val="22"/>
        </w:rPr>
        <w:t xml:space="preserve">Para el solapamiento víctima–perpetrador se desarrollaron y compararon sistemáticamente dos estrategias de detección. La primera fue una regla conjuntiva (Smart AND): un adolescente se identificaba como caso de riesgo dual únicamente cuando tanto el clasificador de victimización como el de perpetración producían de forma independiente una predicción positiva para ese individuo. Este enfoque no requiere entrenar ningún modelo adicional y preserva la definición conceptual del solapamiento como la intersección de los dos grupos de outcome individuales. La segunda fue un clasificador independiente —una red neuronal dedicada, entrenada directamente sobre el outcome de doble rol, tratando el solapamiento víctima–perpetrador como su propio objetivo de predicción—. Este enfoque no asume que el perfil predictor del grupo de solapamiento sea simplemente la intersección de los perfiles de victimización y perpetración; en cambio, permite al modelo aprender el patrón específico de características que distingue a los adolescentes de doble rol de los casos no solapados. Ambos enfoques se evaluaron en una partición de evaluación compartida estratificada por el perfil víctima–perpetrador conjunto, garantizando que las cuatro combinaciones de rol posibles estuvieran representadas proporcionalmente.</w:t>
      </w:r>
    </w:p>
    <w:p>
      <w:pPr>
        <w:spacing w:after="0" w:before="0" w:line="480" w:lineRule="auto"/>
        <w:ind w:firstLine="720"/>
        <w:jc w:val="both"/>
      </w:pPr>
      <w:r>
        <w:rPr>
          <w:rFonts w:ascii="Times New Roman" w:cs="Times New Roman" w:eastAsia="Times New Roman" w:hAnsi="Times New Roman"/>
          <w:sz w:val="22"/>
          <w:szCs w:val="22"/>
        </w:rPr>
        <w:t xml:space="preserve">La Tabla 4 presenta la comparación. Con niveles de recall equivalentes —80,0% para el clasificador independiente frente al 80,9% de la regla Smart AND— la red neuronal dedicada superó a la regla conjuntiva en todas las demás métricas: especificidad (56,0% frente a 43,8%), precisión (30,0% frente a 25,1%), valor predictivo negativo (92,0% frente a 90,8%), puntuación F1 (44,0% frente a 38,3%), exactitud balanceada (68,0% frente a 62,4%) y exactitud global (60,5% frente a 50,8%). La ventaja consistente y significativa en múltiples indicadores —manteniendo un recall equivalente— sugiere que el grupo de solapamiento posee una firma predictora distintiva que no queda completamente capturada por la simple intersección de los perfiles de victimización y perpetración. La red neuronal independiente fue por tanto seleccionada como clasificador final del solapamiento.</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Tabla 4. Comparación de Estrategias de Detección del Solapamiento</w:t>
      </w:r>
    </w:p>
    <w:tbl>
      <w:tblPr>
        <w:tblW w:type="dxa" w:w="6770"/>
        <w:tblBorders>
          <w:top w:val="single" w:color="auto" w:sz="4"/>
          <w:left w:val="single" w:color="auto" w:sz="4"/>
          <w:bottom w:val="single" w:color="auto" w:sz="4"/>
          <w:right w:val="single" w:color="auto" w:sz="4"/>
          <w:insideH w:val="single" w:color="auto" w:sz="4"/>
          <w:insideV w:val="single" w:color="auto" w:sz="4"/>
        </w:tblBorders>
      </w:tblPr>
      <w:tblGrid>
        <w:gridCol w:w="2100"/>
        <w:gridCol w:w="630"/>
        <w:gridCol w:w="730"/>
        <w:gridCol w:w="730"/>
        <w:gridCol w:w="630"/>
        <w:gridCol w:w="550"/>
        <w:gridCol w:w="720"/>
        <w:gridCol w:w="680"/>
      </w:tblGrid>
      <w:tr>
        <w:trPr>
          <w:tblHeader/>
        </w:trPr>
        <w:tc>
          <w:tcPr>
            <w:tcW w:type="dxa" w:w="21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Enfoque</w:t>
            </w:r>
          </w:p>
        </w:tc>
        <w:tc>
          <w:tcPr>
            <w:tcW w:type="dxa" w:w="6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w:t>
            </w:r>
          </w:p>
        </w:tc>
        <w:tc>
          <w:tcPr>
            <w:tcW w:type="dxa" w:w="7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Especificidad</w:t>
            </w:r>
          </w:p>
        </w:tc>
        <w:tc>
          <w:tcPr>
            <w:tcW w:type="dxa" w:w="7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Precisión
(VPP)</w:t>
            </w:r>
          </w:p>
        </w:tc>
        <w:tc>
          <w:tcPr>
            <w:tcW w:type="dxa" w:w="6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VPN</w:t>
            </w:r>
          </w:p>
        </w:tc>
        <w:tc>
          <w:tcPr>
            <w:tcW w:type="dxa" w:w="5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72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Exact.
bal.</w:t>
            </w:r>
          </w:p>
        </w:tc>
        <w:tc>
          <w:tcPr>
            <w:tcW w:type="dxa" w:w="6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Exactitud</w:t>
            </w:r>
          </w:p>
        </w:tc>
      </w:tr>
      <w:tr>
        <w:tc>
          <w:tcPr>
            <w:tcW w:type="dxa" w:w="21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Red neuronal — clasificador independiente (final)</w:t>
            </w:r>
          </w:p>
        </w:tc>
        <w:tc>
          <w:tcPr>
            <w:tcW w:type="dxa" w:w="6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80,0%</w:t>
            </w:r>
          </w:p>
        </w:tc>
        <w:tc>
          <w:tcPr>
            <w:tcW w:type="dxa" w:w="7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56,0%</w:t>
            </w:r>
          </w:p>
        </w:tc>
        <w:tc>
          <w:tcPr>
            <w:tcW w:type="dxa" w:w="7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30,0%</w:t>
            </w:r>
          </w:p>
        </w:tc>
        <w:tc>
          <w:tcPr>
            <w:tcW w:type="dxa" w:w="6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92,0%</w:t>
            </w:r>
          </w:p>
        </w:tc>
        <w:tc>
          <w:tcPr>
            <w:tcW w:type="dxa" w:w="5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44,0%</w:t>
            </w:r>
          </w:p>
        </w:tc>
        <w:tc>
          <w:tcPr>
            <w:tcW w:type="dxa" w:w="72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68,0%</w:t>
            </w:r>
          </w:p>
        </w:tc>
        <w:tc>
          <w:tcPr>
            <w:tcW w:type="dxa" w:w="68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60,5%</w:t>
            </w:r>
          </w:p>
        </w:tc>
      </w:tr>
      <w:tr>
        <w:tc>
          <w:tcPr>
            <w:tcW w:type="dxa" w:w="21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Smart AND — regla conjuntiva</w:t>
            </w:r>
          </w:p>
        </w:tc>
        <w:tc>
          <w:tcPr>
            <w:tcW w:type="dxa" w:w="6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80,9%</w:t>
            </w:r>
          </w:p>
        </w:tc>
        <w:tc>
          <w:tcPr>
            <w:tcW w:type="dxa" w:w="7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43,8%</w:t>
            </w:r>
          </w:p>
        </w:tc>
        <w:tc>
          <w:tcPr>
            <w:tcW w:type="dxa" w:w="7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25,1%</w:t>
            </w:r>
          </w:p>
        </w:tc>
        <w:tc>
          <w:tcPr>
            <w:tcW w:type="dxa" w:w="6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90,8%</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38,3%</w:t>
            </w:r>
          </w:p>
        </w:tc>
        <w:tc>
          <w:tcPr>
            <w:tcW w:type="dxa" w:w="7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62,4%</w:t>
            </w:r>
          </w:p>
        </w:tc>
        <w:tc>
          <w:tcPr>
            <w:tcW w:type="dxa" w:w="6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50,8%</w:t>
            </w:r>
          </w:p>
        </w:tc>
      </w:tr>
    </w:tbl>
    <w:p>
      <w:pPr>
        <w:spacing w:after="240" w:before="120" w:line="240" w:lineRule="auto"/>
      </w:pPr>
      <w:r>
        <w:rPr>
          <w:rFonts w:ascii="Times New Roman" w:cs="Times New Roman" w:eastAsia="Times New Roman" w:hAnsi="Times New Roman"/>
          <w:i/>
          <w:iCs/>
          <w:sz w:val="20"/>
          <w:szCs w:val="20"/>
        </w:rPr>
        <w:t xml:space="preserve">Nota. Ambas estrategias se evaluaron en la misma partición de evaluación compartida, estratificada por el perfil víctima–perpetrador conjunto (cuatro estratos). El recall se mantuvo en niveles equivalentes (~80%) para permitir una comparación justa de las demás métricas. El enfoque seleccionado (red neuronal — clasificador independiente) aparece destacado.</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¿Con Qué Eficacia Detectó el Clasificador a los Adolescentes con Doble Rol?</w:t>
      </w:r>
    </w:p>
    <w:p>
      <w:pPr>
        <w:spacing w:after="0" w:before="0" w:line="480" w:lineRule="auto"/>
        <w:ind w:firstLine="720"/>
        <w:jc w:val="both"/>
      </w:pPr>
      <w:r>
        <w:rPr>
          <w:rFonts w:ascii="Times New Roman" w:cs="Times New Roman" w:eastAsia="Times New Roman" w:hAnsi="Times New Roman"/>
          <w:sz w:val="22"/>
          <w:szCs w:val="22"/>
        </w:rPr>
        <w:t xml:space="preserve">El clasificador de solapamiento independiente identificó correctamente a 142 de los 178 adolescentes con implicación dual confirmada —un recall del 80,0%— lo que significa que aproximadamente 8 de cada 10 adolescentes de doble rol fueron correctamente identificados. Los 36 adolescentes no detectados (falsos negativos) representan casos de doble rol que recibieron una clasificación negativa.</w:t>
      </w:r>
    </w:p>
    <w:p>
      <w:pPr>
        <w:spacing w:after="0" w:before="0" w:line="480" w:lineRule="auto"/>
        <w:ind w:firstLine="720"/>
        <w:jc w:val="both"/>
      </w:pPr>
      <w:r>
        <w:rPr>
          <w:rFonts w:ascii="Times New Roman" w:cs="Times New Roman" w:eastAsia="Times New Roman" w:hAnsi="Times New Roman"/>
          <w:sz w:val="22"/>
          <w:szCs w:val="22"/>
        </w:rPr>
        <w:t xml:space="preserve">De los 764 adolescentes sin implicación dual, 428 fueron correctamente clasificados como casos no solapados (especificidad = 56,0%), mientras que 336 recibieron una clasificación positiva incorrecta. La precisión fue del 30,0%, lo que significa que aproximadamente 3 de cada 10 adolescentes identificados por el clasificador de solapamiento presentan un estatus de doble rol confirmado; los casos identificados restantes requerirían una evaluación adicional para confirmar su estatus. El valor predictivo negativo (VPN = 92,0%) indica que cuando el clasificador de solapamiento asigna una clasificación negativa, este juicio es correcto en aproximadamente 9 de cada 10 casos. La puntuación F1 fue de 44,0% y la exactitud balanceada fue del 68,0%.</w:t>
      </w:r>
    </w:p>
    <w:p>
      <w:pPr>
        <w:spacing w:after="0" w:before="240" w:line="480" w:lineRule="auto"/>
        <w:ind w:firstLine="720"/>
        <w:jc w:val="left"/>
      </w:pPr>
      <w:r>
        <w:rPr>
          <w:rFonts w:ascii="Times New Roman" w:cs="Times New Roman" w:eastAsia="Times New Roman" w:hAnsi="Times New Roman"/>
          <w:b/>
          <w:bCs/>
          <w:i/>
          <w:iCs/>
          <w:sz w:val="22"/>
          <w:szCs w:val="22"/>
        </w:rPr>
        <w:t xml:space="preserve">¿Qué Factores Impulsan el Clasificador de Solapamiento?</w:t>
      </w:r>
    </w:p>
    <w:p>
      <w:pPr>
        <w:spacing w:after="0" w:before="0" w:line="480" w:lineRule="auto"/>
        <w:ind w:firstLine="720"/>
        <w:jc w:val="both"/>
      </w:pPr>
      <w:r>
        <w:rPr>
          <w:rFonts w:ascii="Times New Roman" w:cs="Times New Roman" w:eastAsia="Times New Roman" w:hAnsi="Times New Roman"/>
          <w:sz w:val="22"/>
          <w:szCs w:val="22"/>
        </w:rPr>
        <w:t xml:space="preserve">La red neuronal de solapamiento utiliza un perfil predictor que refleja características tanto del dominio de la victimización como de la perpetración, al tiempo que captura patrones que parecen más específicos de los adolescentes de doble rol. Los predictores compartidos —que aparecen de forma prominente en ambos clasificadores individuales— incluyen la composición del hogar y la estructura familiar, la conducta de fuga del hogar o de un centro de acogida, el origen étnico minoritario, y tanto el nivel como la consistencia del apoyo social percibido. La presencia de este núcleo compartido en los tres clasificadores es coherente con los modelos teóricos que caracterizan a los adolescentes de doble rol como individuos que ocupan simultáneamente posiciones de vulnerabilidad estructural y de riesgo conductual (Berg &amp; Mulford, 2020; Falla et al., 2020). Al mismo tiempo, la mejora en especificidad y precisión del clasificador independiente —respecto a la regla conjuntiva Smart AND— sugiere que capta matices adicionales en el perfil predictor del doble rol: la combinación e intensidad de los factores de riesgo en un mismo individuo puede aportar más información predictiva que la simple coexistencia de señales de alerta de victimización y perpetración por separado. Este hallazgo es coherente con los marcos teóricos que enfatizan que el solapamiento víctima–perpetrador no es simplemente la intersección estadística de dos procesos de riesgo independientes, sino un fenómeno con sus propios determinantes evolutivos y contextuales (Jennings et al., 2012; Beckley et al., 2018).</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5. Rendimiento Global: Lo que el Sistema Ofrece en la Práctica</w:t>
      </w:r>
    </w:p>
    <w:p>
      <w:pPr>
        <w:spacing w:after="0" w:before="0" w:line="480" w:lineRule="auto"/>
        <w:ind w:firstLine="720"/>
        <w:jc w:val="both"/>
      </w:pPr>
      <w:r>
        <w:rPr>
          <w:rFonts w:ascii="Times New Roman" w:cs="Times New Roman" w:eastAsia="Times New Roman" w:hAnsi="Times New Roman"/>
          <w:sz w:val="22"/>
          <w:szCs w:val="22"/>
        </w:rPr>
        <w:t xml:space="preserve">Considerados en conjunto, los resultados indican que el sistema de tres clasificadores ofrece un perfil de cribado consistente y prácticamente relevante en los tres outcomes evaluados. En los tres casos, los modelos alcanzaron tasas de recall de entre el 80% y el 91%, lo que significa que entre 8 y 9 de cada 10 adolescentes en riesgo real fueron correctamente identificados para recibir atención adicional. Este nivel de sensibilidad es adecuado para una aplicación de cribado preventivo, donde la principal preocupación es evitar que se pasen por alto adolescentes que cumplen los criterios del outcome, más que maximizar la proporción global de clasificaciones correctas.</w:t>
      </w:r>
    </w:p>
    <w:p>
      <w:pPr>
        <w:spacing w:after="0" w:before="0" w:line="480" w:lineRule="auto"/>
        <w:ind w:firstLine="720"/>
        <w:jc w:val="both"/>
      </w:pPr>
      <w:r>
        <w:rPr>
          <w:rFonts w:ascii="Times New Roman" w:cs="Times New Roman" w:eastAsia="Times New Roman" w:hAnsi="Times New Roman"/>
          <w:sz w:val="22"/>
          <w:szCs w:val="22"/>
        </w:rPr>
        <w:t xml:space="preserve">Este perfil orientado al recall va acompañado de una precisión comparativamente menor, especialmente para perpetración y solapamiento, lo que refleja que una proporción sustancial de los adolescentes identificados no cumplirán criterios de riesgo completos en una evaluación clínica en profundidad. Esta compensación es esperada y aceptada dentro de un marco de cribado: las clasificaciones positivas están diseñadas para funcionar como alertas de priorización —señales que requieren atención profesional más cercana y evaluación adicional—, y no como determinaciones definitivas del estado de riesgo. Los profesionales que utilicen este sistema deben tratar por tanto una clasificación positiva como el inicio de una indagación clínica, no como su conclusión.</w:t>
      </w:r>
    </w:p>
    <w:p>
      <w:pPr>
        <w:spacing w:after="0" w:before="0" w:line="480" w:lineRule="auto"/>
        <w:ind w:firstLine="720"/>
        <w:jc w:val="both"/>
      </w:pPr>
      <w:r>
        <w:rPr>
          <w:rFonts w:ascii="Times New Roman" w:cs="Times New Roman" w:eastAsia="Times New Roman" w:hAnsi="Times New Roman"/>
          <w:sz w:val="22"/>
          <w:szCs w:val="22"/>
        </w:rPr>
        <w:t xml:space="preserve">Dos propiedades adicionales del sistema merecen especial atención desde un punto de vista práctico. En primer lugar, los elevados valores predictivos negativos en los tres outcomes —VPN = 72,8% para victimización, 91,3% para perpetración y 92,0% para el solapamiento víctima–perpetrador— indican que las clasificaciones negativas poseen un grado sustancial de fiabilidad, especialmente para perpetración y solapamiento. Cuando el sistema asigna una clasificación negativa para estos dos outcomes, este juicio es correcto en más de 9 de cada 10 casos, lo que puede favorecer una asignación más eficiente de los recursos profesionales en entornos educativos amplios.</w:t>
      </w:r>
    </w:p>
    <w:p>
      <w:pPr>
        <w:spacing w:after="0" w:before="0" w:line="480" w:lineRule="auto"/>
        <w:ind w:firstLine="720"/>
        <w:jc w:val="both"/>
      </w:pPr>
      <w:r>
        <w:rPr>
          <w:rFonts w:ascii="Times New Roman" w:cs="Times New Roman" w:eastAsia="Times New Roman" w:hAnsi="Times New Roman"/>
          <w:sz w:val="22"/>
          <w:szCs w:val="22"/>
        </w:rPr>
        <w:t xml:space="preserve">En segundo lugar, los tres modelos generan una puntuación de probabilidad continua para cada adolescente, en lugar de una simple etiqueta binaria. Los profesionales pueden utilizar estas puntuaciones para ordenar a los adolescentes según su nivel estimado de riesgo, aplicando distintos protocolos de respuesta según este ordenamiento: aquellos con las probabilidades estimadas más altas podrían priorizarse para derivación o evaluación inmediata, mientras que los de puntuaciones intermedias podrían ser monitorizados a lo largo del tiempo. Este enfoque escalonado amplía la utilidad práctica del sistema más allá de la aplicación de un umbral de alerta fijo.</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6. Análisis Complementario: Identificación de Subgrupos de Adolescentes en Riesgo</w:t>
      </w:r>
    </w:p>
    <w:p>
      <w:pPr>
        <w:spacing w:after="0" w:before="0" w:line="480" w:lineRule="auto"/>
        <w:ind w:firstLine="720"/>
        <w:jc w:val="both"/>
      </w:pPr>
      <w:r>
        <w:rPr>
          <w:rFonts w:ascii="Times New Roman" w:cs="Times New Roman" w:eastAsia="Times New Roman" w:hAnsi="Times New Roman"/>
          <w:sz w:val="22"/>
          <w:szCs w:val="22"/>
        </w:rPr>
        <w:t xml:space="preserve">Como complemento al enfoque de clasificación supervisada y con el objetivo de explorar la heterogeneidad de los perfiles de riesgo presentes en la muestra, se realizó un análisis clúster exploratorio de forma separada para los adolescentes victimizados y para los adolescentes perpetradores. En lugar de los predictores psicosociales y contextuales globales utilizados en los clasificadores, este análisis se realizó directamente sobre las respuestas a nivel de ítem de las baterías de victimización y perpetración, permitiendo identificar subgrupos en función de los tipos y combinaciones específicos de violencia que cada adolescente había experimentado o perpetrado. El objetivo no era clasificar nuevos casos, sino describir la diversidad de perfiles de riesgo dentro de cada grupo.</w:t>
      </w:r>
    </w:p>
    <w:p>
      <w:pPr>
        <w:spacing w:after="0" w:before="0" w:line="480" w:lineRule="auto"/>
        <w:ind w:firstLine="720"/>
        <w:jc w:val="both"/>
      </w:pPr>
      <w:r>
        <w:rPr>
          <w:rFonts w:ascii="Times New Roman" w:cs="Times New Roman" w:eastAsia="Times New Roman" w:hAnsi="Times New Roman"/>
          <w:sz w:val="22"/>
          <w:szCs w:val="22"/>
        </w:rPr>
        <w:t xml:space="preserve">Para cada análisis, la solución óptima de agrupamiento se identificó mediante una búsqueda iterativa que combinaba dos métodos complementarios: una técnica de reducción de dimensionalidad no lineal (UMAP) y un algoritmo de agrupamiento basado en densidad (DBSCAN). Este enfoque fue preferido frente a los métodos clásicos jerárquicos o de k-medias porque no asume ninguna forma ni tamaño específico de los clústeres y puede identificar casos que no encajan claramente en ningún grupo. Se evaluaron 90 configuraciones de parámetros distintas para el análisis de víctimas y 160 para el de perpetradores; cada solución fue valorada mediante el coeficiente de silueta. Valores superiores a 0,70 se consideran generalmente indicativos de agrupaciones bien separadas y significativas (Rousseeuw, 1987).</w:t>
      </w:r>
    </w:p>
    <w:p>
      <w:pPr>
        <w:spacing w:after="0" w:before="0" w:line="480" w:lineRule="auto"/>
        <w:ind w:firstLine="720"/>
        <w:jc w:val="both"/>
      </w:pPr>
      <w:r>
        <w:rPr>
          <w:rFonts w:ascii="Times New Roman" w:cs="Times New Roman" w:eastAsia="Times New Roman" w:hAnsi="Times New Roman"/>
          <w:sz w:val="22"/>
          <w:szCs w:val="22"/>
        </w:rPr>
        <w:t xml:space="preserve">La mejor solución de agrupamiento para víctimas produjo nueve subgrupos diferenciados (silueta = 0,913), y la mejor solución para perpetradores produjo cinco subgrupos (silueta = 0,930), ambas indicando soluciones bien separadas. Estos hallazgos son coherentes con y extienden los resultados de Pereda y Guerra (2025), quienes aplicaron un enfoque de agrupamiento jerárquico a la misma muestra representativa e identificaron cuatro perfiles amplios: un grupo mayoritario sin experiencia de violencia (59,4%), un grupo con victimización únicamente (32,0%), un grupo con polivictimización y perpetración parcial (8,1%) y un grupo pequeño de polivictimización y poliperpetración (0,5%). La solución de mayor granularidad obtenida en el presente estudio extiende estos hallazgos al revelar heterogeneidad interna dentro de esos perfiles amplios, mientras resulta coherente con su observación central: que el solapamiento víctima–agresor se concentra en subgrupos específicos con implicación elevada y diversificada en múltiples formas de violencia.</w:t>
      </w:r>
    </w:p>
    <w:p>
      <w:pPr>
        <w:spacing w:after="0" w:before="0" w:line="480" w:lineRule="auto"/>
        <w:ind w:firstLine="720"/>
        <w:jc w:val="both"/>
      </w:pPr>
      <w:r>
        <w:rPr>
          <w:rFonts w:ascii="Times New Roman" w:cs="Times New Roman" w:eastAsia="Times New Roman" w:hAnsi="Times New Roman"/>
          <w:sz w:val="22"/>
          <w:szCs w:val="22"/>
        </w:rPr>
        <w:t xml:space="preserve">Un análisis de tabulación cruzada examinó el solapamiento entre la pertenencia a los clústeres y el estado de outcome. Entre los clústeres de víctimas, el Clúster 3 (n = 1.092) mostró una tasa de perpetración de aproximadamente el 48%, frente a una prevalencia de perpetración en la muestra completa del 5,9% —una tasa aproximadamente ocho veces superior—. Entre los clústeres de perpetradores, los Clústeres 2 y 3 mostraron una tasa de victimización de aproximadamente el 89%, frente a una prevalencia de victimización en la muestra completa del 9,9%. Estos hallazgos deben interpretarse con la cautela apropiada: el análisis clúster es exploratorio y post hoc, y los agrupamientos no deben interpretarse como categorías diagnósticas ni clínicamente validadas. No obstante, la identificación de subgrupos con tasas de solapamiento marcadamente elevadas refuerza la importancia de evaluar conjuntamente tanto las experiencias de victimización como las de perpetración al trabajar con adolescentes en entornos educativos o clínicos (Beckley et al., 2018; Pereda &amp; Guerra, 2025).</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Tabla 5. Predictores Más Importantes por Outcome</w:t>
      </w: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400"/>
        <w:gridCol w:w="3080"/>
        <w:gridCol w:w="3080"/>
        <w:gridCol w:w="400"/>
      </w:tblGrid>
      <w:tr>
        <w:trPr>
          <w:tblHeader/>
        </w:trPr>
        <w:tc>
          <w:tcPr>
            <w:tcW w:type="dxa" w:w="4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Rank</w:t>
            </w:r>
          </w:p>
        </w:tc>
        <w:tc>
          <w:tcPr>
            <w:tcW w:type="dxa" w:w="30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Victimización (Árbol de decisión)</w:t>
            </w:r>
          </w:p>
        </w:tc>
        <w:tc>
          <w:tcPr>
            <w:tcW w:type="dxa" w:w="30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Perpetración (Red neuronal)</w:t>
            </w:r>
          </w:p>
        </w:tc>
        <w:tc>
          <w:tcPr>
            <w:tcW w:type="dxa" w:w="4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Comp.</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1</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Composición del hogar</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Composición del hogar</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2</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Convivencia con el padre</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Convivencia con el padre</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3</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Origen étnico</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Fuga del hogar</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4</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Orientación sexual</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Edad</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5</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Fuga del hogar</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Origen étnico</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6</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Convivencia con la madre</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Consumo de pornografía</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7</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País de origen</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Variabilidad del apoyo social</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8</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Convivencia con padrastro/madrastra</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Nivel de apoyo social</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9</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Nivel de apoyo social</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Frecuencia del consumo de alcohol</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10</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Media del apoyo social</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Inestabilidad de la autoeficacia</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t>
            </w:r>
          </w:p>
        </w:tc>
      </w:tr>
    </w:tbl>
    <w:p>
      <w:pPr>
        <w:spacing w:after="240" w:before="120" w:line="240" w:lineRule="auto"/>
      </w:pPr>
      <w:r>
        <w:rPr>
          <w:rFonts w:ascii="Times New Roman" w:cs="Times New Roman" w:eastAsia="Times New Roman" w:hAnsi="Times New Roman"/>
          <w:i/>
          <w:iCs/>
          <w:sz w:val="20"/>
          <w:szCs w:val="20"/>
        </w:rPr>
        <w:t xml:space="preserve">Nota. La importancia de las variables se estimó mediante feature_importances_ del árbol de decisión (victimización) e importancia por permutación basada en la caída del recall promediada en 10 repeticiones (red neuronal, perpetración). Las puntuaciones se retroproyectaron desde el espacio de componentes del ACP al espacio de predictores originales mediante la matriz de cargas. Las etiquetas son nombres descriptivos simplificados de las variables originales; no implican interpretaciones causales ni protectoras. ✓ = predictor que aparece entre los 10 primeros para ambos outcomes.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2026-06-10T10:54:12.977Z</dcterms:created>
  <dcterms:modified xsi:type="dcterms:W3CDTF">2026-06-10T10:54:12.985Z</dcterms:modified>
</cp:coreProperties>
</file>

<file path=docProps/custom.xml><?xml version="1.0" encoding="utf-8"?>
<Properties xmlns="http://schemas.openxmlformats.org/officeDocument/2006/custom-properties" xmlns:vt="http://schemas.openxmlformats.org/officeDocument/2006/docPropsVTypes"/>
</file>