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RESULTS</w:t>
      </w:r>
    </w:p>
    <w:p>
      <w:pPr>
        <w:spacing w:after="0" w:before="0" w:line="480" w:lineRule="auto"/>
        <w:ind w:firstLine="720"/>
        <w:jc w:val="both"/>
      </w:pPr>
      <w:r>
        <w:rPr>
          <w:rFonts w:ascii="Times New Roman" w:cs="Times New Roman" w:eastAsia="Times New Roman" w:hAnsi="Times New Roman"/>
          <w:sz w:val="22"/>
          <w:szCs w:val="22"/>
        </w:rPr>
        <w:t xml:space="preserve">The study examined whether global psychosocial, lifestyle, and contextual factors could be used to identify adolescents with predictor profiles associated with victimization, perpetration, and victim–perpetrator overlap, using a three-classifier machine learning framework applied to a representative community sample (n = 4,024; final analytical sample after data quality filtering: n = 3,767). Of the analytical sample, 1,861 adolescents (49.4%) had experienced at least one form of victimization during the preceding twelve months, 885 (23.5%) had perpetrated at least one form of violence, and 719 (19.1%) met criteria for victim–perpetrator overlap—that is, they had simultaneously experienced victimization and engaged in perpetration. The following sections report the results in five parts: (1) the data organisation step applied before model training; (2) the victimization classifier, including how the final approach was selected, its detection performance, and which risk factors contributed most strongly to its predictions; (3) the perpetration classifier; (4) the victim–perpetrator overlap classifier, including a comparison of two detection strategies; and (5) a complementary exploratory cluster analysis examining latent subgroups of adolescents with distinct risk profiles.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Organising the Predictors: A Common Preprocessing Step</w:t>
      </w:r>
    </w:p>
    <w:p>
      <w:pPr>
        <w:spacing w:after="0" w:before="0" w:line="480" w:lineRule="auto"/>
        <w:ind w:firstLine="720"/>
        <w:jc w:val="both"/>
      </w:pPr>
      <w:r>
        <w:rPr>
          <w:rFonts w:ascii="Times New Roman" w:cs="Times New Roman" w:eastAsia="Times New Roman" w:hAnsi="Times New Roman"/>
          <w:sz w:val="22"/>
          <w:szCs w:val="22"/>
        </w:rPr>
        <w:t xml:space="preserve">Before building the classification models, the 27 predictor variables were mathematically reorganised into a smaller set of composite dimensions through a technique known as Principal Component Analysis (PCA). The purpose of this step is to reduce redundancy among variables—many of which are naturally correlated with one another—and to create a more compact and statistically stable input for the classifiers. In practical terms, PCA works by identifying the main patterns of co-variation across the full predictor set and recombining the original variables into a smaller number of independent dimensions, each capturing a distinct source of variability. Each of the three classifiers used the same preprocessing pipeline—MinMaxScaler normalisation followed by mean-centring and PCA—applied independently to its own training partition: the PCA solution for each model was derived exclusively from that model's training data and then applied to the corresponding test partition, ensuring that no information from the evaluation sample influenced the model-building process. The retained components preserved approximately 95% of the variance in the original predictor set: 18 dimensions were retained for the victimization model and 22 for the perpetration model; the overlap classifier used the same 95% variance criterion applied to its own training partition, yielding a comparable number of retained components. This model-specific PCA ensures that the composite dimensions are optimised for each outcome's training data independently.</w:t>
      </w:r>
    </w:p>
    <w:p>
      <w:pPr>
        <w:spacing w:after="0" w:before="0" w:line="480" w:lineRule="auto"/>
        <w:ind w:firstLine="720"/>
        <w:jc w:val="both"/>
      </w:pPr>
      <w:r>
        <w:rPr>
          <w:rFonts w:ascii="Times New Roman" w:cs="Times New Roman" w:eastAsia="Times New Roman" w:hAnsi="Times New Roman"/>
          <w:sz w:val="22"/>
          <w:szCs w:val="22"/>
        </w:rPr>
        <w:t xml:space="preserve">The structure of these composite dimensions revealed four main types of variability that recurred across multiple components, providing a useful conceptual overview of the risk landscape captured by the predictor set.</w:t>
      </w:r>
    </w:p>
    <w:p>
      <w:pPr>
        <w:spacing w:after="0" w:before="0" w:line="480" w:lineRule="auto"/>
        <w:ind w:firstLine="720"/>
        <w:jc w:val="both"/>
      </w:pPr>
      <w:r>
        <w:rPr>
          <w:rFonts w:ascii="Times New Roman" w:cs="Times New Roman" w:eastAsia="Times New Roman" w:hAnsi="Times New Roman"/>
          <w:sz w:val="22"/>
          <w:szCs w:val="22"/>
        </w:rPr>
        <w:t xml:space="preserve">The most prominent type involved household and family composition. The pattern of who an adolescent lives with—whether with both parents, a single parent, other relatives, step-parents, or in alternative care settings—appeared consistently among the most influential sources of variability across multiple components. This suggests that the family structure is one of the central axes along which adolescent vulnerability is organised in this sample, a finding consistent with the broader victimization and delinquency literature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The second type comprised behavioural and lifestyle risk factors. Alcohol consumption, pornography use, and running away from home or a residential care setting contributed substantially to several dimensions. Running away behaviour was especially notable, appearing across multiple independent components, which suggests that it functions as a broad indicator of vulnerability rather than a single, narrowly defined risk. This finding is consistent with evidence that running away is simultaneously a consequence of ongoing victimization and a gateway to further risk exposure (Kaufman &amp; Widom, 1999).</w:t>
      </w:r>
    </w:p>
    <w:p>
      <w:pPr>
        <w:spacing w:after="0" w:before="0" w:line="480" w:lineRule="auto"/>
        <w:ind w:firstLine="720"/>
        <w:jc w:val="both"/>
      </w:pPr>
      <w:r>
        <w:rPr>
          <w:rFonts w:ascii="Times New Roman" w:cs="Times New Roman" w:eastAsia="Times New Roman" w:hAnsi="Times New Roman"/>
          <w:sz w:val="22"/>
          <w:szCs w:val="22"/>
        </w:rPr>
        <w:t xml:space="preserve">The third type reflected psychosocial resources and vulnerabilities. Perceived social support, self-efficacy, impulsivity, and moral emotions all contributed to the retained components. A notable feature of this domain is that both average levels and intraindividual variability in these characteristics were represented: not only how much social support or self-efficacy an adolescent reports, but also how consistent or fluctuating these resources appear to be across different domains of life. This suggests that instability in psychosocial functioning may carry independent predictive information beyond average levels alone.</w:t>
      </w:r>
    </w:p>
    <w:p>
      <w:pPr>
        <w:spacing w:after="0" w:before="0" w:line="480" w:lineRule="auto"/>
        <w:ind w:firstLine="720"/>
        <w:jc w:val="both"/>
      </w:pPr>
      <w:r>
        <w:rPr>
          <w:rFonts w:ascii="Times New Roman" w:cs="Times New Roman" w:eastAsia="Times New Roman" w:hAnsi="Times New Roman"/>
          <w:sz w:val="22"/>
          <w:szCs w:val="22"/>
        </w:rPr>
        <w:t xml:space="preserve">The fourth type consisted of demographic characteristics, including gender, sexual orientation, country of origin, and ethnic background, which accounted for a notable proportion of between-person variability. These variables likely capture both differential exposure to risk environments and vulnerability linked to minority status and associated forms of social stress.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Table 1. Classification Performance of the Three-Classifier Framework</w:t>
      </w:r>
    </w:p>
    <w:p>
      <w:pPr>
        <w:spacing w:after="240" w:before="120" w:line="240" w:lineRule="auto"/>
      </w:pPr>
      <w:r>
        <w:rPr>
          <w:rFonts w:ascii="Times New Roman" w:cs="Times New Roman" w:eastAsia="Times New Roman" w:hAnsi="Times New Roman"/>
          <w:i/>
          <w:iCs/>
          <w:sz w:val="20"/>
          <w:szCs w:val="20"/>
        </w:rPr>
        <w:t xml:space="preserve">Note. All performance metrics were evaluated on held-out test partitions not used during training; counts (TP, FP, TN, FN) reflect the composition of these evaluation partitions and do not represent prevalence in the full analytical sample (n = 3,767). †Victimization and Perpetration results are based on outcome-specific test partitions (25% of the sample, stratified by the respective outcome; n = 942 per partition). The victimization classifier targets the broad victimization criterion (any form of victimization; 49.4% of the analytical sample); the perpetration classifier targets any form of perpetration (23.5%). ‡Overlap results are based on a shared test partition stratified by the joint victim–perpetrator profile (four strata: neither role, victimization only, perpetration only, both roles; n = 942); the overlap classifier targets adolescents meeting both criteria simultaneously (19.1% of the analytical sample). Recall (sensitivity) = proportion of true positive cases correctly identified. Specificity = proportion of true negative cases correctly classified. Precision (PPV) = proportion of positive classifications that are genuine cases. NPV = proportion of negative classifications that are genuine non-cases. Balanced accuracy = average of recall and specificity.</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Balanced
Accuracy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(Sensitivity)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TP
(Hit)</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(False
alarm)</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TN
(Correct
rejection)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(Miss)</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Overlap‡</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79.8%</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29.7%</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Victimization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To identify the most suitable approach for detecting victimized adolescents, five different classification algorithms were trained and evaluated on the same PCA-transformed predictor set: a pruned decision tree, a logistic regression model with class-imbalance correction, a random forest, gradient boosting, and a histogram-based gradient boosting method. Because the primary objective was to develop a screening tool for prevention-oriented settings—where missing a genuinely victimized adolescent carries greater consequences than generating an unnecessary alert—the main selection criterion was recall (sensitivity), that is, the proportion of truly victimized adolescents that the model correctly identifies. All models were evaluated across multiple decision thresholds, and Table 2 presents performance at the operating point at which each model achieved at least 90% recall.</w:t>
      </w:r>
    </w:p>
    <w:p>
      <w:pPr>
        <w:spacing w:after="0" w:before="0" w:line="480" w:lineRule="auto"/>
        <w:ind w:firstLine="720"/>
        <w:jc w:val="both"/>
      </w:pPr>
      <w:r>
        <w:rPr>
          <w:rFonts w:ascii="Times New Roman" w:cs="Times New Roman" w:eastAsia="Times New Roman" w:hAnsi="Times New Roman"/>
          <w:sz w:val="22"/>
          <w:szCs w:val="22"/>
        </w:rPr>
        <w:t xml:space="preserve">Although more complex ensemble-based models showed slightly higher overall discriminative capacity, none offered a meaningful improvement in sensitivity, false-positive control, or overall balance of performance at the target operating point. The pruned decision tree was therefore selected as the final victimization classifier. Its key practical advantage lies in greater transparency: unlike more complex algorithms, a pruned decision tree classifies adolescents through a small number of explicit decision rules that can be inspected and understood more easily than black-box approaches, without requiring specialist knowledge in machine learning or computational methods.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2. Model Comparison — Victimization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Decision Tree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Note. Each threshold was selected independently for each model to achieve a minimum recall of 90%. AUC-PR = area under the precision-recall curve, a measure of overall discriminative performance that is robust to class imbalance. The selected model (Decision Tree)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Victimized Adolescents?</w:t>
      </w:r>
    </w:p>
    <w:p>
      <w:pPr>
        <w:spacing w:after="0" w:before="0" w:line="480" w:lineRule="auto"/>
        <w:ind w:firstLine="720"/>
        <w:jc w:val="both"/>
      </w:pPr>
      <w:r>
        <w:rPr>
          <w:rFonts w:ascii="Times New Roman" w:cs="Times New Roman" w:eastAsia="Times New Roman" w:hAnsi="Times New Roman"/>
          <w:sz w:val="22"/>
          <w:szCs w:val="22"/>
        </w:rPr>
        <w:t xml:space="preserve">In the test partition, the victimization classifier correctly identified 421 out of 465 victimized adolescents—a recall of 90.5%—meaning that approximately 9 out of every 10 victimized adolescents received a positive classification. The 44 adolescents who were missed (false negatives) represent cases that the model did not flag, despite meeting victimization criteria.</w:t>
      </w:r>
    </w:p>
    <w:p>
      <w:pPr>
        <w:spacing w:after="0" w:before="0" w:line="480" w:lineRule="auto"/>
        <w:ind w:firstLine="720"/>
        <w:jc w:val="both"/>
      </w:pPr>
      <w:r>
        <w:rPr>
          <w:rFonts w:ascii="Times New Roman" w:cs="Times New Roman" w:eastAsia="Times New Roman" w:hAnsi="Times New Roman"/>
          <w:sz w:val="22"/>
          <w:szCs w:val="22"/>
        </w:rPr>
        <w:t xml:space="preserve">Of the 477 non-victimized adolescents in the test partition, 118 were correctly classified as non-victimized cases (specificity = 24.7%), while 359 were assigned a positive classification despite not having experienced victimization (false positives). This means that, for every 100 adolescents flagged by the system, approximately 54 are genuinely victimized (precision = 54.0%), while the remainder would require further assessment to confirm or rule out risk. The negative predictive value (NPV = 72.8%) indicates that when the model assigns a negative classification—that is, when it judges an adolescent as unlikely to be a victim—this assessment is correct in approximately 73 out of every 100 cases. The F1-score, which balances recall and precision, was 67.6%, and balanced accuracy was 57.6%.</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Victimization Classifier?</w:t>
      </w:r>
    </w:p>
    <w:p>
      <w:pPr>
        <w:spacing w:after="0" w:before="0" w:line="480" w:lineRule="auto"/>
        <w:ind w:firstLine="720"/>
        <w:jc w:val="both"/>
      </w:pPr>
      <w:r>
        <w:rPr>
          <w:rFonts w:ascii="Times New Roman" w:cs="Times New Roman" w:eastAsia="Times New Roman" w:hAnsi="Times New Roman"/>
          <w:sz w:val="22"/>
          <w:szCs w:val="22"/>
        </w:rPr>
        <w:t xml:space="preserve">The pruned decision tree makes its classification decision using a single rule based on a PCA-derived dimension mainly reflecting household composition—specifically, the pattern of who the adolescent lives with. This extreme parsimony suggests that, within the current predictor set and modelling strategy, this composite dimension provided the most efficient statistical separation between victimized and non-victimized adolescents. This finding should not be interpreted causally, nor as implying that household structure alone explains victimization; rather, it indicates that this dimension provided the strongest separation available to the model among the retained PCA components, given the variables included and the constraints of the modelling approach. The resulting structure can be inspected and understood more easily than more complex models, but it also implies that the classifier captures a narrow slice of the overall risk space; it is best understood as an initial screening filter rather than a comprehensive risk assessment tool.</w:t>
      </w:r>
    </w:p>
    <w:p>
      <w:pPr>
        <w:spacing w:after="0" w:before="0" w:line="480" w:lineRule="auto"/>
        <w:ind w:firstLine="720"/>
        <w:jc w:val="both"/>
      </w:pPr>
      <w:r>
        <w:rPr>
          <w:rFonts w:ascii="Times New Roman" w:cs="Times New Roman" w:eastAsia="Times New Roman" w:hAnsi="Times New Roman"/>
          <w:sz w:val="22"/>
          <w:szCs w:val="22"/>
        </w:rPr>
        <w:t xml:space="preserve">Looking beyond this primary split, the predictor domains most strongly associated with victimization risk—identified through back-projection of the component structure to the original variables—are as follows. Household composition and co-residence arrangements remain the most prominent predictor domain. Running away from home or from a residential care setting emerges as the second major contributor: this behaviour simultaneously reflects a response to ongoing abuse and a gateway to exposure to further risk environments (Kaufman &amp; Widom, 1999). Ethnic minority background and non-heterosexual sexual orientation appear as markers of heightened social vulnerability and elevated exposure to targeted forms of violence. Finally, low or unstable perceived social support points to reduced access to protective resources that might otherwise buffer victimization risk. Taken together, these findings suggest that structural conditions in the home environment and indicators of social marginalization represent the primary axes along which the victimization classifier distinguishes at-risk from non-at-risk adolescents.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Perpetration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Five model families were evaluated for the perpetration outcome using the same pipeline. Because the proportion of adolescents who reported perpetrating violence was smaller than the proportion reporting victimization (23.5% vs. 49.4%), correctly detecting true perpetrators was a more challenging task for all algorithms, and the class imbalance was more pronounced. As with the victimization classifier, recall was the primary selection criterion.</w:t>
      </w:r>
    </w:p>
    <w:p>
      <w:pPr>
        <w:spacing w:after="0" w:before="0" w:line="480" w:lineRule="auto"/>
        <w:ind w:firstLine="720"/>
        <w:jc w:val="both"/>
      </w:pPr>
      <w:r>
        <w:rPr>
          <w:rFonts w:ascii="Times New Roman" w:cs="Times New Roman" w:eastAsia="Times New Roman" w:hAnsi="Times New Roman"/>
          <w:sz w:val="22"/>
          <w:szCs w:val="22"/>
        </w:rPr>
        <w:t xml:space="preserve">At the standard decision threshold, gradient boosting variants showed relatively high overall accuracy but failed to flag enough true perpetrators to meet the sensitivity target, and were excluded from further comparison. For the remaining models, Table 3 presents performance at the threshold achieving at least 90% recall. The compact neural network was selected as the final perpetration classifier. Although logistic regression and random forest achieved comparable or slightly higher recall by lowering the decision threshold substantially, the neural network offered better overall balance between sensitivity and false-positive control at its standard operating point, and allowed subsequent analysis of predictor contributions through a permutation-based procedure.</w:t>
      </w:r>
    </w:p>
    <w:p>
      <w:pPr>
        <w:spacing w:after="0" w:before="0" w:line="480" w:lineRule="auto"/>
        <w:ind w:firstLine="720"/>
        <w:jc w:val="both"/>
      </w:pPr>
      <w:r>
        <w:rPr>
          <w:rFonts w:ascii="Times New Roman" w:cs="Times New Roman" w:eastAsia="Times New Roman" w:hAnsi="Times New Roman"/>
          <w:sz w:val="22"/>
          <w:szCs w:val="22"/>
        </w:rPr>
        <w:t xml:space="preserve">Unlike a decision tree, a neural network does not generate a human-readable decision rule. Its classifications emerge from a large number of small, learned adjustments distributed across an internal computational architecture. This means the model is less interpretable in direct terms but is capable of detecting more complex patterns involving the simultaneous interaction of multiple risk factors—patterns that may be relevant to the more heterogeneous nature of perpetration.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3. Model Comparison — Perpetration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Note. Gradient Boosting and HistGradientBoosting did not achieve recall ≥ 90% at any tested threshold and are excluded. AUC-PR = area under the precision-recall curve. The selected model (Neural Network)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Perpetrating Adolescents?</w:t>
      </w:r>
    </w:p>
    <w:p>
      <w:pPr>
        <w:spacing w:after="0" w:before="0" w:line="480" w:lineRule="auto"/>
        <w:ind w:firstLine="720"/>
        <w:jc w:val="both"/>
      </w:pPr>
      <w:r>
        <w:rPr>
          <w:rFonts w:ascii="Times New Roman" w:cs="Times New Roman" w:eastAsia="Times New Roman" w:hAnsi="Times New Roman"/>
          <w:sz w:val="22"/>
          <w:szCs w:val="22"/>
        </w:rPr>
        <w:t xml:space="preserve">The perpetration classifier correctly identified 199 out of 221 adolescents who reported perpetrating violence—a recall of 90.0%—meaning that approximately 9 out of every 10 perpetrators were flagged by the system. The 22 adolescents missed (false negatives) represent perpetrators who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721 non-perpetrators in the test partition, 230 were correctly classified as non-perpetrators (specificity = 31.9%), while 491 received a false positive classification. Precision was 28.8%, meaning that roughly 3 in every 10 flagged adolescents are genuine perpetrators; the remainder would require further evaluation. The F1-score was 43.7% and balanced accuracy was 61.0%.</w:t>
      </w:r>
    </w:p>
    <w:p>
      <w:pPr>
        <w:spacing w:after="0" w:before="0" w:line="480" w:lineRule="auto"/>
        <w:ind w:firstLine="720"/>
        <w:jc w:val="both"/>
      </w:pPr>
      <w:r>
        <w:rPr>
          <w:rFonts w:ascii="Times New Roman" w:cs="Times New Roman" w:eastAsia="Times New Roman" w:hAnsi="Times New Roman"/>
          <w:sz w:val="22"/>
          <w:szCs w:val="22"/>
        </w:rPr>
        <w:t xml:space="preserve">The negative predictive value (NPV = 91.3%) is particularly relevant from a practical standpoint: when the perpetration classifier assigns a negative classification, this judgement is correct in more than 9 out of every 10 cases. In a screening context, this means the system can be used not only to identify adolescents who may warrant further assessment, but also to help professionals deprioritise adolescents who appear less likely to be involved in perpetration, enabling more efficient use of professional attention and intervention resources.</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Perpetration Classifier?</w:t>
      </w:r>
    </w:p>
    <w:p>
      <w:pPr>
        <w:spacing w:after="0" w:before="0" w:line="480" w:lineRule="auto"/>
        <w:ind w:firstLine="720"/>
        <w:jc w:val="both"/>
      </w:pPr>
      <w:r>
        <w:rPr>
          <w:rFonts w:ascii="Times New Roman" w:cs="Times New Roman" w:eastAsia="Times New Roman" w:hAnsi="Times New Roman"/>
          <w:sz w:val="22"/>
          <w:szCs w:val="22"/>
        </w:rPr>
        <w:t xml:space="preserve">Unlike the victimization classifier, the perpetration neural network draws on information distributed across multiple composite dimensions simultaneously, without any single dimension dominating the classification. A permutation importance analysis—which measured how much recall decreased when the information in each dimension was independently disrupted—identified the following predictor domains as most relevant to perpetration risk: household composition and family structure; running away from home or a residential care setting; age (with perpetration risk appearing to peak in mid-adolescence, consistent with age–crime curve research); ethnic minority background; pornography use; variability in perceived social support (reflecting inconsistency in available support, not only its average level); frequency of alcohol use; and instability in self-efficacy (reflecting a fluctuating sense of personal agency and capacity for self-regulation).</w:t>
      </w:r>
    </w:p>
    <w:p>
      <w:pPr>
        <w:spacing w:after="0" w:before="0" w:line="480" w:lineRule="auto"/>
        <w:ind w:firstLine="720"/>
        <w:jc w:val="both"/>
      </w:pPr>
      <w:r>
        <w:rPr>
          <w:rFonts w:ascii="Times New Roman" w:cs="Times New Roman" w:eastAsia="Times New Roman" w:hAnsi="Times New Roman"/>
          <w:sz w:val="22"/>
          <w:szCs w:val="22"/>
        </w:rPr>
        <w:t xml:space="preserve">Several of these predictors also appeared in the victimization classifier—particularly household composition, running away behaviour, and perceived social support—suggesting that a shared vulnerability core underlies both roles, consistent with the victim–offender overlap literature (Berg &amp; Mulford, 2020; Jennings et al., 2012). At the same time, pornography use, self-efficacy instability, and alcohol consumption appear more specifically in the perpetration predictor profile. This pattern suggests that behavioural and self-regulatory factors may play a relatively more distinctive role in perpetration pathways, over and above the structural and contextual risk factors shared with victimization.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Detecting Dual-Role Adolescents: The Victim–Perpetrator Overlap</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For the victim–perpetrator overlap, two detection strategies were developed and systematically compared. The first was a conjunctive rule (Smart AND): an adolescent was flagged as a dual-risk case only when both the victimization classifier and the perpetration classifier independently produced a positive prediction. This approach requires no additional model training and preserves the conceptual definition of overlap as the intersection of the two individual outcome groups. The second was an independent classifier—a dedicated neural network trained directly on the dual-role outcome, treating victim–perpetrator overlap as its own prediction target. This approach does not assume that the overlap group's predictor profile is simply the intersection of the victimization and perpetration profiles; instead, it allows the model to learn the specific pattern of characteristics that distinguishes dual-role adolescents from non-overlapping cases. Both approaches were evaluated on a shared test partition stratified by the joint victim–perpetrator profile, ensuring that all four possible role combinations (neither role, victimization only, perpetration only, both roles simultaneously) were proportionally represented.</w:t>
      </w:r>
    </w:p>
    <w:p>
      <w:pPr>
        <w:spacing w:after="0" w:before="0" w:line="480" w:lineRule="auto"/>
        <w:ind w:firstLine="720"/>
        <w:jc w:val="both"/>
      </w:pPr>
      <w:r>
        <w:rPr>
          <w:rFonts w:ascii="Times New Roman" w:cs="Times New Roman" w:eastAsia="Times New Roman" w:hAnsi="Times New Roman"/>
          <w:sz w:val="22"/>
          <w:szCs w:val="22"/>
        </w:rPr>
        <w:t xml:space="preserve">Table 4 presents the comparison. At comparable recall levels—79.8% for the independent classifier versus 80.9% for the Smart AND rule—the dedicated neural network outperformed the conjunctive rule on every other metric: specificity (56.0% vs. 43.8%), precision (29.7% vs. 25.1%), negative predictive value (92.2% vs. 90.8%), F1-score (43.3% vs. 38.3%), balanced accuracy (67.9% vs. 62.4%), and overall accuracy (60.5% vs. 50.8%). The consistent and meaningful advantage across multiple indicators—while maintaining equivalent recall—suggests that the overlap group possesses a distinctive predictor signature that is not fully captured by the intersection of the victimization and perpetration profiles alone. The independent neural network was therefore selected as the final overlap classifier.</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4. Overlap Detection Strategy Comparison</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Approach</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 independent classifier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79.8%</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29.7%</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92.2%</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67.9%</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conjunctive rule</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Note. Both strategies were evaluated on the same shared test partition, stratified by the joint victim–perpetrator profile (four strata). Recall was maintained at comparable levels (~80%) to allow a fair comparison of all other metrics. The selected approach (Neural Network — independent classifier)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Dual-Role Adolescents?</w:t>
      </w:r>
    </w:p>
    <w:p>
      <w:pPr>
        <w:spacing w:after="0" w:before="0" w:line="480" w:lineRule="auto"/>
        <w:ind w:firstLine="720"/>
        <w:jc w:val="both"/>
      </w:pPr>
      <w:r>
        <w:rPr>
          <w:rFonts w:ascii="Times New Roman" w:cs="Times New Roman" w:eastAsia="Times New Roman" w:hAnsi="Times New Roman"/>
          <w:sz w:val="22"/>
          <w:szCs w:val="22"/>
        </w:rPr>
        <w:t xml:space="preserve">The independent overlap classifier correctly identified 142 out of 178 adolescents with confirmed dual-role involvement—a recall of 79.8%—meaning that approximately 8 out of every 10 dual-role adolescents were correctly flagged. The 36 adolescents who were missed (false negatives) represent dual-role cases that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764 adolescents without dual-role involvement, 428 were correctly classified as non-overlap cases (specificity = 56.0%), while 336 received a false positive classification. Precision was 29.7%, meaning that roughly 3 in every 10 adolescents flagged by the overlap classifier have confirmed dual-role status; the remaining flagged cases would require further evaluation to confirm their status. The negative predictive value (NPV = 92.2%) indicates that when the overlap classifier assigns a negative classification, this judgement is correct in approximately 9 out of every 10 cases—a level of reliability that may be practically useful for deprioritising adolescents who appear unlikely to present dual-role involvement. The F1-score was 43.3% and balanced accuracy was 67.9%.</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Overlap Classifier?</w:t>
      </w:r>
    </w:p>
    <w:p>
      <w:pPr>
        <w:spacing w:after="0" w:before="0" w:line="480" w:lineRule="auto"/>
        <w:ind w:firstLine="720"/>
        <w:jc w:val="both"/>
      </w:pPr>
      <w:r>
        <w:rPr>
          <w:rFonts w:ascii="Times New Roman" w:cs="Times New Roman" w:eastAsia="Times New Roman" w:hAnsi="Times New Roman"/>
          <w:sz w:val="22"/>
          <w:szCs w:val="22"/>
        </w:rPr>
        <w:t xml:space="preserve">The overlap neural network draws on a predictor profile that reflects characteristics from both the victimization and perpetration domains, while also capturing patterns that appear more specific to dual-role adolescents. Shared predictors—appearing prominently in both individual classifiers—include household composition and family structure, running away from home or a residential care setting, ethnic minority background, and both the level and consistency of perceived social support. The presence of this shared core across all three classifiers is consistent with theoretical accounts that characterise dual-role adolescents as individuals who simultaneously occupy positions of structural vulnerability and behavioural risk (Berg &amp; Mulford, 2020; Falla et al., 2020). At the same time, the independent classifier's improved specificity and precision—relative to the conjunctive Smart AND rule—suggests that it captures additional nuances in the dual-role predictor profile: the combination and intensity of risk factors within a single individual may carry more predictive information than the simple co-occurrence of victimization and perpetration risk flags. This finding is consistent with theoretical frameworks emphasising that the victim–perpetrator overlap is not merely the statistical intersection of two independent risk processes, but a distinct phenomenon with its own developmental and contextual determinants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Overall Performance: What the Framework Offers in Practice</w:t>
      </w:r>
    </w:p>
    <w:p>
      <w:pPr>
        <w:spacing w:after="0" w:before="0" w:line="480" w:lineRule="auto"/>
        <w:ind w:firstLine="720"/>
        <w:jc w:val="both"/>
      </w:pPr>
      <w:r>
        <w:rPr>
          <w:rFonts w:ascii="Times New Roman" w:cs="Times New Roman" w:eastAsia="Times New Roman" w:hAnsi="Times New Roman"/>
          <w:sz w:val="22"/>
          <w:szCs w:val="22"/>
        </w:rPr>
        <w:t xml:space="preserve">Considered together, the results indicate that the three-classifier framework demonstrates a consistent and practically relevant screening profile across all outcomes assessed. In all three cases, the models achieved recall rates of 80–91%—meaning that between 8 and 9 out of every 10 adolescents at genuine risk were correctly flagged for further attention. This level of sensitivity is appropriate for a preventive screening application, where the primary concern is avoiding the omission of adolescents meeting the outcome criteria, rather than maximising the proportion of correct classifications overall.</w:t>
      </w:r>
    </w:p>
    <w:p>
      <w:pPr>
        <w:spacing w:after="0" w:before="0" w:line="480" w:lineRule="auto"/>
        <w:ind w:firstLine="720"/>
        <w:jc w:val="both"/>
      </w:pPr>
      <w:r>
        <w:rPr>
          <w:rFonts w:ascii="Times New Roman" w:cs="Times New Roman" w:eastAsia="Times New Roman" w:hAnsi="Times New Roman"/>
          <w:sz w:val="22"/>
          <w:szCs w:val="22"/>
        </w:rPr>
        <w:t xml:space="preserve">This recall-oriented profile is accompanied by comparatively lower precision, particularly for perpetration and the victim–perpetrator overlap, reflecting the fact that a substantial proportion of flagged adolescents will not meet full risk criteria upon in-depth clinical evaluation. This trade-off is expected and accepted within a screening framework: positive classifications are intended to function as prioritisation alerts—signals that warrant closer professional attention and further assessment—rather than as definitive determinations of risk status. Practitioners should therefore treat a positive classification from this system as the beginning of a clinical inquiry, not its conclusion.</w:t>
      </w:r>
    </w:p>
    <w:p>
      <w:pPr>
        <w:spacing w:after="0" w:before="0" w:line="480" w:lineRule="auto"/>
        <w:ind w:firstLine="720"/>
        <w:jc w:val="both"/>
      </w:pPr>
      <w:r>
        <w:rPr>
          <w:rFonts w:ascii="Times New Roman" w:cs="Times New Roman" w:eastAsia="Times New Roman" w:hAnsi="Times New Roman"/>
          <w:sz w:val="22"/>
          <w:szCs w:val="22"/>
        </w:rPr>
        <w:t xml:space="preserve">Two additional properties of the framework merit particular attention from a practical standpoint. First, the high negative predictive values across all three outcomes—NPV = 72.8% for victimization, 91.3% for perpetration, and 92.2% for the victim–perpetrator overlap—indicate that negative classifications carry a substantial degree of reliability, particularly for perpetration and overlap. When the system assigns a negative classification for these two outcomes, this judgement is correct in more than 9 out of 10 cases. This means the framework is useful not only for identifying which adolescents may need further evaluation, but also for helping professionals deprioritise adolescents who appear less likely to be involved—a property that may support more efficient allocation of professional resources in large educational or community settings, where universal in-depth assessment is rarely feasible.</w:t>
      </w:r>
    </w:p>
    <w:p>
      <w:pPr>
        <w:spacing w:after="0" w:before="0" w:line="480" w:lineRule="auto"/>
        <w:ind w:firstLine="720"/>
        <w:jc w:val="both"/>
      </w:pPr>
      <w:r>
        <w:rPr>
          <w:rFonts w:ascii="Times New Roman" w:cs="Times New Roman" w:eastAsia="Times New Roman" w:hAnsi="Times New Roman"/>
          <w:sz w:val="22"/>
          <w:szCs w:val="22"/>
        </w:rPr>
        <w:t xml:space="preserve">Second, all three models generate a continuous probability score for each adolescent, rather than a simple binary flag. This score reflects the estimated likelihood that a given adolescent meets the criteria for each outcome, based on their overall predictor profile. Practitioners can use these scores to rank adolescents by estimated risk level, applying different response protocols according to this ranking: those with the highest estimated probabilities could be prioritised for immediate referral or assessment, while those with intermediate scores might be monitored over time. This tiered approach extends the practical utility of the framework beyond the application of a fixed alert threshold, allowing for more flexible and resource-sensitive deployment in real-world prevention settings.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Complementary Analysis: Identifying Subgroups of At-Risk Adolescents</w:t>
      </w:r>
    </w:p>
    <w:p>
      <w:pPr>
        <w:spacing w:after="0" w:before="0" w:line="480" w:lineRule="auto"/>
        <w:ind w:firstLine="720"/>
        <w:jc w:val="both"/>
      </w:pPr>
      <w:r>
        <w:rPr>
          <w:rFonts w:ascii="Times New Roman" w:cs="Times New Roman" w:eastAsia="Times New Roman" w:hAnsi="Times New Roman"/>
          <w:sz w:val="22"/>
          <w:szCs w:val="22"/>
        </w:rPr>
        <w:t xml:space="preserve">To complement the supervised classification approach and explore the heterogeneity of risk profiles within the sample, an exploratory cluster analysis was conducted separately for victimized adolescents and for perpetrating adolescents. Rather than using the global psychosocial and contextual predictors employed in the classifiers, this analysis was conducted directly on the item-level responses from the victimization and perpetration batteries, allowing the identification of subgroups based on the specific types and combinations of violence each adolescent had experienced or perpetrated. The goal was not to classify new cases, but to describe the diversity of risk profiles within each group—an important complement to the binary classification framework, as it can reveal that the concepts of 'victim' and 'perpetrator' are not homogeneous categories but encompass adolescents with markedly different patterns of involvement.</w:t>
      </w:r>
    </w:p>
    <w:p>
      <w:pPr>
        <w:spacing w:after="0" w:before="0" w:line="480" w:lineRule="auto"/>
        <w:ind w:firstLine="720"/>
        <w:jc w:val="both"/>
      </w:pPr>
      <w:r>
        <w:rPr>
          <w:rFonts w:ascii="Times New Roman" w:cs="Times New Roman" w:eastAsia="Times New Roman" w:hAnsi="Times New Roman"/>
          <w:sz w:val="22"/>
          <w:szCs w:val="22"/>
        </w:rPr>
        <w:t xml:space="preserve">For each analysis, the optimal grouping solution was identified through an iterative search combining two complementary methods. First, a non-linear dimensionality reduction technique (UMAP) was applied to project the high-dimensional item response data into a two-dimensional space that preserves both local similarity and global structure. Second, a density-based clustering algorithm (DBSCAN) was used to identify groups of similar adolescents within this representation, without requiring the number of groups to be fixed in advance. This approach was preferred over classical hierarchical or k-means methods because it makes no assumptions about the shape or size of the clusters and can identify cases that do not fit cleanly into any group—often the most clinically interesting cases. Ninety different parameter configurations were evaluated for the victim analysis and 160 for the perpetrator analysis; each solution was assessed using the silhouette coefficient, a measure of how clearly separated the resulting groups are, ranging from 0 (no separation) to 1 (perfect separation). Values above 0.70 are generally considered to indicate well-separated, meaningful groupings (Rousseeuw, 1987).</w:t>
      </w:r>
    </w:p>
    <w:p>
      <w:pPr>
        <w:spacing w:after="0" w:before="0" w:line="480" w:lineRule="auto"/>
        <w:ind w:firstLine="720"/>
        <w:jc w:val="both"/>
      </w:pPr>
      <w:r>
        <w:rPr>
          <w:rFonts w:ascii="Times New Roman" w:cs="Times New Roman" w:eastAsia="Times New Roman" w:hAnsi="Times New Roman"/>
          <w:sz w:val="22"/>
          <w:szCs w:val="22"/>
        </w:rPr>
        <w:t xml:space="preserve">The best victimization clustering solution yielded nine distinct subgroups (silhouette = 0.913), and the best perpetration solution yielded five subgroups (silhouette = 0.930), both indicating well-separated solutions according to this criterion. These findings are consistent with and extend the results of a complementary cluster analysis conducted on the same representative sample by Pereda and Guerra (2025), who applied a hierarchical clustering approach (Ward method, squared Euclidean distance) to total victimization and perpetration scores and identified four broad profiles: a large group with no violence experience (59.4%), a group reporting victimization only (32.0%), a group with polyvictimization and some perpetration (8.1%), and a small group characterised by polyvictimization and polyperpetration (0.5%). The finer-grained solution obtained in the present study—based on item-level patterns rather than aggregate scores—extends these findings by revealing internal heterogeneity within those broad profiles, while remaining consistent with their core structural observation: that victim–offender overlap is not uniformly distributed, but is concentrated in specific subgroups with elevated and diversified involvement across multiple forms of violence.</w:t>
      </w:r>
    </w:p>
    <w:p>
      <w:pPr>
        <w:spacing w:after="0" w:before="0" w:line="480" w:lineRule="auto"/>
        <w:ind w:firstLine="720"/>
        <w:jc w:val="both"/>
      </w:pPr>
      <w:r>
        <w:rPr>
          <w:rFonts w:ascii="Times New Roman" w:cs="Times New Roman" w:eastAsia="Times New Roman" w:hAnsi="Times New Roman"/>
          <w:sz w:val="22"/>
          <w:szCs w:val="22"/>
        </w:rPr>
        <w:t xml:space="preserve">A cross-tabulation analysis examined the overlap between cluster membership and outcome group status. Two findings are particularly noteworthy. Among victim clusters, Cluster 3 (n = 1,092) exhibited a perpetration rate of approximately 48%, compared to approximately 9% in Cluster 0 and a sample-wide perpetration prevalence of 23.5%. This means that within this specific subgroup of victimized adolescents, nearly one in two was also identified as a perpetrator—a rate approximately twice the sample-wide perpetration prevalence, and substantially higher than that observed in the lower-risk victim cluster. This pattern is consistent with the dual-role or bully-victim profile documented in both the victimization and criminological literatures (Beckley et al., 2018; Pereda &amp; Guerra, 2025) and suggests that for a substantial proportion of victimized adolescents, experiencing violence and perpetrating violence may be co-occurring rather than sequential phenomena. Among perpetrator clusters, Clusters 2 and 3 showed a victimization rate of approximately 89%—substantially higher than the sample-wide victimization prevalence of 49.4%—further supporting the existence of a high-overlap subgroup embedded within the broader perpetrating population.</w:t>
      </w:r>
    </w:p>
    <w:p>
      <w:pPr>
        <w:spacing w:after="0" w:before="0" w:line="480" w:lineRule="auto"/>
        <w:ind w:firstLine="720"/>
        <w:jc w:val="both"/>
      </w:pPr>
      <w:r>
        <w:rPr>
          <w:rFonts w:ascii="Times New Roman" w:cs="Times New Roman" w:eastAsia="Times New Roman" w:hAnsi="Times New Roman"/>
          <w:sz w:val="22"/>
          <w:szCs w:val="22"/>
        </w:rPr>
        <w:t xml:space="preserve">These findings should be interpreted with appropriate caution. The cluster analysis is exploratory and post-hoc; the groupings represent patterns observed in the data and should not be interpreted as diagnostic or clinically validated categories. The high within-cluster overlap rates reflect statistical tendencies across groups of adolescents and should not be used to make determinations about any individual case. Moreover, the clusters were derived from victimization and perpetration item responses, not from the global psychosocial and contextual predictors used in the classifiers; the two analyses therefore capture different aspects of adolescent risk. Nevertheless, the identification of subgroups with markedly elevated overlap rates may help inform the design of targeted intervention programmes and supports the importance of assessing both victimization and perpetration experiences together rather than in isolation when working with adolescents in educational or clinical settings.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5. Top Contributing Predictors by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Victimization (Decision Tree)</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Perpetration (Neural Network)</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Shared</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Sexual orientation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Age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Mother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Pornography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Country of origin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Variability in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Step-parent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Frequency of alcohol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Mean 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Instability in self-efficacy</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Note. Variable importance estimated via feature_importances_ (Decision Tree, victimization) and permutation importance based on recall drop averaged across 10 repetitions (Neural Network, perpetration). Scores were back-projected from the PCA component space to the original predictor space via the loading matrix. Labels are simplified descriptive names of the original variables; they do not imply causal or protective interpretations. ✓ = predictor appears among the top 10 for both outcomes.</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RESULTADOS</w:t>
      </w:r>
    </w:p>
    <w:p>
      <w:pPr>
        <w:spacing w:after="0" w:before="0" w:line="480" w:lineRule="auto"/>
        <w:ind w:firstLine="720"/>
        <w:jc w:val="both"/>
      </w:pPr>
      <w:r>
        <w:rPr>
          <w:rFonts w:ascii="Times New Roman" w:cs="Times New Roman" w:eastAsia="Times New Roman" w:hAnsi="Times New Roman"/>
          <w:sz w:val="22"/>
          <w:szCs w:val="22"/>
        </w:rPr>
        <w:t xml:space="preserve">El estudio examinó si factores globales psicosociales, de estilo de vida y contextuales podían emplearse para identificar a adolescentes con perfiles predictores asociados a la victimización, la perpetración y el solapamiento víctima–perpetrador, utilizando un sistema de tres clasificadores especializados aplicado a una muestra representativa de base comunitaria (n = 4.024; muestra analítica tras el filtrado de calidad de datos: n = 3.767). De la muestra analítica, 1.861 adolescentes (49,4%) habían experimentado al menos una forma de victimización durante los doce meses anteriores, 885 (23,5%) habían perpetrado al menos una forma de violencia, y 719 (19,1%) cumplían criterios de solapamiento víctima–perpetrador, es decir, habían experimentado victimización y cometido actos violentos de manera simultánea. Las secciones siguientes presentan los resultados en cinco partes: (1) el paso de organización de los datos aplicado antes del entrenamiento de los modelos; (2) el clasificador de victimización; (3) el clasificador de perpetración; (4) el clasificador de solapamiento víctima–perpetrador, incluyendo una comparación de dos estrategias de detección; y (5) un análisis clúster exploratorio complementario que examina subgrupos latentes de adolescentes con perfiles de riesgo diferenciados.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Organización de los Predictores: Un Paso de Preprocesamiento Común</w:t>
      </w:r>
    </w:p>
    <w:p>
      <w:pPr>
        <w:spacing w:after="0" w:before="0" w:line="480" w:lineRule="auto"/>
        <w:ind w:firstLine="720"/>
        <w:jc w:val="both"/>
      </w:pPr>
      <w:r>
        <w:rPr>
          <w:rFonts w:ascii="Times New Roman" w:cs="Times New Roman" w:eastAsia="Times New Roman" w:hAnsi="Times New Roman"/>
          <w:sz w:val="22"/>
          <w:szCs w:val="22"/>
        </w:rPr>
        <w:t xml:space="preserve">Antes de construir los modelos de clasificación, las 27 variables predictoras fueron reorganizadas matemáticamente en un conjunto más reducido de dimensiones compuestas mediante una técnica conocida como Análisis de Componentes Principales (ACP). El objetivo de este paso es reducir la redundancia entre variables —muchas de las cuales están naturalmente correlacionadas entre sí— y crear una entrada más compacta y estadísticamente estable para los clasificadores. En términos prácticos, el ACP identifica los principales patrones de covariación en el conjunto de predictores y los recombina en un número menor de dimensiones independientes, cada una de las cuales captura una fuente distinta de variabilidad. Los tres clasificadores utilizaron el mismo pipeline de preprocesamiento —normalización con MinMaxScaler seguida de centrado de medias y ACP— aplicado de forma independiente a la partición de entrenamiento de cada modelo: la solución de ACP de cada modelo se derivó exclusivamente de los datos de entrenamiento de ese modelo y se aplicó posteriormente a la partición de evaluación correspondiente, garantizando que ninguna información de la muestra de evaluación influyera en el proceso de construcción del modelo. Los componentes retenidos preservaron aproximadamente el 95% de la varianza del conjunto de predictores original: se retuvieron 18 dimensiones para el modelo de victimización y 22 para el de perpetración; el clasificador de solapamiento aplicó el mismo criterio del 95% de varianza a su propia partición de entrenamiento, obteniendo un número comparable de componentes retenidos. Este ACP específico para cada modelo garantiza que las dimensiones compuestas estén optimizadas para los datos de entrenamiento de cada outcome de forma independiente.</w:t>
      </w:r>
    </w:p>
    <w:p>
      <w:pPr>
        <w:spacing w:after="0" w:before="0" w:line="480" w:lineRule="auto"/>
        <w:ind w:firstLine="720"/>
        <w:jc w:val="both"/>
      </w:pPr>
      <w:r>
        <w:rPr>
          <w:rFonts w:ascii="Times New Roman" w:cs="Times New Roman" w:eastAsia="Times New Roman" w:hAnsi="Times New Roman"/>
          <w:sz w:val="22"/>
          <w:szCs w:val="22"/>
        </w:rPr>
        <w:t xml:space="preserve">La estructura de estas dimensiones compuestas reveló cuatro tipos principales de variabilidad que se repitieron en múltiples componentes, y que ofrecen un mapa conceptual útil del panorama de riesgo capturado por los predictores.</w:t>
      </w:r>
    </w:p>
    <w:p>
      <w:pPr>
        <w:spacing w:after="0" w:before="0" w:line="480" w:lineRule="auto"/>
        <w:ind w:firstLine="720"/>
        <w:jc w:val="both"/>
      </w:pPr>
      <w:r>
        <w:rPr>
          <w:rFonts w:ascii="Times New Roman" w:cs="Times New Roman" w:eastAsia="Times New Roman" w:hAnsi="Times New Roman"/>
          <w:sz w:val="22"/>
          <w:szCs w:val="22"/>
        </w:rPr>
        <w:t xml:space="preserve">El tipo más prominente correspondía a la composición del hogar y la estructura familiar. El patrón de convivencia del adolescente —ya sea con ambos progenitores, con uno solo, con otros familiares, con un padrastro o madrastra, o en un entorno de acogida alternativo— apareció consistentemente entre las fuentes de variabilidad más influyentes en múltiples componentes. Esto sugiere que la estructura familiar es uno de los ejes centrales a partir de los cuales se organiza la vulnerabilidad adolescente en esta muestra, un hallazgo coherente con la literatura sobre victimización y delincuencia juvenil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El segundo tipo comprendía factores de riesgo conductuales y de estilo de vida. El consumo de alcohol, el consumo de pornografía y la conducta de fuga del hogar o de un centro de acogida contribuyeron sustancialmente a varias dimensiones. La conducta de fuga fue especialmente relevante, ya que apareció en múltiples componentes independientes, lo que sugiere que funciona como un indicador amplio de vulnerabilidad más que como un riesgo puntual y acotado. Este hallazgo es coherente con la evidencia de que las fugas son simultáneamente una respuesta a situaciones de victimización en curso y una puerta de entrada a nuevos entornos de riesgo (Kaufman &amp; Widom, 1999).</w:t>
      </w:r>
    </w:p>
    <w:p>
      <w:pPr>
        <w:spacing w:after="0" w:before="0" w:line="480" w:lineRule="auto"/>
        <w:ind w:firstLine="720"/>
        <w:jc w:val="both"/>
      </w:pPr>
      <w:r>
        <w:rPr>
          <w:rFonts w:ascii="Times New Roman" w:cs="Times New Roman" w:eastAsia="Times New Roman" w:hAnsi="Times New Roman"/>
          <w:sz w:val="22"/>
          <w:szCs w:val="22"/>
        </w:rPr>
        <w:t xml:space="preserve">El tercer tipo reflejaba recursos y vulnerabilidades psicosociales. El apoyo social percibido, la autoeficacia, la impulsividad y las emociones morales contribuyeron a los componentes retenidos. Un aspecto destacado de este dominio es que tanto los niveles medios como la variabilidad intraindividual de estas características quedaron representados: no solo cuánto apoyo social o autoeficacia declara un adolescente, sino también en qué medida estos recursos se mantienen estables o fluctúan en los distintos ámbitos de su vida. Esto sugiere que la inestabilidad en el funcionamiento psicosocial puede aportar información predictiva independiente, más allá de los niveles medios.</w:t>
      </w:r>
    </w:p>
    <w:p>
      <w:pPr>
        <w:spacing w:after="0" w:before="0" w:line="480" w:lineRule="auto"/>
        <w:ind w:firstLine="720"/>
        <w:jc w:val="both"/>
      </w:pPr>
      <w:r>
        <w:rPr>
          <w:rFonts w:ascii="Times New Roman" w:cs="Times New Roman" w:eastAsia="Times New Roman" w:hAnsi="Times New Roman"/>
          <w:sz w:val="22"/>
          <w:szCs w:val="22"/>
        </w:rPr>
        <w:t xml:space="preserve">El cuarto tipo estaba formado por las características demográficas, incluyendo el género, la orientación sexual, el país de origen y el origen étnico, que explicaron una proporción notable de la variabilidad entre personas. Estas variables capturan probablemente tanto la exposición diferencial a entornos de riesgo como la vulnerabilidad asociada a la pertenencia a grupos minoritarios y al estrés social vinculado a dicha pertenencia.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Tabla 1. Rendimiento Clasificatorio del Sistema de Tres Clasificadores</w:t>
      </w:r>
    </w:p>
    <w:p>
      <w:pPr>
        <w:spacing w:after="240" w:before="120" w:line="240" w:lineRule="auto"/>
      </w:pPr>
      <w:r>
        <w:rPr>
          <w:rFonts w:ascii="Times New Roman" w:cs="Times New Roman" w:eastAsia="Times New Roman" w:hAnsi="Times New Roman"/>
          <w:i/>
          <w:iCs/>
          <w:sz w:val="20"/>
          <w:szCs w:val="20"/>
        </w:rPr>
        <w:t xml:space="preserve">Nota. Todas las métricas de rendimiento se evaluaron en particiones de evaluación reservadas no utilizadas durante el entrenamiento; los conteos (VP, FP, VN, FN) reflejan la composición de estas particiones de evaluación y no representan la prevalencia en la muestra analítica completa (n = 3.767). †Los resultados de Victimización y Perpetración se basan en particiones de evaluación específicas para cada outcome (25% de la muestra, estratificadas por el outcome correspondiente; n = 942 por partición). El clasificador de victimización tiene como objetivo el criterio de victimización amplio (cualquier forma de victimización; 49,4% de la muestra analítica); el clasificador de perpetración tiene como objetivo cualquier forma de perpetración (23,5%). ‡Los resultados de Solapamiento se basan en una partición de evaluación compartida estratificada por el perfil víctima–perpetrador conjunto (cuatro estratos; n = 942); el clasificador de solapamiento tiene como objetivo a los adolescentes que cumplen ambos criterios simultáneamente (19,1% de la muestra analítica). Recall (sensibilidad) = proporción de casos positivos reales correctamente identificados. Especificidad = proporción de casos negativos reales correctamente clasificados. Precisión (VPP) = proporción de clasificaciones positivas que son casos genuinos. VPN = proporción de clasificaciones negativas que son no-casos genuinos. Exactitud balanceada = media de recall y especificidad.</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
balanceada</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(Sensibilidad)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
(Acierto)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(Falsa
alarma)</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VN
(Rechazo
correcto)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(Omisión)</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Solapamiento‡</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79,8%</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29,7%</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Clasificador de Victimización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identificar el enfoque más adecuado para detectar adolescentes victimizados, se entrenaron y evaluaron cinco algoritmos de clasificación distintos sobre el mismo conjunto de predictores transformado mediante ACP: un árbol de decisión podado, un modelo de regresión logística con corrección del desequilibrio de clases, un bosque aleatorio, gradient boosting y una variante basada en histogramas de gradient boosting. Dado que el objetivo principal era desarrollar una herramienta de cribado para entornos orientados a la prevención —donde omitir a un adolescente genuinamente victimizado tiene consecuencias más graves que generar una alerta innecesaria— el criterio principal de selección fue el recall (sensibilidad). Todos los modelos fueron evaluados en múltiples umbrales de decisión, y la Tabla 2 presenta el rendimiento en el punto operativo en el que cada modelo alcanzaba al menos el 90% de recall.</w:t>
      </w:r>
    </w:p>
    <w:p>
      <w:pPr>
        <w:spacing w:after="0" w:before="0" w:line="480" w:lineRule="auto"/>
        <w:ind w:firstLine="720"/>
        <w:jc w:val="both"/>
      </w:pPr>
      <w:r>
        <w:rPr>
          <w:rFonts w:ascii="Times New Roman" w:cs="Times New Roman" w:eastAsia="Times New Roman" w:hAnsi="Times New Roman"/>
          <w:sz w:val="22"/>
          <w:szCs w:val="22"/>
        </w:rPr>
        <w:t xml:space="preserve">Aunque los modelos de tipo ensemble más complejos mostraron una capacidad discriminativa global ligeramente superior, ninguno ofreció una mejora sustancial en sensibilidad, control de falsos positivos o equilibrio general de rendimiento en el punto operativo objetivo. El árbol de decisión podado fue por tanto seleccionado como clasificador final de victimización. Su principal ventaja práctica radica en una mayor transparencia: a diferencia de los algoritmos más complejos, un árbol de decisión podado clasifica a los adolescentes mediante un conjunto reducido de reglas de decisión explícitas que pueden inspeccionarse y comprenderse con mayor facilidad, sin necesidad de conocimientos especializados en aprendizaje automático.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2. Comparación de Modelos — Clasificador de Victimización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Árbol de decisión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Nota. Cada umbral fue seleccionado de forma independiente para cada modelo con el objetivo de alcanzar un recall mínimo del 90%. AUC-PR = área bajo la curva precisión-recall. El modelo seleccionado (árbol de decisión)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Victimizados?</w:t>
      </w:r>
    </w:p>
    <w:p>
      <w:pPr>
        <w:spacing w:after="0" w:before="0" w:line="480" w:lineRule="auto"/>
        <w:ind w:firstLine="720"/>
        <w:jc w:val="both"/>
      </w:pPr>
      <w:r>
        <w:rPr>
          <w:rFonts w:ascii="Times New Roman" w:cs="Times New Roman" w:eastAsia="Times New Roman" w:hAnsi="Times New Roman"/>
          <w:sz w:val="22"/>
          <w:szCs w:val="22"/>
        </w:rPr>
        <w:t xml:space="preserve">En la partición de evaluación, el clasificador de victimización identificó correctamente a 421 de los 465 adolescentes victimizados —un recall del 90,5%— lo que significa que aproximadamente 9 de cada 10 adolescentes victimizados recibieron una clasificación positiva. Los 44 adolescentes no detectados (falsos negativos) representan casos que el modelo no identificó, a pesar de cumplir los criterios de victimización.</w:t>
      </w:r>
    </w:p>
    <w:p>
      <w:pPr>
        <w:spacing w:after="0" w:before="0" w:line="480" w:lineRule="auto"/>
        <w:ind w:firstLine="720"/>
        <w:jc w:val="both"/>
      </w:pPr>
      <w:r>
        <w:rPr>
          <w:rFonts w:ascii="Times New Roman" w:cs="Times New Roman" w:eastAsia="Times New Roman" w:hAnsi="Times New Roman"/>
          <w:sz w:val="22"/>
          <w:szCs w:val="22"/>
        </w:rPr>
        <w:t xml:space="preserve">De los 477 adolescentes no victimizados presentes en la partición de evaluación, 118 fueron correctamente clasificados como casos no victimizados (especificidad = 24,7%), mientras que 359 recibieron una clasificación positiva sin haber experimentado victimización. Esto significa que, de cada 100 adolescentes identificados como en riesgo por el sistema, aproximadamente 54 son genuinamente víctimas (precisión = 54,0%), mientras que el resto requeriría una evaluación adicional. El valor predictivo negativo (VPN = 72,8%) indica que cuando el modelo asigna una clasificación negativa este juicio es correcto en aproximadamente 73 de cada 100 casos. La puntuación F1 fue de 67,6% y la exactitud balanceada alcanzó el 57,6%.</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Victimización?</w:t>
      </w:r>
    </w:p>
    <w:p>
      <w:pPr>
        <w:spacing w:after="0" w:before="0" w:line="480" w:lineRule="auto"/>
        <w:ind w:firstLine="720"/>
        <w:jc w:val="both"/>
      </w:pPr>
      <w:r>
        <w:rPr>
          <w:rFonts w:ascii="Times New Roman" w:cs="Times New Roman" w:eastAsia="Times New Roman" w:hAnsi="Times New Roman"/>
          <w:sz w:val="22"/>
          <w:szCs w:val="22"/>
        </w:rPr>
        <w:t xml:space="preserve">El árbol de decisión podado toma su decisión de clasificación basándose en una única regla derivada de una dimensión del ACP que refleja principalmente la composición del hogar —concretamente, el patrón de convivencia del adolescente—. Esta parsimonia extrema sugiere que, dentro del conjunto actual de predictores y la estrategia de modelización empleada, esta dimensión compuesta proporcionó la separación estadística más eficiente entre adolescentes victimizados y no victimizados. Este hallazgo no debe interpretarse de forma causal ni como una indicación de que la estructura familiar por sí sola explica la victimización; más bien, indica que esta dimensión proporcionó la mayor separación disponible para el modelo entre los componentes del ACP retenidos, dado el conjunto de variables incluidas y las restricciones del enfoque de modelización.</w:t>
      </w:r>
    </w:p>
    <w:p>
      <w:pPr>
        <w:spacing w:after="0" w:before="0" w:line="480" w:lineRule="auto"/>
        <w:ind w:firstLine="720"/>
        <w:jc w:val="both"/>
      </w:pPr>
      <w:r>
        <w:rPr>
          <w:rFonts w:ascii="Times New Roman" w:cs="Times New Roman" w:eastAsia="Times New Roman" w:hAnsi="Times New Roman"/>
          <w:sz w:val="22"/>
          <w:szCs w:val="22"/>
        </w:rPr>
        <w:t xml:space="preserve">Más allá de esta división principal, los dominios predictores más estrechamente asociados al riesgo de victimización —identificados mediante retroproyección de la estructura de componentes a las variables originales— son los siguientes. La composición del hogar y los arreglos de convivencia siguen siendo el dominio predictor más relevante. La conducta de fuga del hogar o de un centro de acogida aparece como el segundo contribuidor principal: este comportamiento refleja simultáneamente una respuesta a situaciones de abuso en curso y una puerta de entrada a entornos de mayor riesgo (Kaufman &amp; Widom, 1999). El origen étnico minoritario y la orientación sexual no heterosexual emergen como marcadores de mayor vulnerabilidad social y de mayor exposición a formas específicas de violencia dirigida. Finalmente, el apoyo social percibido bajo o inestable señala un acceso reducido a recursos protectores que de otro modo podrían amortiguar el riesgo de victimización.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Clasificador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outcome de perpetración se evaluaron cinco familias de modelos usando el mismo pipeline. Dado que la proporción de adolescentes que declararon haber perpetrado violencia era menor que la proporción que reportó victimización (23,5% frente al 49,4%), detectar correctamente a los verdaderos perpetradores resultó una tarea más exigente para todos los algoritmos, con un desequilibrio de clases más pronunciado. Al igual que para el clasificador de victimización, el recall fue el criterio principal de selección.</w:t>
      </w:r>
    </w:p>
    <w:p>
      <w:pPr>
        <w:spacing w:after="0" w:before="0" w:line="480" w:lineRule="auto"/>
        <w:ind w:firstLine="720"/>
        <w:jc w:val="both"/>
      </w:pPr>
      <w:r>
        <w:rPr>
          <w:rFonts w:ascii="Times New Roman" w:cs="Times New Roman" w:eastAsia="Times New Roman" w:hAnsi="Times New Roman"/>
          <w:sz w:val="22"/>
          <w:szCs w:val="22"/>
        </w:rPr>
        <w:t xml:space="preserve">Con el umbral de decisión estándar, las variantes de gradient boosting mostraron una exactitud global relativamente alta pero no lograron identificar suficientes perpetradores reales para alcanzar el objetivo de sensibilidad, por lo que fueron excluidas de la comparación posterior. Para los modelos restantes, la Tabla 3 presenta el rendimiento en el umbral que alcanzaba al menos el 90% de recall. La red neuronal compacta fue seleccionada como clasificador final de perpetración. Aunque la regresión logística y el bosque aleatorio alcanzaron un recall comparable reduciendo sustancialmente el umbral de decisión, la red neuronal ofreció un mejor equilibrio general entre sensibilidad y control de falsos positivos en su punto operativo estándar, y permitió posteriormente analizar las contribuciones de los predictores mediante un procedimiento de importancia por permutación.</w:t>
      </w:r>
    </w:p>
    <w:p>
      <w:pPr>
        <w:spacing w:after="0" w:before="0" w:line="480" w:lineRule="auto"/>
        <w:ind w:firstLine="720"/>
        <w:jc w:val="both"/>
      </w:pPr>
      <w:r>
        <w:rPr>
          <w:rFonts w:ascii="Times New Roman" w:cs="Times New Roman" w:eastAsia="Times New Roman" w:hAnsi="Times New Roman"/>
          <w:sz w:val="22"/>
          <w:szCs w:val="22"/>
        </w:rPr>
        <w:t xml:space="preserve">A diferencia de un árbol de decisión, una red neuronal no genera una regla de decisión legible directamente. Sus clasificaciones emergen de un gran número de pequeños ajustes aprendidos distribuidos a lo largo de una arquitectura computacional interna. Esto significa que el modelo resulta menos interpretable en términos directos, pero es capaz de detectar patrones más complejos que implican la interacción simultánea de múltiples factores de riesgo —patrones potencialmente relevantes dada la naturaleza más heterogénea de la perpetración.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3. Comparación de Modelos — Clasificador de Perpetración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Nota. Gradient Boosting e HistGradientBoosting no alcanzaron recall ≥ 90% en ningún umbral evaluado y se excluyen. AUC-PR = área bajo la curva precisión-recall. El modelo seleccionado (red neuronal)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Perpetradores?</w:t>
      </w:r>
    </w:p>
    <w:p>
      <w:pPr>
        <w:spacing w:after="0" w:before="0" w:line="480" w:lineRule="auto"/>
        <w:ind w:firstLine="720"/>
        <w:jc w:val="both"/>
      </w:pPr>
      <w:r>
        <w:rPr>
          <w:rFonts w:ascii="Times New Roman" w:cs="Times New Roman" w:eastAsia="Times New Roman" w:hAnsi="Times New Roman"/>
          <w:sz w:val="22"/>
          <w:szCs w:val="22"/>
        </w:rPr>
        <w:t xml:space="preserve">El clasificador de perpetración identificó correctamente a 199 de los 221 adolescentes que declararon haber perpetrado violencia —un recall del 90,0%— lo que significa que aproximadamente 9 de cada 10 perpetradores fueron identificados por el sistema. Los 22 adolescentes no detectados (falsos negativos) representan perpetradores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721 no perpetradores presentes en la partición de evaluación, 230 fueron correctamente clasificados como no perpetradores (especificidad = 31,9%), mientras que 491 recibieron una clasificación positiva incorrecta. La precisión fue del 28,8%, lo que significa que aproximadamente 3 de cada 10 adolescentes identificados como en riesgo son perpetradores reales; el resto requeriría una evaluación adicional. La puntuación F1 fue de 43,7% y la exactitud balanceada fue del 61,0%.</w:t>
      </w:r>
    </w:p>
    <w:p>
      <w:pPr>
        <w:spacing w:after="0" w:before="0" w:line="480" w:lineRule="auto"/>
        <w:ind w:firstLine="720"/>
        <w:jc w:val="both"/>
      </w:pPr>
      <w:r>
        <w:rPr>
          <w:rFonts w:ascii="Times New Roman" w:cs="Times New Roman" w:eastAsia="Times New Roman" w:hAnsi="Times New Roman"/>
          <w:sz w:val="22"/>
          <w:szCs w:val="22"/>
        </w:rPr>
        <w:t xml:space="preserve">El valor predictivo negativo (VPN = 91,3%) resulta especialmente relevante desde un punto de vista práctico: cuando el clasificador de perpetración asigna una clasificación negativa, este juicio es correcto en más de 9 de cada 10 casos. En un contexto de cribado, esto significa que el sistema puede utilizarse no solo para identificar a adolescentes que pueden requerir evaluación adicional, sino también para ayudar a los profesionales a desestimar a aquellos que parecen menos probables de estar implicados en actos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Perpetración?</w:t>
      </w:r>
    </w:p>
    <w:p>
      <w:pPr>
        <w:spacing w:after="0" w:before="0" w:line="480" w:lineRule="auto"/>
        <w:ind w:firstLine="720"/>
        <w:jc w:val="both"/>
      </w:pPr>
      <w:r>
        <w:rPr>
          <w:rFonts w:ascii="Times New Roman" w:cs="Times New Roman" w:eastAsia="Times New Roman" w:hAnsi="Times New Roman"/>
          <w:sz w:val="22"/>
          <w:szCs w:val="22"/>
        </w:rPr>
        <w:t xml:space="preserve">A diferencia del clasificador de victimización, la red neuronal de perpetración utiliza información distribuida en múltiples dimensiones compuestas de forma simultánea, sin que ninguna domine la clasificación. Un análisis de importancia por permutación —que midió cuánto disminuía el recall cuando la información de cada dimensión era perturbada de forma independiente— identificó los siguientes dominios predictores como más relevantes para el riesgo de perpetración: composición del hogar y estructura familiar; conducta de fuga del hogar o de un centro de acogida; edad (con el riesgo de perpetración que parece alcanzar su punto máximo en la adolescencia media); origen étnico minoritario; consumo de pornografía; variabilidad del apoyo social percibido; frecuencia del consumo de alcohol; e inestabilidad de la autoeficacia.</w:t>
      </w:r>
    </w:p>
    <w:p>
      <w:pPr>
        <w:spacing w:after="0" w:before="0" w:line="480" w:lineRule="auto"/>
        <w:ind w:firstLine="720"/>
        <w:jc w:val="both"/>
      </w:pPr>
      <w:r>
        <w:rPr>
          <w:rFonts w:ascii="Times New Roman" w:cs="Times New Roman" w:eastAsia="Times New Roman" w:hAnsi="Times New Roman"/>
          <w:sz w:val="22"/>
          <w:szCs w:val="22"/>
        </w:rPr>
        <w:t xml:space="preserve">Varios de estos predictores aparecieron también en el clasificador de victimización —especialmente la composición del hogar, la conducta de fuga y el apoyo social percibido— lo que sugiere que un núcleo de vulnerabilidad compartido subyace a ambos roles, en coherencia con la literatura sobre el solapamiento víctima–agresor (Berg &amp; Mulford, 2020; Jennings et al., 2012). Al mismo tiempo, el consumo de pornografía, la inestabilidad de la autoeficacia y el consumo de alcohol aparecen de forma más específica en el perfil predictor de perpetración. Este patrón sugiere que los factores conductuales y de autorregulación pueden desempeñar un papel relativamente más distintivo en las trayectorias de perpetración.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Detección de Adolescentes con Doble Rol: El Solapamiento Víctima–Perpetrador</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solapamiento víctima–perpetrador se desarrollaron y compararon sistemáticamente dos estrategias de detección. La primera fue una regla conjuntiva (Smart AND): un adolescente se identificaba como caso de riesgo dual únicamente cuando tanto el clasificador de victimización como el de perpetración producían de forma independiente una predicción positiva para ese individuo. Este enfoque no requiere entrenar ningún modelo adicional y preserva la definición conceptual del solapamiento como la intersección de los dos grupos de outcome individuales. La segunda fue un clasificador independiente —una red neuronal dedicada, entrenada directamente sobre el outcome de doble rol, tratando el solapamiento víctima–perpetrador como su propio objetivo de predicción—. Este enfoque no asume que el perfil predictor del grupo de solapamiento sea simplemente la intersección de los perfiles de victimización y perpetración; en cambio, permite al modelo aprender el patrón específico de características que distingue a los adolescentes de doble rol de los casos no solapados. Ambos enfoques se evaluaron en una partición de evaluación compartida estratificada por el perfil víctima–perpetrador conjunto, garantizando que las cuatro combinaciones de rol posibles estuvieran representadas proporcionalmente.</w:t>
      </w:r>
    </w:p>
    <w:p>
      <w:pPr>
        <w:spacing w:after="0" w:before="0" w:line="480" w:lineRule="auto"/>
        <w:ind w:firstLine="720"/>
        <w:jc w:val="both"/>
      </w:pPr>
      <w:r>
        <w:rPr>
          <w:rFonts w:ascii="Times New Roman" w:cs="Times New Roman" w:eastAsia="Times New Roman" w:hAnsi="Times New Roman"/>
          <w:sz w:val="22"/>
          <w:szCs w:val="22"/>
        </w:rPr>
        <w:t xml:space="preserve">La Tabla 4 presenta la comparación. Con niveles de recall equivalentes —79,8% para el clasificador independiente frente al 80,9% de la regla Smart AND— la red neuronal dedicada superó a la regla conjuntiva en todas las demás métricas: especificidad (56,0% frente a 43,8%), precisión (29,7% frente a 25,1%), valor predictivo negativo (92,2% frente a 90,8%), puntuación F1 (43,3% frente a 38,3%), exactitud balanceada (67,9% frente a 62,4%) y exactitud global (60,5% frente a 50,8%). La ventaja consistente y significativa en múltiples indicadores —manteniendo un recall equivalente— sugiere que el grupo de solapamiento posee una firma predictora distintiva que no queda completamente capturada por la simple intersección de los perfiles de victimización y perpetración. La red neuronal independiente fue por tanto seleccionada como clasificador final del solapamiento.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4. Comparación de Estrategias de Detección del Solapamiento</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Enfoque</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 clasificador independiente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79,8%</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29,7%</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92,2%</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67,9%</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regla conjuntiva</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Nota. Ambas estrategias se evaluaron en la misma partición de evaluación compartida, estratificada por el perfil víctima–perpetrador conjunto (cuatro estratos). El recall se mantuvo en niveles equivalentes (~80%) para permitir una comparación justa de las demás métricas. El enfoque seleccionado (red neuronal — clasificador independiente)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con Doble Rol?</w:t>
      </w:r>
    </w:p>
    <w:p>
      <w:pPr>
        <w:spacing w:after="0" w:before="0" w:line="480" w:lineRule="auto"/>
        <w:ind w:firstLine="720"/>
        <w:jc w:val="both"/>
      </w:pPr>
      <w:r>
        <w:rPr>
          <w:rFonts w:ascii="Times New Roman" w:cs="Times New Roman" w:eastAsia="Times New Roman" w:hAnsi="Times New Roman"/>
          <w:sz w:val="22"/>
          <w:szCs w:val="22"/>
        </w:rPr>
        <w:t xml:space="preserve">El clasificador de solapamiento independiente identificó correctamente a 142 de los 178 adolescentes con implicación dual confirmada —un recall del 79,8%— lo que significa que aproximadamente 8 de cada 10 adolescentes de doble rol fueron correctamente identificados. Los 36 adolescentes no detectados (falsos negativos) representan casos de doble rol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764 adolescentes sin implicación dual, 428 fueron correctamente clasificados como casos no solapados (especificidad = 56,0%), mientras que 336 recibieron una clasificación positiva incorrecta. La precisión fue del 29,7%, lo que significa que aproximadamente 3 de cada 10 adolescentes identificados por el clasificador de solapamiento presentan un estatus de doble rol confirmado; los casos identificados restantes requerirían una evaluación adicional para confirmar su estatus. El valor predictivo negativo (VPN = 92,2%) indica que cuando el clasificador de solapamiento asigna una clasificación negativa, este juicio es correcto en aproximadamente 9 de cada 10 casos. La puntuación F1 fue de 43,3% y la exactitud balanceada fue del 67,9%.</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Solapamiento?</w:t>
      </w:r>
    </w:p>
    <w:p>
      <w:pPr>
        <w:spacing w:after="0" w:before="0" w:line="480" w:lineRule="auto"/>
        <w:ind w:firstLine="720"/>
        <w:jc w:val="both"/>
      </w:pPr>
      <w:r>
        <w:rPr>
          <w:rFonts w:ascii="Times New Roman" w:cs="Times New Roman" w:eastAsia="Times New Roman" w:hAnsi="Times New Roman"/>
          <w:sz w:val="22"/>
          <w:szCs w:val="22"/>
        </w:rPr>
        <w:t xml:space="preserve">La red neuronal de solapamiento utiliza un perfil predictor que refleja características tanto del dominio de la victimización como de la perpetración, al tiempo que captura patrones que parecen más específicos de los adolescentes de doble rol. Los predictores compartidos —que aparecen de forma prominente en ambos clasificadores individuales— incluyen la composición del hogar y la estructura familiar, la conducta de fuga del hogar o de un centro de acogida, el origen étnico minoritario, y tanto el nivel como la consistencia del apoyo social percibido. La presencia de este núcleo compartido en los tres clasificadores es coherente con los modelos teóricos que caracterizan a los adolescentes de doble rol como individuos que ocupan simultáneamente posiciones de vulnerabilidad estructural y de riesgo conductual (Berg &amp; Mulford, 2020; Falla et al., 2020). Al mismo tiempo, la mejora en especificidad y precisión del clasificador independiente —respecto a la regla conjuntiva Smart AND— sugiere que capta matices adicionales en el perfil predictor del doble rol: la combinación e intensidad de los factores de riesgo en un mismo individuo puede aportar más información predictiva que la simple coexistencia de señales de alerta de victimización y perpetración por separado. Este hallazgo es coherente con los marcos teóricos que enfatizan que el solapamiento víctima–perpetrador no es simplemente la intersección estadística de dos procesos de riesgo independientes, sino un fenómeno con sus propios determinantes evolutivos y contextuales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Rendimiento Global: Lo que el Sistema Ofrece en la Práctica</w:t>
      </w:r>
    </w:p>
    <w:p>
      <w:pPr>
        <w:spacing w:after="0" w:before="0" w:line="480" w:lineRule="auto"/>
        <w:ind w:firstLine="720"/>
        <w:jc w:val="both"/>
      </w:pPr>
      <w:r>
        <w:rPr>
          <w:rFonts w:ascii="Times New Roman" w:cs="Times New Roman" w:eastAsia="Times New Roman" w:hAnsi="Times New Roman"/>
          <w:sz w:val="22"/>
          <w:szCs w:val="22"/>
        </w:rPr>
        <w:t xml:space="preserve">Considerados en conjunto, los resultados indican que el sistema de tres clasificadores ofrece un perfil de cribado consistente y prácticamente relevante en los tres outcomes evaluados. En los tres casos, los modelos alcanzaron tasas de recall de entre el 80% y el 91%, lo que significa que entre 8 y 9 de cada 10 adolescentes en riesgo real fueron correctamente identificados para recibir atención adicional. Este nivel de sensibilidad es adecuado para una aplicación de cribado preventivo, donde la principal preocupación es evitar que se pasen por alto adolescentes que cumplen los criterios del outcome, más que maximizar la proporción global de clasificaciones correctas.</w:t>
      </w:r>
    </w:p>
    <w:p>
      <w:pPr>
        <w:spacing w:after="0" w:before="0" w:line="480" w:lineRule="auto"/>
        <w:ind w:firstLine="720"/>
        <w:jc w:val="both"/>
      </w:pPr>
      <w:r>
        <w:rPr>
          <w:rFonts w:ascii="Times New Roman" w:cs="Times New Roman" w:eastAsia="Times New Roman" w:hAnsi="Times New Roman"/>
          <w:sz w:val="22"/>
          <w:szCs w:val="22"/>
        </w:rPr>
        <w:t xml:space="preserve">Este perfil orientado al recall va acompañado de una precisión comparativamente menor, especialmente para perpetración y solapamiento, lo que refleja que una proporción sustancial de los adolescentes identificados no cumplirán criterios de riesgo completos en una evaluación clínica en profundidad. Esta compensación es esperada y aceptada dentro de un marco de cribado: las clasificaciones positivas están diseñadas para funcionar como alertas de priorización —señales que requieren atención profesional más cercana y evaluación adicional—, y no como determinaciones definitivas del estado de riesgo. Los profesionales que utilicen este sistema deben tratar por tanto una clasificación positiva como el inicio de una indagación clínica, no como su conclusión.</w:t>
      </w:r>
    </w:p>
    <w:p>
      <w:pPr>
        <w:spacing w:after="0" w:before="0" w:line="480" w:lineRule="auto"/>
        <w:ind w:firstLine="720"/>
        <w:jc w:val="both"/>
      </w:pPr>
      <w:r>
        <w:rPr>
          <w:rFonts w:ascii="Times New Roman" w:cs="Times New Roman" w:eastAsia="Times New Roman" w:hAnsi="Times New Roman"/>
          <w:sz w:val="22"/>
          <w:szCs w:val="22"/>
        </w:rPr>
        <w:t xml:space="preserve">Dos propiedades adicionales del sistema merecen especial atención desde un punto de vista práctico. En primer lugar, los elevados valores predictivos negativos en los tres outcomes —VPN = 72,8% para victimización, 91,3% para perpetración y 92,2% para el solapamiento víctima–perpetrador— indican que las clasificaciones negativas poseen un grado sustancial de fiabilidad, especialmente para perpetración y solapamiento. Cuando el sistema asigna una clasificación negativa para estos dos outcomes, este juicio es correcto en más de 9 de cada 10 casos, lo que puede favorecer una asignación más eficiente de los recursos profesionales en entornos educativos amplios.</w:t>
      </w:r>
    </w:p>
    <w:p>
      <w:pPr>
        <w:spacing w:after="0" w:before="0" w:line="480" w:lineRule="auto"/>
        <w:ind w:firstLine="720"/>
        <w:jc w:val="both"/>
      </w:pPr>
      <w:r>
        <w:rPr>
          <w:rFonts w:ascii="Times New Roman" w:cs="Times New Roman" w:eastAsia="Times New Roman" w:hAnsi="Times New Roman"/>
          <w:sz w:val="22"/>
          <w:szCs w:val="22"/>
        </w:rPr>
        <w:t xml:space="preserve">En segundo lugar, los tres modelos generan una puntuación de probabilidad continua para cada adolescente, en lugar de una simple etiqueta binaria. Los profesionales pueden utilizar estas puntuaciones para ordenar a los adolescentes según su nivel estimado de riesgo, aplicando distintos protocolos de respuesta según este ordenamiento: aquellos con las probabilidades estimadas más altas podrían priorizarse para derivación o evaluación inmediata, mientras que los de puntuaciones intermedias podrían ser monitorizados a lo largo del tiempo. Este enfoque escalonado amplía la utilidad práctica del sistema más allá de la aplicación de un umbral de alerta fijo.</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Análisis Complementario: Identificación de Subgrupos de Adolescentes en Riesgo</w:t>
      </w:r>
    </w:p>
    <w:p>
      <w:pPr>
        <w:spacing w:after="0" w:before="0" w:line="480" w:lineRule="auto"/>
        <w:ind w:firstLine="720"/>
        <w:jc w:val="both"/>
      </w:pPr>
      <w:r>
        <w:rPr>
          <w:rFonts w:ascii="Times New Roman" w:cs="Times New Roman" w:eastAsia="Times New Roman" w:hAnsi="Times New Roman"/>
          <w:sz w:val="22"/>
          <w:szCs w:val="22"/>
        </w:rPr>
        <w:t xml:space="preserve">Como complemento al enfoque de clasificación supervisada y con el objetivo de explorar la heterogeneidad de los perfiles de riesgo presentes en la muestra, se realizó un análisis clúster exploratorio de forma separada para los adolescentes victimizados y para los adolescentes perpetradores. En lugar de los predictores psicosociales y contextuales globales utilizados en los clasificadores, este análisis se realizó directamente sobre las respuestas a nivel de ítem de las baterías de victimización y perpetración, permitiendo identificar subgrupos en función de los tipos y combinaciones específicos de violencia que cada adolescente había experimentado o perpetrado. El objetivo no era clasificar nuevos casos, sino describir la diversidad de perfiles de riesgo dentro de cada grupo.</w:t>
      </w:r>
    </w:p>
    <w:p>
      <w:pPr>
        <w:spacing w:after="0" w:before="0" w:line="480" w:lineRule="auto"/>
        <w:ind w:firstLine="720"/>
        <w:jc w:val="both"/>
      </w:pPr>
      <w:r>
        <w:rPr>
          <w:rFonts w:ascii="Times New Roman" w:cs="Times New Roman" w:eastAsia="Times New Roman" w:hAnsi="Times New Roman"/>
          <w:sz w:val="22"/>
          <w:szCs w:val="22"/>
        </w:rPr>
        <w:t xml:space="preserve">Para cada análisis, la solución óptima de agrupamiento se identificó mediante una búsqueda iterativa que combinaba dos métodos complementarios: una técnica de reducción de dimensionalidad no lineal (UMAP) y un algoritmo de agrupamiento basado en densidad (DBSCAN). Este enfoque fue preferido frente a los métodos clásicos jerárquicos o de k-medias porque no asume ninguna forma ni tamaño específico de los clústeres y puede identificar casos que no encajan claramente en ningún grupo. Se evaluaron 90 configuraciones de parámetros distintas para el análisis de víctimas y 160 para el de perpetradores; cada solución fue valorada mediante el coeficiente de silueta. Valores superiores a 0,70 se consideran generalmente indicativos de agrupaciones bien separadas y significativas (Rousseeuw, 1987).</w:t>
      </w:r>
    </w:p>
    <w:p>
      <w:pPr>
        <w:spacing w:after="0" w:before="0" w:line="480" w:lineRule="auto"/>
        <w:ind w:firstLine="720"/>
        <w:jc w:val="both"/>
      </w:pPr>
      <w:r>
        <w:rPr>
          <w:rFonts w:ascii="Times New Roman" w:cs="Times New Roman" w:eastAsia="Times New Roman" w:hAnsi="Times New Roman"/>
          <w:sz w:val="22"/>
          <w:szCs w:val="22"/>
        </w:rPr>
        <w:t xml:space="preserve">La mejor solución de agrupamiento para víctimas produjo nueve subgrupos diferenciados (silueta = 0,913), y la mejor solución para perpetradores produjo cinco subgrupos (silueta = 0,930), ambas indicando soluciones bien separadas. Estos hallazgos son coherentes con y extienden los resultados de Pereda y Guerra (2025), quienes aplicaron un enfoque de agrupamiento jerárquico a la misma muestra representativa e identificaron cuatro perfiles amplios: un grupo mayoritario sin experiencia de violencia (59,4%), un grupo con victimización únicamente (32,0%), un grupo con polivictimización y perpetración parcial (8,1%) y un grupo pequeño de polivictimización y poliperpetración (0,5%). La solución de mayor granularidad obtenida en el presente estudio extiende estos hallazgos al revelar heterogeneidad interna dentro de esos perfiles amplios, mientras resulta coherente con su observación central: que el solapamiento víctima–agresor se concentra en subgrupos específicos con implicación elevada y diversificada en múltiples formas de violencia.</w:t>
      </w:r>
    </w:p>
    <w:p>
      <w:pPr>
        <w:spacing w:after="0" w:before="0" w:line="480" w:lineRule="auto"/>
        <w:ind w:firstLine="720"/>
        <w:jc w:val="both"/>
      </w:pPr>
      <w:r>
        <w:rPr>
          <w:rFonts w:ascii="Times New Roman" w:cs="Times New Roman" w:eastAsia="Times New Roman" w:hAnsi="Times New Roman"/>
          <w:sz w:val="22"/>
          <w:szCs w:val="22"/>
        </w:rPr>
        <w:t xml:space="preserve">Un análisis de tabulación cruzada examinó el solapamiento entre la pertenencia a los clústeres y el estado de outcome. Entre los clústeres de víctimas, el Clúster 3 (n = 1.092) mostró una tasa de perpetración de aproximadamente el 48%, frente a una prevalencia de perpetración en la muestra completa del 23,5% —una tasa aproximadamente dos veces superior a la prevalencia general, y sustancialmente más elevada que la observada en el clúster de víctimas de menor riesgo—. Entre los clústeres de perpetradores, los Clústeres 2 y 3 mostraron una tasa de victimización de aproximadamente el 89% —notablemente superior a la prevalencia de victimización en la muestra completa del 49,4%—. Estos hallazgos deben interpretarse con la cautela apropiada: el análisis clúster es exploratorio y post hoc, y los agrupamientos no deben interpretarse como categorías diagnósticas ni clínicamente validadas. No obstante, la identificación de subgrupos con tasas de solapamiento marcadamente elevadas refuerza la importancia de evaluar conjuntamente tanto las experiencias de victimización como las de perpetración al trabajar con adolescentes en entornos educativos o clínicos (Beckley et al., 2018; Pereda &amp; Guerra, 2025).</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5. Predictores Más Importantes por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Victimización (Árbol de decisión)</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Perpetración (Red neuronal)</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Comp.</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Orientación sexual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Edad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la madre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Consumo de pornografía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País de origen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Variabilidad del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padrastro/madrastra</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Frecuencia del consumo de alcohol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Media del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Inestabilidad de la autoeficacia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Nota. La importancia de las variables se estimó mediante feature_importances_ del árbol de decisión (victimización) e importancia por permutación basada en la caída del recall promediada en 10 repeticiones (red neuronal, perpetración). Las puntuaciones se retroproyectaron desde el espacio de componentes del ACP al espacio de predictores originales mediante la matriz de cargas. Las etiquetas son nombres descriptivos simplificados de las variables originales; no implican interpretaciones causales ni protectoras. ✓ = predictor que aparece entre los 10 primeros para ambos 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2026-06-10T13:58:22.031Z</dcterms:created>
  <dcterms:modified xsi:type="dcterms:W3CDTF">2026-06-10T13:58:22.039Z</dcterms:modified>
</cp:coreProperties>
</file>

<file path=docProps/custom.xml><?xml version="1.0" encoding="utf-8"?>
<Properties xmlns="http://schemas.openxmlformats.org/officeDocument/2006/custom-properties" xmlns:vt="http://schemas.openxmlformats.org/officeDocument/2006/docPropsVTypes"/>
</file>