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PowerNext AI – Track 1</w:t>
      </w:r>
    </w:p>
    <w:p>
      <w:pPr>
        <w:jc w:val="center"/>
      </w:pPr>
      <w:r>
        <w:rPr>
          <w:b/>
          <w:sz w:val="36"/>
        </w:rPr>
        <w:t>Product Requirements Document (PRD)</w:t>
      </w:r>
    </w:p>
    <w:p>
      <w:pPr>
        <w:jc w:val="center"/>
      </w:pPr>
      <w:r>
        <w:rPr>
          <w:i/>
          <w:sz w:val="24"/>
        </w:rPr>
        <w:t>CPRI Hybrid Physics + Machine Learning Impulse Generator Optimizer</w:t>
      </w:r>
    </w:p>
    <w:p>
      <w:pPr>
        <w:jc w:val="center"/>
      </w:pPr>
      <w:r>
        <w:rPr>
          <w:b/>
          <w:sz w:val="21"/>
        </w:rPr>
        <w:t>Build objective: maximize the chance of finishing #1 while remaining technically correct, problem-statement aligned, and defensible to CPRI engineers.</w:t>
      </w:r>
    </w:p>
    <w:p/>
    <w:p>
      <w:pPr>
        <w:pStyle w:val="Heading1"/>
      </w:pPr>
      <w:r>
        <w:t>1. Executive Summary</w:t>
      </w:r>
    </w:p>
    <w:p>
      <w:r>
        <w:t>CPRI needs software that can take a requested Lightning Impulse (LI) or Switching Impulse (SI) test, the desired output crest voltage, and the present test setup, then recommend the best physically realizable impulse-generator configuration before the first physical test shot.</w:t>
      </w:r>
    </w:p>
    <w:p>
      <w:r>
        <w:t>The product will combine four mandatory capabilities: (1) engineering physics, (2) a trained ML waveform predictor, (3) a hardware-aware recommendation/optimization engine, and (4) deterministic compliance checking with a decision dashboard.</w:t>
      </w:r>
    </w:p>
    <w:p>
      <w:pPr>
        <w:pStyle w:val="Heading1"/>
      </w:pPr>
      <w:r>
        <w:t>2. Problem Statement</w:t>
      </w:r>
    </w:p>
    <w:p>
      <w:r>
        <w:t>The generator settings required to create a standard impulse waveform depend not only on the generator itself but also on the connected DUT/load, measuring system, stray capacitance, stray/connection inductance, physical arrangement, leads, and grounding/return path. Engineers therefore may need repeated calculation-adjustment-test cycles.</w:t>
      </w:r>
    </w:p>
    <w:p>
      <w:r>
        <w:t>The software must answer:</w:t>
      </w:r>
    </w:p>
    <w:p>
      <w:pPr>
        <w:jc w:val="center"/>
      </w:pPr>
      <w:r>
        <w:rPr>
          <w:b/>
        </w:rPr>
        <w:t>“For this requested test and this declared setup, which available CPRI generator configuration should be used, what waveform should it produce, and why is it better than the alternatives?”</w:t>
      </w:r>
    </w:p>
    <w:p>
      <w:pPr>
        <w:pStyle w:val="Heading1"/>
      </w:pPr>
      <w:r>
        <w:t>3. Source Hierarchy</w:t>
      </w:r>
    </w:p>
    <w:p>
      <w:r>
        <w:t>Use sources in this order when values conflict:</w:t>
      </w:r>
    </w:p>
    <w:p>
      <w:pPr>
        <w:pStyle w:val="ListNumber"/>
      </w:pPr>
      <w:r>
        <w:t>Latest written CPRI technical clarification.</w:t>
      </w:r>
    </w:p>
    <w:p>
      <w:pPr>
        <w:pStyle w:val="ListNumber"/>
      </w:pPr>
      <w:r>
        <w:t>Actual IVG parameter sheet supplied by CPRI.</w:t>
      </w:r>
    </w:p>
    <w:p>
      <w:pPr>
        <w:pStyle w:val="ListNumber"/>
      </w:pPr>
      <w:r>
        <w:t>Original Track 1 problem statement PDF.</w:t>
      </w:r>
    </w:p>
    <w:p>
      <w:pPr>
        <w:pStyle w:val="ListNumber"/>
      </w:pPr>
      <w:r>
        <w:t>Track 1 briefing/video and transcription extract.</w:t>
      </w:r>
    </w:p>
    <w:p>
      <w:pPr>
        <w:pStyle w:val="ListNumber"/>
      </w:pPr>
      <w:r>
        <w:t>Synthetic Excel workbook.</w:t>
      </w:r>
    </w:p>
    <w:p>
      <w:pPr>
        <w:pStyle w:val="ListNumber"/>
      </w:pPr>
      <w:r>
        <w:t>Our own prior analysis and hypotheses.</w:t>
      </w:r>
    </w:p>
    <w:p>
      <w:pPr>
        <w:pStyle w:val="Heading1"/>
      </w:pPr>
      <w:r>
        <w:t>4. Confirmed CPRI Hardware Profile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D9EAF7"/>
          </w:tcPr>
          <w:p>
            <w:r/>
            <w:r>
              <w:rPr>
                <w:rFonts w:ascii="Aptos" w:hAnsi="Aptos"/>
                <w:b/>
                <w:sz w:val="19"/>
              </w:rPr>
              <w:t>Parameter</w:t>
            </w:r>
          </w:p>
        </w:tc>
        <w:tc>
          <w:tcPr>
            <w:tcW w:type="dxa" w:w="5112"/>
            <w:vAlign w:val="center"/>
            <w:shd w:fill="D9EAF7"/>
          </w:tcPr>
          <w:p>
            <w:r/>
            <w:r>
              <w:rPr>
                <w:rFonts w:ascii="Aptos" w:hAnsi="Aptos"/>
                <w:b/>
                <w:sz w:val="19"/>
              </w:rPr>
              <w:t>Current value / treatment</w:t>
            </w:r>
          </w:p>
        </w:tc>
      </w:tr>
      <w:tr>
        <w:trPr>
          <w:cantSplit/>
        </w:trPr>
        <w:tc>
          <w:tcPr>
            <w:tcW w:type="dxa" w:w="5112"/>
            <w:vAlign w:val="center"/>
          </w:tcPr>
          <w:p>
            <w:r/>
            <w:r>
              <w:rPr>
                <w:rFonts w:ascii="Aptos" w:hAnsi="Aptos"/>
                <w:b w:val="0"/>
                <w:sz w:val="19"/>
              </w:rPr>
              <w:t>Available stages</w:t>
            </w:r>
          </w:p>
        </w:tc>
        <w:tc>
          <w:tcPr>
            <w:tcW w:type="dxa" w:w="5112"/>
            <w:vAlign w:val="center"/>
          </w:tcPr>
          <w:p>
            <w:r/>
            <w:r>
              <w:rPr>
                <w:rFonts w:ascii="Aptos" w:hAnsi="Aptos"/>
                <w:b w:val="0"/>
                <w:sz w:val="19"/>
              </w:rPr>
              <w:t>15</w:t>
            </w:r>
          </w:p>
        </w:tc>
      </w:tr>
      <w:tr>
        <w:trPr>
          <w:cantSplit/>
        </w:trPr>
        <w:tc>
          <w:tcPr>
            <w:tcW w:type="dxa" w:w="5112"/>
            <w:vAlign w:val="center"/>
          </w:tcPr>
          <w:p>
            <w:r/>
            <w:r>
              <w:rPr>
                <w:rFonts w:ascii="Aptos" w:hAnsi="Aptos"/>
                <w:b w:val="0"/>
                <w:sz w:val="19"/>
              </w:rPr>
              <w:t>Maximum stage voltage</w:t>
            </w:r>
          </w:p>
        </w:tc>
        <w:tc>
          <w:tcPr>
            <w:tcW w:type="dxa" w:w="5112"/>
            <w:vAlign w:val="center"/>
          </w:tcPr>
          <w:p>
            <w:r/>
            <w:r>
              <w:rPr>
                <w:rFonts w:ascii="Aptos" w:hAnsi="Aptos"/>
                <w:b w:val="0"/>
                <w:sz w:val="19"/>
              </w:rPr>
              <w:t>200 kV</w:t>
            </w:r>
          </w:p>
        </w:tc>
      </w:tr>
      <w:tr>
        <w:trPr>
          <w:cantSplit/>
        </w:trPr>
        <w:tc>
          <w:tcPr>
            <w:tcW w:type="dxa" w:w="5112"/>
            <w:vAlign w:val="center"/>
          </w:tcPr>
          <w:p>
            <w:r/>
            <w:r>
              <w:rPr>
                <w:rFonts w:ascii="Aptos" w:hAnsi="Aptos"/>
                <w:b w:val="0"/>
                <w:sz w:val="19"/>
              </w:rPr>
              <w:t>Maximum summed charging voltage</w:t>
            </w:r>
          </w:p>
        </w:tc>
        <w:tc>
          <w:tcPr>
            <w:tcW w:type="dxa" w:w="5112"/>
            <w:vAlign w:val="center"/>
          </w:tcPr>
          <w:p>
            <w:r/>
            <w:r>
              <w:rPr>
                <w:rFonts w:ascii="Aptos" w:hAnsi="Aptos"/>
                <w:b w:val="0"/>
                <w:sz w:val="19"/>
              </w:rPr>
              <w:t>3000 kV</w:t>
            </w:r>
          </w:p>
        </w:tc>
      </w:tr>
      <w:tr>
        <w:trPr>
          <w:cantSplit/>
        </w:trPr>
        <w:tc>
          <w:tcPr>
            <w:tcW w:type="dxa" w:w="5112"/>
            <w:vAlign w:val="center"/>
          </w:tcPr>
          <w:p>
            <w:r/>
            <w:r>
              <w:rPr>
                <w:rFonts w:ascii="Aptos" w:hAnsi="Aptos"/>
                <w:b w:val="0"/>
                <w:sz w:val="19"/>
              </w:rPr>
              <w:t>Impulse capacitance per stage</w:t>
            </w:r>
          </w:p>
        </w:tc>
        <w:tc>
          <w:tcPr>
            <w:tcW w:type="dxa" w:w="5112"/>
            <w:vAlign w:val="center"/>
          </w:tcPr>
          <w:p>
            <w:r/>
            <w:r>
              <w:rPr>
                <w:rFonts w:ascii="Aptos" w:hAnsi="Aptos"/>
                <w:b w:val="0"/>
                <w:sz w:val="19"/>
              </w:rPr>
              <w:t>0.5 µF</w:t>
            </w:r>
          </w:p>
        </w:tc>
      </w:tr>
      <w:tr>
        <w:trPr>
          <w:cantSplit/>
        </w:trPr>
        <w:tc>
          <w:tcPr>
            <w:tcW w:type="dxa" w:w="5112"/>
            <w:vAlign w:val="center"/>
          </w:tcPr>
          <w:p>
            <w:r/>
            <w:r>
              <w:rPr>
                <w:rFonts w:ascii="Aptos" w:hAnsi="Aptos"/>
                <w:b w:val="0"/>
                <w:sz w:val="19"/>
              </w:rPr>
              <w:t>Rated energy</w:t>
            </w:r>
          </w:p>
        </w:tc>
        <w:tc>
          <w:tcPr>
            <w:tcW w:type="dxa" w:w="5112"/>
            <w:vAlign w:val="center"/>
          </w:tcPr>
          <w:p>
            <w:r/>
            <w:r>
              <w:rPr>
                <w:rFonts w:ascii="Aptos" w:hAnsi="Aptos"/>
                <w:b w:val="0"/>
                <w:sz w:val="19"/>
              </w:rPr>
              <w:t>10 kJ/stage; 150 kJ total</w:t>
            </w:r>
          </w:p>
        </w:tc>
      </w:tr>
      <w:tr>
        <w:trPr>
          <w:cantSplit/>
        </w:trPr>
        <w:tc>
          <w:tcPr>
            <w:tcW w:type="dxa" w:w="5112"/>
            <w:vAlign w:val="center"/>
          </w:tcPr>
          <w:p>
            <w:r/>
            <w:r>
              <w:rPr>
                <w:rFonts w:ascii="Aptos" w:hAnsi="Aptos"/>
                <w:b w:val="0"/>
                <w:sz w:val="19"/>
              </w:rPr>
              <w:t>Front resistor values</w:t>
            </w:r>
          </w:p>
        </w:tc>
        <w:tc>
          <w:tcPr>
            <w:tcW w:type="dxa" w:w="5112"/>
            <w:vAlign w:val="center"/>
          </w:tcPr>
          <w:p>
            <w:r/>
            <w:r>
              <w:rPr>
                <w:rFonts w:ascii="Aptos" w:hAnsi="Aptos"/>
                <w:b w:val="0"/>
                <w:sz w:val="19"/>
              </w:rPr>
              <w:t>30 Ω, 46 Ω, 3.7 kΩ, 5 kΩ</w:t>
            </w:r>
          </w:p>
        </w:tc>
      </w:tr>
      <w:tr>
        <w:trPr>
          <w:cantSplit/>
        </w:trPr>
        <w:tc>
          <w:tcPr>
            <w:tcW w:type="dxa" w:w="5112"/>
            <w:vAlign w:val="center"/>
          </w:tcPr>
          <w:p>
            <w:r/>
            <w:r>
              <w:rPr>
                <w:rFonts w:ascii="Aptos" w:hAnsi="Aptos"/>
                <w:b w:val="0"/>
                <w:sz w:val="19"/>
              </w:rPr>
              <w:t>LI tail</w:t>
            </w:r>
          </w:p>
        </w:tc>
        <w:tc>
          <w:tcPr>
            <w:tcW w:type="dxa" w:w="5112"/>
            <w:vAlign w:val="center"/>
          </w:tcPr>
          <w:p>
            <w:r/>
            <w:r>
              <w:rPr>
                <w:rFonts w:ascii="Aptos" w:hAnsi="Aptos"/>
                <w:b w:val="0"/>
                <w:sz w:val="19"/>
              </w:rPr>
              <w:t>180 Ω confirmed; additional 520 Ω wording remains unresolved</w:t>
            </w:r>
          </w:p>
        </w:tc>
      </w:tr>
      <w:tr>
        <w:trPr>
          <w:cantSplit/>
        </w:trPr>
        <w:tc>
          <w:tcPr>
            <w:tcW w:type="dxa" w:w="5112"/>
            <w:vAlign w:val="center"/>
          </w:tcPr>
          <w:p>
            <w:r/>
            <w:r>
              <w:rPr>
                <w:rFonts w:ascii="Aptos" w:hAnsi="Aptos"/>
                <w:b w:val="0"/>
                <w:sz w:val="19"/>
              </w:rPr>
              <w:t>SI tail</w:t>
            </w:r>
          </w:p>
        </w:tc>
        <w:tc>
          <w:tcPr>
            <w:tcW w:type="dxa" w:w="5112"/>
            <w:vAlign w:val="center"/>
          </w:tcPr>
          <w:p>
            <w:r/>
            <w:r>
              <w:rPr>
                <w:rFonts w:ascii="Aptos" w:hAnsi="Aptos"/>
                <w:b w:val="0"/>
                <w:sz w:val="19"/>
              </w:rPr>
              <w:t>5 kΩ</w:t>
            </w:r>
          </w:p>
        </w:tc>
      </w:tr>
      <w:tr>
        <w:trPr>
          <w:cantSplit/>
        </w:trPr>
        <w:tc>
          <w:tcPr>
            <w:tcW w:type="dxa" w:w="5112"/>
            <w:vAlign w:val="center"/>
          </w:tcPr>
          <w:p>
            <w:r/>
            <w:r>
              <w:rPr>
                <w:rFonts w:ascii="Aptos" w:hAnsi="Aptos"/>
                <w:b w:val="0"/>
                <w:sz w:val="19"/>
              </w:rPr>
              <w:t>Charging resistor</w:t>
            </w:r>
          </w:p>
        </w:tc>
        <w:tc>
          <w:tcPr>
            <w:tcW w:type="dxa" w:w="5112"/>
            <w:vAlign w:val="center"/>
          </w:tcPr>
          <w:p>
            <w:r/>
            <w:r>
              <w:rPr>
                <w:rFonts w:ascii="Aptos" w:hAnsi="Aptos"/>
                <w:b w:val="0"/>
                <w:sz w:val="19"/>
              </w:rPr>
              <w:t>135 kΩ/stage</w:t>
            </w:r>
          </w:p>
        </w:tc>
      </w:tr>
      <w:tr>
        <w:trPr>
          <w:cantSplit/>
        </w:trPr>
        <w:tc>
          <w:tcPr>
            <w:tcW w:type="dxa" w:w="5112"/>
            <w:vAlign w:val="center"/>
          </w:tcPr>
          <w:p>
            <w:r/>
            <w:r>
              <w:rPr>
                <w:rFonts w:ascii="Aptos" w:hAnsi="Aptos"/>
                <w:b w:val="0"/>
                <w:sz w:val="19"/>
              </w:rPr>
              <w:t>Potential resistor</w:t>
            </w:r>
          </w:p>
        </w:tc>
        <w:tc>
          <w:tcPr>
            <w:tcW w:type="dxa" w:w="5112"/>
            <w:vAlign w:val="center"/>
          </w:tcPr>
          <w:p>
            <w:r/>
            <w:r>
              <w:rPr>
                <w:rFonts w:ascii="Aptos" w:hAnsi="Aptos"/>
                <w:b w:val="0"/>
                <w:sz w:val="19"/>
              </w:rPr>
              <w:t>2 MΩ</w:t>
            </w:r>
          </w:p>
        </w:tc>
      </w:tr>
      <w:tr>
        <w:trPr>
          <w:cantSplit/>
        </w:trPr>
        <w:tc>
          <w:tcPr>
            <w:tcW w:type="dxa" w:w="5112"/>
            <w:vAlign w:val="center"/>
          </w:tcPr>
          <w:p>
            <w:r/>
            <w:r>
              <w:rPr>
                <w:rFonts w:ascii="Aptos" w:hAnsi="Aptos"/>
                <w:b w:val="0"/>
                <w:sz w:val="19"/>
              </w:rPr>
              <w:t>Discharge resistors</w:t>
            </w:r>
          </w:p>
        </w:tc>
        <w:tc>
          <w:tcPr>
            <w:tcW w:type="dxa" w:w="5112"/>
            <w:vAlign w:val="center"/>
          </w:tcPr>
          <w:p>
            <w:r/>
            <w:r>
              <w:rPr>
                <w:rFonts w:ascii="Aptos" w:hAnsi="Aptos"/>
                <w:b w:val="0"/>
                <w:sz w:val="19"/>
              </w:rPr>
              <w:t>5.45 kΩ and 13 kΩ</w:t>
            </w:r>
          </w:p>
        </w:tc>
      </w:tr>
      <w:tr>
        <w:trPr>
          <w:cantSplit/>
        </w:trPr>
        <w:tc>
          <w:tcPr>
            <w:tcW w:type="dxa" w:w="5112"/>
            <w:vAlign w:val="center"/>
          </w:tcPr>
          <w:p>
            <w:r/>
            <w:r>
              <w:rPr>
                <w:rFonts w:ascii="Aptos" w:hAnsi="Aptos"/>
                <w:b w:val="0"/>
                <w:sz w:val="19"/>
              </w:rPr>
              <w:t>Basic capacitance</w:t>
            </w:r>
          </w:p>
        </w:tc>
        <w:tc>
          <w:tcPr>
            <w:tcW w:type="dxa" w:w="5112"/>
            <w:vAlign w:val="center"/>
          </w:tcPr>
          <w:p>
            <w:r/>
            <w:r>
              <w:rPr>
                <w:rFonts w:ascii="Aptos" w:hAnsi="Aptos"/>
                <w:b w:val="0"/>
                <w:sz w:val="19"/>
              </w:rPr>
              <w:t>480 pF; exact coverage must be clarified</w:t>
            </w:r>
          </w:p>
        </w:tc>
      </w:tr>
      <w:tr>
        <w:trPr>
          <w:cantSplit/>
        </w:trPr>
        <w:tc>
          <w:tcPr>
            <w:tcW w:type="dxa" w:w="5112"/>
            <w:vAlign w:val="center"/>
          </w:tcPr>
          <w:p>
            <w:r/>
            <w:r>
              <w:rPr>
                <w:rFonts w:ascii="Aptos" w:hAnsi="Aptos"/>
                <w:b w:val="0"/>
                <w:sz w:val="19"/>
              </w:rPr>
              <w:t>Nominal requested crest domain</w:t>
            </w:r>
          </w:p>
        </w:tc>
        <w:tc>
          <w:tcPr>
            <w:tcW w:type="dxa" w:w="5112"/>
            <w:vAlign w:val="center"/>
          </w:tcPr>
          <w:p>
            <w:r/>
            <w:r>
              <w:rPr>
                <w:rFonts w:ascii="Aptos" w:hAnsi="Aptos"/>
                <w:b w:val="0"/>
                <w:sz w:val="19"/>
              </w:rPr>
              <w:t>~50–2400 kV, subject to feasibility</w:t>
            </w:r>
          </w:p>
        </w:tc>
      </w:tr>
    </w:tbl>
    <w:p/>
    <w:p>
      <w:r>
        <w:t>Important unresolved items: exact erected-state circuit, permitted resistor connection recipes, which auxiliary branches remain connected during LI/SI, the meaning of the 180/520 Ω notation, what the 480 pF includes, minimum reliable charging voltage, voltage increments, and component pulse ratings.</w:t>
      </w:r>
    </w:p>
    <w:p>
      <w:pPr>
        <w:pStyle w:val="Heading1"/>
      </w:pPr>
      <w:r>
        <w:t>5. Final Product Definition</w:t>
      </w:r>
    </w:p>
    <w:p>
      <w:r>
        <w:t>Build an offline CPRI Hybrid Physics + ML Impulse Generator Optimizer. The engineer supplies LI/SI, required crest voltage, and known/estimated setup parameters. The application loads the actual CPRI equipment profile, predicts candidate waveform behaviour using physics plus ML, checks the applicable waveform limits, and returns the best practical settings with ranked alternatives.</w:t>
      </w:r>
    </w:p>
    <w:p>
      <w:pPr>
        <w:pStyle w:val="Heading2"/>
      </w:pPr>
      <w:r>
        <w:t>Core Product Flow</w:t>
      </w:r>
    </w:p>
    <w:p>
      <w:pPr>
        <w:pStyle w:val="ListNumber"/>
      </w:pPr>
      <w:r>
        <w:t>Test request: LI/SI + target crest + setup parameters</w:t>
      </w:r>
    </w:p>
    <w:p>
      <w:pPr>
        <w:pStyle w:val="ListNumber"/>
      </w:pPr>
      <w:r>
        <w:t>Load CPRI hardware profile and constraints</w:t>
      </w:r>
    </w:p>
    <w:p>
      <w:pPr>
        <w:pStyle w:val="ListNumber"/>
      </w:pPr>
      <w:r>
        <w:t>Generate physically permitted configurations</w:t>
      </w:r>
    </w:p>
    <w:p>
      <w:pPr>
        <w:pStyle w:val="ListNumber"/>
      </w:pPr>
      <w:r>
        <w:t>Run physics model and calculate reference waveform</w:t>
      </w:r>
    </w:p>
    <w:p>
      <w:pPr>
        <w:pStyle w:val="ListNumber"/>
      </w:pPr>
      <w:r>
        <w:t>Run trained ML predictor / hybrid prediction</w:t>
      </w:r>
    </w:p>
    <w:p>
      <w:pPr>
        <w:pStyle w:val="ListNumber"/>
      </w:pPr>
      <w:r>
        <w:t>Extract crest + LI T1/T2 or SI Tp/T2</w:t>
      </w:r>
    </w:p>
    <w:p>
      <w:pPr>
        <w:pStyle w:val="ListNumber"/>
      </w:pPr>
      <w:r>
        <w:t>Check compliance and hardware validity</w:t>
      </w:r>
    </w:p>
    <w:p>
      <w:pPr>
        <w:pStyle w:val="ListNumber"/>
      </w:pPr>
      <w:r>
        <w:t>Rank practical configurations</w:t>
      </w:r>
    </w:p>
    <w:p>
      <w:pPr>
        <w:pStyle w:val="ListNumber"/>
      </w:pPr>
      <w:r>
        <w:t>Display best setting, alternatives, waveform, deviations, assumptions, and evidence</w:t>
      </w:r>
    </w:p>
    <w:p>
      <w:pPr>
        <w:pStyle w:val="Heading1"/>
      </w:pPr>
      <w:r>
        <w:t>6. Required Modules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AF7"/>
          </w:tcPr>
          <w:p>
            <w:r/>
            <w:r>
              <w:rPr>
                <w:rFonts w:ascii="Aptos" w:hAnsi="Aptos"/>
                <w:b/>
                <w:sz w:val="19"/>
              </w:rPr>
              <w:t>Module</w:t>
            </w:r>
          </w:p>
        </w:tc>
        <w:tc>
          <w:tcPr>
            <w:tcW w:type="dxa" w:w="3408"/>
            <w:vAlign w:val="center"/>
            <w:shd w:fill="D9EAF7"/>
          </w:tcPr>
          <w:p>
            <w:r/>
            <w:r>
              <w:rPr>
                <w:rFonts w:ascii="Aptos" w:hAnsi="Aptos"/>
                <w:b/>
                <w:sz w:val="19"/>
              </w:rPr>
              <w:t>Purpose</w:t>
            </w:r>
          </w:p>
        </w:tc>
        <w:tc>
          <w:tcPr>
            <w:tcW w:type="dxa" w:w="3408"/>
            <w:vAlign w:val="center"/>
            <w:shd w:fill="D9EAF7"/>
          </w:tcPr>
          <w:p>
            <w:r/>
            <w:r>
              <w:rPr>
                <w:rFonts w:ascii="Aptos" w:hAnsi="Aptos"/>
                <w:b/>
                <w:sz w:val="19"/>
              </w:rPr>
              <w:t>Priority</w:t>
            </w:r>
          </w:p>
        </w:tc>
      </w:tr>
      <w:tr>
        <w:trPr>
          <w:cantSplit/>
        </w:trPr>
        <w:tc>
          <w:tcPr>
            <w:tcW w:type="dxa" w:w="3408"/>
            <w:vAlign w:val="center"/>
          </w:tcPr>
          <w:p>
            <w:r/>
            <w:r>
              <w:rPr>
                <w:rFonts w:ascii="Aptos" w:hAnsi="Aptos"/>
                <w:b w:val="0"/>
                <w:sz w:val="19"/>
              </w:rPr>
              <w:t>Engineering Physics</w:t>
            </w:r>
          </w:p>
        </w:tc>
        <w:tc>
          <w:tcPr>
            <w:tcW w:type="dxa" w:w="3408"/>
            <w:vAlign w:val="center"/>
          </w:tcPr>
          <w:p>
            <w:r/>
            <w:r>
              <w:rPr>
                <w:rFonts w:ascii="Aptos" w:hAnsi="Aptos"/>
                <w:b w:val="0"/>
                <w:sz w:val="19"/>
              </w:rPr>
              <w:t>Predict the waveform from generator settings and setup parameters; enforce physical constraints.</w:t>
            </w:r>
          </w:p>
        </w:tc>
        <w:tc>
          <w:tcPr>
            <w:tcW w:type="dxa" w:w="3408"/>
            <w:vAlign w:val="center"/>
          </w:tcPr>
          <w:p>
            <w:r/>
            <w:r>
              <w:rPr>
                <w:rFonts w:ascii="Aptos" w:hAnsi="Aptos"/>
                <w:b w:val="0"/>
                <w:sz w:val="19"/>
              </w:rPr>
              <w:t>MANDATORY</w:t>
            </w:r>
          </w:p>
        </w:tc>
      </w:tr>
      <w:tr>
        <w:trPr>
          <w:cantSplit/>
        </w:trPr>
        <w:tc>
          <w:tcPr>
            <w:tcW w:type="dxa" w:w="3408"/>
            <w:vAlign w:val="center"/>
          </w:tcPr>
          <w:p>
            <w:r/>
            <w:r>
              <w:rPr>
                <w:rFonts w:ascii="Aptos" w:hAnsi="Aptos"/>
                <w:b w:val="0"/>
                <w:sz w:val="19"/>
              </w:rPr>
              <w:t>ML Prediction Engine</w:t>
            </w:r>
          </w:p>
        </w:tc>
        <w:tc>
          <w:tcPr>
            <w:tcW w:type="dxa" w:w="3408"/>
            <w:vAlign w:val="center"/>
          </w:tcPr>
          <w:p>
            <w:r/>
            <w:r>
              <w:rPr>
                <w:rFonts w:ascii="Aptos" w:hAnsi="Aptos"/>
                <w:b w:val="0"/>
                <w:sz w:val="19"/>
              </w:rPr>
              <w:t>Learn settings + load characteristics → waveform outputs; integrated and trained.</w:t>
            </w:r>
          </w:p>
        </w:tc>
        <w:tc>
          <w:tcPr>
            <w:tcW w:type="dxa" w:w="3408"/>
            <w:vAlign w:val="center"/>
          </w:tcPr>
          <w:p>
            <w:r/>
            <w:r>
              <w:rPr>
                <w:rFonts w:ascii="Aptos" w:hAnsi="Aptos"/>
                <w:b w:val="0"/>
                <w:sz w:val="19"/>
              </w:rPr>
              <w:t>MANDATORY</w:t>
            </w:r>
          </w:p>
        </w:tc>
      </w:tr>
      <w:tr>
        <w:trPr>
          <w:cantSplit/>
        </w:trPr>
        <w:tc>
          <w:tcPr>
            <w:tcW w:type="dxa" w:w="3408"/>
            <w:vAlign w:val="center"/>
          </w:tcPr>
          <w:p>
            <w:r/>
            <w:r>
              <w:rPr>
                <w:rFonts w:ascii="Aptos" w:hAnsi="Aptos"/>
                <w:b w:val="0"/>
                <w:sz w:val="19"/>
              </w:rPr>
              <w:t>Recommendation / Optimizer</w:t>
            </w:r>
          </w:p>
        </w:tc>
        <w:tc>
          <w:tcPr>
            <w:tcW w:type="dxa" w:w="3408"/>
            <w:vAlign w:val="center"/>
          </w:tcPr>
          <w:p>
            <w:r/>
            <w:r>
              <w:rPr>
                <w:rFonts w:ascii="Aptos" w:hAnsi="Aptos"/>
                <w:b w:val="0"/>
                <w:sz w:val="19"/>
              </w:rPr>
              <w:t>Search only practical CPRI configurations and rank the best settings.</w:t>
            </w:r>
          </w:p>
        </w:tc>
        <w:tc>
          <w:tcPr>
            <w:tcW w:type="dxa" w:w="3408"/>
            <w:vAlign w:val="center"/>
          </w:tcPr>
          <w:p>
            <w:r/>
            <w:r>
              <w:rPr>
                <w:rFonts w:ascii="Aptos" w:hAnsi="Aptos"/>
                <w:b w:val="0"/>
                <w:sz w:val="19"/>
              </w:rPr>
              <w:t>MANDATORY</w:t>
            </w:r>
          </w:p>
        </w:tc>
      </w:tr>
      <w:tr>
        <w:trPr>
          <w:cantSplit/>
        </w:trPr>
        <w:tc>
          <w:tcPr>
            <w:tcW w:type="dxa" w:w="3408"/>
            <w:vAlign w:val="center"/>
          </w:tcPr>
          <w:p>
            <w:r/>
            <w:r>
              <w:rPr>
                <w:rFonts w:ascii="Aptos" w:hAnsi="Aptos"/>
                <w:b w:val="0"/>
                <w:sz w:val="19"/>
              </w:rPr>
              <w:t>Compliance Engine</w:t>
            </w:r>
          </w:p>
        </w:tc>
        <w:tc>
          <w:tcPr>
            <w:tcW w:type="dxa" w:w="3408"/>
            <w:vAlign w:val="center"/>
          </w:tcPr>
          <w:p>
            <w:r/>
            <w:r>
              <w:rPr>
                <w:rFonts w:ascii="Aptos" w:hAnsi="Aptos"/>
                <w:b w:val="0"/>
                <w:sz w:val="19"/>
              </w:rPr>
              <w:t>Apply LI/SI definitions and tolerance limits deterministically.</w:t>
            </w:r>
          </w:p>
        </w:tc>
        <w:tc>
          <w:tcPr>
            <w:tcW w:type="dxa" w:w="3408"/>
            <w:vAlign w:val="center"/>
          </w:tcPr>
          <w:p>
            <w:r/>
            <w:r>
              <w:rPr>
                <w:rFonts w:ascii="Aptos" w:hAnsi="Aptos"/>
                <w:b w:val="0"/>
                <w:sz w:val="19"/>
              </w:rPr>
              <w:t>MANDATORY</w:t>
            </w:r>
          </w:p>
        </w:tc>
      </w:tr>
      <w:tr>
        <w:trPr>
          <w:cantSplit/>
        </w:trPr>
        <w:tc>
          <w:tcPr>
            <w:tcW w:type="dxa" w:w="3408"/>
            <w:vAlign w:val="center"/>
          </w:tcPr>
          <w:p>
            <w:r/>
            <w:r>
              <w:rPr>
                <w:rFonts w:ascii="Aptos" w:hAnsi="Aptos"/>
                <w:b w:val="0"/>
                <w:sz w:val="19"/>
              </w:rPr>
              <w:t>Dashboard</w:t>
            </w:r>
          </w:p>
        </w:tc>
        <w:tc>
          <w:tcPr>
            <w:tcW w:type="dxa" w:w="3408"/>
            <w:vAlign w:val="center"/>
          </w:tcPr>
          <w:p>
            <w:r/>
            <w:r>
              <w:rPr>
                <w:rFonts w:ascii="Aptos" w:hAnsi="Aptos"/>
                <w:b w:val="0"/>
                <w:sz w:val="19"/>
              </w:rPr>
              <w:t>Inputs, recommended settings, alternatives, plots, compliance, model metrics.</w:t>
            </w:r>
          </w:p>
        </w:tc>
        <w:tc>
          <w:tcPr>
            <w:tcW w:type="dxa" w:w="3408"/>
            <w:vAlign w:val="center"/>
          </w:tcPr>
          <w:p>
            <w:r/>
            <w:r>
              <w:rPr>
                <w:rFonts w:ascii="Aptos" w:hAnsi="Aptos"/>
                <w:b w:val="0"/>
                <w:sz w:val="19"/>
              </w:rPr>
              <w:t>MANDATORY</w:t>
            </w:r>
          </w:p>
        </w:tc>
      </w:tr>
      <w:tr>
        <w:trPr>
          <w:cantSplit/>
        </w:trPr>
        <w:tc>
          <w:tcPr>
            <w:tcW w:type="dxa" w:w="3408"/>
            <w:vAlign w:val="center"/>
          </w:tcPr>
          <w:p>
            <w:r/>
            <w:r>
              <w:rPr>
                <w:rFonts w:ascii="Aptos" w:hAnsi="Aptos"/>
                <w:b w:val="0"/>
                <w:sz w:val="19"/>
              </w:rPr>
              <w:t>Measured-waveform import</w:t>
            </w:r>
          </w:p>
        </w:tc>
        <w:tc>
          <w:tcPr>
            <w:tcW w:type="dxa" w:w="3408"/>
            <w:vAlign w:val="center"/>
          </w:tcPr>
          <w:p>
            <w:r/>
            <w:r>
              <w:rPr>
                <w:rFonts w:ascii="Aptos" w:hAnsi="Aptos"/>
                <w:b w:val="0"/>
                <w:sz w:val="19"/>
              </w:rPr>
              <w:t>Compare predictions with future CPRI shots and support calibration.</w:t>
            </w:r>
          </w:p>
        </w:tc>
        <w:tc>
          <w:tcPr>
            <w:tcW w:type="dxa" w:w="3408"/>
            <w:vAlign w:val="center"/>
          </w:tcPr>
          <w:p>
            <w:r/>
            <w:r>
              <w:rPr>
                <w:rFonts w:ascii="Aptos" w:hAnsi="Aptos"/>
                <w:b w:val="0"/>
                <w:sz w:val="19"/>
              </w:rPr>
              <w:t>SHOULD</w:t>
            </w:r>
          </w:p>
        </w:tc>
      </w:tr>
      <w:tr>
        <w:trPr>
          <w:cantSplit/>
        </w:trPr>
        <w:tc>
          <w:tcPr>
            <w:tcW w:type="dxa" w:w="3408"/>
            <w:vAlign w:val="center"/>
          </w:tcPr>
          <w:p>
            <w:r/>
            <w:r>
              <w:rPr>
                <w:rFonts w:ascii="Aptos" w:hAnsi="Aptos"/>
                <w:b w:val="0"/>
                <w:sz w:val="19"/>
              </w:rPr>
              <w:t>Case/history log</w:t>
            </w:r>
          </w:p>
        </w:tc>
        <w:tc>
          <w:tcPr>
            <w:tcW w:type="dxa" w:w="3408"/>
            <w:vAlign w:val="center"/>
          </w:tcPr>
          <w:p>
            <w:r/>
            <w:r>
              <w:rPr>
                <w:rFonts w:ascii="Aptos" w:hAnsi="Aptos"/>
                <w:b w:val="0"/>
                <w:sz w:val="19"/>
              </w:rPr>
              <w:t>Store recommendations, actual settings, outcomes, and model/profile versions.</w:t>
            </w:r>
          </w:p>
        </w:tc>
        <w:tc>
          <w:tcPr>
            <w:tcW w:type="dxa" w:w="3408"/>
            <w:vAlign w:val="center"/>
          </w:tcPr>
          <w:p>
            <w:r/>
            <w:r>
              <w:rPr>
                <w:rFonts w:ascii="Aptos" w:hAnsi="Aptos"/>
                <w:b w:val="0"/>
                <w:sz w:val="19"/>
              </w:rPr>
              <w:t>SHOULD</w:t>
            </w:r>
          </w:p>
        </w:tc>
      </w:tr>
      <w:tr>
        <w:trPr>
          <w:cantSplit/>
        </w:trPr>
        <w:tc>
          <w:tcPr>
            <w:tcW w:type="dxa" w:w="3408"/>
            <w:vAlign w:val="center"/>
          </w:tcPr>
          <w:p>
            <w:r/>
            <w:r>
              <w:rPr>
                <w:rFonts w:ascii="Aptos" w:hAnsi="Aptos"/>
                <w:b w:val="0"/>
                <w:sz w:val="19"/>
              </w:rPr>
              <w:t>Low-voltage demonstrator</w:t>
            </w:r>
          </w:p>
        </w:tc>
        <w:tc>
          <w:tcPr>
            <w:tcW w:type="dxa" w:w="3408"/>
            <w:vAlign w:val="center"/>
          </w:tcPr>
          <w:p>
            <w:r/>
            <w:r>
              <w:rPr>
                <w:rFonts w:ascii="Aptos" w:hAnsi="Aptos"/>
                <w:b w:val="0"/>
                <w:sz w:val="19"/>
              </w:rPr>
              <w:t>Optional physical proof of the prediction–measurement–calibration loop.</w:t>
            </w:r>
          </w:p>
        </w:tc>
        <w:tc>
          <w:tcPr>
            <w:tcW w:type="dxa" w:w="3408"/>
            <w:vAlign w:val="center"/>
          </w:tcPr>
          <w:p>
            <w:r/>
            <w:r>
              <w:rPr>
                <w:rFonts w:ascii="Aptos" w:hAnsi="Aptos"/>
                <w:b w:val="0"/>
                <w:sz w:val="19"/>
              </w:rPr>
              <w:t>STRETCH</w:t>
            </w:r>
          </w:p>
        </w:tc>
      </w:tr>
    </w:tbl>
    <w:p>
      <w:pPr>
        <w:pStyle w:val="Heading1"/>
      </w:pPr>
      <w:r>
        <w:t>7. Phase Numbering — Final Convention</w:t>
      </w:r>
    </w:p>
    <w:p>
      <w:r>
        <w:rPr>
          <w:b/>
        </w:rPr>
        <w:t>To avoid confusion: Phase 0 is the PHYSICS ENGINE.</w:t>
      </w:r>
    </w:p>
    <w:p>
      <w:r>
        <w:t>The short requirements/source reconciliation step is not a development phase. It is a pre-build gate that should take only long enough to create the authoritative equipment/profile file, standards profile, interfaces, and unresolved-questions list.</w:t>
      </w:r>
    </w:p>
    <w:p>
      <w:pPr>
        <w:pStyle w:val="Heading2"/>
      </w:pPr>
      <w:r>
        <w:t>Pre-Build Gate — Requirements Freeze</w:t>
      </w:r>
    </w:p>
    <w:p>
      <w:pPr>
        <w:pStyle w:val="ListBullet"/>
      </w:pPr>
      <w:r>
        <w:t>Freeze source precedence and authoritative equipment values.</w:t>
      </w:r>
    </w:p>
    <w:p>
      <w:pPr>
        <w:pStyle w:val="ListBullet"/>
      </w:pPr>
      <w:r>
        <w:t>Create CPRI_IVG_PROFILE_v1 with confirmed and unresolved fields.</w:t>
      </w:r>
    </w:p>
    <w:p>
      <w:pPr>
        <w:pStyle w:val="ListBullet"/>
      </w:pPr>
      <w:r>
        <w:t>Freeze LI/SI definitions and compliance profiles.</w:t>
      </w:r>
    </w:p>
    <w:p>
      <w:pPr>
        <w:pStyle w:val="ListBullet"/>
      </w:pPr>
      <w:r>
        <w:t>Freeze interfaces between Physics, ML, Optimizer, Dashboard, and future measured data.</w:t>
      </w:r>
    </w:p>
    <w:p>
      <w:pPr>
        <w:pStyle w:val="ListBullet"/>
      </w:pPr>
      <w:r>
        <w:t>Send only the remaining topology/connection questions that genuinely block physical fidelity.</w:t>
      </w:r>
    </w:p>
    <w:p>
      <w:pPr>
        <w:pStyle w:val="Heading1"/>
      </w:pPr>
      <w:r>
        <w:t>8. Development Phases</w:t>
      </w:r>
    </w:p>
    <w:p>
      <w:pPr>
        <w:pStyle w:val="Heading2"/>
      </w:pPr>
      <w:r>
        <w:t>Phase 0 — Full Physics &amp; Waveform Engine</w:t>
      </w:r>
    </w:p>
    <w:p>
      <w:r>
        <w:t>Goal: build the highest-fidelity circuit-level model justified by the confirmed CPRI topology and available information. Do not intentionally reduce the final product to a toy RC model. A simple analytical model may exist only as a sanity-check baseline.</w:t>
      </w:r>
    </w:p>
    <w:p>
      <w:pPr>
        <w:pStyle w:val="ListBullet"/>
      </w:pPr>
      <w:r>
        <w:t>Inputs: stage count, charge/stage, actual resistor recipe, Cs, DUT/load C, measurement C, stray C, stray L, verified auxiliary branches, topology/configuration ID.</w:t>
      </w:r>
    </w:p>
    <w:p>
      <w:pPr>
        <w:pStyle w:val="ListBullet"/>
      </w:pPr>
      <w:r>
        <w:t>Output: complete V(t) waveform plus crest, LI T1/T2, or SI Tp/T2.</w:t>
      </w:r>
    </w:p>
    <w:p>
      <w:pPr>
        <w:pStyle w:val="ListBullet"/>
      </w:pPr>
      <w:r>
        <w:t>Support both LI 1.2/50 µs and SI 250/2500 µs.</w:t>
      </w:r>
    </w:p>
    <w:p>
      <w:pPr>
        <w:pStyle w:val="ListBullet"/>
      </w:pPr>
      <w:r>
        <w:t>Implement correct waveform-parameter extraction, not approximate peak-time shortcuts.</w:t>
      </w:r>
    </w:p>
    <w:p>
      <w:pPr>
        <w:pStyle w:val="ListBullet"/>
      </w:pPr>
      <w:r>
        <w:t>Validate units, stored energy, voltage scaling, waveform crossings, and numerical stability.</w:t>
      </w:r>
    </w:p>
    <w:p>
      <w:pPr>
        <w:pStyle w:val="ListBullet"/>
      </w:pPr>
      <w:r>
        <w:t>Keep the model extensible so the exact erected CPRI schematic can replace provisional topology assumptions without rewriting the whole project.</w:t>
      </w:r>
    </w:p>
    <w:p>
      <w:r>
        <w:t>Phase 0 exit criterion: settings + setup → physically consistent waveform → correctly extracted waveform parameters.</w:t>
      </w:r>
    </w:p>
    <w:p>
      <w:pPr>
        <w:pStyle w:val="Heading2"/>
      </w:pPr>
      <w:r>
        <w:t>Phase 1 — Actual-Profile Synthetic Data + ML Engine</w:t>
      </w:r>
    </w:p>
    <w:p>
      <w:r>
        <w:t>Goal: train a genuine ML prediction component as required by the problem statement. Do not wait until after the dashboard to generate our own data.</w:t>
      </w:r>
    </w:p>
    <w:p>
      <w:pPr>
        <w:pStyle w:val="ListBullet"/>
      </w:pPr>
      <w:r>
        <w:t>Preserve CPRI's supplied Excel as a separate legacy/synthetic baseline dataset.</w:t>
      </w:r>
    </w:p>
    <w:p>
      <w:pPr>
        <w:pStyle w:val="ListBullet"/>
      </w:pPr>
      <w:r>
        <w:t>Generate a new actual-profile synthetic dataset from the Phase 0 physics model using the confirmed 15-stage, 0.5 µF generator profile.</w:t>
      </w:r>
    </w:p>
    <w:p>
      <w:pPr>
        <w:pStyle w:val="ListBullet"/>
      </w:pPr>
      <w:r>
        <w:t>Cover all confirmed resistor choices, stage counts, load conditions, stray C/L ranges, compliant, noncompliant, boundary, and infeasible cases.</w:t>
      </w:r>
    </w:p>
    <w:p>
      <w:pPr>
        <w:pStyle w:val="ListBullet"/>
      </w:pPr>
      <w:r>
        <w:t>Train separate LI and SI predictors.</w:t>
      </w:r>
    </w:p>
    <w:p>
      <w:pPr>
        <w:pStyle w:val="ListBullet"/>
      </w:pPr>
      <w:r>
        <w:t>Compare a controlled set: kNN baseline, Extra Trees/Random Forest family, gradient boosting, and a small MLP only if justified.</w:t>
      </w:r>
    </w:p>
    <w:p>
      <w:pPr>
        <w:pStyle w:val="ListBullet"/>
      </w:pPr>
      <w:r>
        <w:t>Compare direct ML prediction with physics-guided/hybrid prediction.</w:t>
      </w:r>
    </w:p>
    <w:p>
      <w:pPr>
        <w:pStyle w:val="ListBullet"/>
      </w:pPr>
      <w:r>
        <w:t>Use grouped/held-out setup validation; report LI and SI separately.</w:t>
      </w:r>
    </w:p>
    <w:p>
      <w:pPr>
        <w:pStyle w:val="ListBullet"/>
      </w:pPr>
      <w:r>
        <w:t>Do not claim synthetic-trained performance is real CPRI laboratory accuracy.</w:t>
      </w:r>
    </w:p>
    <w:p>
      <w:r>
        <w:t>Phase 1 exit criterion: a trained, evaluated ML predictor with a locked input/output contract and honest validation report.</w:t>
      </w:r>
    </w:p>
    <w:p>
      <w:pPr>
        <w:pStyle w:val="Heading2"/>
      </w:pPr>
      <w:r>
        <w:t>Phase 2 — Hardware-Aware Optimizer / Recommendation Engine</w:t>
      </w:r>
    </w:p>
    <w:p>
      <w:pPr>
        <w:pStyle w:val="ListBullet"/>
      </w:pPr>
      <w:r>
        <w:t>Decision variables: stage count, charging voltage, approved front-resistor recipe, approved tail-resistor recipe.</w:t>
      </w:r>
    </w:p>
    <w:p>
      <w:pPr>
        <w:pStyle w:val="ListBullet"/>
      </w:pPr>
      <w:r>
        <w:t>Test-circuit properties such as load C and stray L are inputs, not knobs the optimizer may manipulate.</w:t>
      </w:r>
    </w:p>
    <w:p>
      <w:pPr>
        <w:pStyle w:val="ListBullet"/>
      </w:pPr>
      <w:r>
        <w:t>Enumerate every legal configuration for the declared catalog; use more complex optimization only if the real recipe space becomes large enough to justify it.</w:t>
      </w:r>
    </w:p>
    <w:p>
      <w:pPr>
        <w:pStyle w:val="ListBullet"/>
      </w:pPr>
      <w:r>
        <w:t>Evaluate each candidate through the physics + ML prediction path.</w:t>
      </w:r>
    </w:p>
    <w:p>
      <w:pPr>
        <w:pStyle w:val="ListBullet"/>
      </w:pPr>
      <w:r>
        <w:t>Apply hardware constraints, waveform validity, and compliance.</w:t>
      </w:r>
    </w:p>
    <w:p>
      <w:pPr>
        <w:pStyle w:val="ListBullet"/>
      </w:pPr>
      <w:r>
        <w:t>Rank compliant configurations and show the nearest noncompliant alternative if no valid solution exists.</w:t>
      </w:r>
    </w:p>
    <w:p>
      <w:r>
        <w:t>Phase 2 exit criterion: test request → ranked, physically realizable CPRI settings with a defensible best recommendation.</w:t>
      </w:r>
    </w:p>
    <w:p>
      <w:pPr>
        <w:pStyle w:val="Heading2"/>
      </w:pPr>
      <w:r>
        <w:t>Phase 3 — Offline Dashboard</w:t>
      </w:r>
    </w:p>
    <w:p>
      <w:pPr>
        <w:pStyle w:val="ListBullet"/>
      </w:pPr>
      <w:r>
        <w:t>Test-planning screen: LI/SI, target crest, DUT/load parameters, measurement C, stray C/L, assumptions/provenance.</w:t>
      </w:r>
    </w:p>
    <w:p>
      <w:pPr>
        <w:pStyle w:val="ListBullet"/>
      </w:pPr>
      <w:r>
        <w:t>Recommendation screen: stages, charge/stage, actual resistor recipe, predicted metrics, PASS/FAIL, reasons, alternatives.</w:t>
      </w:r>
    </w:p>
    <w:p>
      <w:pPr>
        <w:pStyle w:val="ListBullet"/>
      </w:pPr>
      <w:r>
        <w:t>Prediction-analysis screen: physics prediction vs ML/hybrid prediction vs checked waveform.</w:t>
      </w:r>
    </w:p>
    <w:p>
      <w:pPr>
        <w:pStyle w:val="ListBullet"/>
      </w:pPr>
      <w:r>
        <w:t>Performance panel: ML metrics, model version, training domain, fallback/OOD status.</w:t>
      </w:r>
    </w:p>
    <w:p>
      <w:pPr>
        <w:pStyle w:val="ListBullet"/>
      </w:pPr>
      <w:r>
        <w:t>Waveform graph: target vs predicted/reference waveform with consistent reported numbers.</w:t>
      </w:r>
    </w:p>
    <w:p>
      <w:r>
        <w:t>Phase 3 exit criterion: an engineer can use the complete workflow without notebooks or source code.</w:t>
      </w:r>
    </w:p>
    <w:p>
      <w:pPr>
        <w:pStyle w:val="Heading2"/>
      </w:pPr>
      <w:r>
        <w:t>Phase 4 — Validation, Real CPRI Data &amp; Fine-Tuning</w:t>
      </w:r>
    </w:p>
    <w:p>
      <w:pPr>
        <w:pStyle w:val="ListBullet"/>
      </w:pPr>
      <w:r>
        <w:t>When actual CPRI waveform data becomes available, keep it as a separate laboratory evidence domain.</w:t>
      </w:r>
    </w:p>
    <w:p>
      <w:pPr>
        <w:pStyle w:val="ListBullet"/>
      </w:pPr>
      <w:r>
        <w:t>Compare predicted vs measured waveform and parameters.</w:t>
      </w:r>
    </w:p>
    <w:p>
      <w:pPr>
        <w:pStyle w:val="ListBullet"/>
      </w:pPr>
      <w:r>
        <w:t>Calibrate uncertain physical parameters only where identifiable.</w:t>
      </w:r>
    </w:p>
    <w:p>
      <w:pPr>
        <w:pStyle w:val="ListBullet"/>
      </w:pPr>
      <w:r>
        <w:t>Fine-tune/retrain the ML predictor using real measured data with grouped validation.</w:t>
      </w:r>
    </w:p>
    <w:p>
      <w:pPr>
        <w:pStyle w:val="ListBullet"/>
      </w:pPr>
      <w:r>
        <w:t>Version every calibration/model update and preserve prior predictions.</w:t>
      </w:r>
    </w:p>
    <w:p>
      <w:pPr>
        <w:pStyle w:val="ListBullet"/>
      </w:pPr>
      <w:r>
        <w:t>Do not mix synthetic and real accuracy into one headline metric.</w:t>
      </w:r>
    </w:p>
    <w:p>
      <w:r>
        <w:t>Phase 4 exit criterion: CPRI-specific calibrated model with independent measured validation.</w:t>
      </w:r>
    </w:p>
    <w:p>
      <w:pPr>
        <w:pStyle w:val="Heading2"/>
      </w:pPr>
      <w:r>
        <w:t>Phase 5 — Optional Low-Voltage Demonstrator</w:t>
      </w:r>
    </w:p>
    <w:p>
      <w:pPr>
        <w:pStyle w:val="ListBullet"/>
      </w:pPr>
      <w:r>
        <w:t>Build only after the entire software pipeline is reliable.</w:t>
      </w:r>
    </w:p>
    <w:p>
      <w:pPr>
        <w:pStyle w:val="ListBullet"/>
      </w:pPr>
      <w:r>
        <w:t>Demonstrate predict → measure → change load → observe mismatch → recalibrate → recommend new setting.</w:t>
      </w:r>
    </w:p>
    <w:p>
      <w:pPr>
        <w:pStyle w:val="ListBullet"/>
      </w:pPr>
      <w:r>
        <w:t>Do not claim the bench rig validates megavolt operation or spark-gap behaviour.</w:t>
      </w:r>
    </w:p>
    <w:p>
      <w:pPr>
        <w:pStyle w:val="Heading1"/>
      </w:pPr>
      <w:r>
        <w:t>9. Waveform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D9EAF7"/>
          </w:tcPr>
          <w:p>
            <w:r/>
            <w:r>
              <w:rPr>
                <w:rFonts w:ascii="Aptos" w:hAnsi="Aptos"/>
                <w:b/>
                <w:sz w:val="19"/>
              </w:rPr>
              <w:t>Quantity</w:t>
            </w:r>
          </w:p>
        </w:tc>
        <w:tc>
          <w:tcPr>
            <w:tcW w:type="dxa" w:w="3408"/>
            <w:vAlign w:val="center"/>
            <w:shd w:fill="D9EAF7"/>
          </w:tcPr>
          <w:p>
            <w:r/>
            <w:r>
              <w:rPr>
                <w:rFonts w:ascii="Aptos" w:hAnsi="Aptos"/>
                <w:b/>
                <w:sz w:val="19"/>
              </w:rPr>
              <w:t>LI</w:t>
            </w:r>
          </w:p>
        </w:tc>
        <w:tc>
          <w:tcPr>
            <w:tcW w:type="dxa" w:w="3408"/>
            <w:vAlign w:val="center"/>
            <w:shd w:fill="D9EAF7"/>
          </w:tcPr>
          <w:p>
            <w:r/>
            <w:r>
              <w:rPr>
                <w:rFonts w:ascii="Aptos" w:hAnsi="Aptos"/>
                <w:b/>
                <w:sz w:val="19"/>
              </w:rPr>
              <w:t>SI</w:t>
            </w:r>
          </w:p>
        </w:tc>
      </w:tr>
      <w:tr>
        <w:trPr>
          <w:cantSplit/>
        </w:trPr>
        <w:tc>
          <w:tcPr>
            <w:tcW w:type="dxa" w:w="3408"/>
            <w:vAlign w:val="center"/>
          </w:tcPr>
          <w:p>
            <w:r/>
            <w:r>
              <w:rPr>
                <w:rFonts w:ascii="Aptos" w:hAnsi="Aptos"/>
                <w:b w:val="0"/>
                <w:sz w:val="19"/>
              </w:rPr>
              <w:t>Target waveform</w:t>
            </w:r>
          </w:p>
        </w:tc>
        <w:tc>
          <w:tcPr>
            <w:tcW w:type="dxa" w:w="3408"/>
            <w:vAlign w:val="center"/>
          </w:tcPr>
          <w:p>
            <w:r/>
            <w:r>
              <w:rPr>
                <w:rFonts w:ascii="Aptos" w:hAnsi="Aptos"/>
                <w:b w:val="0"/>
                <w:sz w:val="19"/>
              </w:rPr>
              <w:t>1.2/50 µs</w:t>
            </w:r>
          </w:p>
        </w:tc>
        <w:tc>
          <w:tcPr>
            <w:tcW w:type="dxa" w:w="3408"/>
            <w:vAlign w:val="center"/>
          </w:tcPr>
          <w:p>
            <w:r/>
            <w:r>
              <w:rPr>
                <w:rFonts w:ascii="Aptos" w:hAnsi="Aptos"/>
                <w:b w:val="0"/>
                <w:sz w:val="19"/>
              </w:rPr>
              <w:t>250/2500 µs</w:t>
            </w:r>
          </w:p>
        </w:tc>
      </w:tr>
      <w:tr>
        <w:trPr>
          <w:cantSplit/>
        </w:trPr>
        <w:tc>
          <w:tcPr>
            <w:tcW w:type="dxa" w:w="3408"/>
            <w:vAlign w:val="center"/>
          </w:tcPr>
          <w:p>
            <w:r/>
            <w:r>
              <w:rPr>
                <w:rFonts w:ascii="Aptos" w:hAnsi="Aptos"/>
                <w:b w:val="0"/>
                <w:sz w:val="19"/>
              </w:rPr>
              <w:t>Crest</w:t>
            </w:r>
          </w:p>
        </w:tc>
        <w:tc>
          <w:tcPr>
            <w:tcW w:type="dxa" w:w="3408"/>
            <w:vAlign w:val="center"/>
          </w:tcPr>
          <w:p>
            <w:r/>
            <w:r>
              <w:rPr>
                <w:rFonts w:ascii="Aptos" w:hAnsi="Aptos"/>
                <w:b w:val="0"/>
                <w:sz w:val="19"/>
              </w:rPr>
              <w:t>Target ±3%</w:t>
            </w:r>
          </w:p>
        </w:tc>
        <w:tc>
          <w:tcPr>
            <w:tcW w:type="dxa" w:w="3408"/>
            <w:vAlign w:val="center"/>
          </w:tcPr>
          <w:p>
            <w:r/>
            <w:r>
              <w:rPr>
                <w:rFonts w:ascii="Aptos" w:hAnsi="Aptos"/>
                <w:b w:val="0"/>
                <w:sz w:val="19"/>
              </w:rPr>
              <w:t>Target ±3%</w:t>
            </w:r>
          </w:p>
        </w:tc>
      </w:tr>
      <w:tr>
        <w:trPr>
          <w:cantSplit/>
        </w:trPr>
        <w:tc>
          <w:tcPr>
            <w:tcW w:type="dxa" w:w="3408"/>
            <w:vAlign w:val="center"/>
          </w:tcPr>
          <w:p>
            <w:r/>
            <w:r>
              <w:rPr>
                <w:rFonts w:ascii="Aptos" w:hAnsi="Aptos"/>
                <w:b w:val="0"/>
                <w:sz w:val="19"/>
              </w:rPr>
              <w:t>Front/peak</w:t>
            </w:r>
          </w:p>
        </w:tc>
        <w:tc>
          <w:tcPr>
            <w:tcW w:type="dxa" w:w="3408"/>
            <w:vAlign w:val="center"/>
          </w:tcPr>
          <w:p>
            <w:r/>
            <w:r>
              <w:rPr>
                <w:rFonts w:ascii="Aptos" w:hAnsi="Aptos"/>
                <w:b w:val="0"/>
                <w:sz w:val="19"/>
              </w:rPr>
              <w:t>T1 = 0.84–1.56 µs</w:t>
            </w:r>
          </w:p>
        </w:tc>
        <w:tc>
          <w:tcPr>
            <w:tcW w:type="dxa" w:w="3408"/>
            <w:vAlign w:val="center"/>
          </w:tcPr>
          <w:p>
            <w:r/>
            <w:r>
              <w:rPr>
                <w:rFonts w:ascii="Aptos" w:hAnsi="Aptos"/>
                <w:b w:val="0"/>
                <w:sz w:val="19"/>
              </w:rPr>
              <w:t>Tp = 200–300 µs</w:t>
            </w:r>
          </w:p>
        </w:tc>
      </w:tr>
      <w:tr>
        <w:trPr>
          <w:cantSplit/>
        </w:trPr>
        <w:tc>
          <w:tcPr>
            <w:tcW w:type="dxa" w:w="3408"/>
            <w:vAlign w:val="center"/>
          </w:tcPr>
          <w:p>
            <w:r/>
            <w:r>
              <w:rPr>
                <w:rFonts w:ascii="Aptos" w:hAnsi="Aptos"/>
                <w:b w:val="0"/>
                <w:sz w:val="19"/>
              </w:rPr>
              <w:t>Tail</w:t>
            </w:r>
          </w:p>
        </w:tc>
        <w:tc>
          <w:tcPr>
            <w:tcW w:type="dxa" w:w="3408"/>
            <w:vAlign w:val="center"/>
          </w:tcPr>
          <w:p>
            <w:r/>
            <w:r>
              <w:rPr>
                <w:rFonts w:ascii="Aptos" w:hAnsi="Aptos"/>
                <w:b w:val="0"/>
                <w:sz w:val="19"/>
              </w:rPr>
              <w:t>T2 = 40–60 µs</w:t>
            </w:r>
          </w:p>
        </w:tc>
        <w:tc>
          <w:tcPr>
            <w:tcW w:type="dxa" w:w="3408"/>
            <w:vAlign w:val="center"/>
          </w:tcPr>
          <w:p>
            <w:r/>
            <w:r>
              <w:rPr>
                <w:rFonts w:ascii="Aptos" w:hAnsi="Aptos"/>
                <w:b w:val="0"/>
                <w:sz w:val="19"/>
              </w:rPr>
              <w:t>T2 = 1000–4000 µs</w:t>
            </w:r>
          </w:p>
        </w:tc>
      </w:tr>
    </w:tbl>
    <w:p>
      <w:r>
        <w:t>LI and SI require different time definitions. The implementation must extract the correct quantities from the waveform and must not treat LI front time as time-to-peak.</w:t>
      </w:r>
    </w:p>
    <w:p>
      <w:pPr>
        <w:pStyle w:val="Heading1"/>
      </w:pPr>
      <w:r>
        <w:t>10. Data Strategy</w:t>
      </w:r>
    </w:p>
    <w:p>
      <w:pPr>
        <w:pStyle w:val="ListBullet"/>
      </w:pPr>
      <w:r>
        <w:t>Legacy Excel dataset: preserve exactly; use for EDA, baseline reproduction, and initial ML comparison.</w:t>
      </w:r>
    </w:p>
    <w:p>
      <w:pPr>
        <w:pStyle w:val="ListBullet"/>
      </w:pPr>
      <w:r>
        <w:t>Actual-profile simulation dataset: generate from our verified physics model and actual CPRI parameter profile.</w:t>
      </w:r>
    </w:p>
    <w:p>
      <w:pPr>
        <w:pStyle w:val="ListBullet"/>
      </w:pPr>
      <w:r>
        <w:t>Measured CPRI dataset: when received, store separately with waveform, settings, setup identity, and measurement metadata.</w:t>
      </w:r>
    </w:p>
    <w:p>
      <w:pPr>
        <w:pStyle w:val="ListBullet"/>
      </w:pPr>
      <w:r>
        <w:t>Never relabel the workbook's 3 µF-derived outputs as if they came from the 0.5 µF generator.</w:t>
      </w:r>
    </w:p>
    <w:p>
      <w:pPr>
        <w:pStyle w:val="ListBullet"/>
      </w:pPr>
      <w:r>
        <w:t>Main ML evidence should be recommendation/prediction quality on held-out cases, not pooled R².</w:t>
      </w:r>
    </w:p>
    <w:p>
      <w:pPr>
        <w:pStyle w:val="Heading1"/>
      </w:pPr>
      <w:r>
        <w:t>11. Winning Differentiation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FCE4D6"/>
          </w:tcPr>
          <w:p>
            <w:r/>
            <w:r>
              <w:rPr>
                <w:rFonts w:ascii="Aptos" w:hAnsi="Aptos"/>
                <w:b/>
                <w:sz w:val="19"/>
              </w:rPr>
              <w:t>Typical weak submission</w:t>
            </w:r>
          </w:p>
        </w:tc>
        <w:tc>
          <w:tcPr>
            <w:tcW w:type="dxa" w:w="5112"/>
            <w:vAlign w:val="center"/>
            <w:shd w:fill="E2F0D9"/>
          </w:tcPr>
          <w:p>
            <w:r/>
            <w:r>
              <w:rPr>
                <w:rFonts w:ascii="Aptos" w:hAnsi="Aptos"/>
                <w:b/>
                <w:sz w:val="19"/>
              </w:rPr>
              <w:t>Our target submission</w:t>
            </w:r>
          </w:p>
        </w:tc>
      </w:tr>
      <w:tr>
        <w:trPr>
          <w:cantSplit/>
        </w:trPr>
        <w:tc>
          <w:tcPr>
            <w:tcW w:type="dxa" w:w="5112"/>
            <w:vAlign w:val="center"/>
          </w:tcPr>
          <w:p>
            <w:r/>
            <w:r>
              <w:rPr>
                <w:rFonts w:ascii="Aptos" w:hAnsi="Aptos"/>
                <w:b w:val="0"/>
                <w:sz w:val="19"/>
              </w:rPr>
              <w:t>Dataset → XGBoost → dashboard</w:t>
            </w:r>
          </w:p>
        </w:tc>
        <w:tc>
          <w:tcPr>
            <w:tcW w:type="dxa" w:w="5112"/>
            <w:vAlign w:val="center"/>
          </w:tcPr>
          <w:p>
            <w:r/>
            <w:r>
              <w:rPr>
                <w:rFonts w:ascii="Aptos" w:hAnsi="Aptos"/>
                <w:b w:val="0"/>
                <w:sz w:val="19"/>
              </w:rPr>
              <w:t>Physics + trained ML + physical hardware constraints + optimizer</w:t>
            </w:r>
          </w:p>
        </w:tc>
      </w:tr>
      <w:tr>
        <w:trPr>
          <w:cantSplit/>
        </w:trPr>
        <w:tc>
          <w:tcPr>
            <w:tcW w:type="dxa" w:w="5112"/>
            <w:vAlign w:val="center"/>
          </w:tcPr>
          <w:p>
            <w:r/>
            <w:r>
              <w:rPr>
                <w:rFonts w:ascii="Aptos" w:hAnsi="Aptos"/>
                <w:b w:val="0"/>
                <w:sz w:val="19"/>
              </w:rPr>
              <w:t>Arbitrary resistance output</w:t>
            </w:r>
          </w:p>
        </w:tc>
        <w:tc>
          <w:tcPr>
            <w:tcW w:type="dxa" w:w="5112"/>
            <w:vAlign w:val="center"/>
          </w:tcPr>
          <w:p>
            <w:r/>
            <w:r>
              <w:rPr>
                <w:rFonts w:ascii="Aptos" w:hAnsi="Aptos"/>
                <w:b w:val="0"/>
                <w:sz w:val="19"/>
              </w:rPr>
              <w:t>Actual CPRI resistor recipe</w:t>
            </w:r>
          </w:p>
        </w:tc>
      </w:tr>
      <w:tr>
        <w:trPr>
          <w:cantSplit/>
        </w:trPr>
        <w:tc>
          <w:tcPr>
            <w:tcW w:type="dxa" w:w="5112"/>
            <w:vAlign w:val="center"/>
          </w:tcPr>
          <w:p>
            <w:r/>
            <w:r>
              <w:rPr>
                <w:rFonts w:ascii="Aptos" w:hAnsi="Aptos"/>
                <w:b w:val="0"/>
                <w:sz w:val="19"/>
              </w:rPr>
              <w:t>One prediction</w:t>
            </w:r>
          </w:p>
        </w:tc>
        <w:tc>
          <w:tcPr>
            <w:tcW w:type="dxa" w:w="5112"/>
            <w:vAlign w:val="center"/>
          </w:tcPr>
          <w:p>
            <w:r/>
            <w:r>
              <w:rPr>
                <w:rFonts w:ascii="Aptos" w:hAnsi="Aptos"/>
                <w:b w:val="0"/>
                <w:sz w:val="19"/>
              </w:rPr>
              <w:t>Ranked practical configurations</w:t>
            </w:r>
          </w:p>
        </w:tc>
      </w:tr>
      <w:tr>
        <w:trPr>
          <w:cantSplit/>
        </w:trPr>
        <w:tc>
          <w:tcPr>
            <w:tcW w:type="dxa" w:w="5112"/>
            <w:vAlign w:val="center"/>
          </w:tcPr>
          <w:p>
            <w:r/>
            <w:r>
              <w:rPr>
                <w:rFonts w:ascii="Aptos" w:hAnsi="Aptos"/>
                <w:b w:val="0"/>
                <w:sz w:val="19"/>
              </w:rPr>
              <w:t>Synthetic accuracy as proof</w:t>
            </w:r>
          </w:p>
        </w:tc>
        <w:tc>
          <w:tcPr>
            <w:tcW w:type="dxa" w:w="5112"/>
            <w:vAlign w:val="center"/>
          </w:tcPr>
          <w:p>
            <w:r/>
            <w:r>
              <w:rPr>
                <w:rFonts w:ascii="Aptos" w:hAnsi="Aptos"/>
                <w:b w:val="0"/>
                <w:sz w:val="19"/>
              </w:rPr>
              <w:t>Separated simulation and measured evidence</w:t>
            </w:r>
          </w:p>
        </w:tc>
      </w:tr>
      <w:tr>
        <w:trPr>
          <w:cantSplit/>
        </w:trPr>
        <w:tc>
          <w:tcPr>
            <w:tcW w:type="dxa" w:w="5112"/>
            <w:vAlign w:val="center"/>
          </w:tcPr>
          <w:p>
            <w:r/>
            <w:r>
              <w:rPr>
                <w:rFonts w:ascii="Aptos" w:hAnsi="Aptos"/>
                <w:b w:val="0"/>
                <w:sz w:val="19"/>
              </w:rPr>
              <w:t>LI only / SI weak</w:t>
            </w:r>
          </w:p>
        </w:tc>
        <w:tc>
          <w:tcPr>
            <w:tcW w:type="dxa" w:w="5112"/>
            <w:vAlign w:val="center"/>
          </w:tcPr>
          <w:p>
            <w:r/>
            <w:r>
              <w:rPr>
                <w:rFonts w:ascii="Aptos" w:hAnsi="Aptos"/>
                <w:b w:val="0"/>
                <w:sz w:val="19"/>
              </w:rPr>
              <w:t>Both LI and SI fully supported</w:t>
            </w:r>
          </w:p>
        </w:tc>
      </w:tr>
      <w:tr>
        <w:trPr>
          <w:cantSplit/>
        </w:trPr>
        <w:tc>
          <w:tcPr>
            <w:tcW w:type="dxa" w:w="5112"/>
            <w:vAlign w:val="center"/>
          </w:tcPr>
          <w:p>
            <w:r/>
            <w:r>
              <w:rPr>
                <w:rFonts w:ascii="Aptos" w:hAnsi="Aptos"/>
                <w:b w:val="0"/>
                <w:sz w:val="19"/>
              </w:rPr>
              <w:t>Always returns a setting</w:t>
            </w:r>
          </w:p>
        </w:tc>
        <w:tc>
          <w:tcPr>
            <w:tcW w:type="dxa" w:w="5112"/>
            <w:vAlign w:val="center"/>
          </w:tcPr>
          <w:p>
            <w:r/>
            <w:r>
              <w:rPr>
                <w:rFonts w:ascii="Aptos" w:hAnsi="Aptos"/>
                <w:b w:val="0"/>
                <w:sz w:val="19"/>
              </w:rPr>
              <w:t>Can return a justified no-solution result</w:t>
            </w:r>
          </w:p>
        </w:tc>
      </w:tr>
      <w:tr>
        <w:trPr>
          <w:cantSplit/>
        </w:trPr>
        <w:tc>
          <w:tcPr>
            <w:tcW w:type="dxa" w:w="5112"/>
            <w:vAlign w:val="center"/>
          </w:tcPr>
          <w:p>
            <w:r/>
            <w:r>
              <w:rPr>
                <w:rFonts w:ascii="Aptos" w:hAnsi="Aptos"/>
                <w:b w:val="0"/>
                <w:sz w:val="19"/>
              </w:rPr>
              <w:t>Pretty UI</w:t>
            </w:r>
          </w:p>
        </w:tc>
        <w:tc>
          <w:tcPr>
            <w:tcW w:type="dxa" w:w="5112"/>
            <w:vAlign w:val="center"/>
          </w:tcPr>
          <w:p>
            <w:r/>
            <w:r>
              <w:rPr>
                <w:rFonts w:ascii="Aptos" w:hAnsi="Aptos"/>
                <w:b w:val="0"/>
                <w:sz w:val="19"/>
              </w:rPr>
              <w:t>Engineer-usable decision system</w:t>
            </w:r>
          </w:p>
        </w:tc>
      </w:tr>
    </w:tbl>
    <w:p>
      <w:pPr>
        <w:pStyle w:val="Heading1"/>
      </w:pPr>
      <w:r>
        <w:t>12. Target Judging Demo</w:t>
      </w:r>
    </w:p>
    <w:p>
      <w:pPr>
        <w:pStyle w:val="ListNumber"/>
      </w:pPr>
      <w:r>
        <w:t>Enter a realistic LI request and setup.</w:t>
      </w:r>
    </w:p>
    <w:p>
      <w:pPr>
        <w:pStyle w:val="ListNumber"/>
      </w:pPr>
      <w:r>
        <w:t>Show actual CPRI profile and legal candidate space.</w:t>
      </w:r>
    </w:p>
    <w:p>
      <w:pPr>
        <w:pStyle w:val="ListNumber"/>
      </w:pPr>
      <w:r>
        <w:t>Run physics + ML prediction and return top practical configurations.</w:t>
      </w:r>
    </w:p>
    <w:p>
      <w:pPr>
        <w:pStyle w:val="ListNumber"/>
      </w:pPr>
      <w:r>
        <w:t>Show predicted waveform, crest, T1/T2, compliance, and why #1 ranks above #2/#3.</w:t>
      </w:r>
    </w:p>
    <w:p>
      <w:pPr>
        <w:pStyle w:val="ListNumber"/>
      </w:pPr>
      <w:r>
        <w:t>Change the DUT/load capacitance and show that the preferred configuration can change.</w:t>
      </w:r>
    </w:p>
    <w:p>
      <w:pPr>
        <w:pStyle w:val="ListNumber"/>
      </w:pPr>
      <w:r>
        <w:t>Switch LI → SI and show the correct independent waveform definition and recommendation.</w:t>
      </w:r>
    </w:p>
    <w:p>
      <w:pPr>
        <w:pStyle w:val="ListNumber"/>
      </w:pPr>
      <w:r>
        <w:t>Enter an infeasible request and show a reasoned no-solution result instead of inventing hardware.</w:t>
      </w:r>
    </w:p>
    <w:p>
      <w:pPr>
        <w:pStyle w:val="ListNumber"/>
      </w:pPr>
      <w:r>
        <w:t>Finish with held-out ML validation and, if available, a real CPRI waveform comparison.</w:t>
      </w:r>
    </w:p>
    <w:p>
      <w:pPr>
        <w:pStyle w:val="Heading1"/>
      </w:pPr>
      <w:r>
        <w:t>13. Definition of Success</w:t>
      </w:r>
    </w:p>
    <w:p>
      <w:r>
        <w:t>The project is successful when, for a previously unseen valid setup, the system selects a physically available CPRI configuration, predicts its LI/SI waveform using an integrated physics + ML workflow, checks it correctly against the required limits, ranks sensible alternatives, and exposes the assumptions and evidence supporting the recommendation.</w:t>
      </w:r>
    </w:p>
    <w:p>
      <w:pPr>
        <w:pStyle w:val="Heading1"/>
      </w:pPr>
      <w:r>
        <w:t>14. Recommended Model/Agent Allocation</w:t>
      </w:r>
    </w:p>
    <w:p>
      <w:r>
        <w:t>Pre-Build Gate: Astra xHigh is well-suited to source reconciliation, requirement traceability, and producing the authoritative equipment/profile contract.</w:t>
      </w:r>
    </w:p>
    <w:p>
      <w:r>
        <w:t>Phase 0 Physics: GPT-6 Pro Thinking should act as the dedicated physics engineer for circuit derivation, model selection, numerical formulation, validation fixtures, and the synthetic-data generator. Use an independent second review to check the derivation rather than allowing the same reasoning pass to both derive and certify the model.</w:t>
      </w:r>
    </w:p>
    <w:p>
      <w:pPr>
        <w:pStyle w:val="Heading1"/>
      </w:pPr>
      <w:r>
        <w:t>15. Immediate Next Actions</w:t>
      </w:r>
    </w:p>
    <w:p>
      <w:pPr>
        <w:pStyle w:val="ListNumber"/>
      </w:pPr>
      <w:r>
        <w:t>Run the short Pre-Build Gate: produce one authoritative CPRI profile, standards profile, interface contracts, and unresolved-topology list.</w:t>
      </w:r>
    </w:p>
    <w:p>
      <w:pPr>
        <w:pStyle w:val="ListNumber"/>
      </w:pPr>
      <w:r>
        <w:t>Start Phase 0 Physics immediately after the interfaces are fixed.</w:t>
      </w:r>
    </w:p>
    <w:p>
      <w:pPr>
        <w:pStyle w:val="ListNumber"/>
      </w:pPr>
      <w:r>
        <w:t>In parallel, request the erected-state schematic / legal resistor recipes / meaning of 180/520 Ω / what 480 pF contains / one known-good LI case.</w:t>
      </w:r>
    </w:p>
    <w:p>
      <w:pPr>
        <w:pStyle w:val="ListNumber"/>
      </w:pPr>
      <w:r>
        <w:t>Do not start dashboard polishing, hardware, or broad ML training before the physics outputs and labels are defined.</w:t>
      </w:r>
    </w:p>
    <w:p/>
    <w:p>
      <w:pPr>
        <w:jc w:val="center"/>
      </w:pPr>
      <w:r>
        <w:rPr>
          <w:i/>
          <w:sz w:val="16"/>
        </w:rPr>
        <w:t>Prepared for PowerNext AI Track 1 – pre-build planning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