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28"/>
          <w:szCs w:val="28"/>
        </w:rPr>
      </w:pPr>
      <w:r>
        <w:rPr>
          <w:b/>
          <w:bCs/>
          <w:sz w:val="28"/>
          <w:szCs w:val="28"/>
        </w:rPr>
        <w:t>Summary of article “Computing the Spectrum of Infinite-Volume Operators”</w:t>
      </w:r>
    </w:p>
    <w:p>
      <w:pPr>
        <w:pStyle w:val="Normal"/>
        <w:rPr>
          <w:b/>
          <w:bCs/>
        </w:rPr>
      </w:pPr>
      <w:r>
        <w:rPr>
          <w:b/>
          <w:bCs/>
        </w:rPr>
        <w:t>Introduction</w:t>
      </w:r>
    </w:p>
    <w:p>
      <w:pPr>
        <w:pStyle w:val="Normal"/>
        <w:numPr>
          <w:ilvl w:val="0"/>
          <w:numId w:val="1"/>
        </w:numPr>
        <w:rPr>
          <w:b w:val="false"/>
          <w:bCs w:val="false"/>
        </w:rPr>
      </w:pPr>
      <w:r>
        <w:rPr>
          <w:b w:val="false"/>
          <w:bCs w:val="false"/>
        </w:rPr>
        <w:t>The computation of spectra of linear operators is a fundamental problem.</w:t>
      </w:r>
    </w:p>
    <w:p>
      <w:pPr>
        <w:pStyle w:val="Normal"/>
        <w:numPr>
          <w:ilvl w:val="1"/>
          <w:numId w:val="1"/>
        </w:numPr>
        <w:rPr>
          <w:b w:val="false"/>
          <w:bCs w:val="false"/>
        </w:rPr>
      </w:pPr>
      <w:r>
        <w:rPr>
          <w:b w:val="false"/>
          <w:bCs w:val="false"/>
        </w:rPr>
        <w:t>For finite-dimensional matrices, the theorem of Abel and Ruffini shows that there is no closed-form solution.</w:t>
      </w:r>
    </w:p>
    <w:p>
      <w:pPr>
        <w:pStyle w:val="Normal"/>
        <w:numPr>
          <w:ilvl w:val="2"/>
          <w:numId w:val="1"/>
        </w:numPr>
        <w:rPr>
          <w:b w:val="false"/>
          <w:bCs w:val="false"/>
        </w:rPr>
      </w:pPr>
      <w:r>
        <w:rPr>
          <w:b w:val="false"/>
          <w:bCs w:val="false"/>
        </w:rPr>
        <w:t>The eigenvalues can be approximated numerically.</w:t>
      </w:r>
    </w:p>
    <w:p>
      <w:pPr>
        <w:pStyle w:val="Normal"/>
        <w:numPr>
          <w:ilvl w:val="2"/>
          <w:numId w:val="1"/>
        </w:numPr>
        <w:rPr/>
      </w:pPr>
      <w:r>
        <w:rPr>
          <w:b w:val="false"/>
          <w:bCs w:val="false"/>
        </w:rPr>
        <w:t>The approximation error can be bounded.</w:t>
      </w:r>
    </w:p>
    <w:p>
      <w:pPr>
        <w:pStyle w:val="Normal"/>
        <w:numPr>
          <w:ilvl w:val="2"/>
          <w:numId w:val="1"/>
        </w:numPr>
        <w:rPr>
          <w:b w:val="false"/>
          <w:bCs w:val="false"/>
        </w:rPr>
      </w:pPr>
      <w:r>
        <w:rPr>
          <w:b w:val="false"/>
          <w:bCs w:val="false"/>
        </w:rPr>
        <w:t>There are algorithms that compute validated intervals for the eigenvalues.</w:t>
      </w:r>
    </w:p>
    <w:p>
      <w:pPr>
        <w:pStyle w:val="Normal"/>
        <w:numPr>
          <w:ilvl w:val="1"/>
          <w:numId w:val="1"/>
        </w:numPr>
        <w:rPr/>
      </w:pPr>
      <w:r>
        <w:rPr>
          <w:b w:val="false"/>
          <w:bCs w:val="false"/>
        </w:rPr>
        <w:t>Operators on infinite-dimensional spaces are usually studied by restricting them to a finite-dimensional subspace.</w:t>
      </w:r>
    </w:p>
    <w:p>
      <w:pPr>
        <w:pStyle w:val="Normal"/>
        <w:numPr>
          <w:ilvl w:val="2"/>
          <w:numId w:val="1"/>
        </w:numPr>
        <w:rPr>
          <w:b w:val="false"/>
          <w:bCs w:val="false"/>
        </w:rPr>
      </w:pPr>
      <w:r>
        <w:rPr>
          <w:b w:val="false"/>
          <w:bCs w:val="false"/>
        </w:rPr>
        <w:t>Upper bounds on the eigenvalues can be derived from finite-dimensional approximations using the Rayleigh-Ritz method.</w:t>
      </w:r>
    </w:p>
    <w:p>
      <w:pPr>
        <w:pStyle w:val="Normal"/>
        <w:numPr>
          <w:ilvl w:val="2"/>
          <w:numId w:val="1"/>
        </w:numPr>
        <w:rPr>
          <w:b w:val="false"/>
          <w:bCs w:val="false"/>
        </w:rPr>
      </w:pPr>
      <w:r>
        <w:rPr>
          <w:b w:val="false"/>
          <w:bCs w:val="false"/>
        </w:rPr>
        <w:t>Several methods have been proposed to compute complementary lower bounds on the eigenvalues.</w:t>
      </w:r>
    </w:p>
    <w:p>
      <w:pPr>
        <w:pStyle w:val="Normal"/>
        <w:numPr>
          <w:ilvl w:val="3"/>
          <w:numId w:val="1"/>
        </w:numPr>
        <w:rPr/>
      </w:pPr>
      <w:r>
        <w:rPr>
          <w:b w:val="false"/>
          <w:bCs w:val="false"/>
        </w:rPr>
        <w:t>These methods usually assume that the spectrum in a certain energy window is comprised of a finite number of eigenvalues.</w:t>
      </w:r>
    </w:p>
    <w:p>
      <w:pPr>
        <w:pStyle w:val="Normal"/>
        <w:numPr>
          <w:ilvl w:val="4"/>
          <w:numId w:val="1"/>
        </w:numPr>
        <w:rPr>
          <w:b w:val="false"/>
          <w:bCs w:val="false"/>
        </w:rPr>
      </w:pPr>
      <w:r>
        <w:rPr>
          <w:b w:val="false"/>
          <w:bCs w:val="false"/>
        </w:rPr>
        <w:t>They are applicable, for instance, to differential operators on compact domains.</w:t>
      </w:r>
    </w:p>
    <w:p>
      <w:pPr>
        <w:pStyle w:val="Normal"/>
        <w:numPr>
          <w:ilvl w:val="1"/>
          <w:numId w:val="1"/>
        </w:numPr>
        <w:rPr>
          <w:b w:val="false"/>
          <w:bCs w:val="false"/>
        </w:rPr>
      </w:pPr>
      <w:r>
        <w:rPr>
          <w:b w:val="false"/>
          <w:bCs w:val="false"/>
        </w:rPr>
        <w:t>We consider the problem of computing the spectra of short-range infinite-volume operators.</w:t>
      </w:r>
    </w:p>
    <w:p>
      <w:pPr>
        <w:pStyle w:val="Normal"/>
        <w:numPr>
          <w:ilvl w:val="2"/>
          <w:numId w:val="1"/>
        </w:numPr>
        <w:rPr>
          <w:b w:val="false"/>
          <w:bCs w:val="false"/>
        </w:rPr>
      </w:pPr>
      <w:r>
        <w:rPr>
          <w:b w:val="false"/>
          <w:bCs w:val="false"/>
        </w:rPr>
        <w:t>Known methods do not apply for this class of operators.</w:t>
      </w:r>
    </w:p>
    <w:p>
      <w:pPr>
        <w:pStyle w:val="Normal"/>
        <w:numPr>
          <w:ilvl w:val="2"/>
          <w:numId w:val="1"/>
        </w:numPr>
        <w:spacing w:before="0" w:after="160"/>
        <w:rPr>
          <w:b w:val="false"/>
          <w:bCs w:val="false"/>
        </w:rPr>
      </w:pPr>
      <w:r>
        <w:rPr>
          <w:b w:val="false"/>
          <w:bCs w:val="false"/>
        </w:rPr>
        <w:t>These operators are very relevant for applications.</w:t>
      </w:r>
    </w:p>
    <w:p>
      <w:pPr>
        <w:pStyle w:val="Normal"/>
        <w:numPr>
          <w:ilvl w:val="3"/>
          <w:numId w:val="1"/>
        </w:numPr>
        <w:spacing w:before="0" w:after="160"/>
        <w:rPr>
          <w:b w:val="false"/>
          <w:bCs w:val="false"/>
        </w:rPr>
      </w:pPr>
      <w:r>
        <w:rPr>
          <w:b w:val="false"/>
          <w:bCs w:val="false"/>
        </w:rPr>
        <w:t>Important applications of these operators are discretizations of differential operators on infinite domains and so-called tight-binding models in solid-state physics.</w:t>
      </w:r>
    </w:p>
    <w:p>
      <w:pPr>
        <w:pStyle w:val="Normal"/>
        <w:numPr>
          <w:ilvl w:val="2"/>
          <w:numId w:val="1"/>
        </w:numPr>
        <w:spacing w:before="0" w:after="160"/>
        <w:rPr>
          <w:b w:val="false"/>
          <w:bCs w:val="false"/>
        </w:rPr>
      </w:pPr>
      <w:r>
        <w:rPr>
          <w:b w:val="false"/>
          <w:bCs w:val="false"/>
        </w:rPr>
        <w:t>There is extensive mathematical literature on the spectral problem for infinite-volume operators.</w:t>
      </w:r>
    </w:p>
    <w:p>
      <w:pPr>
        <w:pStyle w:val="Normal"/>
        <w:numPr>
          <w:ilvl w:val="3"/>
          <w:numId w:val="1"/>
        </w:numPr>
        <w:spacing w:before="0" w:after="160"/>
        <w:rPr>
          <w:b w:val="false"/>
          <w:bCs w:val="false"/>
          <w:i w:val="false"/>
          <w:iCs w:val="false"/>
        </w:rPr>
      </w:pPr>
      <w:r>
        <w:rPr>
          <w:b w:val="false"/>
          <w:bCs w:val="false"/>
        </w:rPr>
        <w:t xml:space="preserve">There is the </w:t>
      </w:r>
      <w:r>
        <w:rPr>
          <w:b w:val="false"/>
          <w:bCs w:val="false"/>
          <w:i/>
          <w:iCs/>
        </w:rPr>
        <w:t>finite section method</w:t>
      </w:r>
      <w:r>
        <w:rPr>
          <w:b w:val="false"/>
          <w:bCs w:val="false"/>
          <w:i w:val="false"/>
          <w:iCs w:val="false"/>
        </w:rPr>
        <w:t>, which consists in finding a sequence of finite sections of an operator such that their spectra is provably convergent.</w:t>
      </w:r>
    </w:p>
    <w:p>
      <w:pPr>
        <w:pStyle w:val="Normal"/>
        <w:numPr>
          <w:ilvl w:val="4"/>
          <w:numId w:val="1"/>
        </w:numPr>
        <w:spacing w:before="0" w:after="160"/>
        <w:rPr>
          <w:b w:val="false"/>
          <w:bCs w:val="false"/>
          <w:i w:val="false"/>
          <w:iCs w:val="false"/>
        </w:rPr>
      </w:pPr>
      <w:r>
        <w:rPr>
          <w:b w:val="false"/>
          <w:bCs w:val="false"/>
          <w:i w:val="false"/>
          <w:iCs w:val="false"/>
        </w:rPr>
        <w:t>However, the occurrence of spectral pollution at the boundaries makes it hard to achieve good error control.</w:t>
      </w:r>
    </w:p>
    <w:p>
      <w:pPr>
        <w:pStyle w:val="Normal"/>
        <w:numPr>
          <w:ilvl w:val="3"/>
          <w:numId w:val="1"/>
        </w:numPr>
        <w:spacing w:before="0" w:after="160"/>
        <w:rPr>
          <w:b w:val="false"/>
          <w:bCs w:val="false"/>
          <w:i/>
          <w:iCs/>
        </w:rPr>
      </w:pPr>
      <w:r>
        <w:rPr>
          <w:b w:val="false"/>
          <w:bCs w:val="false"/>
          <w:i w:val="false"/>
          <w:iCs w:val="false"/>
        </w:rPr>
        <w:t>There is the</w:t>
      </w:r>
      <w:r>
        <w:rPr>
          <w:b w:val="false"/>
          <w:bCs w:val="false"/>
          <w:i/>
          <w:iCs/>
        </w:rPr>
        <w:t xml:space="preserve"> dynamical systems method</w:t>
      </w:r>
      <w:r>
        <w:rPr>
          <w:b w:val="false"/>
          <w:bCs w:val="false"/>
          <w:i w:val="false"/>
          <w:iCs w:val="false"/>
        </w:rPr>
        <w:t>, where one has to approximate aperiodic operators by periodic ones.</w:t>
      </w:r>
    </w:p>
    <w:p>
      <w:pPr>
        <w:pStyle w:val="Normal"/>
        <w:numPr>
          <w:ilvl w:val="4"/>
          <w:numId w:val="1"/>
        </w:numPr>
        <w:spacing w:before="0" w:after="160"/>
        <w:rPr>
          <w:b w:val="false"/>
          <w:bCs w:val="false"/>
          <w:i/>
          <w:iCs/>
        </w:rPr>
      </w:pPr>
      <w:r>
        <w:rPr>
          <w:b w:val="false"/>
          <w:bCs w:val="false"/>
          <w:i w:val="false"/>
          <w:iCs w:val="false"/>
        </w:rPr>
        <w:t xml:space="preserve">Bounding the approximation error has led to various results establishing the Lipschitz continuity of the spectrum </w:t>
      </w:r>
      <w:r>
        <w:rPr/>
        <w:t>with respect to the operator coefficients</w:t>
      </w:r>
      <w:r>
        <w:rPr>
          <w:b w:val="false"/>
          <w:bCs w:val="false"/>
          <w:i w:val="false"/>
          <w:iCs w:val="false"/>
        </w:rPr>
        <w:t xml:space="preserve"> for a large class of operators connected to dynamical systems.</w:t>
      </w:r>
    </w:p>
    <w:p>
      <w:pPr>
        <w:pStyle w:val="Normal"/>
        <w:numPr>
          <w:ilvl w:val="5"/>
          <w:numId w:val="1"/>
        </w:numPr>
        <w:spacing w:before="0" w:after="160"/>
        <w:rPr>
          <w:b w:val="false"/>
          <w:bCs w:val="false"/>
          <w:i w:val="false"/>
          <w:iCs w:val="false"/>
        </w:rPr>
      </w:pPr>
      <w:r>
        <w:rPr>
          <w:b w:val="false"/>
          <w:bCs w:val="false"/>
          <w:i w:val="false"/>
          <w:iCs w:val="false"/>
        </w:rPr>
        <w:t>These continuity results yield explicit error control for the convergence of the approximant spectra in Hausdorff distance.</w:t>
      </w:r>
    </w:p>
    <w:p>
      <w:pPr>
        <w:pStyle w:val="Normal"/>
        <w:numPr>
          <w:ilvl w:val="5"/>
          <w:numId w:val="1"/>
        </w:numPr>
        <w:spacing w:before="0" w:after="160"/>
        <w:rPr>
          <w:b w:val="false"/>
          <w:bCs w:val="false"/>
          <w:i w:val="false"/>
          <w:iCs w:val="false"/>
        </w:rPr>
      </w:pPr>
      <w:r>
        <w:rPr>
          <w:b w:val="false"/>
          <w:bCs w:val="false"/>
          <w:i w:val="false"/>
          <w:iCs w:val="false"/>
        </w:rPr>
        <w:t>In order to be able to use the Lipschitz continuity of the spectrum, the periodic approximant has to have the same set of local patches as the infinite-volume operator at a certain scale.</w:t>
      </w:r>
    </w:p>
    <w:p>
      <w:pPr>
        <w:pStyle w:val="Normal"/>
        <w:numPr>
          <w:ilvl w:val="4"/>
          <w:numId w:val="1"/>
        </w:numPr>
        <w:spacing w:before="0" w:after="160"/>
        <w:rPr>
          <w:b w:val="false"/>
          <w:bCs w:val="false"/>
          <w:i w:val="false"/>
          <w:iCs w:val="false"/>
        </w:rPr>
      </w:pPr>
      <w:r>
        <w:rPr>
          <w:b w:val="false"/>
          <w:bCs w:val="false"/>
          <w:i w:val="false"/>
          <w:iCs w:val="false"/>
        </w:rPr>
        <w:t>Requires the construction of periodic approximants, which is not always possible and for which no general algorithm exists.</w:t>
      </w:r>
    </w:p>
    <w:p>
      <w:pPr>
        <w:pStyle w:val="Normal"/>
        <w:numPr>
          <w:ilvl w:val="5"/>
          <w:numId w:val="1"/>
        </w:numPr>
        <w:spacing w:before="0" w:after="160"/>
        <w:rPr>
          <w:b w:val="false"/>
          <w:bCs w:val="false"/>
          <w:i w:val="false"/>
          <w:iCs w:val="false"/>
        </w:rPr>
      </w:pPr>
      <w:r>
        <w:rPr>
          <w:b w:val="false"/>
          <w:bCs w:val="false"/>
          <w:i w:val="false"/>
          <w:iCs w:val="false"/>
        </w:rPr>
        <w:t>Two important examples of aperiodic operators that cannot be approximated periodically are the jump potential in one dimension, and the two-dimensional Penrose tiling.</w:t>
      </w:r>
    </w:p>
    <w:p>
      <w:pPr>
        <w:pStyle w:val="Normal"/>
        <w:numPr>
          <w:ilvl w:val="2"/>
          <w:numId w:val="1"/>
        </w:numPr>
        <w:spacing w:before="0" w:after="160"/>
        <w:rPr>
          <w:b w:val="false"/>
          <w:bCs w:val="false"/>
          <w:i w:val="false"/>
          <w:iCs w:val="false"/>
        </w:rPr>
      </w:pPr>
      <w:r>
        <w:rPr>
          <w:b w:val="false"/>
          <w:bCs w:val="false"/>
          <w:i w:val="false"/>
          <w:iCs w:val="false"/>
        </w:rPr>
        <w:t xml:space="preserve">The proposed method for computing spectra is the so-called </w:t>
      </w:r>
      <w:r>
        <w:rPr>
          <w:b w:val="false"/>
          <w:bCs w:val="false"/>
          <w:i/>
          <w:iCs/>
        </w:rPr>
        <w:t>uneven sections method</w:t>
      </w:r>
      <w:r>
        <w:rPr>
          <w:b w:val="false"/>
          <w:bCs w:val="false"/>
          <w:i w:val="false"/>
          <w:iCs w:val="false"/>
        </w:rPr>
        <w:t>, in which the operator is approximated by a rectangular matrix.</w:t>
      </w:r>
    </w:p>
    <w:p>
      <w:pPr>
        <w:pStyle w:val="Normal"/>
        <w:numPr>
          <w:ilvl w:val="3"/>
          <w:numId w:val="1"/>
        </w:numPr>
        <w:spacing w:before="0" w:after="160"/>
        <w:rPr>
          <w:b w:val="false"/>
          <w:bCs w:val="false"/>
          <w:i w:val="false"/>
          <w:iCs w:val="false"/>
        </w:rPr>
      </w:pPr>
      <w:r>
        <w:rPr>
          <w:b w:val="false"/>
          <w:bCs w:val="false"/>
          <w:i w:val="false"/>
          <w:iCs w:val="false"/>
        </w:rPr>
        <w:t>Effectively reduces spectral pollution and provides one-sided error control.</w:t>
      </w:r>
    </w:p>
    <w:p>
      <w:pPr>
        <w:pStyle w:val="Normal"/>
        <w:numPr>
          <w:ilvl w:val="3"/>
          <w:numId w:val="1"/>
        </w:numPr>
        <w:spacing w:before="0" w:after="160"/>
        <w:rPr>
          <w:b w:val="false"/>
          <w:bCs w:val="false"/>
          <w:i w:val="false"/>
          <w:iCs w:val="false"/>
        </w:rPr>
      </w:pPr>
      <w:r>
        <w:rPr>
          <w:b w:val="false"/>
          <w:bCs w:val="false"/>
          <w:i w:val="false"/>
          <w:iCs w:val="false"/>
        </w:rPr>
        <w:t>The method implies that for every patch size and center point, the smallest singular value of the rectangular matrix is an upper bound for the lower norm function of the operator.</w:t>
      </w:r>
    </w:p>
    <w:p>
      <w:pPr>
        <w:pStyle w:val="Normal"/>
        <w:numPr>
          <w:ilvl w:val="4"/>
          <w:numId w:val="1"/>
        </w:numPr>
        <w:spacing w:before="0" w:after="160"/>
        <w:rPr>
          <w:b w:val="false"/>
          <w:bCs w:val="false"/>
          <w:i w:val="false"/>
          <w:iCs w:val="false"/>
        </w:rPr>
      </w:pPr>
      <w:r>
        <w:rPr>
          <w:b w:val="false"/>
          <w:bCs w:val="false"/>
          <w:i w:val="false"/>
          <w:iCs w:val="false"/>
        </w:rPr>
        <w:t>There exists no algorithm that can compute a lower bound for the lower norm function given only the matrix elements of the operator.</w:t>
      </w:r>
    </w:p>
    <w:p>
      <w:pPr>
        <w:pStyle w:val="Normal"/>
        <w:numPr>
          <w:ilvl w:val="5"/>
          <w:numId w:val="1"/>
        </w:numPr>
        <w:spacing w:before="0" w:after="160"/>
        <w:rPr>
          <w:b w:val="false"/>
          <w:bCs w:val="false"/>
          <w:i w:val="false"/>
          <w:iCs w:val="false"/>
        </w:rPr>
      </w:pPr>
      <w:r>
        <w:rPr>
          <w:b w:val="false"/>
          <w:bCs w:val="false"/>
          <w:i w:val="false"/>
          <w:iCs w:val="false"/>
        </w:rPr>
        <w:t>This implies that only the existence of spectrum in a certain interval can be shown, while the absence of it (spectral gaps) cannot be rigorously established.</w:t>
      </w:r>
    </w:p>
    <w:p>
      <w:pPr>
        <w:pStyle w:val="Normal"/>
        <w:numPr>
          <w:ilvl w:val="5"/>
          <w:numId w:val="1"/>
        </w:numPr>
        <w:spacing w:before="0" w:after="160"/>
        <w:rPr>
          <w:b w:val="false"/>
          <w:bCs w:val="false"/>
          <w:i w:val="false"/>
          <w:iCs w:val="false"/>
        </w:rPr>
      </w:pPr>
      <w:r>
        <w:rPr>
          <w:b w:val="false"/>
          <w:bCs w:val="false"/>
          <w:i w:val="false"/>
          <w:iCs w:val="false"/>
        </w:rPr>
        <w:t>It also implies that one cannot bound the Hausdorff distance of the approximant to the infinite-volume spectrum.</w:t>
      </w:r>
    </w:p>
    <w:p>
      <w:pPr>
        <w:pStyle w:val="Normal"/>
        <w:numPr>
          <w:ilvl w:val="3"/>
          <w:numId w:val="1"/>
        </w:numPr>
        <w:spacing w:before="0" w:after="160"/>
        <w:rPr>
          <w:b w:val="false"/>
          <w:bCs w:val="false"/>
          <w:i w:val="false"/>
          <w:iCs w:val="false"/>
        </w:rPr>
      </w:pPr>
      <w:r>
        <w:rPr>
          <w:b w:val="false"/>
          <w:bCs w:val="false"/>
          <w:i w:val="false"/>
          <w:iCs w:val="false"/>
        </w:rPr>
        <w:t xml:space="preserve">If we demand the additional property of </w:t>
      </w:r>
      <w:r>
        <w:rPr>
          <w:b w:val="false"/>
          <w:bCs w:val="false"/>
          <w:i/>
          <w:iCs/>
        </w:rPr>
        <w:t>finite local complexity</w:t>
      </w:r>
      <w:r>
        <w:rPr>
          <w:b w:val="false"/>
          <w:bCs w:val="false"/>
          <w:i w:val="false"/>
          <w:iCs w:val="false"/>
        </w:rPr>
        <w:t xml:space="preserve"> (FLC) for the operators, then it suddenly becomes possible to compute their spectrum with full error control.</w:t>
      </w:r>
    </w:p>
    <w:p>
      <w:pPr>
        <w:pStyle w:val="Normal"/>
        <w:numPr>
          <w:ilvl w:val="4"/>
          <w:numId w:val="1"/>
        </w:numPr>
        <w:spacing w:before="0" w:after="160"/>
        <w:rPr>
          <w:b w:val="false"/>
          <w:bCs w:val="false"/>
          <w:i w:val="false"/>
          <w:iCs w:val="false"/>
        </w:rPr>
      </w:pPr>
      <w:r>
        <w:rPr>
          <w:b w:val="false"/>
          <w:bCs w:val="false"/>
          <w:i w:val="false"/>
          <w:iCs w:val="false"/>
        </w:rPr>
        <w:t>For FLC</w:t>
      </w:r>
      <w:r>
        <w:rPr>
          <w:b w:val="false"/>
          <w:bCs w:val="false"/>
          <w:i/>
          <w:iCs/>
        </w:rPr>
        <w:t xml:space="preserve"> </w:t>
      </w:r>
      <w:r>
        <w:rPr>
          <w:b w:val="false"/>
          <w:bCs w:val="false"/>
          <w:i w:val="false"/>
          <w:iCs w:val="false"/>
        </w:rPr>
        <w:t xml:space="preserve">operators, the infimum </w:t>
      </w:r>
      <w:r>
        <w:rPr/>
      </w:r>
      <m:oMath xmlns:m="http://schemas.openxmlformats.org/officeDocument/2006/math">
        <m:sSub>
          <m:e>
            <m:r>
              <m:t xml:space="preserve">ε</m:t>
            </m:r>
          </m:e>
          <m:sub>
            <m:r>
              <m:t xml:space="preserve">L</m:t>
            </m:r>
            <m:r>
              <m:t xml:space="preserve">,</m:t>
            </m:r>
            <m:r>
              <m:t xml:space="preserve">λ</m:t>
            </m:r>
          </m:sub>
        </m:sSub>
      </m:oMath>
      <w:r>
        <w:rPr>
          <w:b w:val="false"/>
          <w:bCs w:val="false"/>
          <w:i w:val="false"/>
          <w:iCs w:val="false"/>
        </w:rPr>
        <w:t xml:space="preserve">, appearing in Theorem 1, can be computed by evaluating </w:t>
      </w:r>
      <w:r>
        <w:rPr/>
      </w:r>
      <m:oMath xmlns:m="http://schemas.openxmlformats.org/officeDocument/2006/math">
        <m:sSub>
          <m:e>
            <m:r>
              <m:t xml:space="preserve">ε</m:t>
            </m:r>
          </m:e>
          <m:sub>
            <m:r>
              <m:t xml:space="preserve">L</m:t>
            </m:r>
            <m:r>
              <m:t xml:space="preserve">,</m:t>
            </m:r>
            <m:r>
              <m:t xml:space="preserve">λ</m:t>
            </m:r>
            <m:r>
              <m:t xml:space="preserve">,</m:t>
            </m:r>
            <m:r>
              <m:t xml:space="preserve">x</m:t>
            </m:r>
          </m:sub>
        </m:sSub>
      </m:oMath>
      <w:r>
        <w:rPr>
          <w:b w:val="false"/>
          <w:bCs w:val="false"/>
          <w:i w:val="false"/>
          <w:iCs w:val="false"/>
        </w:rPr>
        <w:t xml:space="preserve"> for a finite number of suitably chosen centers.</w:t>
      </w:r>
    </w:p>
    <w:p>
      <w:pPr>
        <w:pStyle w:val="Normal"/>
        <w:numPr>
          <w:ilvl w:val="5"/>
          <w:numId w:val="1"/>
        </w:numPr>
        <w:spacing w:before="0" w:after="160"/>
        <w:rPr>
          <w:b w:val="false"/>
          <w:bCs w:val="false"/>
          <w:i w:val="false"/>
          <w:iCs w:val="false"/>
        </w:rPr>
      </w:pPr>
      <w:r>
        <w:rPr>
          <w:b w:val="false"/>
          <w:bCs w:val="false"/>
          <w:i w:val="false"/>
          <w:iCs w:val="false"/>
        </w:rPr>
        <w:t>Theorem 1 provides us with the missing lower bound for the lower norm function.</w:t>
      </w:r>
    </w:p>
    <w:p>
      <w:pPr>
        <w:pStyle w:val="Normal"/>
        <w:numPr>
          <w:ilvl w:val="4"/>
          <w:numId w:val="1"/>
        </w:numPr>
        <w:spacing w:before="0" w:after="160"/>
        <w:rPr>
          <w:b w:val="false"/>
          <w:bCs w:val="false"/>
          <w:i w:val="false"/>
          <w:iCs w:val="false"/>
        </w:rPr>
      </w:pPr>
      <w:r>
        <w:rPr>
          <w:b w:val="false"/>
          <w:bCs w:val="false"/>
          <w:i w:val="false"/>
          <w:iCs w:val="false"/>
        </w:rPr>
        <w:t>For any short-range, discrete, normal, FLC infinite-volume operator, we can compute the spectrum to arbitrary precision in the Hausdorff distance.</w:t>
      </w:r>
    </w:p>
    <w:p>
      <w:pPr>
        <w:pStyle w:val="Normal"/>
        <w:numPr>
          <w:ilvl w:val="4"/>
          <w:numId w:val="1"/>
        </w:numPr>
        <w:spacing w:before="0" w:after="160"/>
        <w:rPr>
          <w:b w:val="false"/>
          <w:bCs w:val="false"/>
          <w:i w:val="false"/>
          <w:iCs w:val="false"/>
        </w:rPr>
      </w:pPr>
      <w:r>
        <w:rPr>
          <w:b w:val="false"/>
          <w:bCs w:val="false"/>
          <w:i w:val="false"/>
          <w:iCs w:val="false"/>
        </w:rPr>
        <w:t>In a similar manner, for any short-range, discrete, non-normal, FLC infinite-volume operator, we can compute the pseudospectrum to arbitrary precision in the Hausdorff distance.</w:t>
      </w:r>
    </w:p>
    <w:p>
      <w:pPr>
        <w:pStyle w:val="Normal"/>
        <w:numPr>
          <w:ilvl w:val="4"/>
          <w:numId w:val="1"/>
        </w:numPr>
        <w:spacing w:before="0" w:after="160"/>
        <w:rPr>
          <w:b w:val="false"/>
          <w:bCs w:val="false"/>
          <w:i w:val="false"/>
          <w:iCs w:val="false"/>
        </w:rPr>
      </w:pPr>
      <w:r>
        <w:rPr>
          <w:b w:val="false"/>
          <w:bCs w:val="false"/>
          <w:i w:val="false"/>
          <w:iCs w:val="false"/>
        </w:rPr>
        <w:t>The FLC structure is a rather general condition satisfied by most operators that occur in practice.</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720"/>
        </w:tabs>
        <w:ind w:start="720" w:hanging="360"/>
      </w:pPr>
      <w:rPr/>
    </w:lvl>
    <w:lvl w:ilvl="1">
      <w:start w:val="1"/>
      <w:numFmt w:val="decimal"/>
      <w:lvlText w:val="%1.%2 "/>
      <w:lvlJc w:val="start"/>
      <w:pPr>
        <w:tabs>
          <w:tab w:val="num" w:pos="1080"/>
        </w:tabs>
        <w:ind w:start="1080" w:hanging="360"/>
      </w:pPr>
      <w:rPr/>
    </w:lvl>
    <w:lvl w:ilvl="2">
      <w:start w:val="1"/>
      <w:numFmt w:val="decimal"/>
      <w:lvlText w:val="%1.%2.%3"/>
      <w:lvlJc w:val="start"/>
      <w:pPr>
        <w:tabs>
          <w:tab w:val="num" w:pos="1440"/>
        </w:tabs>
        <w:ind w:start="1440" w:hanging="360"/>
      </w:pPr>
      <w:rPr/>
    </w:lvl>
    <w:lvl w:ilvl="3">
      <w:start w:val="1"/>
      <w:numFmt w:val="decimal"/>
      <w:lvlText w:val="%1.%2.%3.%4 "/>
      <w:lvlJc w:val="start"/>
      <w:pPr>
        <w:tabs>
          <w:tab w:val="num" w:pos="1800"/>
        </w:tabs>
        <w:ind w:start="1800" w:hanging="360"/>
      </w:pPr>
      <w:rPr/>
    </w:lvl>
    <w:lvl w:ilvl="4">
      <w:start w:val="1"/>
      <w:numFmt w:val="decimal"/>
      <w:lvlText w:val="%1.%2.%3.%4.%5"/>
      <w:lvlJc w:val="start"/>
      <w:pPr>
        <w:tabs>
          <w:tab w:val="num" w:pos="2160"/>
        </w:tabs>
        <w:ind w:start="2160" w:hanging="360"/>
      </w:pPr>
      <w:rPr/>
    </w:lvl>
    <w:lvl w:ilvl="5">
      <w:start w:val="1"/>
      <w:numFmt w:val="decimal"/>
      <w:lvlText w:val="%1.%2.%3.%4.%5.%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Calibri" w:hAnsi="Calibri" w:eastAsia="Calibri"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06d1"/>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semiHidden/>
    <w:unhideWhenUsed/>
    <w:qFormat/>
    <w:rsid w:val="00e206d1"/>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semiHidden/>
    <w:unhideWhenUsed/>
    <w:qFormat/>
    <w:rsid w:val="00e206d1"/>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semiHidden/>
    <w:unhideWhenUsed/>
    <w:qFormat/>
    <w:rsid w:val="00e206d1"/>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semiHidden/>
    <w:unhideWhenUsed/>
    <w:qFormat/>
    <w:rsid w:val="00e206d1"/>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semiHidden/>
    <w:unhideWhenUsed/>
    <w:qFormat/>
    <w:rsid w:val="00e206d1"/>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06d1"/>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06d1"/>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06d1"/>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206d1"/>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semiHidden/>
    <w:qFormat/>
    <w:rsid w:val="00e206d1"/>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semiHidden/>
    <w:qFormat/>
    <w:rsid w:val="00e206d1"/>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semiHidden/>
    <w:qFormat/>
    <w:rsid w:val="00e206d1"/>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semiHidden/>
    <w:qFormat/>
    <w:rsid w:val="00e206d1"/>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semiHidden/>
    <w:qFormat/>
    <w:rsid w:val="00e206d1"/>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06d1"/>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06d1"/>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06d1"/>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06d1"/>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06d1"/>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06d1"/>
    <w:rPr>
      <w:i/>
      <w:iCs/>
      <w:color w:themeColor="text1" w:themeTint="bf" w:val="404040"/>
    </w:rPr>
  </w:style>
  <w:style w:type="character" w:styleId="IntenseEmphasis">
    <w:name w:val="Intense Emphasis"/>
    <w:basedOn w:val="DefaultParagraphFont"/>
    <w:uiPriority w:val="21"/>
    <w:qFormat/>
    <w:rsid w:val="00e206d1"/>
    <w:rPr>
      <w:i/>
      <w:iCs/>
      <w:color w:themeColor="accent1" w:themeShade="bf" w:val="2F5496"/>
    </w:rPr>
  </w:style>
  <w:style w:type="character" w:styleId="IntenseQuoteChar" w:customStyle="1">
    <w:name w:val="Intense Quote Char"/>
    <w:basedOn w:val="DefaultParagraphFont"/>
    <w:link w:val="IntenseQuote"/>
    <w:uiPriority w:val="30"/>
    <w:qFormat/>
    <w:rsid w:val="00e206d1"/>
    <w:rPr>
      <w:i/>
      <w:iCs/>
      <w:color w:themeColor="accent1" w:themeShade="bf" w:val="2F5496"/>
    </w:rPr>
  </w:style>
  <w:style w:type="character" w:styleId="IntenseReference">
    <w:name w:val="Intense Reference"/>
    <w:basedOn w:val="DefaultParagraphFont"/>
    <w:uiPriority w:val="32"/>
    <w:qFormat/>
    <w:rsid w:val="00e206d1"/>
    <w:rPr>
      <w:b/>
      <w:bCs/>
      <w:smallCaps/>
      <w:color w:themeColor="accent1" w:themeShade="bf" w:val="2F5496"/>
      <w:spacing w:val="5"/>
    </w:rPr>
  </w:style>
  <w:style w:type="character" w:styleId="PlaceholderText">
    <w:name w:val="Placeholder Text"/>
    <w:basedOn w:val="DefaultParagraphFont"/>
    <w:uiPriority w:val="99"/>
    <w:semiHidden/>
    <w:qFormat/>
    <w:rsid w:val="001e1dd8"/>
    <w:rPr>
      <w:color w:val="66666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e206d1"/>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06d1"/>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06d1"/>
    <w:pPr>
      <w:spacing w:before="160" w:after="160"/>
      <w:jc w:val="center"/>
    </w:pPr>
    <w:rPr>
      <w:i/>
      <w:iCs/>
      <w:color w:themeColor="text1" w:themeTint="bf" w:val="404040"/>
    </w:rPr>
  </w:style>
  <w:style w:type="paragraph" w:styleId="ListParagraph">
    <w:name w:val="List Paragraph"/>
    <w:basedOn w:val="Normal"/>
    <w:uiPriority w:val="34"/>
    <w:qFormat/>
    <w:rsid w:val="00e206d1"/>
    <w:pPr>
      <w:spacing w:before="0" w:after="160"/>
      <w:ind w:start="720"/>
      <w:contextualSpacing/>
    </w:pPr>
    <w:rPr/>
  </w:style>
  <w:style w:type="paragraph" w:styleId="IntenseQuote">
    <w:name w:val="Intense Quote"/>
    <w:basedOn w:val="Normal"/>
    <w:next w:val="Normal"/>
    <w:link w:val="IntenseQuoteChar"/>
    <w:uiPriority w:val="30"/>
    <w:qFormat/>
    <w:rsid w:val="00e206d1"/>
    <w:pPr>
      <w:pBdr>
        <w:top w:val="single" w:sz="4" w:space="10" w:color="2F5496" w:themeColor="accent1" w:themeShade="bf"/>
        <w:bottom w:val="single" w:sz="4" w:space="10" w:color="2F5496" w:themeColor="accent1" w:themeShade="bf"/>
      </w:pBdr>
      <w:spacing w:before="360" w:after="360"/>
      <w:ind w:start="864" w:end="864"/>
      <w:jc w:val="center"/>
    </w:pPr>
    <w:rPr>
      <w:i/>
      <w:iCs/>
      <w:color w:themeColor="accent1" w:themeShade="bf" w:val="2F5496"/>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154</TotalTime>
  <Application>LibreOffice/26.2.3.2$Linux_X86_64 LibreOffice_project/7d74455cffae7a589951233f185ae0303c082020</Application>
  <AppVersion>15.0000</AppVersion>
  <Pages>4</Pages>
  <Words>661</Words>
  <Characters>3866</Characters>
  <CharactersWithSpaces>4466</CharactersWithSpaces>
  <Paragraphs>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2026-05-05T15:49:00Z</dcterms:created>
  <dc:creator>Fernando Muñoz</dc:creator>
  <dc:description/>
  <dc:language>en-US</dc:language>
  <cp:lastModifiedBy/>
  <dcterms:modified xsi:type="dcterms:W3CDTF">2026-05-30T18:18:16Z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