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BAB71">
      <w:pPr>
        <w:autoSpaceDE w:val="0"/>
        <w:autoSpaceDN w:val="0"/>
        <w:adjustRightInd w:val="0"/>
        <w:spacing w:line="240" w:lineRule="atLeast"/>
        <w:jc w:val="center"/>
        <w:textAlignment w:val="baseline"/>
        <w:rPr>
          <w:rFonts w:hint="default" w:ascii="Times New Roman" w:hAnsi="Times New Roman" w:cs="Times New Roman" w:eastAsiaTheme="minorEastAsia"/>
          <w:kern w:val="0"/>
          <w:szCs w:val="21"/>
        </w:rPr>
      </w:pPr>
    </w:p>
    <w:p w14:paraId="388FD532">
      <w:pPr>
        <w:autoSpaceDE w:val="0"/>
        <w:autoSpaceDN w:val="0"/>
        <w:adjustRightInd w:val="0"/>
        <w:spacing w:line="240" w:lineRule="atLeast"/>
        <w:jc w:val="center"/>
        <w:textAlignment w:val="baseline"/>
        <w:rPr>
          <w:rFonts w:hint="default" w:ascii="Times New Roman" w:hAnsi="Times New Roman" w:cs="Times New Roman" w:eastAsiaTheme="minorEastAsia"/>
          <w:kern w:val="0"/>
          <w:szCs w:val="21"/>
        </w:rPr>
      </w:pPr>
    </w:p>
    <w:p w14:paraId="66E835B1">
      <w:pPr>
        <w:tabs>
          <w:tab w:val="left" w:pos="9270"/>
          <w:tab w:val="left" w:pos="936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 w:val="30"/>
          <w:szCs w:val="30"/>
        </w:rPr>
      </w:pPr>
      <w:r>
        <w:rPr>
          <w:rFonts w:hint="default" w:ascii="Times New Roman" w:hAnsi="Times New Roman" w:cs="Times New Roman" w:eastAsiaTheme="minorEastAsia"/>
          <w:b/>
          <w:kern w:val="0"/>
          <w:sz w:val="30"/>
          <w:szCs w:val="30"/>
        </w:rPr>
        <w:t>CHINA PACIFIC PROPERTY INSURANCE COMPANY LIMITED</w:t>
      </w:r>
    </w:p>
    <w:p w14:paraId="78DBB61C">
      <w:pPr>
        <w:widowControl/>
        <w:autoSpaceDE w:val="0"/>
        <w:autoSpaceDN w:val="0"/>
        <w:spacing w:line="240" w:lineRule="atLeast"/>
        <w:ind w:right="360"/>
        <w:jc w:val="center"/>
        <w:textAlignment w:val="bottom"/>
        <w:rPr>
          <w:rFonts w:hint="default" w:ascii="Times New Roman" w:hAnsi="Times New Roman" w:cs="Times New Roman" w:eastAsiaTheme="minorEastAsia"/>
          <w:sz w:val="28"/>
          <w:szCs w:val="28"/>
        </w:rPr>
      </w:pPr>
    </w:p>
    <w:p w14:paraId="26863B8D">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 w:val="24"/>
          <w:szCs w:val="24"/>
        </w:rPr>
      </w:pPr>
      <w:r>
        <w:rPr>
          <w:rFonts w:hint="default" w:ascii="Times New Roman" w:hAnsi="Times New Roman" w:cs="Times New Roman" w:eastAsiaTheme="minorEastAsia"/>
          <w:b/>
          <w:kern w:val="0"/>
          <w:sz w:val="24"/>
          <w:szCs w:val="24"/>
        </w:rPr>
        <w:t>Head Office: in Shanghai</w:t>
      </w:r>
    </w:p>
    <w:p w14:paraId="773B2D5A">
      <w:pPr>
        <w:tabs>
          <w:tab w:val="left" w:pos="9270"/>
        </w:tabs>
        <w:autoSpaceDE w:val="0"/>
        <w:autoSpaceDN w:val="0"/>
        <w:adjustRightInd w:val="0"/>
        <w:spacing w:line="240" w:lineRule="atLeast"/>
        <w:jc w:val="both"/>
        <w:textAlignment w:val="baseline"/>
        <w:rPr>
          <w:rFonts w:hint="default" w:ascii="Times New Roman" w:hAnsi="Times New Roman" w:cs="Times New Roman" w:eastAsiaTheme="minorEastAsia"/>
          <w:b/>
          <w:kern w:val="0"/>
          <w:sz w:val="28"/>
          <w:szCs w:val="28"/>
        </w:rPr>
      </w:pPr>
    </w:p>
    <w:p w14:paraId="3CF40AC0">
      <w:pPr>
        <w:tabs>
          <w:tab w:val="left" w:pos="9270"/>
          <w:tab w:val="left" w:pos="9360"/>
        </w:tabs>
        <w:autoSpaceDE w:val="0"/>
        <w:autoSpaceDN w:val="0"/>
        <w:adjustRightInd w:val="0"/>
        <w:spacing w:line="240" w:lineRule="atLeast"/>
        <w:jc w:val="center"/>
        <w:textAlignment w:val="baseline"/>
        <w:rPr>
          <w:rFonts w:hint="default" w:ascii="Times New Roman" w:hAnsi="Times New Roman" w:cs="Times New Roman" w:eastAsiaTheme="minorEastAsia"/>
          <w:kern w:val="0"/>
          <w:sz w:val="28"/>
          <w:szCs w:val="28"/>
        </w:rPr>
      </w:pPr>
      <w:r>
        <w:rPr>
          <w:rFonts w:hint="default" w:ascii="Times New Roman" w:hAnsi="Times New Roman" w:cs="Times New Roman" w:eastAsiaTheme="minorEastAsia"/>
          <w:b/>
          <w:kern w:val="0"/>
          <w:sz w:val="28"/>
          <w:szCs w:val="28"/>
        </w:rPr>
        <w:t>P</w:t>
      </w:r>
      <w:r>
        <w:rPr>
          <w:rFonts w:hint="default" w:ascii="Times New Roman" w:hAnsi="Times New Roman" w:cs="Times New Roman" w:eastAsiaTheme="minorEastAsia"/>
          <w:b/>
          <w:color w:val="auto"/>
          <w:kern w:val="0"/>
          <w:sz w:val="28"/>
          <w:szCs w:val="28"/>
          <w:highlight w:val="none"/>
        </w:rPr>
        <w:t>R</w:t>
      </w:r>
      <w:r>
        <w:rPr>
          <w:rFonts w:hint="default" w:ascii="Times New Roman" w:hAnsi="Times New Roman" w:cs="Times New Roman" w:eastAsiaTheme="minorEastAsia"/>
          <w:b/>
          <w:kern w:val="0"/>
          <w:sz w:val="28"/>
          <w:szCs w:val="28"/>
        </w:rPr>
        <w:t>OPERTY ALL RISKS INSURANCE POLICY</w:t>
      </w:r>
    </w:p>
    <w:p w14:paraId="68354D42">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 w:val="28"/>
          <w:szCs w:val="28"/>
          <w:lang w:val="en-US" w:eastAsia="zh-CN"/>
        </w:rPr>
      </w:pPr>
    </w:p>
    <w:p w14:paraId="47CA2A05">
      <w:pPr>
        <w:widowControl/>
        <w:jc w:val="center"/>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t>Policy No.: ASHH05002425QAAA293C</w:t>
      </w:r>
    </w:p>
    <w:p w14:paraId="776E1722">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7F205F85">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t>（ORIGINAL）</w:t>
      </w:r>
    </w:p>
    <w:p w14:paraId="1553734B">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2087D68B">
      <w:pPr>
        <w:pBdr>
          <w:top w:val="single" w:color="auto" w:sz="4" w:space="1"/>
          <w:bottom w:val="single" w:color="auto" w:sz="4" w:space="1"/>
        </w:pBdr>
        <w:tabs>
          <w:tab w:val="left" w:pos="9270"/>
        </w:tabs>
        <w:autoSpaceDE w:val="0"/>
        <w:autoSpaceDN w:val="0"/>
        <w:adjustRightInd w:val="0"/>
        <w:spacing w:line="240" w:lineRule="atLeast"/>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Please read this Policy and the Schedule and make certain that they are in accordance with your requirement.</w:t>
      </w:r>
    </w:p>
    <w:p w14:paraId="5D833854">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b/>
          <w:kern w:val="0"/>
          <w:szCs w:val="21"/>
          <w:highlight w:val="yellow"/>
        </w:rPr>
      </w:pPr>
    </w:p>
    <w:p w14:paraId="5997B20D">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kern w:val="0"/>
          <w:szCs w:val="21"/>
          <w:highlight w:val="yellow"/>
        </w:rPr>
      </w:pPr>
      <w:r>
        <w:rPr>
          <w:rFonts w:hint="default" w:ascii="Times New Roman" w:hAnsi="Times New Roman" w:cs="Times New Roman" w:eastAsiaTheme="minorEastAsia"/>
          <w:kern w:val="0"/>
          <w:szCs w:val="21"/>
          <w:highlight w:val="yellow"/>
        </w:rPr>
        <w:t>This Policy comprises mainly the Schedule, Scope of Cover, Exclusions, Treatment of Claim, Insured's Obligations, General Conditions and Special Provisions, including also the Proposal of Insurance together with its attachments as well as any additions to be made, from time to time, by the Company in the form of Endorsement.</w:t>
      </w:r>
    </w:p>
    <w:p w14:paraId="64C0B5A6">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b/>
          <w:kern w:val="0"/>
          <w:szCs w:val="21"/>
          <w:highlight w:val="yellow"/>
        </w:rPr>
      </w:pPr>
    </w:p>
    <w:p w14:paraId="5C2DDEFC">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highlight w:val="yellow"/>
        </w:rPr>
        <w:t xml:space="preserve">WHEREAS THE INSURED named in the Schedule hereto has made to China Pacific Insurance Company </w:t>
      </w:r>
      <w:r>
        <w:rPr>
          <w:rFonts w:hint="default" w:ascii="Times New Roman" w:hAnsi="Times New Roman" w:cs="Times New Roman" w:eastAsiaTheme="minorEastAsia"/>
          <w:kern w:val="0"/>
          <w:szCs w:val="21"/>
        </w:rPr>
        <w:t>Limited (hereinafter called "the Company")a written Proposal which together with any other statements made by the Insured for the purpose of this Policy is deemed to be incorporated herein and has paid to the Company the premium stated in the Schedule.</w:t>
      </w:r>
    </w:p>
    <w:p w14:paraId="1233DEF3">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b/>
          <w:kern w:val="0"/>
          <w:szCs w:val="21"/>
        </w:rPr>
      </w:pPr>
    </w:p>
    <w:p w14:paraId="5CEDD69B">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NOW THIS POLICY OF INSURANCE WITNESSES that subject to the terms and conditions contained herein or endorsed hereon the Company shall indemnify the Insured for the loss or damage sustained during the period of insurance stated in the Schedule in the manner and to the extent hereinafter provided.</w:t>
      </w:r>
    </w:p>
    <w:p w14:paraId="27C8E424">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243BBE4D">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62584E16">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5E2AF934">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42D2FCE3">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60254BA3">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18B63CCC">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5675BE75">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3B8BEA9A">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51583400">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31DFF1C5">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32919B49">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068276A6">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lang w:eastAsia="zh-CN"/>
        </w:rPr>
      </w:pPr>
    </w:p>
    <w:p w14:paraId="4430FC41">
      <w:pPr>
        <w:tabs>
          <w:tab w:val="left" w:pos="9270"/>
        </w:tabs>
        <w:autoSpaceDE w:val="0"/>
        <w:autoSpaceDN w:val="0"/>
        <w:adjustRightInd w:val="0"/>
        <w:spacing w:line="240" w:lineRule="atLeast"/>
        <w:jc w:val="both"/>
        <w:textAlignment w:val="baseline"/>
        <w:rPr>
          <w:rFonts w:hint="default" w:ascii="Times New Roman" w:hAnsi="Times New Roman" w:cs="Times New Roman" w:eastAsiaTheme="minorEastAsia"/>
          <w:b/>
          <w:kern w:val="0"/>
          <w:szCs w:val="21"/>
        </w:rPr>
      </w:pPr>
    </w:p>
    <w:p w14:paraId="7DACDDF4">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0CF1C736">
      <w:pPr>
        <w:tabs>
          <w:tab w:val="left" w:pos="9270"/>
        </w:tabs>
        <w:autoSpaceDE w:val="0"/>
        <w:autoSpaceDN w:val="0"/>
        <w:adjustRightInd w:val="0"/>
        <w:spacing w:line="240" w:lineRule="atLeast"/>
        <w:jc w:val="both"/>
        <w:textAlignment w:val="baseline"/>
        <w:rPr>
          <w:rFonts w:hint="default" w:ascii="Times New Roman" w:hAnsi="Times New Roman" w:cs="Times New Roman" w:eastAsiaTheme="minorEastAsia"/>
          <w:b/>
          <w:kern w:val="0"/>
          <w:szCs w:val="21"/>
        </w:rPr>
      </w:pPr>
    </w:p>
    <w:p w14:paraId="14E5B6DE">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360C0963">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50C9FE71">
      <w:pPr>
        <w:tabs>
          <w:tab w:val="left" w:pos="9270"/>
        </w:tabs>
        <w:autoSpaceDE w:val="0"/>
        <w:autoSpaceDN w:val="0"/>
        <w:adjustRightInd w:val="0"/>
        <w:spacing w:line="240" w:lineRule="atLeast"/>
        <w:jc w:val="both"/>
        <w:textAlignment w:val="baseline"/>
        <w:rPr>
          <w:rFonts w:hint="default" w:ascii="Times New Roman" w:hAnsi="Times New Roman" w:cs="Times New Roman" w:eastAsiaTheme="minorEastAsia"/>
          <w:b/>
          <w:kern w:val="0"/>
          <w:szCs w:val="21"/>
        </w:rPr>
      </w:pPr>
    </w:p>
    <w:tbl>
      <w:tblPr>
        <w:tblStyle w:val="15"/>
        <w:tblW w:w="9270" w:type="dxa"/>
        <w:tblInd w:w="198" w:type="dxa"/>
        <w:tblLayout w:type="fixed"/>
        <w:tblCellMar>
          <w:top w:w="0" w:type="dxa"/>
          <w:left w:w="108" w:type="dxa"/>
          <w:bottom w:w="0" w:type="dxa"/>
          <w:right w:w="108" w:type="dxa"/>
        </w:tblCellMar>
      </w:tblPr>
      <w:tblGrid>
        <w:gridCol w:w="4446"/>
        <w:gridCol w:w="4824"/>
      </w:tblGrid>
      <w:tr w14:paraId="24FE5B7B">
        <w:tc>
          <w:tcPr>
            <w:tcW w:w="4446" w:type="dxa"/>
          </w:tcPr>
          <w:p w14:paraId="12E70B35">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kern w:val="0"/>
                <w:szCs w:val="21"/>
              </w:rPr>
            </w:pPr>
          </w:p>
        </w:tc>
        <w:tc>
          <w:tcPr>
            <w:tcW w:w="4824" w:type="dxa"/>
          </w:tcPr>
          <w:p w14:paraId="0BD1D6E0">
            <w:pPr>
              <w:autoSpaceDE w:val="0"/>
              <w:autoSpaceDN w:val="0"/>
              <w:adjustRightInd w:val="0"/>
              <w:spacing w:line="240" w:lineRule="atLeast"/>
              <w:ind w:right="360"/>
              <w:jc w:val="center"/>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By China Pacific Insurance Company Limited</w:t>
            </w:r>
          </w:p>
        </w:tc>
      </w:tr>
      <w:tr w14:paraId="1874F783">
        <w:tc>
          <w:tcPr>
            <w:tcW w:w="4446" w:type="dxa"/>
          </w:tcPr>
          <w:p w14:paraId="04DECAC6">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kern w:val="0"/>
                <w:szCs w:val="21"/>
              </w:rPr>
              <w:t>Address： No 400, Wusong Road Shanghai</w:t>
            </w:r>
          </w:p>
        </w:tc>
        <w:tc>
          <w:tcPr>
            <w:tcW w:w="4824" w:type="dxa"/>
          </w:tcPr>
          <w:p w14:paraId="57C61F0C">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kern w:val="0"/>
                <w:szCs w:val="21"/>
              </w:rPr>
              <w:t>Shanghai Branch</w:t>
            </w:r>
          </w:p>
        </w:tc>
      </w:tr>
      <w:tr w14:paraId="611190F7">
        <w:tc>
          <w:tcPr>
            <w:tcW w:w="4446" w:type="dxa"/>
          </w:tcPr>
          <w:p w14:paraId="26DAD93D">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kern w:val="0"/>
                <w:szCs w:val="21"/>
              </w:rPr>
              <w:t>Date of Issue： 202</w:t>
            </w:r>
            <w:r>
              <w:rPr>
                <w:rFonts w:hint="eastAsia" w:ascii="Times New Roman" w:hAnsi="Times New Roman" w:cs="Times New Roman" w:eastAsiaTheme="minorEastAsia"/>
                <w:kern w:val="0"/>
                <w:szCs w:val="21"/>
                <w:lang w:val="en-US" w:eastAsia="zh-CN"/>
              </w:rPr>
              <w:t>5</w:t>
            </w:r>
            <w:r>
              <w:rPr>
                <w:rFonts w:hint="default" w:ascii="Times New Roman" w:hAnsi="Times New Roman" w:cs="Times New Roman" w:eastAsiaTheme="minorEastAsia"/>
                <w:kern w:val="0"/>
                <w:szCs w:val="21"/>
              </w:rPr>
              <w:t>-1</w:t>
            </w:r>
            <w:r>
              <w:rPr>
                <w:rFonts w:hint="eastAsia" w:ascii="Times New Roman" w:hAnsi="Times New Roman" w:cs="Times New Roman" w:eastAsiaTheme="minorEastAsia"/>
                <w:kern w:val="0"/>
                <w:szCs w:val="21"/>
                <w:lang w:val="en-US" w:eastAsia="zh-CN"/>
              </w:rPr>
              <w:t>0</w:t>
            </w:r>
            <w:r>
              <w:rPr>
                <w:rFonts w:hint="default" w:ascii="Times New Roman" w:hAnsi="Times New Roman" w:cs="Times New Roman" w:eastAsiaTheme="minorEastAsia"/>
                <w:kern w:val="0"/>
                <w:szCs w:val="21"/>
              </w:rPr>
              <w:t>-31</w:t>
            </w:r>
          </w:p>
        </w:tc>
        <w:tc>
          <w:tcPr>
            <w:tcW w:w="4824" w:type="dxa"/>
          </w:tcPr>
          <w:p w14:paraId="748A56D0">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kern w:val="0"/>
                <w:szCs w:val="21"/>
              </w:rPr>
            </w:pPr>
          </w:p>
        </w:tc>
      </w:tr>
      <w:tr w14:paraId="27E96ECB">
        <w:tc>
          <w:tcPr>
            <w:tcW w:w="4446" w:type="dxa"/>
          </w:tcPr>
          <w:p w14:paraId="5CD1B12E">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kern w:val="0"/>
                <w:szCs w:val="21"/>
              </w:rPr>
              <w:t>Place of Issue： Shanghai</w:t>
            </w:r>
          </w:p>
        </w:tc>
        <w:tc>
          <w:tcPr>
            <w:tcW w:w="4824" w:type="dxa"/>
          </w:tcPr>
          <w:p w14:paraId="3A23E223">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kern w:val="0"/>
                <w:szCs w:val="21"/>
              </w:rPr>
            </w:pPr>
          </w:p>
        </w:tc>
      </w:tr>
      <w:tr w14:paraId="0A93AF67">
        <w:tc>
          <w:tcPr>
            <w:tcW w:w="4446" w:type="dxa"/>
          </w:tcPr>
          <w:p w14:paraId="694A4CBD">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Tel： 021-66779900</w:t>
            </w:r>
          </w:p>
        </w:tc>
        <w:tc>
          <w:tcPr>
            <w:tcW w:w="4824" w:type="dxa"/>
          </w:tcPr>
          <w:p w14:paraId="06E0E80B">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kern w:val="0"/>
                <w:szCs w:val="21"/>
              </w:rPr>
              <w:t>_____________________________</w:t>
            </w:r>
          </w:p>
        </w:tc>
      </w:tr>
      <w:tr w14:paraId="5A64CE3E">
        <w:tc>
          <w:tcPr>
            <w:tcW w:w="4446" w:type="dxa"/>
          </w:tcPr>
          <w:p w14:paraId="5776FD2B">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Fax： 021-66085269</w:t>
            </w:r>
          </w:p>
        </w:tc>
        <w:tc>
          <w:tcPr>
            <w:tcW w:w="4824" w:type="dxa"/>
          </w:tcPr>
          <w:p w14:paraId="131F6393">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kern w:val="0"/>
                <w:szCs w:val="21"/>
              </w:rPr>
              <w:t>Authorized Signature</w:t>
            </w:r>
          </w:p>
        </w:tc>
      </w:tr>
    </w:tbl>
    <w:p w14:paraId="6D282AB7">
      <w:pPr>
        <w:autoSpaceDE w:val="0"/>
        <w:autoSpaceDN w:val="0"/>
        <w:adjustRightInd w:val="0"/>
        <w:spacing w:line="240" w:lineRule="atLeast"/>
        <w:ind w:right="360"/>
        <w:jc w:val="both"/>
        <w:textAlignment w:val="baseline"/>
        <w:rPr>
          <w:rFonts w:hint="default" w:ascii="Times New Roman" w:hAnsi="Times New Roman" w:cs="Times New Roman" w:eastAsiaTheme="minorEastAsia"/>
          <w:b/>
          <w:kern w:val="0"/>
          <w:szCs w:val="21"/>
          <w:lang w:val="en-US" w:eastAsia="zh-CN"/>
        </w:rPr>
        <w:sectPr>
          <w:headerReference r:id="rId3" w:type="default"/>
          <w:footerReference r:id="rId4" w:type="default"/>
          <w:pgSz w:w="11906" w:h="16838"/>
          <w:pgMar w:top="1440" w:right="1466" w:bottom="1440" w:left="1170" w:header="851" w:footer="850" w:gutter="0"/>
          <w:cols w:space="425" w:num="1"/>
          <w:docGrid w:linePitch="286" w:charSpace="0"/>
        </w:sectPr>
      </w:pPr>
    </w:p>
    <w:p w14:paraId="0D711C74">
      <w:pPr>
        <w:autoSpaceDE w:val="0"/>
        <w:autoSpaceDN w:val="0"/>
        <w:adjustRightInd w:val="0"/>
        <w:spacing w:line="240" w:lineRule="atLeast"/>
        <w:ind w:right="360"/>
        <w:jc w:val="center"/>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t>Schedule</w:t>
      </w:r>
    </w:p>
    <w:p w14:paraId="7EC7AA47">
      <w:pPr>
        <w:autoSpaceDE w:val="0"/>
        <w:autoSpaceDN w:val="0"/>
        <w:adjustRightInd w:val="0"/>
        <w:spacing w:line="240" w:lineRule="atLeast"/>
        <w:ind w:right="360"/>
        <w:jc w:val="center"/>
        <w:textAlignment w:val="baseline"/>
        <w:rPr>
          <w:rFonts w:hint="default" w:ascii="Times New Roman" w:hAnsi="Times New Roman" w:cs="Times New Roman" w:eastAsiaTheme="minorEastAsia"/>
          <w:b/>
          <w:kern w:val="0"/>
          <w:szCs w:val="21"/>
        </w:rPr>
      </w:pPr>
    </w:p>
    <w:p w14:paraId="546B3CEB">
      <w:pPr>
        <w:autoSpaceDE w:val="0"/>
        <w:autoSpaceDN w:val="0"/>
        <w:adjustRightInd w:val="0"/>
        <w:spacing w:line="240" w:lineRule="atLeast"/>
        <w:ind w:right="360"/>
        <w:textAlignment w:val="baseline"/>
        <w:rPr>
          <w:rFonts w:hint="default" w:ascii="Times New Roman" w:hAnsi="Times New Roman" w:cs="Times New Roman" w:eastAsiaTheme="minorEastAsia"/>
          <w:b/>
          <w:kern w:val="0"/>
          <w:szCs w:val="21"/>
        </w:rPr>
      </w:pPr>
    </w:p>
    <w:tbl>
      <w:tblPr>
        <w:tblStyle w:val="15"/>
        <w:tblW w:w="9300" w:type="dxa"/>
        <w:tblInd w:w="91" w:type="dxa"/>
        <w:tblLayout w:type="fixed"/>
        <w:tblCellMar>
          <w:top w:w="0" w:type="dxa"/>
          <w:left w:w="108" w:type="dxa"/>
          <w:bottom w:w="0" w:type="dxa"/>
          <w:right w:w="108" w:type="dxa"/>
        </w:tblCellMar>
      </w:tblPr>
      <w:tblGrid>
        <w:gridCol w:w="7"/>
        <w:gridCol w:w="1547"/>
        <w:gridCol w:w="654"/>
        <w:gridCol w:w="893"/>
        <w:gridCol w:w="1547"/>
        <w:gridCol w:w="1547"/>
        <w:gridCol w:w="1547"/>
        <w:gridCol w:w="1550"/>
        <w:gridCol w:w="8"/>
      </w:tblGrid>
      <w:tr w14:paraId="3F7AF853">
        <w:tc>
          <w:tcPr>
            <w:tcW w:w="2208" w:type="dxa"/>
            <w:gridSpan w:val="3"/>
            <w:tcBorders>
              <w:right w:val="single" w:color="auto" w:sz="8" w:space="0"/>
            </w:tcBorders>
          </w:tcPr>
          <w:p w14:paraId="3F8577AC">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kern w:val="0"/>
                <w:szCs w:val="21"/>
              </w:rPr>
            </w:pPr>
            <w:r>
              <w:rPr>
                <w:rFonts w:hint="default" w:ascii="Times New Roman Regular" w:hAnsi="Times New Roman Regular" w:cs="Times New Roman Regular" w:eastAsiaTheme="minorEastAsia"/>
                <w:b/>
                <w:kern w:val="0"/>
                <w:szCs w:val="21"/>
              </w:rPr>
              <w:t>The Insured</w:t>
            </w:r>
          </w:p>
        </w:tc>
        <w:tc>
          <w:tcPr>
            <w:tcW w:w="7092" w:type="dxa"/>
            <w:gridSpan w:val="6"/>
            <w:tcBorders>
              <w:left w:val="single" w:color="auto" w:sz="8" w:space="0"/>
            </w:tcBorders>
            <w:vAlign w:val="top"/>
          </w:tcPr>
          <w:p w14:paraId="4AC17A3B">
            <w:pPr>
              <w:keepNext w:val="0"/>
              <w:keepLines w:val="0"/>
              <w:widowControl/>
              <w:suppressLineNumbers w:val="0"/>
              <w:jc w:val="left"/>
              <w:textAlignment w:val="top"/>
              <w:rPr>
                <w:rFonts w:hint="eastAsia" w:ascii="Times New Roman Regular" w:hAnsi="Times New Roman Regular" w:eastAsia="宋体" w:cs="Times New Roman Regular"/>
                <w:szCs w:val="21"/>
                <w:lang w:eastAsia="zh-CN"/>
              </w:rPr>
            </w:pPr>
            <w:r>
              <w:rPr>
                <w:rFonts w:hint="eastAsia" w:ascii="Times New Roman Regular" w:hAnsi="Times New Roman Regular" w:cs="Times New Roman Regular"/>
                <w:lang w:eastAsia="zh-CN"/>
              </w:rPr>
              <w:t>{</w:t>
            </w:r>
            <w:r>
              <w:rPr>
                <w:rFonts w:hint="default" w:ascii="Times New Roman Regular" w:hAnsi="Times New Roman Regular" w:cs="Times New Roman Regular"/>
                <w:b/>
                <w:bCs/>
                <w:color w:val="auto"/>
                <w:sz w:val="21"/>
                <w:szCs w:val="21"/>
                <w:highlight w:val="none"/>
                <w:lang w:val="en-US" w:eastAsia="zh-CN"/>
              </w:rPr>
              <w:t>The Insured</w:t>
            </w:r>
            <w:r>
              <w:rPr>
                <w:rFonts w:hint="eastAsia" w:ascii="Times New Roman Regular" w:hAnsi="Times New Roman Regular" w:cs="Times New Roman Regular"/>
                <w:lang w:eastAsia="zh-CN"/>
              </w:rPr>
              <w:t>}</w:t>
            </w:r>
          </w:p>
        </w:tc>
      </w:tr>
      <w:tr w14:paraId="45114CD3">
        <w:trPr>
          <w:gridAfter w:val="1"/>
          <w:wAfter w:w="8" w:type="dxa"/>
        </w:trPr>
        <w:tc>
          <w:tcPr>
            <w:tcW w:w="2208" w:type="dxa"/>
            <w:gridSpan w:val="3"/>
            <w:tcBorders>
              <w:right w:val="single" w:color="auto" w:sz="8" w:space="0"/>
            </w:tcBorders>
          </w:tcPr>
          <w:p w14:paraId="140D90FA">
            <w:pPr>
              <w:autoSpaceDE w:val="0"/>
              <w:autoSpaceDN w:val="0"/>
              <w:adjustRightInd w:val="0"/>
              <w:spacing w:line="240" w:lineRule="atLeast"/>
              <w:ind w:right="34"/>
              <w:jc w:val="left"/>
              <w:textAlignment w:val="baseline"/>
              <w:rPr>
                <w:rFonts w:hint="default" w:ascii="Times New Roman Regular" w:hAnsi="Times New Roman Regular" w:cs="Times New Roman Regular" w:eastAsiaTheme="minorEastAsia"/>
                <w:b/>
                <w:kern w:val="0"/>
                <w:szCs w:val="21"/>
              </w:rPr>
            </w:pPr>
          </w:p>
        </w:tc>
        <w:tc>
          <w:tcPr>
            <w:tcW w:w="7084" w:type="dxa"/>
            <w:gridSpan w:val="5"/>
            <w:tcBorders>
              <w:left w:val="single" w:color="auto" w:sz="8" w:space="0"/>
            </w:tcBorders>
            <w:vAlign w:val="top"/>
          </w:tcPr>
          <w:p w14:paraId="3F1BB0E8">
            <w:pPr>
              <w:widowControl/>
              <w:tabs>
                <w:tab w:val="left" w:pos="-1440"/>
                <w:tab w:val="left" w:pos="-720"/>
                <w:tab w:val="left" w:pos="0"/>
                <w:tab w:val="left" w:pos="2165"/>
                <w:tab w:val="left" w:pos="2460"/>
              </w:tabs>
              <w:suppressAutoHyphens/>
              <w:rPr>
                <w:rFonts w:hint="default" w:ascii="Times New Roman Regular" w:hAnsi="Times New Roman Regular" w:cs="Times New Roman Regular" w:eastAsiaTheme="minorEastAsia"/>
                <w:b w:val="0"/>
                <w:bCs w:val="0"/>
                <w:color w:val="auto"/>
                <w:spacing w:val="-2"/>
                <w:kern w:val="0"/>
                <w:szCs w:val="21"/>
              </w:rPr>
            </w:pPr>
            <w:r>
              <w:rPr>
                <w:rFonts w:hint="default" w:ascii="Times New Roman Regular" w:hAnsi="Times New Roman Regular" w:cs="Times New Roman Regular" w:eastAsiaTheme="minorEastAsia"/>
                <w:b w:val="0"/>
                <w:bCs w:val="0"/>
                <w:color w:val="auto"/>
                <w:spacing w:val="-2"/>
                <w:kern w:val="0"/>
                <w:szCs w:val="21"/>
              </w:rPr>
              <w:t>&amp;/or Its Subsidiaries &amp;/or Affiliated Companies &amp;/or Associated Companies for their respective rights and interests</w:t>
            </w:r>
          </w:p>
          <w:p w14:paraId="1AEAB0AA">
            <w:pPr>
              <w:widowControl/>
              <w:tabs>
                <w:tab w:val="left" w:pos="-1440"/>
                <w:tab w:val="left" w:pos="-720"/>
                <w:tab w:val="left" w:pos="0"/>
                <w:tab w:val="left" w:pos="2165"/>
                <w:tab w:val="left" w:pos="2460"/>
              </w:tabs>
              <w:suppressAutoHyphens/>
              <w:rPr>
                <w:rFonts w:hint="default" w:ascii="Times New Roman Regular" w:hAnsi="Times New Roman Regular" w:cs="Times New Roman Regular" w:eastAsiaTheme="minorEastAsia"/>
                <w:b w:val="0"/>
                <w:bCs w:val="0"/>
                <w:color w:val="auto"/>
                <w:spacing w:val="-2"/>
                <w:kern w:val="0"/>
                <w:szCs w:val="21"/>
              </w:rPr>
            </w:pPr>
          </w:p>
        </w:tc>
      </w:tr>
      <w:tr w14:paraId="65631F3D">
        <w:trPr>
          <w:gridAfter w:val="1"/>
          <w:wAfter w:w="8" w:type="dxa"/>
        </w:trPr>
        <w:tc>
          <w:tcPr>
            <w:tcW w:w="2208" w:type="dxa"/>
            <w:gridSpan w:val="3"/>
            <w:tcBorders>
              <w:right w:val="single" w:color="auto" w:sz="8" w:space="0"/>
            </w:tcBorders>
          </w:tcPr>
          <w:p w14:paraId="7F9635D5">
            <w:pPr>
              <w:autoSpaceDE w:val="0"/>
              <w:autoSpaceDN w:val="0"/>
              <w:adjustRightInd w:val="0"/>
              <w:spacing w:line="240" w:lineRule="atLeast"/>
              <w:ind w:right="34"/>
              <w:jc w:val="left"/>
              <w:textAlignment w:val="baseline"/>
              <w:rPr>
                <w:rFonts w:hint="default" w:ascii="Times New Roman Regular" w:hAnsi="Times New Roman Regular" w:cs="Times New Roman Regular" w:eastAsiaTheme="minorEastAsia"/>
                <w:b/>
                <w:kern w:val="0"/>
                <w:szCs w:val="21"/>
              </w:rPr>
            </w:pPr>
            <w:r>
              <w:rPr>
                <w:rFonts w:hint="default" w:ascii="Times New Roman Regular" w:hAnsi="Times New Roman Regular" w:cs="Times New Roman Regular" w:eastAsiaTheme="minorEastAsia"/>
                <w:b/>
                <w:kern w:val="0"/>
                <w:szCs w:val="21"/>
              </w:rPr>
              <w:t xml:space="preserve">Locations </w:t>
            </w:r>
          </w:p>
        </w:tc>
        <w:tc>
          <w:tcPr>
            <w:tcW w:w="7084" w:type="dxa"/>
            <w:gridSpan w:val="5"/>
            <w:tcBorders>
              <w:left w:val="single" w:color="auto" w:sz="8" w:space="0"/>
            </w:tcBorders>
            <w:vAlign w:val="center"/>
          </w:tcPr>
          <w:p w14:paraId="5F939067">
            <w:pPr>
              <w:keepNext w:val="0"/>
              <w:keepLines w:val="0"/>
              <w:widowControl/>
              <w:suppressLineNumbers w:val="0"/>
              <w:jc w:val="left"/>
              <w:textAlignment w:val="center"/>
              <w:rPr>
                <w:rFonts w:hint="eastAsia" w:ascii="Times New Roman Regular" w:hAnsi="Times New Roman Regular" w:eastAsia="宋体" w:cs="Times New Roman Regular"/>
                <w:b w:val="0"/>
                <w:bCs w:val="0"/>
                <w:i w:val="0"/>
                <w:iCs w:val="0"/>
                <w:color w:val="000000"/>
                <w:kern w:val="0"/>
                <w:sz w:val="20"/>
                <w:szCs w:val="20"/>
                <w:u w:val="none"/>
                <w:lang w:val="en-US" w:eastAsia="zh-CN" w:bidi="ar"/>
              </w:rPr>
            </w:pPr>
            <w:r>
              <w:rPr>
                <w:rFonts w:hint="eastAsia" w:ascii="Times New Roman Regular" w:hAnsi="Times New Roman Regular" w:cs="Times New Roman Regular"/>
                <w:lang w:eastAsia="zh-CN"/>
              </w:rPr>
              <w:t>{</w:t>
            </w:r>
            <w:r>
              <w:rPr>
                <w:rFonts w:hint="default" w:ascii="Times New Roman Regular" w:hAnsi="Times New Roman Regular" w:cs="Times New Roman Regular"/>
                <w:b/>
                <w:bCs/>
                <w:color w:val="auto"/>
                <w:sz w:val="21"/>
                <w:szCs w:val="21"/>
                <w:highlight w:val="none"/>
                <w:lang w:val="en-US" w:eastAsia="zh-CN"/>
              </w:rPr>
              <w:t>Address</w:t>
            </w:r>
            <w:r>
              <w:rPr>
                <w:rFonts w:hint="eastAsia" w:ascii="Times New Roman Regular" w:hAnsi="Times New Roman Regular" w:cs="Times New Roman Regular"/>
                <w:lang w:eastAsia="zh-CN"/>
              </w:rPr>
              <w:t>}</w:t>
            </w:r>
          </w:p>
        </w:tc>
      </w:tr>
      <w:tr w14:paraId="2140551A">
        <w:trPr>
          <w:gridAfter w:val="1"/>
          <w:wAfter w:w="8" w:type="dxa"/>
        </w:trPr>
        <w:tc>
          <w:tcPr>
            <w:tcW w:w="2208" w:type="dxa"/>
            <w:gridSpan w:val="3"/>
            <w:tcBorders>
              <w:right w:val="single" w:color="auto" w:sz="8" w:space="0"/>
            </w:tcBorders>
          </w:tcPr>
          <w:p w14:paraId="5B53C7E5">
            <w:pPr>
              <w:autoSpaceDE w:val="0"/>
              <w:autoSpaceDN w:val="0"/>
              <w:adjustRightInd w:val="0"/>
              <w:spacing w:line="240" w:lineRule="atLeast"/>
              <w:ind w:right="34"/>
              <w:jc w:val="left"/>
              <w:textAlignment w:val="baseline"/>
              <w:rPr>
                <w:rFonts w:hint="default" w:ascii="Times New Roman Regular" w:hAnsi="Times New Roman Regular" w:cs="Times New Roman Regular" w:eastAsiaTheme="minorEastAsia"/>
                <w:b/>
                <w:kern w:val="0"/>
                <w:szCs w:val="21"/>
              </w:rPr>
            </w:pPr>
          </w:p>
        </w:tc>
        <w:tc>
          <w:tcPr>
            <w:tcW w:w="7084" w:type="dxa"/>
            <w:gridSpan w:val="5"/>
            <w:tcBorders>
              <w:left w:val="single" w:color="auto" w:sz="8" w:space="0"/>
            </w:tcBorders>
            <w:vAlign w:val="top"/>
          </w:tcPr>
          <w:p w14:paraId="45D278AF">
            <w:pPr>
              <w:keepNext w:val="0"/>
              <w:keepLines w:val="0"/>
              <w:widowControl/>
              <w:suppressLineNumbers w:val="0"/>
              <w:jc w:val="left"/>
              <w:textAlignment w:val="top"/>
              <w:rPr>
                <w:rFonts w:hint="default" w:ascii="Times New Roman Regular" w:hAnsi="Times New Roman Regular" w:cs="Times New Roman Regular" w:eastAsiaTheme="minorEastAsia"/>
                <w:b w:val="0"/>
                <w:bCs w:val="0"/>
                <w:i w:val="0"/>
                <w:iCs w:val="0"/>
                <w:color w:val="000000"/>
                <w:kern w:val="0"/>
                <w:sz w:val="21"/>
                <w:szCs w:val="21"/>
                <w:u w:val="none"/>
                <w:lang w:val="en-US" w:eastAsia="zh-CN" w:bidi="ar"/>
              </w:rPr>
            </w:pPr>
          </w:p>
        </w:tc>
      </w:tr>
      <w:tr w14:paraId="0C2D3FC4">
        <w:trPr>
          <w:gridBefore w:val="1"/>
          <w:gridAfter w:val="1"/>
          <w:wBefore w:w="7" w:type="dxa"/>
          <w:wAfter w:w="8" w:type="dxa"/>
        </w:trPr>
        <w:tc>
          <w:tcPr>
            <w:tcW w:w="2201" w:type="dxa"/>
            <w:gridSpan w:val="2"/>
            <w:tcBorders>
              <w:right w:val="single" w:color="auto" w:sz="8" w:space="0"/>
            </w:tcBorders>
            <w:noWrap w:val="0"/>
            <w:vAlign w:val="top"/>
          </w:tcPr>
          <w:p w14:paraId="45A3219D">
            <w:pPr>
              <w:tabs>
                <w:tab w:val="left" w:pos="1877"/>
              </w:tabs>
              <w:autoSpaceDE w:val="0"/>
              <w:autoSpaceDN w:val="0"/>
              <w:adjustRightInd w:val="0"/>
              <w:spacing w:line="240" w:lineRule="atLeast"/>
              <w:jc w:val="left"/>
              <w:textAlignment w:val="baseline"/>
              <w:rPr>
                <w:rFonts w:hint="default" w:ascii="Times New Roman Regular" w:hAnsi="Times New Roman Regular" w:cs="Times New Roman Regular" w:eastAsiaTheme="minorEastAsia"/>
                <w:b/>
                <w:color w:val="000000"/>
                <w:kern w:val="0"/>
                <w:szCs w:val="21"/>
              </w:rPr>
            </w:pPr>
            <w:r>
              <w:rPr>
                <w:rFonts w:hint="default" w:ascii="Times New Roman Regular" w:hAnsi="Times New Roman Regular" w:cs="Times New Roman Regular" w:eastAsiaTheme="minorEastAsia"/>
                <w:b/>
                <w:color w:val="000000"/>
                <w:kern w:val="0"/>
                <w:szCs w:val="21"/>
              </w:rPr>
              <w:t>Period of Insurance</w:t>
            </w:r>
          </w:p>
          <w:p w14:paraId="5835045C">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rPr>
            </w:pPr>
          </w:p>
        </w:tc>
        <w:tc>
          <w:tcPr>
            <w:tcW w:w="7084" w:type="dxa"/>
            <w:gridSpan w:val="5"/>
            <w:tcBorders>
              <w:left w:val="single" w:color="auto" w:sz="8" w:space="0"/>
            </w:tcBorders>
            <w:noWrap w:val="0"/>
            <w:vAlign w:val="top"/>
          </w:tcPr>
          <w:p w14:paraId="68DA17EF">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color w:val="auto"/>
                <w:kern w:val="0"/>
                <w:szCs w:val="21"/>
              </w:rPr>
            </w:pPr>
            <w:r>
              <w:rPr>
                <w:rFonts w:hint="default" w:ascii="Times New Roman Regular" w:hAnsi="Times New Roman Regular" w:cs="Times New Roman Regular" w:eastAsiaTheme="minorEastAsia"/>
                <w:color w:val="auto"/>
                <w:kern w:val="0"/>
                <w:szCs w:val="21"/>
              </w:rPr>
              <w:t>From 202</w:t>
            </w:r>
            <w:r>
              <w:rPr>
                <w:rFonts w:hint="default" w:ascii="Times New Roman Regular" w:hAnsi="Times New Roman Regular" w:cs="Times New Roman Regular" w:eastAsiaTheme="minorEastAsia"/>
                <w:color w:val="auto"/>
                <w:kern w:val="0"/>
                <w:szCs w:val="21"/>
                <w:lang w:val="en-US" w:eastAsia="zh-CN"/>
              </w:rPr>
              <w:t>6</w:t>
            </w:r>
            <w:r>
              <w:rPr>
                <w:rFonts w:hint="default" w:ascii="Times New Roman Regular" w:hAnsi="Times New Roman Regular" w:cs="Times New Roman Regular" w:eastAsiaTheme="minorEastAsia"/>
                <w:color w:val="auto"/>
                <w:kern w:val="0"/>
                <w:szCs w:val="21"/>
              </w:rPr>
              <w:t>-01-01 at 0:00 to 202</w:t>
            </w:r>
            <w:r>
              <w:rPr>
                <w:rFonts w:hint="default" w:ascii="Times New Roman Regular" w:hAnsi="Times New Roman Regular" w:cs="Times New Roman Regular" w:eastAsiaTheme="minorEastAsia"/>
                <w:color w:val="auto"/>
                <w:kern w:val="0"/>
                <w:szCs w:val="21"/>
                <w:lang w:val="en-US" w:eastAsia="zh-CN"/>
              </w:rPr>
              <w:t>6</w:t>
            </w:r>
            <w:r>
              <w:rPr>
                <w:rFonts w:hint="default" w:ascii="Times New Roman Regular" w:hAnsi="Times New Roman Regular" w:cs="Times New Roman Regular" w:eastAsiaTheme="minorEastAsia"/>
                <w:color w:val="auto"/>
                <w:kern w:val="0"/>
                <w:szCs w:val="21"/>
              </w:rPr>
              <w:t>-12-31 at 24:00</w:t>
            </w:r>
          </w:p>
        </w:tc>
      </w:tr>
      <w:tr w14:paraId="35ABCC4A">
        <w:trPr>
          <w:gridBefore w:val="1"/>
          <w:gridAfter w:val="1"/>
          <w:wBefore w:w="7" w:type="dxa"/>
          <w:wAfter w:w="8" w:type="dxa"/>
        </w:trPr>
        <w:tc>
          <w:tcPr>
            <w:tcW w:w="2201" w:type="dxa"/>
            <w:gridSpan w:val="2"/>
            <w:tcBorders>
              <w:right w:val="single" w:color="auto" w:sz="8" w:space="0"/>
            </w:tcBorders>
            <w:noWrap w:val="0"/>
            <w:vAlign w:val="top"/>
          </w:tcPr>
          <w:p w14:paraId="0F5FC85F">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rPr>
            </w:pPr>
            <w:r>
              <w:rPr>
                <w:rFonts w:hint="default" w:ascii="Times New Roman Regular" w:hAnsi="Times New Roman Regular" w:cs="Times New Roman Regular" w:eastAsiaTheme="minorEastAsia"/>
                <w:b/>
                <w:color w:val="000000"/>
                <w:kern w:val="0"/>
                <w:szCs w:val="21"/>
              </w:rPr>
              <w:t>Coverage</w:t>
            </w:r>
          </w:p>
        </w:tc>
        <w:tc>
          <w:tcPr>
            <w:tcW w:w="7084" w:type="dxa"/>
            <w:gridSpan w:val="5"/>
            <w:tcBorders>
              <w:left w:val="single" w:color="auto" w:sz="8" w:space="0"/>
            </w:tcBorders>
            <w:noWrap w:val="0"/>
            <w:vAlign w:val="top"/>
          </w:tcPr>
          <w:p w14:paraId="6AA5B747">
            <w:pPr>
              <w:keepNext w:val="0"/>
              <w:keepLines w:val="0"/>
              <w:widowControl/>
              <w:suppressLineNumbers w:val="0"/>
              <w:jc w:val="left"/>
              <w:textAlignment w:val="center"/>
              <w:rPr>
                <w:rFonts w:hint="default" w:ascii="Times New Roman Regular" w:hAnsi="Times New Roman Regular" w:eastAsia="宋体" w:cs="Times New Roman Regular"/>
                <w:b w:val="0"/>
                <w:bCs w:val="0"/>
                <w:i w:val="0"/>
                <w:iCs w:val="0"/>
                <w:color w:val="000000"/>
                <w:kern w:val="0"/>
                <w:sz w:val="20"/>
                <w:szCs w:val="20"/>
                <w:u w:val="none"/>
                <w:lang w:val="en-US" w:eastAsia="zh-CN" w:bidi="ar"/>
              </w:rPr>
            </w:pPr>
            <w:r>
              <w:rPr>
                <w:rFonts w:hint="default" w:ascii="Times New Roman Regular" w:hAnsi="Times New Roman Regular" w:eastAsia="宋体" w:cs="Times New Roman Regular"/>
                <w:b w:val="0"/>
                <w:bCs w:val="0"/>
                <w:i w:val="0"/>
                <w:iCs w:val="0"/>
                <w:color w:val="000000"/>
                <w:kern w:val="0"/>
                <w:sz w:val="20"/>
                <w:szCs w:val="20"/>
                <w:u w:val="none"/>
                <w:lang w:val="en-US" w:eastAsia="zh-CN" w:bidi="ar"/>
              </w:rPr>
              <w:t>The Company shall be liable for loss of or damage to the Insured Property caused by natural hazards and/or any sudden and unforeseeable accidents during the currency of this insurance subject to Exclusions specified in this policy.</w:t>
            </w:r>
          </w:p>
          <w:p w14:paraId="7340A2C1">
            <w:pPr>
              <w:keepNext w:val="0"/>
              <w:keepLines w:val="0"/>
              <w:widowControl/>
              <w:suppressLineNumbers w:val="0"/>
              <w:jc w:val="left"/>
              <w:textAlignment w:val="center"/>
              <w:rPr>
                <w:rFonts w:hint="default" w:ascii="Times New Roman Regular" w:hAnsi="Times New Roman Regular" w:eastAsia="宋体" w:cs="Times New Roman Regular"/>
                <w:b w:val="0"/>
                <w:bCs w:val="0"/>
                <w:i w:val="0"/>
                <w:iCs w:val="0"/>
                <w:color w:val="000000"/>
                <w:kern w:val="0"/>
                <w:sz w:val="20"/>
                <w:szCs w:val="20"/>
                <w:u w:val="none"/>
                <w:lang w:val="en-US" w:eastAsia="zh-CN" w:bidi="ar"/>
              </w:rPr>
            </w:pPr>
          </w:p>
        </w:tc>
      </w:tr>
      <w:tr w14:paraId="225882A0">
        <w:trPr>
          <w:gridBefore w:val="1"/>
          <w:gridAfter w:val="1"/>
          <w:wBefore w:w="7" w:type="dxa"/>
          <w:wAfter w:w="8" w:type="dxa"/>
        </w:trPr>
        <w:tc>
          <w:tcPr>
            <w:tcW w:w="2201" w:type="dxa"/>
            <w:gridSpan w:val="2"/>
            <w:tcBorders>
              <w:right w:val="single" w:color="auto" w:sz="8" w:space="0"/>
            </w:tcBorders>
            <w:noWrap w:val="0"/>
            <w:vAlign w:val="top"/>
          </w:tcPr>
          <w:p w14:paraId="7FFB9C12">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14:textFill>
                  <w14:gradFill>
                    <w14:gsLst>
                      <w14:gs w14:pos="100000">
                        <w14:srgbClr w14:val="FF1744"/>
                      </w14:gs>
                      <w14:gs w14:pos="0">
                        <w14:srgbClr w14:val="FF8A80"/>
                      </w14:gs>
                    </w14:gsLst>
                    <w14:path w14:path="circle">
                      <w14:fillToRect w14:l="100000" w14:t="100000"/>
                    </w14:path>
                  </w14:gradFill>
                </w14:textFill>
              </w:rPr>
            </w:pPr>
            <w:r>
              <w:rPr>
                <w:rFonts w:hint="default" w:ascii="Times New Roman Regular" w:hAnsi="Times New Roman Regular" w:cs="Times New Roman Regular" w:eastAsiaTheme="minorEastAsia"/>
                <w:b/>
                <w:color w:val="000000"/>
                <w:kern w:val="0"/>
                <w:szCs w:val="21"/>
                <w14:textFill>
                  <w14:gradFill>
                    <w14:gsLst>
                      <w14:gs w14:pos="100000">
                        <w14:srgbClr w14:val="FF1744"/>
                      </w14:gs>
                      <w14:gs w14:pos="0">
                        <w14:srgbClr w14:val="FF8A80"/>
                      </w14:gs>
                    </w14:gsLst>
                    <w14:path w14:path="circle">
                      <w14:fillToRect w14:l="100000" w14:t="100000"/>
                    </w14:path>
                  </w14:gradFill>
                </w14:textFill>
              </w:rPr>
              <w:t>Interest Insured</w:t>
            </w:r>
          </w:p>
        </w:tc>
        <w:tc>
          <w:tcPr>
            <w:tcW w:w="7084" w:type="dxa"/>
            <w:gridSpan w:val="5"/>
            <w:tcBorders>
              <w:left w:val="single" w:color="auto" w:sz="8" w:space="0"/>
            </w:tcBorders>
            <w:noWrap w:val="0"/>
            <w:vAlign w:val="top"/>
          </w:tcPr>
          <w:p w14:paraId="4607A79D">
            <w:pPr>
              <w:pStyle w:val="34"/>
              <w:numPr>
                <w:ilvl w:val="0"/>
                <w:numId w:val="1"/>
              </w:numPr>
              <w:tabs>
                <w:tab w:val="left" w:pos="-1440"/>
                <w:tab w:val="left" w:pos="-720"/>
                <w:tab w:val="left" w:pos="0"/>
                <w:tab w:val="left" w:pos="317"/>
                <w:tab w:val="left" w:pos="2460"/>
                <w:tab w:val="left" w:pos="2869"/>
              </w:tabs>
              <w:suppressAutoHyphens/>
              <w:ind w:firstLineChars="0"/>
              <w:jc w:val="left"/>
              <w:rPr>
                <w:rFonts w:hint="default" w:ascii="Times New Roman Regular" w:hAnsi="Times New Roman Regular" w:cs="Times New Roman Regular" w:eastAsiaTheme="minorEastAsia"/>
                <w:color w:val="000000"/>
                <w:spacing w:val="-2"/>
                <w:kern w:val="0"/>
                <w:szCs w:val="21"/>
                <w14:textFill>
                  <w14:gradFill>
                    <w14:gsLst>
                      <w14:gs w14:pos="100000">
                        <w14:srgbClr w14:val="FF1744"/>
                      </w14:gs>
                      <w14:gs w14:pos="0">
                        <w14:srgbClr w14:val="FF8A80"/>
                      </w14:gs>
                    </w14:gsLst>
                    <w14:path w14:path="circle">
                      <w14:fillToRect w14:l="100000" w14:t="100000"/>
                    </w14:path>
                  </w14:gradFill>
                </w14:textFill>
              </w:rPr>
            </w:pPr>
            <w:r>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t>on Buildings (Valuation: New Replacement Value)</w:t>
            </w:r>
          </w:p>
          <w:p w14:paraId="7DF10855">
            <w:pPr>
              <w:pStyle w:val="34"/>
              <w:tabs>
                <w:tab w:val="left" w:pos="-1440"/>
                <w:tab w:val="left" w:pos="-720"/>
                <w:tab w:val="left" w:pos="0"/>
                <w:tab w:val="left" w:pos="2165"/>
                <w:tab w:val="left" w:pos="2869"/>
              </w:tabs>
              <w:suppressAutoHyphens/>
              <w:ind w:firstLine="33" w:firstLineChars="16"/>
              <w:rPr>
                <w:rFonts w:hint="default" w:ascii="Times New Roman Regular" w:hAnsi="Times New Roman Regular" w:cs="Times New Roman Regular" w:eastAsiaTheme="minorEastAsia"/>
                <w:color w:val="000000"/>
                <w:kern w:val="0"/>
                <w:szCs w:val="21"/>
                <w14:textFill>
                  <w14:gradFill>
                    <w14:gsLst>
                      <w14:gs w14:pos="100000">
                        <w14:srgbClr w14:val="FF1744"/>
                      </w14:gs>
                      <w14:gs w14:pos="0">
                        <w14:srgbClr w14:val="FF8A80"/>
                      </w14:gs>
                    </w14:gsLst>
                    <w14:path w14:path="circle">
                      <w14:fillToRect w14:l="100000" w14:t="100000"/>
                    </w14:path>
                  </w14:gradFill>
                </w14:textFill>
              </w:rPr>
            </w:pPr>
            <w:r>
              <w:rPr>
                <w:rFonts w:hint="default" w:ascii="Times New Roman Regular" w:hAnsi="Times New Roman Regular" w:cs="Times New Roman Regular" w:eastAsiaTheme="minorEastAsia"/>
                <w:color w:val="000000"/>
                <w:kern w:val="0"/>
                <w:szCs w:val="21"/>
                <w14:textFill>
                  <w14:gradFill>
                    <w14:gsLst>
                      <w14:gs w14:pos="100000">
                        <w14:srgbClr w14:val="FF1744"/>
                      </w14:gs>
                      <w14:gs w14:pos="0">
                        <w14:srgbClr w14:val="FF8A80"/>
                      </w14:gs>
                    </w14:gsLst>
                    <w14:path w14:path="circle">
                      <w14:fillToRect w14:l="100000" w14:t="100000"/>
                    </w14:path>
                  </w14:gradFill>
                </w14:textFill>
              </w:rPr>
              <w:t>On the whole Fabric of the Building Structures (including foundation or excluding depending on the Sum Insured Provided) including but not limited to building automations, installations, utilities, recreational facilities, drainage and all plant, machinery and equipment pertaining thereto, building services including pump room, gondola, foot-bridge and road access, landscape, roadways, road verges, footpaths and walks, stand-by generators and transformers, landlord's fixtures, fittings and appurtenances of each and every nature (whether indoor or outdoor) therein and thereon, walls, hedges, fences, yards, patios, walkways and gates, car parks, outwards signboards, underground services pipes and cable.</w:t>
            </w:r>
          </w:p>
          <w:p w14:paraId="03A487A5">
            <w:pPr>
              <w:pStyle w:val="34"/>
              <w:tabs>
                <w:tab w:val="left" w:pos="-1440"/>
                <w:tab w:val="left" w:pos="-720"/>
                <w:tab w:val="left" w:pos="0"/>
                <w:tab w:val="left" w:pos="2165"/>
                <w:tab w:val="left" w:pos="2869"/>
              </w:tabs>
              <w:suppressAutoHyphens/>
              <w:ind w:firstLine="32" w:firstLineChars="16"/>
              <w:rPr>
                <w:rFonts w:hint="default" w:ascii="Times New Roman Regular" w:hAnsi="Times New Roman Regular" w:cs="Times New Roman Regular" w:eastAsiaTheme="minorEastAsia"/>
                <w:color w:val="000000"/>
                <w:spacing w:val="-2"/>
                <w:kern w:val="0"/>
                <w:szCs w:val="21"/>
                <w14:textFill>
                  <w14:gradFill>
                    <w14:gsLst>
                      <w14:gs w14:pos="100000">
                        <w14:srgbClr w14:val="FF1744"/>
                      </w14:gs>
                      <w14:gs w14:pos="0">
                        <w14:srgbClr w14:val="FF8A80"/>
                      </w14:gs>
                    </w14:gsLst>
                    <w14:path w14:path="circle">
                      <w14:fillToRect w14:l="100000" w14:t="100000"/>
                    </w14:path>
                  </w14:gradFill>
                </w14:textFill>
              </w:rPr>
            </w:pPr>
          </w:p>
          <w:p w14:paraId="76B5FF62">
            <w:pPr>
              <w:pStyle w:val="34"/>
              <w:numPr>
                <w:ilvl w:val="0"/>
                <w:numId w:val="1"/>
              </w:numPr>
              <w:tabs>
                <w:tab w:val="left" w:pos="-1440"/>
                <w:tab w:val="left" w:pos="-720"/>
                <w:tab w:val="left" w:pos="0"/>
                <w:tab w:val="left" w:pos="317"/>
                <w:tab w:val="left" w:pos="2460"/>
                <w:tab w:val="left" w:pos="2869"/>
              </w:tabs>
              <w:suppressAutoHyphens/>
              <w:ind w:firstLineChars="0"/>
              <w:jc w:val="left"/>
              <w:rPr>
                <w:rFonts w:hint="default" w:ascii="Times New Roman Regular" w:hAnsi="Times New Roman Regular" w:cs="Times New Roman Regular" w:eastAsiaTheme="minorEastAsia"/>
                <w:color w:val="000000"/>
                <w:spacing w:val="-2"/>
                <w:kern w:val="0"/>
                <w:szCs w:val="21"/>
                <w14:textFill>
                  <w14:gradFill>
                    <w14:gsLst>
                      <w14:gs w14:pos="100000">
                        <w14:srgbClr w14:val="FF1744"/>
                      </w14:gs>
                      <w14:gs w14:pos="0">
                        <w14:srgbClr w14:val="FF8A80"/>
                      </w14:gs>
                    </w14:gsLst>
                    <w14:path w14:path="circle">
                      <w14:fillToRect w14:l="100000" w14:t="100000"/>
                    </w14:path>
                  </w14:gradFill>
                </w14:textFill>
              </w:rPr>
            </w:pPr>
            <w:r>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t>Machinery &amp; Contents (Valuation: New Replacement Value)</w:t>
            </w:r>
          </w:p>
          <w:p w14:paraId="1D4A8B90">
            <w:pPr>
              <w:rPr>
                <w:rFonts w:hint="default" w:ascii="Times New Roman Regular" w:hAnsi="Times New Roman Regular" w:cs="Times New Roman Regular" w:eastAsiaTheme="minorEastAsia"/>
                <w:color w:val="000000"/>
                <w:kern w:val="0"/>
                <w:szCs w:val="21"/>
                <w14:textFill>
                  <w14:gradFill>
                    <w14:gsLst>
                      <w14:gs w14:pos="100000">
                        <w14:srgbClr w14:val="FF1744"/>
                      </w14:gs>
                      <w14:gs w14:pos="0">
                        <w14:srgbClr w14:val="FF8A80"/>
                      </w14:gs>
                    </w14:gsLst>
                    <w14:path w14:path="circle">
                      <w14:fillToRect w14:l="100000" w14:t="100000"/>
                    </w14:path>
                  </w14:gradFill>
                </w14:textFill>
              </w:rPr>
            </w:pPr>
            <w:r>
              <w:rPr>
                <w:rFonts w:hint="default" w:ascii="Times New Roman Regular" w:hAnsi="Times New Roman Regular" w:cs="Times New Roman Regular" w:eastAsiaTheme="minorEastAsia"/>
                <w:color w:val="000000"/>
                <w:kern w:val="0"/>
                <w:szCs w:val="21"/>
                <w14:textFill>
                  <w14:gradFill>
                    <w14:gsLst>
                      <w14:gs w14:pos="100000">
                        <w14:srgbClr w14:val="FF1744"/>
                      </w14:gs>
                      <w14:gs w14:pos="0">
                        <w14:srgbClr w14:val="FF8A80"/>
                      </w14:gs>
                    </w14:gsLst>
                    <w14:path w14:path="circle">
                      <w14:fillToRect w14:l="100000" w14:t="100000"/>
                    </w14:path>
                  </w14:gradFill>
                </w14:textFill>
              </w:rPr>
              <w:t>On the whole contents including but not limited to furniture, fixtures, Fittings, occupier</w:t>
            </w:r>
            <w:r>
              <w:rPr>
                <w:rFonts w:hint="default" w:ascii="Times New Roman Regular" w:hAnsi="Times New Roman Regular" w:cs="Times New Roman Regular" w:eastAsiaTheme="minorEastAsia"/>
                <w:color w:val="000000"/>
                <w14:textFill>
                  <w14:gradFill>
                    <w14:gsLst>
                      <w14:gs w14:pos="100000">
                        <w14:srgbClr w14:val="FF1744"/>
                      </w14:gs>
                      <w14:gs w14:pos="0">
                        <w14:srgbClr w14:val="FF8A80"/>
                      </w14:gs>
                    </w14:gsLst>
                    <w14:path w14:path="circle">
                      <w14:fillToRect w14:l="100000" w14:t="100000"/>
                    </w14:path>
                  </w14:gradFill>
                </w14:textFill>
              </w:rPr>
              <w:t>’</w:t>
            </w:r>
            <w:r>
              <w:rPr>
                <w:rFonts w:hint="default" w:ascii="Times New Roman Regular" w:hAnsi="Times New Roman Regular" w:cs="Times New Roman Regular" w:eastAsiaTheme="minorEastAsia"/>
                <w:color w:val="000000"/>
                <w:kern w:val="0"/>
                <w:szCs w:val="21"/>
                <w14:textFill>
                  <w14:gradFill>
                    <w14:gsLst>
                      <w14:gs w14:pos="100000">
                        <w14:srgbClr w14:val="FF1744"/>
                      </w14:gs>
                      <w14:gs w14:pos="0">
                        <w14:srgbClr w14:val="FF8A80"/>
                      </w14:gs>
                    </w14:gsLst>
                    <w14:path w14:path="circle">
                      <w14:fillToRect w14:l="100000" w14:t="100000"/>
                    </w14:path>
                  </w14:gradFill>
                </w14:textFill>
              </w:rPr>
              <w:t>s improvements, plant, machinery, equipment and accessories, tool-of-trade, molds, business fixtures and movable utensils, breakage of any kinds, neon sign, advertising board, equipment including computer equipment, office equipment, decorations, unused stationery.</w:t>
            </w:r>
          </w:p>
          <w:p w14:paraId="4F340A7A">
            <w:pPr>
              <w:rPr>
                <w:rFonts w:hint="default" w:ascii="Times New Roman Regular" w:hAnsi="Times New Roman Regular" w:cs="Times New Roman Regular" w:eastAsiaTheme="minorEastAsia"/>
                <w:color w:val="000000"/>
                <w:kern w:val="0"/>
                <w:szCs w:val="21"/>
                <w14:textFill>
                  <w14:gradFill>
                    <w14:gsLst>
                      <w14:gs w14:pos="100000">
                        <w14:srgbClr w14:val="FF1744"/>
                      </w14:gs>
                      <w14:gs w14:pos="0">
                        <w14:srgbClr w14:val="FF8A80"/>
                      </w14:gs>
                    </w14:gsLst>
                    <w14:path w14:path="circle">
                      <w14:fillToRect w14:l="100000" w14:t="100000"/>
                    </w14:path>
                  </w14:gradFill>
                </w14:textFill>
              </w:rPr>
            </w:pPr>
          </w:p>
          <w:p w14:paraId="690E55CF">
            <w:pPr>
              <w:pStyle w:val="34"/>
              <w:widowControl/>
              <w:numPr>
                <w:ilvl w:val="0"/>
                <w:numId w:val="1"/>
              </w:numPr>
              <w:tabs>
                <w:tab w:val="left" w:pos="-1440"/>
                <w:tab w:val="left" w:pos="-720"/>
                <w:tab w:val="left" w:pos="0"/>
                <w:tab w:val="left" w:pos="317"/>
                <w:tab w:val="left" w:pos="2460"/>
              </w:tabs>
              <w:suppressAutoHyphens/>
              <w:ind w:firstLineChars="0"/>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pPr>
            <w:r>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t>Stock-in-Trade (Valuation: At Cost)</w:t>
            </w:r>
          </w:p>
          <w:p w14:paraId="5DBF1820">
            <w:pPr>
              <w:tabs>
                <w:tab w:val="left" w:pos="-1440"/>
                <w:tab w:val="left" w:pos="-720"/>
                <w:tab w:val="left" w:pos="0"/>
                <w:tab w:val="left" w:pos="2165"/>
                <w:tab w:val="left" w:pos="2460"/>
                <w:tab w:val="left" w:pos="2869"/>
              </w:tabs>
              <w:suppressAutoHyphens/>
              <w:rPr>
                <w:rFonts w:hint="default" w:ascii="Times New Roman Regular" w:hAnsi="Times New Roman Regular" w:cs="Times New Roman Regular" w:eastAsiaTheme="minorEastAsia"/>
                <w:color w:val="000000"/>
                <w:spacing w:val="-2"/>
                <w:kern w:val="0"/>
                <w:szCs w:val="21"/>
                <w14:textFill>
                  <w14:gradFill>
                    <w14:gsLst>
                      <w14:gs w14:pos="100000">
                        <w14:srgbClr w14:val="FF1744"/>
                      </w14:gs>
                      <w14:gs w14:pos="0">
                        <w14:srgbClr w14:val="FF8A80"/>
                      </w14:gs>
                    </w14:gsLst>
                    <w14:path w14:path="circle">
                      <w14:fillToRect w14:l="100000" w14:t="100000"/>
                    </w14:path>
                  </w14:gradFill>
                </w14:textFill>
              </w:rPr>
            </w:pPr>
            <w:r>
              <w:rPr>
                <w:rFonts w:hint="default" w:ascii="Times New Roman Regular" w:hAnsi="Times New Roman Regular" w:cs="Times New Roman Regular" w:eastAsiaTheme="minorEastAsia"/>
                <w:color w:val="000000"/>
                <w:spacing w:val="-2"/>
                <w:kern w:val="0"/>
                <w:szCs w:val="21"/>
                <w14:textFill>
                  <w14:gradFill>
                    <w14:gsLst>
                      <w14:gs w14:pos="100000">
                        <w14:srgbClr w14:val="FF1744"/>
                      </w14:gs>
                      <w14:gs w14:pos="0">
                        <w14:srgbClr w14:val="FF8A80"/>
                      </w14:gs>
                    </w14:gsLst>
                    <w14:path w14:path="circle">
                      <w14:fillToRect w14:l="100000" w14:t="100000"/>
                    </w14:path>
                  </w14:gradFill>
                </w14:textFill>
              </w:rPr>
              <w:t>On Stock-in-Trade including but not limited to raw materials, semi-finished and/or finished goods or products of each and every nature (whether indoor or outdoor) belonging to the Insured for items held in trust or on commission or for which the Insured is responsible.</w:t>
            </w:r>
          </w:p>
          <w:p w14:paraId="3BB85366">
            <w:pPr>
              <w:tabs>
                <w:tab w:val="left" w:pos="-1440"/>
                <w:tab w:val="left" w:pos="-720"/>
                <w:tab w:val="left" w:pos="0"/>
                <w:tab w:val="left" w:pos="2165"/>
                <w:tab w:val="left" w:pos="2460"/>
                <w:tab w:val="left" w:pos="2869"/>
              </w:tabs>
              <w:suppressAutoHyphens/>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pPr>
          </w:p>
          <w:p w14:paraId="35372FA8">
            <w:pPr>
              <w:pStyle w:val="34"/>
              <w:widowControl/>
              <w:numPr>
                <w:ilvl w:val="0"/>
                <w:numId w:val="1"/>
              </w:numPr>
              <w:tabs>
                <w:tab w:val="left" w:pos="-1440"/>
                <w:tab w:val="left" w:pos="-720"/>
                <w:tab w:val="left" w:pos="0"/>
                <w:tab w:val="left" w:pos="317"/>
                <w:tab w:val="left" w:pos="2460"/>
              </w:tabs>
              <w:suppressAutoHyphens/>
              <w:ind w:firstLineChars="0"/>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pPr>
            <w:r>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t>Laptops (Valuation: New Replacement Value)</w:t>
            </w:r>
          </w:p>
          <w:p w14:paraId="39F01C45">
            <w:pPr>
              <w:tabs>
                <w:tab w:val="left" w:pos="-1440"/>
                <w:tab w:val="left" w:pos="-720"/>
                <w:tab w:val="left" w:pos="0"/>
                <w:tab w:val="left" w:pos="2165"/>
                <w:tab w:val="left" w:pos="2460"/>
              </w:tabs>
              <w:suppressAutoHyphens/>
              <w:rPr>
                <w:rFonts w:hint="default" w:ascii="Times New Roman Regular" w:hAnsi="Times New Roman Regular" w:cs="Times New Roman Regular" w:eastAsiaTheme="minorEastAsia"/>
                <w:color w:val="000000"/>
                <w:kern w:val="0"/>
                <w:szCs w:val="21"/>
                <w14:textFill>
                  <w14:gradFill>
                    <w14:gsLst>
                      <w14:gs w14:pos="100000">
                        <w14:srgbClr w14:val="FF1744"/>
                      </w14:gs>
                      <w14:gs w14:pos="0">
                        <w14:srgbClr w14:val="FF8A80"/>
                      </w14:gs>
                    </w14:gsLst>
                    <w14:path w14:path="circle">
                      <w14:fillToRect w14:l="100000" w14:t="100000"/>
                    </w14:path>
                  </w14:gradFill>
                </w14:textFill>
              </w:rPr>
            </w:pPr>
          </w:p>
          <w:p w14:paraId="55C314C6">
            <w:pPr>
              <w:pStyle w:val="34"/>
              <w:widowControl/>
              <w:numPr>
                <w:ilvl w:val="0"/>
                <w:numId w:val="1"/>
              </w:numPr>
              <w:tabs>
                <w:tab w:val="left" w:pos="-1440"/>
                <w:tab w:val="left" w:pos="-720"/>
                <w:tab w:val="left" w:pos="0"/>
                <w:tab w:val="left" w:pos="317"/>
                <w:tab w:val="left" w:pos="2460"/>
              </w:tabs>
              <w:suppressAutoHyphens/>
              <w:ind w:firstLineChars="0"/>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pPr>
            <w:bookmarkStart w:id="0" w:name="OLE_LINK7"/>
            <w:bookmarkStart w:id="1" w:name="OLE_LINK8"/>
            <w:r>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t xml:space="preserve">The property under the insured’s Care, </w:t>
            </w:r>
            <w:bookmarkStart w:id="2" w:name="OLE_LINK6"/>
            <w:bookmarkStart w:id="3" w:name="OLE_LINK5"/>
            <w:r>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t>Custody</w:t>
            </w:r>
            <w:bookmarkEnd w:id="2"/>
            <w:bookmarkEnd w:id="3"/>
            <w:r>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t xml:space="preserve"> &amp; Control</w:t>
            </w:r>
            <w:bookmarkEnd w:id="0"/>
            <w:bookmarkEnd w:id="1"/>
            <w:r>
              <w:rPr>
                <w:rFonts w:hint="default" w:ascii="Times New Roman Regular" w:hAnsi="Times New Roman Regular" w:cs="Times New Roman Regular" w:eastAsiaTheme="minorEastAsia"/>
                <w:color w:val="000000"/>
                <w:spacing w:val="-2"/>
                <w:kern w:val="0"/>
                <w:szCs w:val="21"/>
                <w:u w:val="single"/>
                <w14:textFill>
                  <w14:gradFill>
                    <w14:gsLst>
                      <w14:gs w14:pos="100000">
                        <w14:srgbClr w14:val="FF1744"/>
                      </w14:gs>
                      <w14:gs w14:pos="0">
                        <w14:srgbClr w14:val="FF8A80"/>
                      </w14:gs>
                    </w14:gsLst>
                    <w14:path w14:path="circle">
                      <w14:fillToRect w14:l="100000" w14:t="100000"/>
                    </w14:path>
                  </w14:gradFill>
                </w14:textFill>
              </w:rPr>
              <w:t xml:space="preserve"> (Valuation; New Replacement Value for Contents &amp; Cost Price for Stock-in-Trade)</w:t>
            </w:r>
          </w:p>
          <w:p w14:paraId="1A793622">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color w:val="000000"/>
                <w:kern w:val="0"/>
                <w:szCs w:val="21"/>
                <w14:textFill>
                  <w14:gradFill>
                    <w14:gsLst>
                      <w14:gs w14:pos="100000">
                        <w14:srgbClr w14:val="FF1744"/>
                      </w14:gs>
                      <w14:gs w14:pos="0">
                        <w14:srgbClr w14:val="FF8A80"/>
                      </w14:gs>
                    </w14:gsLst>
                    <w14:path w14:path="circle">
                      <w14:fillToRect w14:l="100000" w14:t="100000"/>
                    </w14:path>
                  </w14:gradFill>
                </w14:textFill>
              </w:rPr>
            </w:pPr>
          </w:p>
        </w:tc>
      </w:tr>
      <w:tr w14:paraId="34C71369">
        <w:trPr>
          <w:gridBefore w:val="1"/>
          <w:gridAfter w:val="1"/>
          <w:wBefore w:w="7" w:type="dxa"/>
          <w:wAfter w:w="8" w:type="dxa"/>
        </w:trPr>
        <w:tc>
          <w:tcPr>
            <w:tcW w:w="9285" w:type="dxa"/>
            <w:gridSpan w:val="7"/>
            <w:tcBorders>
              <w:bottom w:val="single" w:color="auto" w:sz="4" w:space="0"/>
            </w:tcBorders>
            <w:noWrap w:val="0"/>
            <w:vAlign w:val="top"/>
          </w:tcPr>
          <w:p w14:paraId="507EE814">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color w:val="000000"/>
                <w:kern w:val="0"/>
                <w:szCs w:val="21"/>
              </w:rPr>
            </w:pPr>
            <w:r>
              <w:rPr>
                <w:rFonts w:hint="default" w:ascii="Times New Roman Regular" w:hAnsi="Times New Roman Regular" w:cs="Times New Roman Regular" w:eastAsiaTheme="minorEastAsia"/>
                <w:b/>
                <w:color w:val="000000"/>
                <w:kern w:val="0"/>
                <w:szCs w:val="21"/>
              </w:rPr>
              <w:t>Sum Insured</w:t>
            </w:r>
            <w:r>
              <w:rPr>
                <w:rFonts w:hint="default" w:ascii="Times New Roman Regular" w:hAnsi="Times New Roman Regular" w:cs="Times New Roman Regular" w:eastAsiaTheme="minorEastAsia"/>
                <w:b/>
                <w:color w:val="000000"/>
                <w:kern w:val="0"/>
                <w:szCs w:val="21"/>
                <w:lang w:val="en-US" w:eastAsia="zh-CN"/>
              </w:rPr>
              <w:t xml:space="preserve"> (RMB）</w:t>
            </w:r>
          </w:p>
        </w:tc>
      </w:tr>
      <w:tr w14:paraId="17B4FBDC">
        <w:trPr>
          <w:gridBefore w:val="1"/>
          <w:gridAfter w:val="1"/>
          <w:wBefore w:w="7" w:type="dxa"/>
          <w:wAfter w:w="8" w:type="dxa"/>
          <w:trHeight w:val="120" w:hRule="atLeast"/>
        </w:trPr>
        <w:tc>
          <w:tcPr>
            <w:tcW w:w="1547" w:type="dxa"/>
            <w:tcBorders>
              <w:bottom w:val="single" w:color="auto" w:sz="4" w:space="0"/>
            </w:tcBorders>
            <w:noWrap w:val="0"/>
            <w:vAlign w:val="top"/>
          </w:tcPr>
          <w:p w14:paraId="4098811B">
            <w:pPr>
              <w:keepNext w:val="0"/>
              <w:keepLines w:val="0"/>
              <w:widowControl/>
              <w:suppressLineNumbers w:val="0"/>
              <w:jc w:val="center"/>
              <w:textAlignment w:val="top"/>
              <w:rPr>
                <w:rFonts w:hint="default" w:ascii="Times New Roman Regular" w:hAnsi="Times New Roman Regular" w:cs="Times New Roman Regular" w:eastAsiaTheme="minorEastAsia"/>
                <w:color w:val="000000"/>
                <w:kern w:val="0"/>
                <w:szCs w:val="21"/>
              </w:rPr>
            </w:pPr>
            <w:r>
              <w:rPr>
                <w:rFonts w:hint="default" w:ascii="Times New Roman Regular" w:hAnsi="Times New Roman Regular" w:eastAsia="等线" w:cs="Times New Roman Regular"/>
                <w:b/>
                <w:bCs/>
                <w:i w:val="0"/>
                <w:iCs w:val="0"/>
                <w:color w:val="000000"/>
                <w:kern w:val="0"/>
                <w:sz w:val="21"/>
                <w:szCs w:val="21"/>
                <w:u w:val="none"/>
                <w:lang w:val="en-US" w:eastAsia="zh-CN" w:bidi="ar"/>
              </w:rPr>
              <w:t>Buildings</w:t>
            </w:r>
          </w:p>
        </w:tc>
        <w:tc>
          <w:tcPr>
            <w:tcW w:w="1547" w:type="dxa"/>
            <w:gridSpan w:val="2"/>
            <w:tcBorders>
              <w:bottom w:val="single" w:color="auto" w:sz="4" w:space="0"/>
            </w:tcBorders>
            <w:noWrap w:val="0"/>
            <w:vAlign w:val="top"/>
          </w:tcPr>
          <w:p w14:paraId="0E538BC6">
            <w:pPr>
              <w:keepNext w:val="0"/>
              <w:keepLines w:val="0"/>
              <w:widowControl/>
              <w:suppressLineNumbers w:val="0"/>
              <w:jc w:val="center"/>
              <w:textAlignment w:val="top"/>
              <w:rPr>
                <w:rFonts w:hint="default" w:ascii="Times New Roman Regular" w:hAnsi="Times New Roman Regular" w:cs="Times New Roman Regular" w:eastAsiaTheme="minorEastAsia"/>
                <w:color w:val="000000"/>
                <w:kern w:val="0"/>
                <w:szCs w:val="21"/>
              </w:rPr>
            </w:pPr>
            <w:r>
              <w:rPr>
                <w:rFonts w:hint="default" w:ascii="Times New Roman Regular" w:hAnsi="Times New Roman Regular" w:eastAsia="等线" w:cs="Times New Roman Regular"/>
                <w:b/>
                <w:bCs/>
                <w:i w:val="0"/>
                <w:iCs w:val="0"/>
                <w:color w:val="000000"/>
                <w:kern w:val="0"/>
                <w:sz w:val="21"/>
                <w:szCs w:val="21"/>
                <w:u w:val="none"/>
                <w:lang w:val="en-US" w:eastAsia="zh-CN" w:bidi="ar"/>
              </w:rPr>
              <w:t>Contents</w:t>
            </w:r>
          </w:p>
        </w:tc>
        <w:tc>
          <w:tcPr>
            <w:tcW w:w="1547" w:type="dxa"/>
            <w:tcBorders>
              <w:bottom w:val="single" w:color="auto" w:sz="4" w:space="0"/>
            </w:tcBorders>
            <w:noWrap w:val="0"/>
            <w:vAlign w:val="top"/>
          </w:tcPr>
          <w:p w14:paraId="542DFC82">
            <w:pPr>
              <w:keepNext w:val="0"/>
              <w:keepLines w:val="0"/>
              <w:widowControl/>
              <w:suppressLineNumbers w:val="0"/>
              <w:jc w:val="center"/>
              <w:textAlignment w:val="top"/>
              <w:rPr>
                <w:rFonts w:hint="default" w:ascii="Times New Roman Regular" w:hAnsi="Times New Roman Regular" w:cs="Times New Roman Regular" w:eastAsiaTheme="minorEastAsia"/>
                <w:color w:val="000000"/>
                <w:kern w:val="0"/>
                <w:szCs w:val="21"/>
              </w:rPr>
            </w:pPr>
            <w:r>
              <w:rPr>
                <w:rFonts w:hint="default" w:ascii="Times New Roman Regular" w:hAnsi="Times New Roman Regular" w:eastAsia="等线" w:cs="Times New Roman Regular"/>
                <w:b/>
                <w:bCs/>
                <w:i w:val="0"/>
                <w:iCs w:val="0"/>
                <w:color w:val="000000"/>
                <w:kern w:val="0"/>
                <w:sz w:val="21"/>
                <w:szCs w:val="21"/>
                <w:u w:val="none"/>
                <w:lang w:val="en-US" w:eastAsia="zh-CN" w:bidi="ar"/>
              </w:rPr>
              <w:t>Machinary</w:t>
            </w:r>
          </w:p>
        </w:tc>
        <w:tc>
          <w:tcPr>
            <w:tcW w:w="1547" w:type="dxa"/>
            <w:tcBorders>
              <w:bottom w:val="single" w:color="auto" w:sz="4" w:space="0"/>
            </w:tcBorders>
            <w:noWrap w:val="0"/>
            <w:vAlign w:val="top"/>
          </w:tcPr>
          <w:p w14:paraId="357E729D">
            <w:pPr>
              <w:keepNext w:val="0"/>
              <w:keepLines w:val="0"/>
              <w:widowControl/>
              <w:suppressLineNumbers w:val="0"/>
              <w:jc w:val="center"/>
              <w:textAlignment w:val="top"/>
              <w:rPr>
                <w:rFonts w:hint="default" w:ascii="Times New Roman Regular" w:hAnsi="Times New Roman Regular" w:cs="Times New Roman Regular" w:eastAsiaTheme="minorEastAsia"/>
                <w:color w:val="000000"/>
                <w:kern w:val="0"/>
                <w:szCs w:val="21"/>
              </w:rPr>
            </w:pPr>
            <w:r>
              <w:rPr>
                <w:rFonts w:hint="default" w:ascii="Times New Roman Regular" w:hAnsi="Times New Roman Regular" w:eastAsia="等线" w:cs="Times New Roman Regular"/>
                <w:b/>
                <w:bCs/>
                <w:i w:val="0"/>
                <w:iCs w:val="0"/>
                <w:color w:val="000000"/>
                <w:kern w:val="0"/>
                <w:sz w:val="21"/>
                <w:szCs w:val="21"/>
                <w:u w:val="none"/>
                <w:lang w:val="en-US" w:eastAsia="zh-CN" w:bidi="ar"/>
              </w:rPr>
              <w:t>Stock</w:t>
            </w:r>
            <w:r>
              <w:rPr>
                <w:rFonts w:hint="default" w:ascii="Times New Roman Regular" w:hAnsi="Times New Roman Regular" w:eastAsia="等线" w:cs="Times New Roman Regular"/>
                <w:b/>
                <w:bCs/>
                <w:i w:val="0"/>
                <w:iCs w:val="0"/>
                <w:color w:val="000000"/>
                <w:kern w:val="0"/>
                <w:sz w:val="21"/>
                <w:szCs w:val="21"/>
                <w:u w:val="none"/>
                <w:lang w:val="en-US" w:eastAsia="zh-CN" w:bidi="ar"/>
              </w:rPr>
              <w:br w:type="textWrapping"/>
            </w:r>
            <w:r>
              <w:rPr>
                <w:rFonts w:hint="default" w:ascii="Times New Roman Regular" w:hAnsi="Times New Roman Regular" w:eastAsia="等线" w:cs="Times New Roman Regular"/>
                <w:b/>
                <w:bCs/>
                <w:i w:val="0"/>
                <w:iCs w:val="0"/>
                <w:color w:val="000000"/>
                <w:kern w:val="0"/>
                <w:sz w:val="21"/>
                <w:szCs w:val="21"/>
                <w:u w:val="none"/>
                <w:lang w:val="en-US" w:eastAsia="zh-CN" w:bidi="ar"/>
              </w:rPr>
              <w:t>Peak Value</w:t>
            </w:r>
          </w:p>
        </w:tc>
        <w:tc>
          <w:tcPr>
            <w:tcW w:w="1547" w:type="dxa"/>
            <w:tcBorders>
              <w:bottom w:val="single" w:color="auto" w:sz="4" w:space="0"/>
            </w:tcBorders>
            <w:noWrap w:val="0"/>
            <w:vAlign w:val="top"/>
          </w:tcPr>
          <w:p w14:paraId="51D7A308">
            <w:pPr>
              <w:keepNext w:val="0"/>
              <w:keepLines w:val="0"/>
              <w:widowControl/>
              <w:suppressLineNumbers w:val="0"/>
              <w:jc w:val="center"/>
              <w:textAlignment w:val="top"/>
              <w:rPr>
                <w:rFonts w:hint="default" w:ascii="Times New Roman Regular" w:hAnsi="Times New Roman Regular" w:cs="Times New Roman Regular" w:eastAsiaTheme="minorEastAsia"/>
                <w:color w:val="000000"/>
                <w:kern w:val="0"/>
                <w:szCs w:val="21"/>
              </w:rPr>
            </w:pPr>
            <w:r>
              <w:rPr>
                <w:rFonts w:hint="default" w:ascii="Times New Roman Regular" w:hAnsi="Times New Roman Regular" w:eastAsia="等线" w:cs="Times New Roman Regular"/>
                <w:b/>
                <w:bCs/>
                <w:i w:val="0"/>
                <w:iCs w:val="0"/>
                <w:color w:val="000000"/>
                <w:kern w:val="0"/>
                <w:sz w:val="21"/>
                <w:szCs w:val="21"/>
                <w:u w:val="none"/>
                <w:lang w:val="en-US" w:eastAsia="zh-CN" w:bidi="ar"/>
              </w:rPr>
              <w:t>Under Insured's care, custody &amp; control</w:t>
            </w:r>
          </w:p>
        </w:tc>
        <w:tc>
          <w:tcPr>
            <w:tcW w:w="1550" w:type="dxa"/>
            <w:tcBorders>
              <w:bottom w:val="single" w:color="auto" w:sz="4" w:space="0"/>
            </w:tcBorders>
            <w:noWrap w:val="0"/>
            <w:vAlign w:val="top"/>
          </w:tcPr>
          <w:p w14:paraId="4EC3DC02">
            <w:pPr>
              <w:keepNext w:val="0"/>
              <w:keepLines w:val="0"/>
              <w:widowControl/>
              <w:suppressLineNumbers w:val="0"/>
              <w:jc w:val="center"/>
              <w:textAlignment w:val="top"/>
              <w:rPr>
                <w:rFonts w:hint="default" w:ascii="Times New Roman Regular" w:hAnsi="Times New Roman Regular" w:cs="Times New Roman Regular" w:eastAsiaTheme="minorEastAsia"/>
                <w:color w:val="000000"/>
                <w:kern w:val="0"/>
                <w:szCs w:val="21"/>
              </w:rPr>
            </w:pPr>
            <w:r>
              <w:rPr>
                <w:rFonts w:hint="default" w:ascii="Times New Roman Regular" w:hAnsi="Times New Roman Regular" w:eastAsia="等线" w:cs="Times New Roman Regular"/>
                <w:b/>
                <w:bCs/>
                <w:i w:val="0"/>
                <w:iCs w:val="0"/>
                <w:color w:val="000000"/>
                <w:kern w:val="0"/>
                <w:sz w:val="21"/>
                <w:szCs w:val="21"/>
                <w:u w:val="none"/>
                <w:lang w:val="en-US" w:eastAsia="zh-CN" w:bidi="ar"/>
              </w:rPr>
              <w:t>Total</w:t>
            </w:r>
          </w:p>
        </w:tc>
      </w:tr>
      <w:tr w14:paraId="3CAA8CB0">
        <w:trPr>
          <w:gridBefore w:val="1"/>
          <w:gridAfter w:val="1"/>
          <w:wBefore w:w="7" w:type="dxa"/>
          <w:wAfter w:w="8" w:type="dxa"/>
          <w:trHeight w:val="120" w:hRule="atLeast"/>
        </w:trPr>
        <w:tc>
          <w:tcPr>
            <w:tcW w:w="1547" w:type="dxa"/>
            <w:tcBorders>
              <w:bottom w:val="single" w:color="auto" w:sz="4" w:space="0"/>
            </w:tcBorders>
            <w:noWrap w:val="0"/>
            <w:vAlign w:val="center"/>
          </w:tcPr>
          <w:p w14:paraId="7EB87B62">
            <w:pPr>
              <w:keepNext w:val="0"/>
              <w:keepLines w:val="0"/>
              <w:widowControl/>
              <w:suppressLineNumbers w:val="0"/>
              <w:jc w:val="center"/>
              <w:textAlignment w:val="center"/>
              <w:rPr>
                <w:rFonts w:hint="default" w:ascii="Times New Roman Regular" w:hAnsi="Times New Roman Regular" w:cs="Times New Roman Regular" w:eastAsiaTheme="minorEastAsia"/>
                <w:color w:val="000000"/>
                <w:kern w:val="0"/>
                <w:szCs w:val="21"/>
              </w:rPr>
            </w:pPr>
            <w:r>
              <w:rPr>
                <w:rFonts w:hint="eastAsia" w:ascii="Times New Roman Regular" w:hAnsi="Times New Roman Regular" w:cs="Times New Roman Regular"/>
                <w:lang w:eastAsia="zh-CN"/>
              </w:rPr>
              <w:t>{</w:t>
            </w:r>
            <w:r>
              <w:rPr>
                <w:rFonts w:hint="default" w:ascii="Times New Roman Regular" w:hAnsi="Times New Roman Regular" w:cs="Times New Roman Regular"/>
                <w:b/>
                <w:bCs/>
                <w:color w:val="auto"/>
                <w:sz w:val="21"/>
                <w:szCs w:val="21"/>
                <w:highlight w:val="none"/>
                <w:lang w:val="en-US" w:eastAsia="zh-CN"/>
              </w:rPr>
              <w:t>Buildings</w:t>
            </w:r>
            <w:r>
              <w:rPr>
                <w:rFonts w:hint="eastAsia" w:ascii="Times New Roman Regular" w:hAnsi="Times New Roman Regular" w:cs="Times New Roman Regular"/>
                <w:lang w:eastAsia="zh-CN"/>
              </w:rPr>
              <w:t>}</w:t>
            </w:r>
          </w:p>
        </w:tc>
        <w:tc>
          <w:tcPr>
            <w:tcW w:w="1547" w:type="dxa"/>
            <w:gridSpan w:val="2"/>
            <w:tcBorders>
              <w:bottom w:val="single" w:color="auto" w:sz="4" w:space="0"/>
            </w:tcBorders>
            <w:noWrap w:val="0"/>
            <w:vAlign w:val="center"/>
          </w:tcPr>
          <w:p w14:paraId="2BA0DA60">
            <w:pPr>
              <w:keepNext w:val="0"/>
              <w:keepLines w:val="0"/>
              <w:widowControl/>
              <w:suppressLineNumbers w:val="0"/>
              <w:jc w:val="center"/>
              <w:textAlignment w:val="center"/>
              <w:rPr>
                <w:rFonts w:hint="default" w:ascii="Times New Roman Regular" w:hAnsi="Times New Roman Regular" w:cs="Times New Roman Regular" w:eastAsiaTheme="minorEastAsia"/>
                <w:color w:val="000000"/>
                <w:kern w:val="0"/>
                <w:szCs w:val="21"/>
              </w:rPr>
            </w:pPr>
            <w:r>
              <w:rPr>
                <w:rFonts w:hint="eastAsia" w:ascii="Times New Roman Regular" w:hAnsi="Times New Roman Regular" w:cs="Times New Roman Regular"/>
                <w:lang w:eastAsia="zh-CN"/>
              </w:rPr>
              <w:t>{</w:t>
            </w:r>
            <w:r>
              <w:rPr>
                <w:rFonts w:hint="default" w:ascii="Times New Roman Regular" w:hAnsi="Times New Roman Regular" w:cs="Times New Roman Regular"/>
                <w:b/>
                <w:bCs/>
                <w:color w:val="auto"/>
                <w:sz w:val="21"/>
                <w:szCs w:val="21"/>
                <w:highlight w:val="none"/>
                <w:lang w:val="en-US" w:eastAsia="zh-CN"/>
              </w:rPr>
              <w:t>Contents</w:t>
            </w:r>
            <w:r>
              <w:rPr>
                <w:rFonts w:hint="eastAsia" w:ascii="Times New Roman Regular" w:hAnsi="Times New Roman Regular" w:cs="Times New Roman Regular"/>
                <w:lang w:eastAsia="zh-CN"/>
              </w:rPr>
              <w:t>}</w:t>
            </w:r>
          </w:p>
        </w:tc>
        <w:tc>
          <w:tcPr>
            <w:tcW w:w="1547" w:type="dxa"/>
            <w:tcBorders>
              <w:bottom w:val="single" w:color="auto" w:sz="4" w:space="0"/>
            </w:tcBorders>
            <w:noWrap w:val="0"/>
            <w:vAlign w:val="center"/>
          </w:tcPr>
          <w:p w14:paraId="692DEAF8">
            <w:pPr>
              <w:keepNext w:val="0"/>
              <w:keepLines w:val="0"/>
              <w:widowControl/>
              <w:suppressLineNumbers w:val="0"/>
              <w:jc w:val="center"/>
              <w:textAlignment w:val="center"/>
              <w:rPr>
                <w:rFonts w:hint="default" w:ascii="Times New Roman Regular" w:hAnsi="Times New Roman Regular" w:cs="Times New Roman Regular" w:eastAsiaTheme="minorEastAsia"/>
                <w:color w:val="000000"/>
                <w:kern w:val="0"/>
                <w:szCs w:val="21"/>
              </w:rPr>
            </w:pPr>
            <w:r>
              <w:rPr>
                <w:rFonts w:hint="eastAsia" w:ascii="Times New Roman Regular" w:hAnsi="Times New Roman Regular" w:cs="Times New Roman Regular"/>
                <w:lang w:eastAsia="zh-CN"/>
              </w:rPr>
              <w:t>{</w:t>
            </w:r>
            <w:r>
              <w:rPr>
                <w:rFonts w:hint="default" w:ascii="Times New Roman Regular" w:hAnsi="Times New Roman Regular" w:cs="Times New Roman Regular"/>
                <w:b/>
                <w:bCs/>
                <w:color w:val="auto"/>
                <w:sz w:val="21"/>
                <w:szCs w:val="21"/>
                <w:highlight w:val="none"/>
                <w:lang w:val="en-US" w:eastAsia="zh-CN"/>
              </w:rPr>
              <w:t>Machinary</w:t>
            </w:r>
            <w:r>
              <w:rPr>
                <w:rFonts w:hint="eastAsia" w:ascii="Times New Roman Regular" w:hAnsi="Times New Roman Regular" w:cs="Times New Roman Regular"/>
                <w:lang w:eastAsia="zh-CN"/>
              </w:rPr>
              <w:t>}</w:t>
            </w:r>
          </w:p>
        </w:tc>
        <w:tc>
          <w:tcPr>
            <w:tcW w:w="1547" w:type="dxa"/>
            <w:tcBorders>
              <w:bottom w:val="single" w:color="auto" w:sz="4" w:space="0"/>
            </w:tcBorders>
            <w:noWrap w:val="0"/>
            <w:vAlign w:val="center"/>
          </w:tcPr>
          <w:p w14:paraId="3735B977">
            <w:pPr>
              <w:jc w:val="center"/>
              <w:rPr>
                <w:rFonts w:hint="default" w:ascii="Times New Roman Regular" w:hAnsi="Times New Roman Regular" w:cs="Times New Roman Regular" w:eastAsiaTheme="minorEastAsia"/>
                <w:color w:val="000000"/>
                <w:kern w:val="0"/>
                <w:szCs w:val="21"/>
              </w:rPr>
            </w:pPr>
            <w:r>
              <w:rPr>
                <w:rFonts w:hint="eastAsia" w:ascii="Times New Roman Regular" w:hAnsi="Times New Roman Regular" w:cs="Times New Roman Regular"/>
                <w:lang w:eastAsia="zh-CN"/>
              </w:rPr>
              <w:t>{</w:t>
            </w:r>
            <w:r>
              <w:rPr>
                <w:rFonts w:hint="default" w:ascii="Times New Roman Regular" w:hAnsi="Times New Roman Regular" w:cs="Times New Roman Regular"/>
                <w:b/>
                <w:bCs/>
                <w:color w:val="auto"/>
                <w:sz w:val="21"/>
                <w:szCs w:val="21"/>
                <w:highlight w:val="none"/>
                <w:lang w:val="en-US" w:eastAsia="zh-CN"/>
              </w:rPr>
              <w:t>Stock Peak Value</w:t>
            </w:r>
            <w:r>
              <w:rPr>
                <w:rFonts w:hint="eastAsia" w:ascii="Times New Roman Regular" w:hAnsi="Times New Roman Regular" w:cs="Times New Roman Regular"/>
                <w:lang w:eastAsia="zh-CN"/>
              </w:rPr>
              <w:t>}</w:t>
            </w:r>
          </w:p>
        </w:tc>
        <w:tc>
          <w:tcPr>
            <w:tcW w:w="1547" w:type="dxa"/>
            <w:tcBorders>
              <w:bottom w:val="single" w:color="auto" w:sz="4" w:space="0"/>
            </w:tcBorders>
            <w:noWrap w:val="0"/>
            <w:vAlign w:val="center"/>
          </w:tcPr>
          <w:p w14:paraId="0AC9D308">
            <w:pPr>
              <w:jc w:val="center"/>
              <w:rPr>
                <w:rFonts w:hint="default" w:ascii="Times New Roman Regular" w:hAnsi="Times New Roman Regular" w:cs="Times New Roman Regular" w:eastAsiaTheme="minorEastAsia"/>
                <w:color w:val="000000"/>
                <w:kern w:val="0"/>
                <w:szCs w:val="21"/>
              </w:rPr>
            </w:pPr>
            <w:r>
              <w:rPr>
                <w:rFonts w:hint="eastAsia" w:ascii="Times New Roman Regular" w:hAnsi="Times New Roman Regular" w:cs="Times New Roman Regular"/>
                <w:lang w:eastAsia="zh-CN"/>
              </w:rPr>
              <w:t>{</w:t>
            </w:r>
            <w:r>
              <w:rPr>
                <w:rFonts w:hint="default" w:ascii="Times New Roman Regular" w:hAnsi="Times New Roman Regular" w:cs="Times New Roman Regular"/>
                <w:b/>
                <w:bCs/>
                <w:color w:val="auto"/>
                <w:sz w:val="21"/>
                <w:szCs w:val="21"/>
                <w:highlight w:val="none"/>
                <w:lang w:val="en-US" w:eastAsia="zh-CN"/>
              </w:rPr>
              <w:t>Under Insured's care, custody &amp; control</w:t>
            </w:r>
            <w:r>
              <w:rPr>
                <w:rFonts w:hint="eastAsia" w:ascii="Times New Roman Regular" w:hAnsi="Times New Roman Regular" w:cs="Times New Roman Regular"/>
                <w:lang w:eastAsia="zh-CN"/>
              </w:rPr>
              <w:t>}</w:t>
            </w:r>
          </w:p>
        </w:tc>
        <w:tc>
          <w:tcPr>
            <w:tcW w:w="1550" w:type="dxa"/>
            <w:tcBorders>
              <w:bottom w:val="single" w:color="auto" w:sz="4" w:space="0"/>
            </w:tcBorders>
            <w:noWrap w:val="0"/>
            <w:vAlign w:val="center"/>
          </w:tcPr>
          <w:p w14:paraId="06B7D08E">
            <w:pPr>
              <w:keepNext w:val="0"/>
              <w:keepLines w:val="0"/>
              <w:widowControl/>
              <w:suppressLineNumbers w:val="0"/>
              <w:jc w:val="center"/>
              <w:textAlignment w:val="center"/>
              <w:rPr>
                <w:rFonts w:hint="default" w:ascii="Times New Roman Regular" w:hAnsi="Times New Roman Regular" w:cs="Times New Roman Regular" w:eastAsiaTheme="minorEastAsia"/>
                <w:color w:val="000000"/>
                <w:kern w:val="0"/>
                <w:szCs w:val="21"/>
              </w:rPr>
            </w:pPr>
            <w:r>
              <w:rPr>
                <w:rFonts w:hint="eastAsia" w:ascii="Times New Roman Regular" w:hAnsi="Times New Roman Regular" w:cs="Times New Roman Regular"/>
                <w:lang w:eastAsia="zh-CN"/>
              </w:rPr>
              <w:t>{</w:t>
            </w:r>
            <w:r>
              <w:rPr>
                <w:rFonts w:hint="default" w:ascii="Times New Roman Regular" w:hAnsi="Times New Roman Regular" w:cs="Times New Roman Regular"/>
                <w:b/>
                <w:bCs/>
                <w:color w:val="auto"/>
                <w:sz w:val="21"/>
                <w:szCs w:val="21"/>
                <w:highlight w:val="none"/>
                <w:lang w:val="en-US" w:eastAsia="zh-CN"/>
              </w:rPr>
              <w:t>财一</w:t>
            </w:r>
            <w:r>
              <w:rPr>
                <w:rFonts w:hint="eastAsia" w:ascii="Times New Roman Regular" w:hAnsi="Times New Roman Regular" w:cs="Times New Roman Regular"/>
                <w:lang w:eastAsia="zh-CN"/>
              </w:rPr>
              <w:t>}</w:t>
            </w:r>
          </w:p>
        </w:tc>
      </w:tr>
      <w:tr w14:paraId="465FEAE4">
        <w:trPr>
          <w:gridBefore w:val="1"/>
          <w:gridAfter w:val="1"/>
          <w:wBefore w:w="7" w:type="dxa"/>
          <w:wAfter w:w="8" w:type="dxa"/>
        </w:trPr>
        <w:tc>
          <w:tcPr>
            <w:tcW w:w="9285" w:type="dxa"/>
            <w:gridSpan w:val="7"/>
            <w:tcBorders>
              <w:top w:val="single" w:color="auto" w:sz="4" w:space="0"/>
            </w:tcBorders>
            <w:noWrap w:val="0"/>
            <w:vAlign w:val="top"/>
          </w:tcPr>
          <w:p w14:paraId="110F3AFE">
            <w:pPr>
              <w:widowControl/>
              <w:tabs>
                <w:tab w:val="left" w:pos="-1440"/>
                <w:tab w:val="left" w:pos="-720"/>
                <w:tab w:val="left" w:pos="0"/>
                <w:tab w:val="left" w:pos="2165"/>
                <w:tab w:val="left" w:pos="2460"/>
              </w:tabs>
              <w:suppressAutoHyphens/>
              <w:rPr>
                <w:rFonts w:hint="default" w:ascii="Times New Roman Regular" w:hAnsi="Times New Roman Regular" w:cs="Times New Roman Regular" w:eastAsiaTheme="minorEastAsia"/>
                <w:color w:val="000000"/>
                <w:kern w:val="0"/>
                <w:szCs w:val="21"/>
              </w:rPr>
            </w:pPr>
          </w:p>
        </w:tc>
      </w:tr>
      <w:tr w14:paraId="64BE6A1C">
        <w:trPr>
          <w:gridBefore w:val="1"/>
          <w:gridAfter w:val="1"/>
          <w:wBefore w:w="7" w:type="dxa"/>
          <w:wAfter w:w="8" w:type="dxa"/>
        </w:trPr>
        <w:tc>
          <w:tcPr>
            <w:tcW w:w="2201" w:type="dxa"/>
            <w:gridSpan w:val="2"/>
            <w:tcBorders>
              <w:right w:val="single" w:color="auto" w:sz="8" w:space="0"/>
            </w:tcBorders>
            <w:noWrap w:val="0"/>
            <w:vAlign w:val="top"/>
          </w:tcPr>
          <w:p w14:paraId="759DC0DF">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bCs/>
                <w:color w:val="000000"/>
                <w:kern w:val="0"/>
                <w:szCs w:val="21"/>
              </w:rPr>
            </w:pPr>
            <w:r>
              <w:rPr>
                <w:rFonts w:hint="default" w:ascii="Times New Roman Regular" w:hAnsi="Times New Roman Regular" w:cs="Times New Roman Regular" w:eastAsiaTheme="minorEastAsia"/>
                <w:b/>
                <w:bCs/>
                <w:color w:val="000000"/>
                <w:kern w:val="0"/>
                <w:szCs w:val="21"/>
              </w:rPr>
              <w:t>Jurisdiction</w:t>
            </w:r>
          </w:p>
        </w:tc>
        <w:tc>
          <w:tcPr>
            <w:tcW w:w="7084" w:type="dxa"/>
            <w:gridSpan w:val="5"/>
            <w:tcBorders>
              <w:left w:val="single" w:color="auto" w:sz="8" w:space="0"/>
            </w:tcBorders>
            <w:noWrap w:val="0"/>
            <w:vAlign w:val="top"/>
          </w:tcPr>
          <w:p w14:paraId="19A22E21">
            <w:pPr>
              <w:autoSpaceDE w:val="0"/>
              <w:autoSpaceDN w:val="0"/>
              <w:spacing w:line="280" w:lineRule="exact"/>
              <w:rPr>
                <w:rFonts w:hint="default" w:ascii="Times New Roman Regular" w:hAnsi="Times New Roman Regular" w:cs="Times New Roman Regular" w:eastAsiaTheme="minorEastAsia"/>
                <w:color w:val="000000"/>
                <w:kern w:val="0"/>
                <w:szCs w:val="21"/>
              </w:rPr>
            </w:pPr>
            <w:r>
              <w:rPr>
                <w:rFonts w:hint="default" w:ascii="Times New Roman Regular" w:hAnsi="Times New Roman Regular" w:cs="Times New Roman Regular" w:eastAsiaTheme="minorEastAsia"/>
                <w:color w:val="000000"/>
                <w:spacing w:val="-2"/>
                <w:kern w:val="0"/>
                <w:szCs w:val="21"/>
              </w:rPr>
              <w:t>People's Republic of China, excluding Hong Kong, Macao and Taiwan</w:t>
            </w:r>
          </w:p>
          <w:p w14:paraId="4103F2FF">
            <w:pPr>
              <w:widowControl/>
              <w:tabs>
                <w:tab w:val="left" w:pos="-1440"/>
                <w:tab w:val="left" w:pos="-720"/>
                <w:tab w:val="left" w:pos="0"/>
                <w:tab w:val="left" w:pos="2165"/>
                <w:tab w:val="left" w:pos="2460"/>
              </w:tabs>
              <w:suppressAutoHyphens/>
              <w:rPr>
                <w:rFonts w:hint="default" w:ascii="Times New Roman Regular" w:hAnsi="Times New Roman Regular" w:cs="Times New Roman Regular" w:eastAsiaTheme="minorEastAsia"/>
                <w:color w:val="000000"/>
                <w:kern w:val="0"/>
                <w:szCs w:val="21"/>
              </w:rPr>
            </w:pPr>
          </w:p>
        </w:tc>
      </w:tr>
      <w:tr w14:paraId="077C143C">
        <w:trPr>
          <w:gridBefore w:val="1"/>
          <w:gridAfter w:val="1"/>
          <w:wBefore w:w="7" w:type="dxa"/>
          <w:wAfter w:w="8" w:type="dxa"/>
          <w:trHeight w:val="240" w:hRule="atLeast"/>
        </w:trPr>
        <w:tc>
          <w:tcPr>
            <w:tcW w:w="2201" w:type="dxa"/>
            <w:gridSpan w:val="2"/>
            <w:tcBorders>
              <w:right w:val="single" w:color="auto" w:sz="8" w:space="0"/>
            </w:tcBorders>
            <w:noWrap/>
            <w:vAlign w:val="top"/>
          </w:tcPr>
          <w:p w14:paraId="3AB2E9A3">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rPr>
            </w:pPr>
            <w:r>
              <w:rPr>
                <w:rFonts w:hint="default" w:ascii="Times New Roman Regular" w:hAnsi="Times New Roman Regular" w:cs="Times New Roman Regular" w:eastAsiaTheme="minorEastAsia"/>
                <w:b/>
                <w:color w:val="000000"/>
                <w:kern w:val="0"/>
                <w:szCs w:val="21"/>
              </w:rPr>
              <w:t>Extension</w:t>
            </w:r>
          </w:p>
        </w:tc>
        <w:tc>
          <w:tcPr>
            <w:tcW w:w="7084" w:type="dxa"/>
            <w:gridSpan w:val="5"/>
            <w:tcBorders>
              <w:left w:val="single" w:color="auto" w:sz="8" w:space="0"/>
            </w:tcBorders>
            <w:noWrap/>
            <w:vAlign w:val="top"/>
          </w:tcPr>
          <w:p w14:paraId="51F9D0E4">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 xml:space="preserve">Automatic Capital Additions (Limit: 15% of sum insured) </w:t>
            </w:r>
          </w:p>
          <w:p w14:paraId="674DC41B">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Automatic Reinstatement of Sum Insured</w:t>
            </w:r>
          </w:p>
          <w:p w14:paraId="0BFBD899">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Alterations, Additions &amp; Repairs Clause (Contract Limit: RMB5,000,000)</w:t>
            </w:r>
          </w:p>
          <w:p w14:paraId="0A984CFA">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All Other Contents (Limit: RMB10, 000 per item)</w:t>
            </w:r>
          </w:p>
          <w:p w14:paraId="3B7ABA4A">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Automatic Cover for New Locations (Limit: RMB10, 000,000 subject to 90 days reporting period)</w:t>
            </w:r>
          </w:p>
          <w:p w14:paraId="6D8C51E3">
            <w:pPr>
              <w:pStyle w:val="39"/>
              <w:keepNext w:val="0"/>
              <w:numPr>
                <w:ilvl w:val="0"/>
                <w:numId w:val="2"/>
              </w:numPr>
              <w:rPr>
                <w:rFonts w:hint="default" w:ascii="Times New Roman Regular" w:hAnsi="Times New Roman Regular" w:eastAsia="华文细黑" w:cs="Times New Roman Regular"/>
                <w:color w:val="auto"/>
                <w:sz w:val="21"/>
                <w:szCs w:val="21"/>
                <w:lang w:eastAsia="zh-CN"/>
              </w:rPr>
            </w:pPr>
            <w:r>
              <w:rPr>
                <w:rFonts w:hint="default" w:ascii="Times New Roman Regular" w:hAnsi="Times New Roman Regular" w:eastAsia="华文细黑" w:cs="Times New Roman Regular"/>
                <w:color w:val="auto"/>
                <w:sz w:val="21"/>
                <w:szCs w:val="21"/>
                <w:lang w:eastAsia="zh-CN"/>
              </w:rPr>
              <w:t>Air Freight Extension Clause (Limit: 10% of sum insured)</w:t>
            </w:r>
          </w:p>
          <w:p w14:paraId="73C94998">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Boiler Explosion Extension</w:t>
            </w:r>
          </w:p>
          <w:p w14:paraId="13E6CEE9">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Breach of Conditions</w:t>
            </w:r>
          </w:p>
          <w:p w14:paraId="5BCB19A7">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Brand and Trade Mark</w:t>
            </w:r>
          </w:p>
          <w:p w14:paraId="5ADE5C89">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Burglary, Theft &amp; Robbery</w:t>
            </w:r>
          </w:p>
          <w:p w14:paraId="78EE3217">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Care, Custody And Control Coverage</w:t>
            </w:r>
          </w:p>
          <w:p w14:paraId="578C9789">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 xml:space="preserve">Co-Insurance Clause </w:t>
            </w:r>
          </w:p>
          <w:p w14:paraId="509D2051">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Cost of Compiling Records and Claim Preparation Clause (Limit: RMB1,000,000 per occurrence)</w:t>
            </w:r>
          </w:p>
          <w:p w14:paraId="2DE80C40">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Cost of Re-Erection (Limit: RMB5, 000,000)</w:t>
            </w:r>
          </w:p>
          <w:p w14:paraId="37E8E6FE">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Contract Price Clause (on stock)</w:t>
            </w:r>
          </w:p>
          <w:p w14:paraId="60965CC5">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Designation of Property Clause</w:t>
            </w:r>
          </w:p>
          <w:p w14:paraId="7AE2F361">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Exhibition/Trade Shows Clause (limit of RMB5,000,000 per occurrence.)</w:t>
            </w:r>
          </w:p>
          <w:p w14:paraId="29830F85">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Extra Charges (Limit: 25% of loss)</w:t>
            </w:r>
          </w:p>
          <w:p w14:paraId="6D782EA4">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Escalation (Limit: 15% of sum insured)</w:t>
            </w:r>
          </w:p>
          <w:p w14:paraId="6778644E">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Earthquake &amp; Tsunami as well as its secondary disaster (Limit: 80% of Sum Insured, Excess per occurrence:20% of loss)</w:t>
            </w:r>
          </w:p>
          <w:p w14:paraId="6BB6B3E7">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Errors &amp; Omissions</w:t>
            </w:r>
            <w:r>
              <w:rPr>
                <w:rFonts w:hint="default" w:ascii="Times New Roman Regular" w:hAnsi="Times New Roman Regular" w:eastAsia="华文细黑" w:cs="Times New Roman Regular"/>
                <w:color w:val="auto"/>
                <w:kern w:val="0"/>
                <w:szCs w:val="21"/>
              </w:rPr>
              <w:tab/>
            </w:r>
            <w:r>
              <w:rPr>
                <w:rFonts w:hint="default" w:ascii="Times New Roman Regular" w:hAnsi="Times New Roman Regular" w:eastAsia="华文细黑" w:cs="Times New Roman Regular"/>
                <w:color w:val="auto"/>
                <w:kern w:val="0"/>
                <w:szCs w:val="21"/>
              </w:rPr>
              <w:tab/>
            </w:r>
          </w:p>
          <w:p w14:paraId="00BED773">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Fire Extinguishing Expenses (Limit: RMB1,000, 000)</w:t>
            </w:r>
          </w:p>
          <w:p w14:paraId="1549C445">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Full Flood Extension</w:t>
            </w:r>
          </w:p>
          <w:p w14:paraId="6A9BD3C3">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Full Theft</w:t>
            </w:r>
          </w:p>
          <w:p w14:paraId="7625EED8">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Inland Transit Clause (Limit: RMB1, 000,000 any one accident within the city in which the risk is domiciled)</w:t>
            </w:r>
          </w:p>
          <w:p w14:paraId="2C6147E9">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Landslide and Subsidence Clause</w:t>
            </w:r>
          </w:p>
          <w:p w14:paraId="72471884">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Leased Property Clause</w:t>
            </w:r>
          </w:p>
          <w:p w14:paraId="7C0762F1">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Loss Notification Clause</w:t>
            </w:r>
          </w:p>
          <w:p w14:paraId="30026172">
            <w:pPr>
              <w:pStyle w:val="39"/>
              <w:keepNext w:val="0"/>
              <w:numPr>
                <w:ilvl w:val="0"/>
                <w:numId w:val="2"/>
              </w:numPr>
              <w:rPr>
                <w:rFonts w:hint="default" w:ascii="Times New Roman Regular" w:hAnsi="Times New Roman Regular" w:eastAsia="华文细黑" w:cs="Times New Roman Regular"/>
                <w:color w:val="auto"/>
                <w:sz w:val="21"/>
                <w:szCs w:val="21"/>
                <w:lang w:eastAsia="zh-CN"/>
              </w:rPr>
            </w:pPr>
            <w:r>
              <w:rPr>
                <w:rFonts w:hint="default" w:ascii="Times New Roman Regular" w:hAnsi="Times New Roman Regular" w:eastAsia="华文细黑" w:cs="Times New Roman Regular"/>
                <w:color w:val="auto"/>
                <w:sz w:val="21"/>
                <w:szCs w:val="21"/>
                <w:lang w:eastAsia="zh-CN"/>
              </w:rPr>
              <w:t>Minor Works Clause (Contract Limit: RMB5,000,000) 小型工程条款 （合同限额：RMB5,000,000）</w:t>
            </w:r>
          </w:p>
          <w:p w14:paraId="79EE3E6D">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highlight w:val="yellow"/>
              </w:rPr>
            </w:pPr>
            <w:r>
              <w:rPr>
                <w:rFonts w:hint="default" w:ascii="Times New Roman Regular" w:hAnsi="Times New Roman Regular" w:eastAsia="华文细黑" w:cs="Times New Roman Regular"/>
                <w:color w:val="auto"/>
                <w:kern w:val="0"/>
                <w:szCs w:val="21"/>
                <w:highlight w:val="yellow"/>
              </w:rPr>
              <w:t>Miscellaneous Unnamed location (Limit: RMB5, 000,000 per location)</w:t>
            </w:r>
          </w:p>
          <w:p w14:paraId="04372AC1">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Money Insurance (Limit: RMB30,000 per occurrence and in aggregate）</w:t>
            </w:r>
          </w:p>
          <w:p w14:paraId="16701424">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Non-Invalidation</w:t>
            </w:r>
          </w:p>
          <w:p w14:paraId="574C0748">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No Control Clause</w:t>
            </w:r>
          </w:p>
          <w:p w14:paraId="46715702">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Nominated Loss Adjuster Clauses (Sedgwick, McLarens Young International or Crawford &amp; Company)</w:t>
            </w:r>
          </w:p>
          <w:p w14:paraId="586EF3AA">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Off Premises Property Clause (Limit: 10% of sum insured, for a period up to 60 days)</w:t>
            </w:r>
          </w:p>
          <w:p w14:paraId="2E2989B0">
            <w:pPr>
              <w:pStyle w:val="39"/>
              <w:keepNext w:val="0"/>
              <w:numPr>
                <w:ilvl w:val="0"/>
                <w:numId w:val="2"/>
              </w:numPr>
              <w:rPr>
                <w:rFonts w:hint="default" w:ascii="Times New Roman Regular" w:hAnsi="Times New Roman Regular" w:eastAsia="华文细黑" w:cs="Times New Roman Regular"/>
                <w:color w:val="auto"/>
                <w:sz w:val="21"/>
                <w:szCs w:val="21"/>
                <w:lang w:eastAsia="zh-CN"/>
              </w:rPr>
            </w:pPr>
            <w:r>
              <w:rPr>
                <w:rFonts w:hint="default" w:ascii="Times New Roman Regular" w:hAnsi="Times New Roman Regular" w:eastAsia="华文细黑" w:cs="Times New Roman Regular"/>
                <w:color w:val="auto"/>
                <w:sz w:val="21"/>
                <w:szCs w:val="21"/>
                <w:lang w:eastAsia="zh-CN"/>
              </w:rPr>
              <w:t>Outdoor Fixtures and Fittings Extension (limit of RMB 5,000,000 per occurrence.)</w:t>
            </w:r>
          </w:p>
          <w:p w14:paraId="4CD5EB39">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Public Authorities</w:t>
            </w:r>
          </w:p>
          <w:p w14:paraId="6C44A96F">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Payment on Account</w:t>
            </w:r>
          </w:p>
          <w:p w14:paraId="1C181394">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Premium Payment Clause</w:t>
            </w:r>
          </w:p>
          <w:p w14:paraId="7EE0B945">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Property in the Open or Simple Building (incl. coverage for Simple Building) Extension Clause扩展承保存放于露天或简易建筑物内的保险标的以及简易建筑（limit: 10% of sum insured or RMB 8,000,000 per occurrence, whichever is higher)</w:t>
            </w:r>
          </w:p>
          <w:p w14:paraId="4E252327">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Portable Computer Extension Clause (World-wide)</w:t>
            </w:r>
          </w:p>
          <w:p w14:paraId="1AE9EA26">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Pairs &amp; Set Clause</w:t>
            </w:r>
          </w:p>
          <w:p w14:paraId="045492DC">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Professional Fees Clause (Limit: 10% of sum insured)</w:t>
            </w:r>
          </w:p>
          <w:p w14:paraId="01E6C1D7">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 xml:space="preserve">Reinstatement Value Clause </w:t>
            </w:r>
          </w:p>
          <w:p w14:paraId="72A5E54A">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Removal of Debris (Limit: 10% of sum insured)</w:t>
            </w:r>
          </w:p>
          <w:p w14:paraId="0BE8390C">
            <w:pPr>
              <w:pStyle w:val="39"/>
              <w:keepNext w:val="0"/>
              <w:numPr>
                <w:ilvl w:val="0"/>
                <w:numId w:val="2"/>
              </w:numPr>
              <w:rPr>
                <w:rFonts w:hint="default" w:ascii="Times New Roman Regular" w:hAnsi="Times New Roman Regular" w:eastAsia="华文细黑" w:cs="Times New Roman Regular"/>
                <w:color w:val="auto"/>
                <w:sz w:val="21"/>
                <w:szCs w:val="21"/>
                <w:lang w:eastAsia="zh-CN"/>
              </w:rPr>
            </w:pPr>
            <w:r>
              <w:rPr>
                <w:rFonts w:hint="default" w:ascii="Times New Roman Regular" w:hAnsi="Times New Roman Regular" w:eastAsia="华文细黑" w:cs="Times New Roman Regular"/>
                <w:color w:val="auto"/>
                <w:sz w:val="21"/>
                <w:szCs w:val="21"/>
                <w:lang w:eastAsia="zh-CN"/>
              </w:rPr>
              <w:t>企业财产保险附加自动喷淋水损条款 (limit of RMB 5,000,000 per occurrence.)</w:t>
            </w:r>
          </w:p>
          <w:p w14:paraId="695673D7">
            <w:pPr>
              <w:pStyle w:val="39"/>
              <w:keepNext w:val="0"/>
              <w:numPr>
                <w:ilvl w:val="0"/>
                <w:numId w:val="2"/>
              </w:numPr>
              <w:rPr>
                <w:rFonts w:hint="default" w:ascii="Times New Roman Regular" w:hAnsi="Times New Roman Regular" w:eastAsia="华文细黑" w:cs="Times New Roman Regular"/>
                <w:color w:val="auto"/>
                <w:sz w:val="21"/>
                <w:szCs w:val="21"/>
                <w:lang w:eastAsia="zh-CN"/>
              </w:rPr>
            </w:pPr>
            <w:r>
              <w:rPr>
                <w:rFonts w:hint="default" w:ascii="Times New Roman Regular" w:hAnsi="Times New Roman Regular" w:eastAsia="华文细黑" w:cs="Times New Roman Regular"/>
                <w:color w:val="auto"/>
                <w:sz w:val="21"/>
                <w:szCs w:val="21"/>
                <w:lang w:eastAsia="zh-CN"/>
              </w:rPr>
              <w:t>Smoke Damage Clause (limit of RMB 5, 000,000 per occurrence.)</w:t>
            </w:r>
          </w:p>
          <w:p w14:paraId="7E14A985">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highlight w:val="yellow"/>
              </w:rPr>
            </w:pPr>
            <w:r>
              <w:rPr>
                <w:rFonts w:hint="default" w:ascii="Times New Roman Regular" w:hAnsi="Times New Roman Regular" w:eastAsia="华文细黑" w:cs="Times New Roman Regular"/>
                <w:color w:val="auto"/>
                <w:kern w:val="0"/>
                <w:szCs w:val="21"/>
                <w:highlight w:val="yellow"/>
              </w:rPr>
              <w:t>Strike, Riot &amp; Civil Commotion</w:t>
            </w:r>
          </w:p>
          <w:p w14:paraId="48863465">
            <w:pPr>
              <w:pStyle w:val="34"/>
              <w:widowControl/>
              <w:numPr>
                <w:ilvl w:val="0"/>
                <w:numId w:val="2"/>
              </w:numPr>
              <w:ind w:firstLineChars="0"/>
              <w:jc w:val="left"/>
              <w:rPr>
                <w:rFonts w:hint="default" w:ascii="Times New Roman Regular" w:hAnsi="Times New Roman Regular" w:cs="Times New Roman Regular"/>
                <w:color w:val="auto"/>
                <w:kern w:val="0"/>
                <w:szCs w:val="21"/>
              </w:rPr>
            </w:pPr>
            <w:r>
              <w:rPr>
                <w:rFonts w:hint="default" w:ascii="Times New Roman Regular" w:hAnsi="Times New Roman Regular" w:cs="Times New Roman Regular"/>
                <w:color w:val="auto"/>
                <w:kern w:val="0"/>
                <w:sz w:val="20"/>
                <w:szCs w:val="20"/>
              </w:rPr>
              <w:t>Supply Failure Extension Clause</w:t>
            </w:r>
            <w:r>
              <w:rPr>
                <w:rFonts w:hint="default" w:ascii="Times New Roman Regular" w:hAnsi="Times New Roman Regular" w:cs="Times New Roman Regular"/>
                <w:color w:val="auto"/>
                <w:kern w:val="0"/>
                <w:szCs w:val="21"/>
              </w:rPr>
              <w:t>供应中断扩展条款D</w:t>
            </w:r>
          </w:p>
          <w:p w14:paraId="4D510674">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Sue &amp; Labor Clause 抢险施救条款</w:t>
            </w:r>
          </w:p>
          <w:p w14:paraId="7EE96953">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Tax and Duty Clause</w:t>
            </w:r>
          </w:p>
          <w:p w14:paraId="1D436989">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Temporary Removal (Limit: 10% of sum insured)</w:t>
            </w:r>
          </w:p>
          <w:p w14:paraId="409C430C">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Temporary Protection Clause (Limit: RMB5,000,000 per occurrence)</w:t>
            </w:r>
          </w:p>
          <w:p w14:paraId="00D93518">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highlight w:val="none"/>
              </w:rPr>
            </w:pPr>
            <w:r>
              <w:rPr>
                <w:rFonts w:hint="default" w:ascii="Times New Roman Regular" w:hAnsi="Times New Roman Regular" w:eastAsia="华文细黑" w:cs="Times New Roman Regular"/>
                <w:color w:val="auto"/>
                <w:kern w:val="0"/>
                <w:szCs w:val="21"/>
                <w:highlight w:val="none"/>
              </w:rPr>
              <w:t>Time Adjustment (72Hours)</w:t>
            </w:r>
          </w:p>
          <w:p w14:paraId="0D1749D8">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highlight w:val="none"/>
              </w:rPr>
            </w:pPr>
            <w:r>
              <w:rPr>
                <w:rFonts w:hint="default" w:ascii="Times New Roman Regular" w:hAnsi="Times New Roman Regular" w:eastAsia="华文细黑" w:cs="Times New Roman Regular"/>
                <w:color w:val="auto"/>
                <w:kern w:val="0"/>
                <w:szCs w:val="21"/>
                <w:highlight w:val="none"/>
              </w:rPr>
              <w:t>Terrorism Extension (Limit: RMB 200,000,000 per occurrence and in aggregate combined for PD&amp;BI）</w:t>
            </w:r>
          </w:p>
          <w:p w14:paraId="58CB8FBF">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Undamaged Building Extra Charges Extension Clause建筑物未受损部分额外费用扩展条款</w:t>
            </w:r>
          </w:p>
          <w:p w14:paraId="511C1675">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Vehicle Load Clause</w:t>
            </w:r>
          </w:p>
          <w:p w14:paraId="60BF5F44">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Waiver of Subrogation</w:t>
            </w:r>
          </w:p>
          <w:p w14:paraId="5A5199A1">
            <w:pPr>
              <w:pStyle w:val="39"/>
              <w:keepNext w:val="0"/>
              <w:numPr>
                <w:ilvl w:val="0"/>
                <w:numId w:val="2"/>
              </w:numPr>
              <w:rPr>
                <w:rFonts w:hint="default" w:ascii="Times New Roman Regular" w:hAnsi="Times New Roman Regular" w:eastAsia="华文细黑" w:cs="Times New Roman Regular"/>
                <w:color w:val="auto"/>
                <w:sz w:val="21"/>
                <w:szCs w:val="21"/>
                <w:lang w:eastAsia="zh-CN"/>
              </w:rPr>
            </w:pPr>
            <w:r>
              <w:rPr>
                <w:rFonts w:hint="default" w:ascii="Times New Roman Regular" w:hAnsi="Times New Roman Regular" w:eastAsia="华文细黑" w:cs="Times New Roman Regular"/>
                <w:color w:val="auto"/>
                <w:sz w:val="21"/>
                <w:szCs w:val="21"/>
                <w:lang w:eastAsia="zh-CN"/>
              </w:rPr>
              <w:t>Water Tanks, Apparatus and Pipes Clause  (Limit: RMB5,000,000 per occurrence)</w:t>
            </w:r>
          </w:p>
          <w:p w14:paraId="356739C5">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bookmarkStart w:id="6" w:name="_GoBack"/>
            <w:r>
              <w:rPr>
                <w:rFonts w:hint="default" w:ascii="Times New Roman Regular" w:hAnsi="Times New Roman Regular" w:eastAsia="华文细黑" w:cs="Times New Roman Regular"/>
                <w:color w:val="auto"/>
                <w:kern w:val="0"/>
                <w:szCs w:val="21"/>
              </w:rPr>
              <w:t>Works of Arts (Limit: RMB100, 000 per article/RMB1,000, 000 in annual aggregate)</w:t>
            </w:r>
          </w:p>
          <w:p w14:paraId="1ADC6649">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90 Days’ Notice of Cancellation by Insurer (Immediate Notice of Cancellation by Insured, return premium on pro rata daily basis)</w:t>
            </w:r>
          </w:p>
          <w:bookmarkEnd w:id="6"/>
          <w:p w14:paraId="54972E6F">
            <w:pPr>
              <w:pStyle w:val="34"/>
              <w:widowControl/>
              <w:numPr>
                <w:ilvl w:val="0"/>
                <w:numId w:val="2"/>
              </w:numPr>
              <w:ind w:firstLineChars="0"/>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80% Average Relief Clause</w:t>
            </w:r>
          </w:p>
          <w:p w14:paraId="5F65795F">
            <w:pPr>
              <w:pStyle w:val="34"/>
              <w:widowControl/>
              <w:numPr>
                <w:ilvl w:val="0"/>
                <w:numId w:val="2"/>
              </w:numPr>
              <w:ind w:firstLineChars="0"/>
              <w:jc w:val="left"/>
              <w:rPr>
                <w:rFonts w:hint="default" w:ascii="Times New Roman Regular" w:hAnsi="Times New Roman Regular" w:eastAsia="华文细黑" w:cs="Times New Roman Regular"/>
                <w:color w:val="auto"/>
                <w:sz w:val="21"/>
                <w:szCs w:val="21"/>
                <w:lang w:eastAsia="zh-CN"/>
              </w:rPr>
            </w:pPr>
            <w:r>
              <w:rPr>
                <w:rFonts w:hint="default" w:ascii="Times New Roman Regular" w:hAnsi="Times New Roman Regular" w:eastAsia="华文细黑" w:cs="Times New Roman Regular"/>
                <w:color w:val="auto"/>
                <w:kern w:val="0"/>
                <w:szCs w:val="21"/>
              </w:rPr>
              <w:t>75% Stock Declaration Clause</w:t>
            </w:r>
          </w:p>
          <w:p w14:paraId="68766885">
            <w:pPr>
              <w:pStyle w:val="34"/>
              <w:widowControl/>
              <w:ind w:firstLine="0" w:firstLineChars="0"/>
              <w:jc w:val="left"/>
              <w:rPr>
                <w:rFonts w:hint="default" w:ascii="Times New Roman Regular" w:hAnsi="Times New Roman Regular" w:cs="Times New Roman Regular" w:eastAsiaTheme="minorEastAsia"/>
                <w:b/>
                <w:strike/>
                <w:color w:val="auto"/>
                <w:kern w:val="0"/>
                <w:sz w:val="20"/>
                <w:szCs w:val="20"/>
                <w:u w:val="none" w:color="FFFFFF"/>
              </w:rPr>
            </w:pPr>
          </w:p>
        </w:tc>
      </w:tr>
      <w:tr w14:paraId="7E8D9EBC">
        <w:trPr>
          <w:gridBefore w:val="1"/>
          <w:gridAfter w:val="1"/>
          <w:wBefore w:w="7" w:type="dxa"/>
          <w:wAfter w:w="8" w:type="dxa"/>
          <w:trHeight w:val="240" w:hRule="atLeast"/>
        </w:trPr>
        <w:tc>
          <w:tcPr>
            <w:tcW w:w="2201" w:type="dxa"/>
            <w:gridSpan w:val="2"/>
            <w:tcBorders>
              <w:right w:val="single" w:color="auto" w:sz="8" w:space="0"/>
            </w:tcBorders>
            <w:noWrap/>
            <w:vAlign w:val="top"/>
          </w:tcPr>
          <w:p w14:paraId="16B0A9F9">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rPr>
            </w:pPr>
            <w:r>
              <w:rPr>
                <w:rFonts w:hint="default" w:ascii="Times New Roman Regular" w:hAnsi="Times New Roman Regular" w:cs="Times New Roman Regular" w:eastAsiaTheme="minorEastAsia"/>
                <w:b/>
                <w:color w:val="000000"/>
                <w:kern w:val="0"/>
                <w:szCs w:val="21"/>
              </w:rPr>
              <w:t>Excess</w:t>
            </w:r>
          </w:p>
          <w:p w14:paraId="6853FC8D">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rPr>
            </w:pPr>
            <w:r>
              <w:rPr>
                <w:rFonts w:hint="default" w:ascii="Times New Roman Regular" w:hAnsi="Times New Roman Regular" w:cs="Times New Roman Regular" w:eastAsiaTheme="minorEastAsia"/>
                <w:b/>
                <w:color w:val="000000"/>
                <w:kern w:val="0"/>
                <w:szCs w:val="21"/>
              </w:rPr>
              <w:t>(per occurrence)</w:t>
            </w:r>
          </w:p>
        </w:tc>
        <w:tc>
          <w:tcPr>
            <w:tcW w:w="7084" w:type="dxa"/>
            <w:gridSpan w:val="5"/>
            <w:tcBorders>
              <w:left w:val="single" w:color="auto" w:sz="8" w:space="0"/>
            </w:tcBorders>
            <w:noWrap/>
            <w:vAlign w:val="top"/>
          </w:tcPr>
          <w:p w14:paraId="60F6A532">
            <w:pPr>
              <w:widowControl/>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 xml:space="preserve">For Earthquake: 20% of loss </w:t>
            </w:r>
          </w:p>
          <w:p w14:paraId="6F49D2B4">
            <w:pPr>
              <w:widowControl/>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br w:type="textWrapping"/>
            </w:r>
            <w:r>
              <w:rPr>
                <w:rFonts w:hint="default" w:ascii="Times New Roman Regular" w:hAnsi="Times New Roman Regular" w:eastAsia="华文细黑" w:cs="Times New Roman Regular"/>
                <w:color w:val="auto"/>
                <w:kern w:val="0"/>
                <w:szCs w:val="21"/>
              </w:rPr>
              <w:t>For Others:</w:t>
            </w:r>
          </w:p>
          <w:p w14:paraId="62965889">
            <w:pPr>
              <w:widowControl/>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Plant location: RMB100,000 or 5% of loss, whichever is higher.</w:t>
            </w:r>
          </w:p>
          <w:p w14:paraId="52D0B1FC">
            <w:pPr>
              <w:widowControl/>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office location/building: RMB20,000 or 5% of loss, whichever is higher.</w:t>
            </w:r>
          </w:p>
          <w:p w14:paraId="355102B8">
            <w:pPr>
              <w:widowControl/>
              <w:jc w:val="left"/>
              <w:rPr>
                <w:rFonts w:hint="default" w:ascii="Times New Roman Regular" w:hAnsi="Times New Roman Regular" w:eastAsia="华文细黑" w:cs="Times New Roman Regular"/>
                <w:color w:val="auto"/>
                <w:kern w:val="0"/>
                <w:szCs w:val="21"/>
              </w:rPr>
            </w:pPr>
            <w:r>
              <w:rPr>
                <w:rFonts w:hint="default" w:ascii="Times New Roman Regular" w:hAnsi="Times New Roman Regular" w:eastAsia="华文细黑" w:cs="Times New Roman Regular"/>
                <w:color w:val="auto"/>
                <w:kern w:val="0"/>
                <w:szCs w:val="21"/>
              </w:rPr>
              <w:t>【For separate Office Building in the client’s plant, the lower deductible per occurrence (RMB20,000 or 5% of loss whichever is higher) shall be applied.】</w:t>
            </w:r>
          </w:p>
          <w:p w14:paraId="12A72A18">
            <w:pPr>
              <w:widowControl/>
              <w:jc w:val="left"/>
              <w:rPr>
                <w:rFonts w:hint="default" w:ascii="Times New Roman Regular" w:hAnsi="Times New Roman Regular" w:eastAsia="华文细黑" w:cs="Times New Roman Regular"/>
                <w:color w:val="auto"/>
                <w:kern w:val="0"/>
                <w:szCs w:val="21"/>
              </w:rPr>
            </w:pPr>
          </w:p>
          <w:p w14:paraId="082587B4">
            <w:pPr>
              <w:widowControl/>
              <w:jc w:val="left"/>
              <w:rPr>
                <w:rFonts w:hint="default" w:ascii="Times New Roman Regular" w:hAnsi="Times New Roman Regular" w:cs="Times New Roman Regular" w:eastAsiaTheme="minorEastAsia"/>
                <w:color w:val="auto"/>
                <w:kern w:val="0"/>
                <w:szCs w:val="21"/>
              </w:rPr>
            </w:pPr>
            <w:r>
              <w:rPr>
                <w:rFonts w:hint="default" w:ascii="Times New Roman Regular" w:hAnsi="Times New Roman Regular" w:eastAsia="华文细黑" w:cs="Times New Roman Regular"/>
                <w:color w:val="auto"/>
                <w:kern w:val="0"/>
                <w:szCs w:val="21"/>
              </w:rPr>
              <w:t xml:space="preserve">Portable Computer: RMB 1,000 or 5% of loss, whichever is higher. </w:t>
            </w:r>
          </w:p>
        </w:tc>
      </w:tr>
      <w:tr w14:paraId="0084B052">
        <w:trPr>
          <w:gridBefore w:val="1"/>
          <w:gridAfter w:val="1"/>
          <w:wBefore w:w="7" w:type="dxa"/>
          <w:wAfter w:w="8" w:type="dxa"/>
          <w:trHeight w:val="240" w:hRule="atLeast"/>
        </w:trPr>
        <w:tc>
          <w:tcPr>
            <w:tcW w:w="2201" w:type="dxa"/>
            <w:gridSpan w:val="2"/>
            <w:tcBorders>
              <w:right w:val="single" w:color="auto" w:sz="8" w:space="0"/>
            </w:tcBorders>
            <w:noWrap/>
            <w:vAlign w:val="top"/>
          </w:tcPr>
          <w:p w14:paraId="79B6D829">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rPr>
            </w:pPr>
          </w:p>
        </w:tc>
        <w:tc>
          <w:tcPr>
            <w:tcW w:w="7084" w:type="dxa"/>
            <w:gridSpan w:val="5"/>
            <w:tcBorders>
              <w:left w:val="single" w:color="auto" w:sz="8" w:space="0"/>
            </w:tcBorders>
            <w:noWrap/>
            <w:vAlign w:val="top"/>
          </w:tcPr>
          <w:p w14:paraId="78860040">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color w:val="000000"/>
                <w:kern w:val="0"/>
                <w:szCs w:val="21"/>
              </w:rPr>
            </w:pPr>
          </w:p>
        </w:tc>
      </w:tr>
      <w:tr w14:paraId="5B52B1E3">
        <w:trPr>
          <w:gridBefore w:val="1"/>
          <w:gridAfter w:val="1"/>
          <w:wBefore w:w="7" w:type="dxa"/>
          <w:wAfter w:w="8" w:type="dxa"/>
          <w:trHeight w:val="240" w:hRule="atLeast"/>
        </w:trPr>
        <w:tc>
          <w:tcPr>
            <w:tcW w:w="2201" w:type="dxa"/>
            <w:gridSpan w:val="2"/>
            <w:tcBorders>
              <w:right w:val="single" w:color="auto" w:sz="8" w:space="0"/>
            </w:tcBorders>
            <w:noWrap/>
            <w:vAlign w:val="top"/>
          </w:tcPr>
          <w:p w14:paraId="4A9A2F1F">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rPr>
            </w:pPr>
            <w:r>
              <w:rPr>
                <w:rFonts w:hint="default" w:ascii="Times New Roman Regular" w:hAnsi="Times New Roman Regular" w:cs="Times New Roman Regular" w:eastAsiaTheme="minorEastAsia"/>
                <w:b/>
                <w:color w:val="000000"/>
                <w:kern w:val="0"/>
                <w:szCs w:val="21"/>
              </w:rPr>
              <w:t>Rate (incl. VAT)</w:t>
            </w:r>
          </w:p>
        </w:tc>
        <w:tc>
          <w:tcPr>
            <w:tcW w:w="7084" w:type="dxa"/>
            <w:gridSpan w:val="5"/>
            <w:tcBorders>
              <w:left w:val="single" w:color="auto" w:sz="8" w:space="0"/>
            </w:tcBorders>
            <w:noWrap/>
            <w:vAlign w:val="center"/>
          </w:tcPr>
          <w:p w14:paraId="4186D7F3">
            <w:pPr>
              <w:widowControl/>
              <w:jc w:val="left"/>
              <w:rPr>
                <w:rFonts w:hint="default" w:ascii="Times New Roman Regular" w:hAnsi="Times New Roman Regular" w:eastAsia="华文细黑" w:cs="Times New Roman Regular"/>
                <w:color w:val="auto"/>
                <w:kern w:val="0"/>
                <w:szCs w:val="21"/>
                <w:lang w:val="en-US" w:eastAsia="zh-CN"/>
              </w:rPr>
            </w:pPr>
            <w:r>
              <w:rPr>
                <w:rFonts w:hint="default" w:ascii="Times New Roman Regular" w:hAnsi="Times New Roman Regular" w:eastAsia="华文细黑" w:cs="Times New Roman Regular"/>
                <w:color w:val="auto"/>
                <w:kern w:val="0"/>
                <w:szCs w:val="21"/>
                <w:lang w:val="en-US" w:eastAsia="zh-CN"/>
              </w:rPr>
              <w:t>0.0125%</w:t>
            </w:r>
          </w:p>
          <w:p w14:paraId="3179E747">
            <w:pPr>
              <w:widowControl/>
              <w:jc w:val="left"/>
              <w:rPr>
                <w:rFonts w:hint="default" w:ascii="Times New Roman Regular" w:hAnsi="Times New Roman Regular" w:eastAsia="华文细黑" w:cs="Times New Roman Regular"/>
                <w:color w:val="auto"/>
                <w:kern w:val="0"/>
                <w:szCs w:val="21"/>
                <w:lang w:val="en-US" w:eastAsia="zh-CN"/>
              </w:rPr>
            </w:pPr>
          </w:p>
        </w:tc>
      </w:tr>
      <w:tr w14:paraId="3F47C6CA">
        <w:trPr>
          <w:gridBefore w:val="1"/>
          <w:gridAfter w:val="1"/>
          <w:wBefore w:w="7" w:type="dxa"/>
          <w:wAfter w:w="8" w:type="dxa"/>
          <w:trHeight w:val="240" w:hRule="atLeast"/>
        </w:trPr>
        <w:tc>
          <w:tcPr>
            <w:tcW w:w="2201" w:type="dxa"/>
            <w:gridSpan w:val="2"/>
            <w:tcBorders>
              <w:right w:val="single" w:color="auto" w:sz="8" w:space="0"/>
            </w:tcBorders>
            <w:noWrap/>
            <w:vAlign w:val="top"/>
          </w:tcPr>
          <w:p w14:paraId="4DDED176">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rPr>
            </w:pPr>
            <w:r>
              <w:rPr>
                <w:rFonts w:hint="default" w:ascii="Times New Roman Regular" w:hAnsi="Times New Roman Regular" w:cs="Times New Roman Regular" w:eastAsiaTheme="minorEastAsia"/>
                <w:b/>
                <w:color w:val="000000"/>
                <w:kern w:val="0"/>
                <w:szCs w:val="21"/>
              </w:rPr>
              <w:t>Premium (</w:t>
            </w:r>
            <w:r>
              <w:rPr>
                <w:rFonts w:hint="default" w:ascii="Times New Roman Regular" w:hAnsi="Times New Roman Regular" w:cs="Times New Roman Regular" w:eastAsiaTheme="minorEastAsia"/>
                <w:b/>
                <w:color w:val="000000"/>
                <w:kern w:val="0"/>
                <w:szCs w:val="21"/>
                <w:lang w:val="en-US" w:eastAsia="zh-CN"/>
              </w:rPr>
              <w:t>RMB，</w:t>
            </w:r>
            <w:r>
              <w:rPr>
                <w:rFonts w:hint="default" w:ascii="Times New Roman Regular" w:hAnsi="Times New Roman Regular" w:cs="Times New Roman Regular" w:eastAsiaTheme="minorEastAsia"/>
                <w:b/>
                <w:color w:val="000000"/>
                <w:kern w:val="0"/>
                <w:szCs w:val="21"/>
              </w:rPr>
              <w:t>incl. VAT)</w:t>
            </w:r>
          </w:p>
        </w:tc>
        <w:tc>
          <w:tcPr>
            <w:tcW w:w="7084" w:type="dxa"/>
            <w:gridSpan w:val="5"/>
            <w:tcBorders>
              <w:left w:val="single" w:color="auto" w:sz="8" w:space="0"/>
            </w:tcBorders>
            <w:noWrap/>
            <w:vAlign w:val="top"/>
          </w:tcPr>
          <w:p w14:paraId="25F14358">
            <w:pPr>
              <w:keepNext w:val="0"/>
              <w:keepLines w:val="0"/>
              <w:widowControl/>
              <w:suppressLineNumbers w:val="0"/>
              <w:jc w:val="left"/>
              <w:textAlignment w:val="top"/>
              <w:rPr>
                <w:rFonts w:hint="eastAsia"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lang w:eastAsia="zh-CN"/>
              </w:rPr>
              <w:t>{</w:t>
            </w:r>
            <w:r>
              <w:rPr>
                <w:rFonts w:hint="default" w:ascii="Times New Roman Regular" w:hAnsi="Times New Roman Regular" w:cs="Times New Roman Regular"/>
                <w:b/>
                <w:bCs/>
                <w:color w:val="auto"/>
                <w:sz w:val="21"/>
                <w:szCs w:val="21"/>
                <w:highlight w:val="none"/>
                <w:lang w:val="en-US" w:eastAsia="zh-CN"/>
              </w:rPr>
              <w:t>PAR</w:t>
            </w:r>
            <w:r>
              <w:rPr>
                <w:rFonts w:hint="eastAsia" w:ascii="Times New Roman Regular" w:hAnsi="Times New Roman Regular" w:cs="Times New Roman Regular"/>
                <w:lang w:eastAsia="zh-CN"/>
              </w:rPr>
              <w:t>}</w:t>
            </w:r>
          </w:p>
        </w:tc>
      </w:tr>
      <w:tr w14:paraId="59AA1A40">
        <w:trPr>
          <w:gridBefore w:val="1"/>
          <w:gridAfter w:val="1"/>
          <w:wBefore w:w="7" w:type="dxa"/>
          <w:wAfter w:w="8" w:type="dxa"/>
          <w:trHeight w:val="240" w:hRule="atLeast"/>
        </w:trPr>
        <w:tc>
          <w:tcPr>
            <w:tcW w:w="2201" w:type="dxa"/>
            <w:gridSpan w:val="2"/>
            <w:tcBorders>
              <w:right w:val="single" w:color="auto" w:sz="8" w:space="0"/>
            </w:tcBorders>
            <w:noWrap/>
            <w:vAlign w:val="top"/>
          </w:tcPr>
          <w:p w14:paraId="4410FC74">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rPr>
            </w:pPr>
          </w:p>
        </w:tc>
        <w:tc>
          <w:tcPr>
            <w:tcW w:w="7084" w:type="dxa"/>
            <w:gridSpan w:val="5"/>
            <w:tcBorders>
              <w:left w:val="single" w:color="auto" w:sz="8" w:space="0"/>
            </w:tcBorders>
            <w:noWrap/>
            <w:vAlign w:val="top"/>
          </w:tcPr>
          <w:p w14:paraId="4D2014E9">
            <w:pPr>
              <w:keepNext w:val="0"/>
              <w:keepLines w:val="0"/>
              <w:widowControl/>
              <w:suppressLineNumbers w:val="0"/>
              <w:jc w:val="left"/>
              <w:textAlignment w:val="top"/>
              <w:rPr>
                <w:rFonts w:hint="default" w:ascii="Times New Roman Regular" w:hAnsi="Times New Roman Regular" w:cs="Times New Roman Regular" w:eastAsiaTheme="minorEastAsia"/>
                <w:i w:val="0"/>
                <w:iCs w:val="0"/>
                <w:color w:val="000000"/>
                <w:kern w:val="0"/>
                <w:sz w:val="21"/>
                <w:szCs w:val="21"/>
                <w:u w:val="none"/>
                <w:lang w:val="en-US" w:eastAsia="zh-CN" w:bidi="ar"/>
              </w:rPr>
            </w:pPr>
          </w:p>
        </w:tc>
      </w:tr>
      <w:tr w14:paraId="75969270">
        <w:trPr>
          <w:gridBefore w:val="1"/>
          <w:gridAfter w:val="1"/>
          <w:wBefore w:w="7" w:type="dxa"/>
          <w:wAfter w:w="8" w:type="dxa"/>
          <w:trHeight w:val="240" w:hRule="atLeast"/>
        </w:trPr>
        <w:tc>
          <w:tcPr>
            <w:tcW w:w="2201" w:type="dxa"/>
            <w:gridSpan w:val="2"/>
            <w:tcBorders>
              <w:right w:val="single" w:color="auto" w:sz="8" w:space="0"/>
            </w:tcBorders>
            <w:noWrap/>
            <w:vAlign w:val="top"/>
          </w:tcPr>
          <w:p w14:paraId="1DFA3484">
            <w:pPr>
              <w:autoSpaceDE w:val="0"/>
              <w:autoSpaceDN w:val="0"/>
              <w:adjustRightInd w:val="0"/>
              <w:spacing w:line="240" w:lineRule="atLeast"/>
              <w:ind w:right="360"/>
              <w:jc w:val="left"/>
              <w:textAlignment w:val="baseline"/>
              <w:rPr>
                <w:rFonts w:hint="default" w:ascii="Times New Roman Regular" w:hAnsi="Times New Roman Regular" w:cs="Times New Roman Regular" w:eastAsiaTheme="minorEastAsia"/>
                <w:b/>
                <w:color w:val="000000"/>
                <w:kern w:val="0"/>
                <w:szCs w:val="21"/>
              </w:rPr>
            </w:pPr>
            <w:r>
              <w:rPr>
                <w:rFonts w:hint="default" w:ascii="Times New Roman Regular" w:hAnsi="Times New Roman Regular" w:cs="Times New Roman Regular" w:eastAsiaTheme="minorEastAsia"/>
                <w:b/>
                <w:color w:val="000000"/>
                <w:kern w:val="0"/>
                <w:szCs w:val="21"/>
              </w:rPr>
              <w:t>Remarks</w:t>
            </w:r>
          </w:p>
        </w:tc>
        <w:tc>
          <w:tcPr>
            <w:tcW w:w="7084" w:type="dxa"/>
            <w:gridSpan w:val="5"/>
            <w:tcBorders>
              <w:left w:val="single" w:color="auto" w:sz="8" w:space="0"/>
            </w:tcBorders>
            <w:noWrap/>
            <w:vAlign w:val="top"/>
          </w:tcPr>
          <w:p w14:paraId="4120362D">
            <w:pPr>
              <w:pStyle w:val="34"/>
              <w:widowControl/>
              <w:numPr>
                <w:ilvl w:val="0"/>
                <w:numId w:val="3"/>
              </w:numPr>
              <w:ind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The sub-limits specified in the extension clauses shall be applied to each China Mahle Company.</w:t>
            </w:r>
          </w:p>
          <w:p w14:paraId="73BFC0D8">
            <w:pPr>
              <w:pStyle w:val="34"/>
              <w:widowControl/>
              <w:numPr>
                <w:ilvl w:val="0"/>
                <w:numId w:val="3"/>
              </w:numPr>
              <w:ind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Other terms and conditions are subject to standard policy wording</w:t>
            </w:r>
          </w:p>
          <w:p w14:paraId="6B1472B6">
            <w:pPr>
              <w:pStyle w:val="34"/>
              <w:widowControl/>
              <w:numPr>
                <w:ilvl w:val="0"/>
                <w:numId w:val="3"/>
              </w:numPr>
              <w:ind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b/>
                <w:bCs/>
                <w:color w:val="auto"/>
                <w:kern w:val="0"/>
                <w:szCs w:val="21"/>
              </w:rPr>
              <w:t>Portable Computer, and removable photograph apparatus Extension (Worldwide)</w:t>
            </w:r>
          </w:p>
          <w:p w14:paraId="024EF2E2">
            <w:pPr>
              <w:pStyle w:val="34"/>
              <w:widowControl/>
              <w:ind w:firstLine="0"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b/>
                <w:bCs/>
                <w:color w:val="auto"/>
                <w:kern w:val="0"/>
                <w:szCs w:val="21"/>
              </w:rPr>
              <w:t xml:space="preserve"> </w:t>
            </w:r>
            <w:r>
              <w:rPr>
                <w:rFonts w:hint="default" w:ascii="Times New Roman Regular" w:hAnsi="Times New Roman Regular" w:eastAsia="宋体" w:cs="Times New Roman Regular"/>
                <w:color w:val="auto"/>
                <w:kern w:val="0"/>
                <w:szCs w:val="21"/>
              </w:rPr>
              <w:t xml:space="preserve">It is hereby agreed and understood that this Policy is extended to cover loss of and/or damage to the portable computers and removable photograph apparatuses anywhere worldwide, caused by all risks covered under this Policy, including the loss or damage as the result of robbery or burglary or by theft supported by police reports. </w:t>
            </w:r>
          </w:p>
          <w:p w14:paraId="4C6307C5">
            <w:pPr>
              <w:pStyle w:val="34"/>
              <w:widowControl/>
              <w:ind w:firstLine="0"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 xml:space="preserve">This policy does not cover any loss &amp;/or damage to portable computers and removable photograph apparatuses while they are left unattended and no safety measures are taken. </w:t>
            </w:r>
          </w:p>
          <w:p w14:paraId="25B22AF1">
            <w:pPr>
              <w:pStyle w:val="34"/>
              <w:widowControl/>
              <w:ind w:firstLine="0"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This clause is based on Reinstatement Value to calculate the sum insured and claim.</w:t>
            </w:r>
          </w:p>
          <w:p w14:paraId="14278A1C">
            <w:pPr>
              <w:pStyle w:val="34"/>
              <w:widowControl/>
              <w:numPr>
                <w:ilvl w:val="0"/>
                <w:numId w:val="3"/>
              </w:numPr>
              <w:ind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It is hereby agreed and understood that this Policy is extended to cover the loss of/damage to custody and the leased assets within the premise of the insured caused by all risks covered under the policy.</w:t>
            </w:r>
          </w:p>
          <w:p w14:paraId="0C78F66E">
            <w:pPr>
              <w:pStyle w:val="34"/>
              <w:widowControl/>
              <w:ind w:left="360" w:firstLine="0"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本保单扩展承保被保险地址内的代保管及租赁资产，遭受本保单责任范围内的损失，本保单依据保单责任赔偿相应的损失。</w:t>
            </w:r>
          </w:p>
          <w:p w14:paraId="2001FAC1">
            <w:pPr>
              <w:pStyle w:val="34"/>
              <w:widowControl/>
              <w:ind w:left="360" w:firstLine="0" w:firstLineChars="0"/>
              <w:jc w:val="both"/>
              <w:rPr>
                <w:rFonts w:hint="default" w:ascii="Times New Roman Regular" w:hAnsi="Times New Roman Regular" w:eastAsia="宋体" w:cs="Times New Roman Regular"/>
                <w:color w:val="auto"/>
                <w:kern w:val="0"/>
                <w:szCs w:val="21"/>
              </w:rPr>
            </w:pPr>
          </w:p>
          <w:p w14:paraId="3BDE1109">
            <w:pPr>
              <w:pStyle w:val="34"/>
              <w:widowControl/>
              <w:numPr>
                <w:ilvl w:val="0"/>
                <w:numId w:val="3"/>
              </w:numPr>
              <w:ind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It is hereby agreed and understood that this Policy is extended to cover the property insured whilst in the course of transit in the insured premises due to the production requirement.</w:t>
            </w:r>
          </w:p>
          <w:p w14:paraId="1BAB42B0">
            <w:pPr>
              <w:pStyle w:val="34"/>
              <w:widowControl/>
              <w:ind w:left="360" w:firstLine="0"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本保单扩展承保被保险人的财产在被保险地址内，由于业务及生产要求所做的厂区移动所造成的损失, 本保单依据保单责任赔偿相应的损失。</w:t>
            </w:r>
          </w:p>
          <w:p w14:paraId="033048FD">
            <w:pPr>
              <w:pStyle w:val="34"/>
              <w:widowControl/>
              <w:ind w:left="360" w:firstLine="0" w:firstLineChars="0"/>
              <w:jc w:val="both"/>
              <w:rPr>
                <w:rFonts w:hint="default" w:ascii="Times New Roman Regular" w:hAnsi="Times New Roman Regular" w:eastAsia="宋体" w:cs="Times New Roman Regular"/>
                <w:color w:val="auto"/>
                <w:kern w:val="0"/>
                <w:szCs w:val="21"/>
              </w:rPr>
            </w:pPr>
          </w:p>
          <w:p w14:paraId="09D5F5D5">
            <w:pPr>
              <w:pStyle w:val="34"/>
              <w:widowControl/>
              <w:numPr>
                <w:ilvl w:val="0"/>
                <w:numId w:val="3"/>
              </w:numPr>
              <w:ind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szCs w:val="21"/>
              </w:rPr>
              <w:t>This policy also covers physical loss of or damage to the insured goods caused by the insured risk occurring during the loading/unloading operation within the insured premises under this Policy. Include but not limited to the contents, machinery,</w:t>
            </w:r>
            <w:r>
              <w:rPr>
                <w:rFonts w:hint="default" w:ascii="Times New Roman Regular" w:hAnsi="Times New Roman Regular" w:eastAsia="宋体" w:cs="Times New Roman Regular"/>
                <w:color w:val="auto"/>
              </w:rPr>
              <w:t xml:space="preserve"> or t</w:t>
            </w:r>
            <w:r>
              <w:rPr>
                <w:rFonts w:hint="default" w:ascii="Times New Roman Regular" w:hAnsi="Times New Roman Regular" w:eastAsia="宋体" w:cs="Times New Roman Regular"/>
                <w:color w:val="auto"/>
                <w:szCs w:val="21"/>
              </w:rPr>
              <w:t>he property under the insured’s Care, Custody &amp; Control. (Other risk of transportation, covered under the Marine Cargo policy or the Inland transit extension under the Property All Risk policy. Limit: RMB1,000,000 each accident)</w:t>
            </w:r>
          </w:p>
          <w:p w14:paraId="738709F3">
            <w:pPr>
              <w:pStyle w:val="34"/>
              <w:widowControl/>
              <w:ind w:left="360" w:firstLine="0"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本保单承保被保险地址内，由于被保险人在装、卸货过程中由于意外事故所引起的资产损失,包括但不限于被保险人投保的资产、设备、存货、代保管及租赁资产。（其它涉及到运输的风险,在货物运输保险或财产险项下的内陆运输扩展条款下赔偿。限额：每次事故RMB1,000,000.）</w:t>
            </w:r>
          </w:p>
          <w:p w14:paraId="1D8A496A">
            <w:pPr>
              <w:pStyle w:val="34"/>
              <w:widowControl/>
              <w:ind w:firstLineChars="0"/>
              <w:jc w:val="both"/>
              <w:rPr>
                <w:rFonts w:hint="default" w:ascii="Times New Roman Regular" w:hAnsi="Times New Roman Regular" w:eastAsia="宋体" w:cs="Times New Roman Regular"/>
                <w:color w:val="auto"/>
                <w:kern w:val="0"/>
                <w:szCs w:val="21"/>
              </w:rPr>
            </w:pPr>
          </w:p>
          <w:p w14:paraId="07A3B7B8">
            <w:pPr>
              <w:pStyle w:val="34"/>
              <w:widowControl/>
              <w:numPr>
                <w:ilvl w:val="0"/>
                <w:numId w:val="3"/>
              </w:numPr>
              <w:ind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rPr>
              <w:t>对于在被保险人财务账目上的费用项目类而不在固定资产项目类的财产，如已包含在保险金额中，且被保险人已缴纳该部分保费，该保单给予承保。如若发生损失，保险人有权要求被保险人提供固定资产清单和费用清单。</w:t>
            </w:r>
          </w:p>
          <w:p w14:paraId="10ACFBC7">
            <w:pPr>
              <w:pStyle w:val="34"/>
              <w:widowControl/>
              <w:ind w:left="360" w:firstLine="0"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It is hereby agreed and understood that this Policy is extended to cover the property in the category of expense items of financial accounts but not in the category of fixed assets items. In case of loss, the insurer has the right to require the insured to provide the list of fixed assets and expenses.</w:t>
            </w:r>
          </w:p>
          <w:p w14:paraId="571D236C">
            <w:pPr>
              <w:pStyle w:val="34"/>
              <w:widowControl/>
              <w:ind w:left="360" w:firstLine="0" w:firstLineChars="0"/>
              <w:jc w:val="both"/>
              <w:rPr>
                <w:rFonts w:hint="default" w:ascii="Times New Roman Regular" w:hAnsi="Times New Roman Regular" w:eastAsia="宋体" w:cs="Times New Roman Regular"/>
                <w:color w:val="auto"/>
                <w:kern w:val="0"/>
                <w:szCs w:val="21"/>
              </w:rPr>
            </w:pPr>
          </w:p>
          <w:p w14:paraId="54B16EFC">
            <w:pPr>
              <w:pStyle w:val="34"/>
              <w:widowControl/>
              <w:numPr>
                <w:ilvl w:val="0"/>
                <w:numId w:val="3"/>
              </w:numPr>
              <w:ind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rPr>
              <w:t>除本保单另行规定外，保险人应按照出险时被保险资产的 重置价值和存货的成本价进行赔付。出险时，被保险人需提供出险当月的资产负债表或，若当月资产负债表尚未制作，上月底的资产负债表。若帐上资产总额高于投保金额 20%的，而被保险人本意为足额投保，则由被保险人补缴保费，保险人视作足额投保。被保险人如提早得知资产变化，也应及时告知保险 人并支付相应保费。</w:t>
            </w:r>
          </w:p>
          <w:p w14:paraId="682ED23D">
            <w:pPr>
              <w:pStyle w:val="34"/>
              <w:widowControl/>
              <w:numPr>
                <w:ilvl w:val="0"/>
                <w:numId w:val="0"/>
              </w:numPr>
              <w:ind w:leftChars="0"/>
              <w:jc w:val="both"/>
              <w:rPr>
                <w:rFonts w:hint="default" w:ascii="Times New Roman Regular" w:hAnsi="Times New Roman Regular" w:eastAsia="宋体" w:cs="Times New Roman Regular"/>
                <w:color w:val="auto"/>
                <w:kern w:val="0"/>
                <w:szCs w:val="21"/>
              </w:rPr>
            </w:pPr>
          </w:p>
          <w:p w14:paraId="02AE2C3F">
            <w:pPr>
              <w:pStyle w:val="34"/>
              <w:widowControl/>
              <w:numPr>
                <w:ilvl w:val="0"/>
                <w:numId w:val="3"/>
              </w:numPr>
              <w:ind w:left="360" w:leftChars="0" w:hanging="360" w:firstLineChars="0"/>
              <w:jc w:val="both"/>
              <w:rPr>
                <w:rFonts w:hint="default" w:ascii="Times New Roman Regular" w:hAnsi="Times New Roman Regular" w:eastAsia="宋体" w:cs="Times New Roman Regular"/>
                <w:color w:val="auto"/>
                <w:kern w:val="0"/>
                <w:szCs w:val="21"/>
              </w:rPr>
            </w:pPr>
            <w:r>
              <w:rPr>
                <w:rFonts w:hint="default" w:ascii="Times New Roman Regular" w:hAnsi="Times New Roman Regular" w:eastAsia="宋体" w:cs="Times New Roman Regular"/>
                <w:color w:val="auto"/>
                <w:kern w:val="0"/>
                <w:szCs w:val="21"/>
              </w:rPr>
              <w:t>If there is any conflict between the Chinese wording and the English wording, the Chinese wording shall prevail. 如中英文措辞有任何冲突，以中文措辞为准。</w:t>
            </w:r>
          </w:p>
        </w:tc>
      </w:tr>
    </w:tbl>
    <w:p w14:paraId="48DFB61A">
      <w:pPr>
        <w:autoSpaceDE w:val="0"/>
        <w:autoSpaceDN w:val="0"/>
        <w:adjustRightInd w:val="0"/>
        <w:spacing w:line="240" w:lineRule="atLeast"/>
        <w:ind w:right="360"/>
        <w:jc w:val="left"/>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b/>
          <w:kern w:val="0"/>
          <w:szCs w:val="21"/>
        </w:rPr>
        <w:br w:type="page"/>
      </w:r>
    </w:p>
    <w:p w14:paraId="4B1EC4FD">
      <w:pPr>
        <w:autoSpaceDE w:val="0"/>
        <w:autoSpaceDN w:val="0"/>
        <w:adjustRightInd w:val="0"/>
        <w:spacing w:line="240" w:lineRule="atLeast"/>
        <w:ind w:right="1714"/>
        <w:jc w:val="left"/>
        <w:textAlignment w:val="baseline"/>
        <w:rPr>
          <w:rFonts w:hint="default" w:ascii="Times New Roman" w:hAnsi="Times New Roman" w:cs="Times New Roman" w:eastAsiaTheme="minorEastAsia"/>
          <w:kern w:val="0"/>
          <w:szCs w:val="21"/>
        </w:rPr>
        <w:sectPr>
          <w:footerReference r:id="rId5" w:type="default"/>
          <w:pgSz w:w="11906" w:h="16838"/>
          <w:pgMar w:top="1440" w:right="1466" w:bottom="1440" w:left="1170" w:header="851" w:footer="850" w:gutter="0"/>
          <w:pgNumType w:fmt="decimal" w:start="1"/>
          <w:cols w:space="425" w:num="1"/>
          <w:docGrid w:linePitch="286" w:charSpace="0"/>
        </w:sectPr>
      </w:pPr>
    </w:p>
    <w:p w14:paraId="3C24C2A8">
      <w:pPr>
        <w:autoSpaceDE w:val="0"/>
        <w:autoSpaceDN w:val="0"/>
        <w:adjustRightInd w:val="0"/>
        <w:spacing w:line="240" w:lineRule="atLeast"/>
        <w:ind w:right="1714"/>
        <w:jc w:val="left"/>
        <w:textAlignment w:val="baseline"/>
        <w:rPr>
          <w:rFonts w:hint="default" w:ascii="Times New Roman" w:hAnsi="Times New Roman" w:cs="Times New Roman" w:eastAsiaTheme="minorEastAsia"/>
          <w:kern w:val="0"/>
          <w:szCs w:val="21"/>
        </w:rPr>
      </w:pPr>
    </w:p>
    <w:p w14:paraId="2AC31903">
      <w:pPr>
        <w:snapToGrid w:val="0"/>
        <w:spacing w:after="120" w:afterLines="50"/>
        <w:jc w:val="center"/>
        <w:rPr>
          <w:rFonts w:hint="default" w:ascii="Times New Roman" w:hAnsi="Times New Roman" w:cs="Times New Roman" w:eastAsiaTheme="minorEastAsia"/>
          <w:b/>
          <w:szCs w:val="21"/>
          <w:lang w:val="en-GB"/>
        </w:rPr>
      </w:pPr>
      <w:bookmarkStart w:id="4" w:name="_OCEAN_MARINE_CARGO"/>
      <w:bookmarkEnd w:id="4"/>
      <w:r>
        <w:rPr>
          <w:rFonts w:hint="default" w:ascii="Times New Roman" w:hAnsi="Times New Roman" w:cs="Times New Roman" w:eastAsiaTheme="minorEastAsia"/>
          <w:b/>
          <w:szCs w:val="21"/>
          <w:lang w:val="en-GB"/>
        </w:rPr>
        <w:t>CHINA PACIFIC PROPERTY INSURANCE COMPANY LIMITED</w:t>
      </w:r>
    </w:p>
    <w:p w14:paraId="62A11AF3">
      <w:pPr>
        <w:snapToGrid w:val="0"/>
        <w:spacing w:after="120" w:afterLines="50"/>
        <w:jc w:val="center"/>
        <w:rPr>
          <w:rFonts w:hint="default" w:ascii="Times New Roman" w:hAnsi="Times New Roman" w:cs="Times New Roman" w:eastAsiaTheme="minorEastAsia"/>
          <w:b/>
          <w:szCs w:val="21"/>
          <w:lang w:val="en-GB"/>
        </w:rPr>
      </w:pPr>
      <w:r>
        <w:rPr>
          <w:rFonts w:hint="default" w:ascii="Times New Roman" w:hAnsi="Times New Roman" w:cs="Times New Roman" w:eastAsiaTheme="minorEastAsia"/>
          <w:b/>
          <w:szCs w:val="21"/>
        </w:rPr>
        <w:t xml:space="preserve">PROPERTY ALL RISKS INSURANCE CLAUSES </w:t>
      </w:r>
    </w:p>
    <w:p w14:paraId="51CEF082">
      <w:pPr>
        <w:snapToGrid w:val="0"/>
        <w:spacing w:after="120" w:afterLines="50"/>
        <w:jc w:val="center"/>
        <w:rPr>
          <w:rFonts w:hint="default" w:ascii="Times New Roman" w:hAnsi="Times New Roman" w:cs="Times New Roman" w:eastAsiaTheme="minorEastAsia"/>
          <w:b/>
          <w:bCs/>
          <w:szCs w:val="21"/>
        </w:rPr>
      </w:pPr>
    </w:p>
    <w:p w14:paraId="7FF8BEA8">
      <w:pPr>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GENERAL PROVISION</w:t>
      </w:r>
    </w:p>
    <w:p w14:paraId="4C0104F1">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Article 1</w:t>
      </w:r>
      <w:r>
        <w:rPr>
          <w:rFonts w:hint="default" w:ascii="Times New Roman" w:hAnsi="Times New Roman" w:cs="Times New Roman" w:eastAsiaTheme="minorEastAsia"/>
          <w:bCs/>
          <w:szCs w:val="21"/>
        </w:rPr>
        <w:t xml:space="preserve"> The Insurance Contract incorporates the Insurance Clauses, Proposal Form, Policy or Certificate, and Endorsements (if any). Any agreement related to the Insurance Contract shall be in written form.</w:t>
      </w:r>
    </w:p>
    <w:p w14:paraId="3A7B4E6C">
      <w:pPr>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PROPERTY INSURED</w:t>
      </w:r>
    </w:p>
    <w:p w14:paraId="2B89EF52">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 xml:space="preserve">Article 2 </w:t>
      </w:r>
      <w:r>
        <w:rPr>
          <w:rFonts w:hint="default" w:ascii="Times New Roman" w:hAnsi="Times New Roman" w:cs="Times New Roman" w:eastAsiaTheme="minorEastAsia"/>
          <w:bCs/>
          <w:szCs w:val="21"/>
        </w:rPr>
        <w:t>The property insured shall include the following property contained in the premise(s) specified in the Policy:</w:t>
      </w:r>
    </w:p>
    <w:p w14:paraId="711F4877">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2.1 property belonging to the Insured solely or jointly with others for which the Insured is responsible; </w:t>
      </w:r>
    </w:p>
    <w:p w14:paraId="6A8E8F08">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2.2 property under management, control, and/or in the custody of the Insured; </w:t>
      </w:r>
    </w:p>
    <w:p w14:paraId="23CE91C6">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2.3 other property in which the Insured has an economic interest legally admitted.</w:t>
      </w:r>
    </w:p>
    <w:p w14:paraId="7DCD2C00">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Article 3</w:t>
      </w:r>
      <w:r>
        <w:rPr>
          <w:rFonts w:hint="default" w:ascii="Times New Roman" w:hAnsi="Times New Roman" w:cs="Times New Roman" w:eastAsiaTheme="minorEastAsia"/>
          <w:bCs/>
          <w:szCs w:val="21"/>
        </w:rPr>
        <w:t xml:space="preserve"> </w:t>
      </w:r>
      <w:r>
        <w:rPr>
          <w:rFonts w:hint="default" w:ascii="Times New Roman" w:hAnsi="Times New Roman" w:cs="Times New Roman" w:eastAsiaTheme="minorEastAsia"/>
          <w:szCs w:val="21"/>
        </w:rPr>
        <w:t>The following property shall not be insured by this Policy, unless otherwise specifically agreed between the Insurer and the Insured and with insured value stated in this Policy:</w:t>
      </w:r>
    </w:p>
    <w:p w14:paraId="51410407">
      <w:pPr>
        <w:snapToGrid w:val="0"/>
        <w:spacing w:after="120" w:afterLines="50"/>
        <w:ind w:left="407" w:leftChars="1" w:hanging="405" w:hangingChars="193"/>
        <w:rPr>
          <w:rFonts w:hint="default" w:ascii="Times New Roman" w:hAnsi="Times New Roman" w:cs="Times New Roman" w:eastAsiaTheme="minorEastAsia"/>
          <w:szCs w:val="21"/>
        </w:rPr>
      </w:pPr>
      <w:r>
        <w:rPr>
          <w:rFonts w:hint="default" w:ascii="Times New Roman" w:hAnsi="Times New Roman" w:cs="Times New Roman" w:eastAsiaTheme="minorEastAsia"/>
          <w:bCs/>
          <w:szCs w:val="21"/>
        </w:rPr>
        <w:t xml:space="preserve">3.1 </w:t>
      </w:r>
      <w:r>
        <w:rPr>
          <w:rFonts w:hint="default" w:ascii="Times New Roman" w:hAnsi="Times New Roman" w:cs="Times New Roman" w:eastAsiaTheme="minorEastAsia"/>
          <w:szCs w:val="21"/>
        </w:rPr>
        <w:t xml:space="preserve">gold, silver, pearls, diamonds, jades, jewelry, ancient coins, antiques, ancient books, ancient paintings, stamps, works of art, works of painting and calligraphy, rare metals and the like; </w:t>
      </w:r>
    </w:p>
    <w:p w14:paraId="65C71AAC">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3.2 embankments, water gates, railways, roads, culverts, tunnels, bridges, docks and piers;</w:t>
      </w:r>
    </w:p>
    <w:p w14:paraId="739F9D19">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3.3 plants, equipments and materials in mines or mineral pits;</w:t>
      </w:r>
    </w:p>
    <w:p w14:paraId="553ED7F1">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3.4 mobile communication devices, portable computers, portable photographic apparatus, and other portable devices or equipments;</w:t>
      </w:r>
    </w:p>
    <w:p w14:paraId="7347E5F8">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3.5 construction or erection works not taken over or put into service.</w:t>
      </w:r>
    </w:p>
    <w:p w14:paraId="13F7550E">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Article 4</w:t>
      </w:r>
      <w:r>
        <w:rPr>
          <w:rFonts w:hint="default" w:ascii="Times New Roman" w:hAnsi="Times New Roman" w:cs="Times New Roman" w:eastAsiaTheme="minorEastAsia"/>
          <w:bCs/>
          <w:szCs w:val="21"/>
        </w:rPr>
        <w:t xml:space="preserve"> The following items and articles are not insured by this Policy:</w:t>
      </w:r>
    </w:p>
    <w:p w14:paraId="05AF02BE">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vanish/>
          <w:szCs w:val="21"/>
        </w:rPr>
        <w:cr/>
      </w:r>
      <w:r>
        <w:rPr>
          <w:rFonts w:hint="default" w:ascii="Times New Roman" w:hAnsi="Times New Roman" w:cs="Times New Roman" w:eastAsiaTheme="minorEastAsia"/>
          <w:vanish/>
          <w:szCs w:val="21"/>
        </w:rPr>
        <w:t xml:space="preserve">ticle achment(ter </w:t>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szCs w:val="21"/>
        </w:rPr>
        <w:t>4.1 land, mineral resources, water and other natural resources;</w:t>
      </w:r>
    </w:p>
    <w:p w14:paraId="4A6486DA">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4.2 mines and mineral pits；</w:t>
      </w:r>
    </w:p>
    <w:p w14:paraId="5E4D8839">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4.3 banknotes, coupons, securities, magnetic and integrate circuit (IC) cards with cash value and the like; </w:t>
      </w:r>
    </w:p>
    <w:p w14:paraId="3699D395">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4.4 Files and documents, account books, drawings, technical data, computer software or data, and other properties of which the value could not be appraised; </w:t>
      </w:r>
    </w:p>
    <w:p w14:paraId="338F540D">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4.5 guns, ammunitions or explosives;</w:t>
      </w:r>
    </w:p>
    <w:p w14:paraId="53AC012E">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4.6 illegal or dilapidated buildings and structures, properties illegally occupied;</w:t>
      </w:r>
    </w:p>
    <w:p w14:paraId="2A869503">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4.7 vehicles licensed for general transport use;</w:t>
      </w:r>
    </w:p>
    <w:p w14:paraId="7B87E41F">
      <w:pPr>
        <w:snapToGrid w:val="0"/>
        <w:spacing w:after="120" w:afterLines="50"/>
        <w:ind w:left="315" w:hanging="315" w:hangingChars="1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4.8 animals, plants and agricultural crops.</w:t>
      </w:r>
    </w:p>
    <w:p w14:paraId="70192C2C">
      <w:pPr>
        <w:snapToGrid w:val="0"/>
        <w:spacing w:after="120" w:afterLines="50"/>
        <w:ind w:firstLine="471" w:firstLineChars="224"/>
        <w:jc w:val="center"/>
        <w:rPr>
          <w:rFonts w:hint="default" w:ascii="Times New Roman" w:hAnsi="Times New Roman" w:cs="Times New Roman" w:eastAsiaTheme="minorEastAsia"/>
          <w:szCs w:val="21"/>
        </w:rPr>
      </w:pP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vanish/>
          <w:szCs w:val="21"/>
        </w:rPr>
        <w:pgNum/>
      </w:r>
      <w:r>
        <w:rPr>
          <w:rFonts w:hint="default" w:ascii="Times New Roman" w:hAnsi="Times New Roman" w:cs="Times New Roman" w:eastAsiaTheme="minorEastAsia"/>
          <w:b/>
          <w:bCs/>
          <w:szCs w:val="21"/>
        </w:rPr>
        <w:t xml:space="preserve">SCOPE OF COVER </w:t>
      </w:r>
    </w:p>
    <w:p w14:paraId="58BCFFB1">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 xml:space="preserve">Article 5 </w:t>
      </w:r>
      <w:r>
        <w:rPr>
          <w:rFonts w:hint="default" w:ascii="Times New Roman" w:hAnsi="Times New Roman" w:cs="Times New Roman" w:eastAsiaTheme="minorEastAsia"/>
          <w:bCs/>
          <w:szCs w:val="21"/>
        </w:rPr>
        <w:t>Subject to the terms, exclusions, conditions and provisions contained in the Policy or endorsed thereon, the Insurer shall indemnify the Insured for direct physical loss of or damage to the property insured (physical loss or damage being hereinafter termed Damage) caused by any Natural Hazard or Accident which occurs during the period of insurance, other than those specifically excluded in this Policy.</w:t>
      </w:r>
    </w:p>
    <w:p w14:paraId="4DB72F1D">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The Insurer shall also indemnify the Insured for physical loss of or damage to the property insured resulting from necessary and reasonable measures taken at the time of the happening of perils insured against by this Policy for the purpose of preventing or diminishing imminent damage to property hereby insured and/or preventing the spread and/or aggravation of loss or damage.</w:t>
      </w:r>
    </w:p>
    <w:p w14:paraId="4424D246">
      <w:pPr>
        <w:snapToGrid w:val="0"/>
        <w:spacing w:after="120" w:afterLines="50"/>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 xml:space="preserve">Article 6 </w:t>
      </w:r>
      <w:r>
        <w:rPr>
          <w:rFonts w:hint="default" w:ascii="Times New Roman" w:hAnsi="Times New Roman" w:cs="Times New Roman" w:eastAsiaTheme="minorEastAsia"/>
          <w:bCs/>
          <w:szCs w:val="21"/>
        </w:rPr>
        <w:t>Subject to the terms, conditions and exclusions contained herein or endorsed hereon, the Insurer shall also indemnify the Insured in respect of costs and expenses necessarily and reasonably incurred for the purpose of preventing or mitigating the loss of or damage to the property insured after the occurrence of an insured event.</w:t>
      </w:r>
    </w:p>
    <w:p w14:paraId="383A2226">
      <w:pPr>
        <w:snapToGrid w:val="0"/>
        <w:spacing w:after="120" w:afterLines="50"/>
        <w:ind w:firstLine="418" w:firstLineChars="199"/>
        <w:jc w:val="center"/>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EXCLUSIONS</w:t>
      </w:r>
    </w:p>
    <w:p w14:paraId="4DECCE3B">
      <w:pPr>
        <w:snapToGrid w:val="0"/>
        <w:spacing w:after="120" w:afterLines="5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 xml:space="preserve">Article 7  </w:t>
      </w:r>
      <w:r>
        <w:rPr>
          <w:rFonts w:hint="default" w:ascii="Times New Roman" w:hAnsi="Times New Roman" w:cs="Times New Roman" w:eastAsiaTheme="minorEastAsia"/>
          <w:b/>
          <w:vanish/>
          <w:szCs w:val="21"/>
        </w:rPr>
        <w:cr/>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t>itigating the loss of the property insured.incurred after the occurrence of the insured event for the purpose of preventing or m</w:t>
      </w:r>
      <w:r>
        <w:rPr>
          <w:rFonts w:hint="default" w:ascii="Times New Roman" w:hAnsi="Times New Roman" w:cs="Times New Roman" w:eastAsiaTheme="minorEastAsia"/>
          <w:b/>
          <w:vanish/>
          <w:szCs w:val="21"/>
        </w:rPr>
        <w:cr/>
      </w:r>
      <w:r>
        <w:rPr>
          <w:rFonts w:hint="default" w:ascii="Times New Roman" w:hAnsi="Times New Roman" w:cs="Times New Roman" w:eastAsiaTheme="minorEastAsia"/>
          <w:b/>
          <w:vanish/>
          <w:szCs w:val="21"/>
        </w:rPr>
        <w:t>rticle its;</w:t>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vanish/>
          <w:szCs w:val="21"/>
        </w:rPr>
        <w:pgNum/>
      </w:r>
      <w:r>
        <w:rPr>
          <w:rFonts w:hint="default" w:ascii="Times New Roman" w:hAnsi="Times New Roman" w:cs="Times New Roman" w:eastAsiaTheme="minorEastAsia"/>
          <w:b/>
          <w:szCs w:val="21"/>
        </w:rPr>
        <w:t>The Insurer shall not indemnify the Insured in respect of any loss, damage, or expenses resulting from:</w:t>
      </w:r>
    </w:p>
    <w:p w14:paraId="6D21902F">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7.1 willful act or gross negligence of the Applicant or the Insured or his representative;</w:t>
      </w:r>
    </w:p>
    <w:p w14:paraId="6F0DB27F">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7.2 governmental or judicial actions;</w:t>
      </w:r>
    </w:p>
    <w:p w14:paraId="40909C2D">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7.3 war and warlike operation, hostilities, armed conflicts, strike, riot, civil commotion, coup d’état, conspiracy insurrection, terrorism;</w:t>
      </w:r>
    </w:p>
    <w:p w14:paraId="336CF696">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 xml:space="preserve">7.4 earthquake, tsunami and </w:t>
      </w:r>
      <w:r>
        <w:rPr>
          <w:rStyle w:val="29"/>
          <w:rFonts w:hint="default" w:ascii="Times New Roman" w:hAnsi="Times New Roman" w:cs="Times New Roman" w:eastAsiaTheme="minorEastAsia"/>
          <w:b/>
          <w:szCs w:val="21"/>
        </w:rPr>
        <w:t>secondary</w:t>
      </w:r>
      <w:r>
        <w:rPr>
          <w:rFonts w:hint="default" w:ascii="Times New Roman" w:hAnsi="Times New Roman" w:cs="Times New Roman" w:eastAsiaTheme="minorEastAsia"/>
          <w:b/>
          <w:szCs w:val="21"/>
        </w:rPr>
        <w:t xml:space="preserve"> disasters so caused; </w:t>
      </w:r>
    </w:p>
    <w:p w14:paraId="6E503351">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7.5 nuclear radiation, nuclear fission, nuclear fusion, nuclear pollution or contamination and other radioactive pollution or contamination;</w:t>
      </w:r>
    </w:p>
    <w:p w14:paraId="7D0FB276">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7.6 pollution of atmosphere, soil, water and other non-radioactive pollution, except non-radioactive pollution caused by perils hereby insured.</w:t>
      </w:r>
    </w:p>
    <w:p w14:paraId="548C493E">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7.7 inherent vice or latent defect of the property insured, wear and tear of the property insured, changes in atmosphere (climatic or temperature) conditions, changes in normal water level or any other progressively operating causes; changes in substance, mould, humidity, mice, insects or vermin, birds, oxidation, rust, leakage, baking;</w:t>
      </w:r>
    </w:p>
    <w:p w14:paraId="7A5FE7D6">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7.8 theft, burglary or robbery.</w:t>
      </w:r>
    </w:p>
    <w:p w14:paraId="0DC2AB57">
      <w:pPr>
        <w:snapToGrid w:val="0"/>
        <w:spacing w:after="120" w:afterLines="5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Article 8 The Insurer shall not be liable for:</w:t>
      </w:r>
    </w:p>
    <w:p w14:paraId="4EF83A57">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8.1 consequential loss of the property insured arising from an event insured;</w:t>
      </w:r>
    </w:p>
    <w:p w14:paraId="19F0832D">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8.2 loss of or damage to the property insured itself arising from faulty design, defective material, or bad workmanship;</w:t>
      </w:r>
    </w:p>
    <w:p w14:paraId="0860FC3D">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8.3 loss of or damage to the outside ancillary devices of building such as advertising signs, antenna, neon lights, solar energy equipment and other property insured stored in the open or in the simple building and the loss of or damage to the simple building itself, caused by the lightning, rainstorm, flood, inundation, windstorm, tornado, hailstone, typhoon, hurricane, snowstorm, icicle, sandstorm;</w:t>
      </w:r>
    </w:p>
    <w:p w14:paraId="30225558">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8.4 loss of or damage to the boilers or other pressure vessels themselves caused by their own explosion;</w:t>
      </w:r>
    </w:p>
    <w:p w14:paraId="50564BF9">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8.5 loss of or damage to the mechanical or electrical devices themselves unless due to external forces;</w:t>
      </w:r>
    </w:p>
    <w:p w14:paraId="22AB2716">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8.6 loss of or damage to electrical or mechanical equipment caused by faulty operation or lack of skills of the Insured or any of his employee(s);</w:t>
      </w:r>
    </w:p>
    <w:p w14:paraId="2A718970">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8.7 shortage discovered at the time of taking an inventory;</w:t>
      </w:r>
    </w:p>
    <w:p w14:paraId="1380F97D">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8.8 any loss or expenses caused by failure of public utilities, such as electricity, gas, water supply or other energy sources, due to any causes;</w:t>
      </w:r>
    </w:p>
    <w:p w14:paraId="3097F262">
      <w:pPr>
        <w:snapToGrid w:val="0"/>
        <w:spacing w:after="120" w:afterLines="50"/>
        <w:ind w:left="314" w:hanging="313" w:hangingChars="14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8.9 the deductible(s) stated in the Policy.</w:t>
      </w:r>
    </w:p>
    <w:p w14:paraId="57641FED">
      <w:pPr>
        <w:snapToGrid w:val="0"/>
        <w:spacing w:after="120" w:afterLines="50"/>
        <w:jc w:val="center"/>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INSURED VALUE, SUM INSURED, AND DEDUCTIBLE</w:t>
      </w:r>
    </w:p>
    <w:p w14:paraId="6D66473E">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Article 9 </w:t>
      </w:r>
      <w:r>
        <w:rPr>
          <w:rFonts w:hint="default" w:ascii="Times New Roman" w:hAnsi="Times New Roman" w:cs="Times New Roman" w:eastAsiaTheme="minorEastAsia"/>
          <w:szCs w:val="21"/>
        </w:rPr>
        <w:t xml:space="preserve">The insured value of the property insured, which can be either the reinstatement value, the book value, the market value or other values at the time of the happening of Damage, shall be agreed upon between the Applicant and the Insurer and stated in the Policy. </w:t>
      </w:r>
    </w:p>
    <w:p w14:paraId="101BD6DE">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Article 10 </w:t>
      </w:r>
      <w:r>
        <w:rPr>
          <w:rFonts w:hint="default" w:ascii="Times New Roman" w:hAnsi="Times New Roman" w:cs="Times New Roman" w:eastAsiaTheme="minorEastAsia"/>
          <w:szCs w:val="21"/>
        </w:rPr>
        <w:t>The sum insured, which shall be determined by the Applicant according to the insured value and stated in the Policy, shall not exceed the insured value. The part of sum insure in excess of the insured value is deemed to be invalid, and correspondingly the premium of such part in excess shall be returned to the Applicant.</w:t>
      </w:r>
    </w:p>
    <w:p w14:paraId="2550B501">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Article 11 </w:t>
      </w:r>
      <w:r>
        <w:rPr>
          <w:rFonts w:hint="default" w:ascii="Times New Roman" w:hAnsi="Times New Roman" w:cs="Times New Roman" w:eastAsiaTheme="minorEastAsia"/>
          <w:szCs w:val="21"/>
        </w:rPr>
        <w:t>The deductible shall be agreed between the Applicant and the Insurer when entering into the insurance contract and specified in the Policy.</w:t>
      </w:r>
    </w:p>
    <w:p w14:paraId="6C62EA35">
      <w:pPr>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kern w:val="0"/>
          <w:szCs w:val="21"/>
        </w:rPr>
        <w:t>PERIOD OF INSURANCE</w:t>
      </w:r>
    </w:p>
    <w:p w14:paraId="7AD6A2E7">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Article 12 </w:t>
      </w:r>
      <w:r>
        <w:rPr>
          <w:rFonts w:hint="default" w:ascii="Times New Roman" w:hAnsi="Times New Roman" w:cs="Times New Roman" w:eastAsiaTheme="minorEastAsia"/>
          <w:szCs w:val="21"/>
        </w:rPr>
        <w:t>Unless otherwise agreed, the period of insurance shall be one year subject to the inception and expiration date as stipulated in the Policy.</w:t>
      </w:r>
    </w:p>
    <w:p w14:paraId="02EEB410">
      <w:pPr>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OBLIGATIONS OF THE INSURER</w:t>
      </w:r>
    </w:p>
    <w:p w14:paraId="015D5E0B">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Article 13 </w:t>
      </w:r>
      <w:r>
        <w:rPr>
          <w:rFonts w:hint="default" w:ascii="Times New Roman" w:hAnsi="Times New Roman" w:cs="Times New Roman" w:eastAsiaTheme="minorEastAsia"/>
          <w:szCs w:val="21"/>
        </w:rPr>
        <w:t xml:space="preserve">In case of application of standard clauses, the Insurer shall enclose them in the Proposal Form and explain the contents of the insurance contract to the Applicant. For the clauses exempting the Insurer’s liability, the Insurer shall make remarkable notice in the Proposal Form, Policy or other certificates to draw the Applicant’s attention, and explain them clearly in written or oral form when entering into the contract. Otherwise, such clauses shall be void. </w:t>
      </w:r>
    </w:p>
    <w:p w14:paraId="3D801FC1">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Article 14 </w:t>
      </w:r>
      <w:r>
        <w:rPr>
          <w:rFonts w:hint="default" w:ascii="Times New Roman" w:hAnsi="Times New Roman" w:cs="Times New Roman" w:eastAsiaTheme="minorEastAsia"/>
          <w:szCs w:val="21"/>
        </w:rPr>
        <w:t xml:space="preserve">The Insurer shall issue the Policy or other certificates in a timely manner after the establishment of an insurance contract </w:t>
      </w:r>
    </w:p>
    <w:p w14:paraId="4954AEBA">
      <w:pPr>
        <w:snapToGrid w:val="0"/>
        <w:spacing w:after="120" w:afterLines="50"/>
        <w:rPr>
          <w:rStyle w:val="26"/>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Article </w:t>
      </w:r>
      <w:r>
        <w:rPr>
          <w:rStyle w:val="26"/>
          <w:rFonts w:hint="default" w:ascii="Times New Roman" w:hAnsi="Times New Roman" w:cs="Times New Roman" w:eastAsiaTheme="minorEastAsia"/>
          <w:b/>
          <w:szCs w:val="21"/>
        </w:rPr>
        <w:t xml:space="preserve">15 </w:t>
      </w:r>
      <w:r>
        <w:rPr>
          <w:rStyle w:val="26"/>
          <w:rFonts w:hint="default" w:ascii="Times New Roman" w:hAnsi="Times New Roman" w:cs="Times New Roman" w:eastAsiaTheme="minorEastAsia"/>
          <w:szCs w:val="21"/>
        </w:rPr>
        <w:t>The Insurer’s right to cancel the Policy as stated in Article 19 is void if not exercised by the Insurer within thirty days after his acknowledgement of any causes for cancellation of this Policy. After two years from the establishment of the insurance contract, such right to cancel the Policy is also void and the Insurer shall be liable for Damage insured by this Policy.</w:t>
      </w:r>
    </w:p>
    <w:p w14:paraId="4E5511BE">
      <w:pPr>
        <w:snapToGrid w:val="0"/>
        <w:spacing w:after="120" w:afterLines="50"/>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If before the establishment of the insurance contract, the Insurer is aware of the Applicant’s misrepresentation or non-disclosure, the Insurer cannot cancel the Policy, and still shall be liable for Damage insured by this Policy.</w:t>
      </w:r>
    </w:p>
    <w:p w14:paraId="682F78BD">
      <w:pPr>
        <w:snapToGrid w:val="0"/>
        <w:spacing w:after="120" w:afterLines="50"/>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b/>
          <w:szCs w:val="21"/>
        </w:rPr>
        <w:t xml:space="preserve">Article 16 </w:t>
      </w:r>
      <w:r>
        <w:rPr>
          <w:rStyle w:val="26"/>
          <w:rFonts w:hint="default" w:ascii="Times New Roman" w:hAnsi="Times New Roman" w:cs="Times New Roman" w:eastAsiaTheme="minorEastAsia"/>
          <w:szCs w:val="21"/>
        </w:rPr>
        <w:t>If the Insurer believes that the proofs and documents provided by the Insured, as required in Article 25, are not sufficient, the Insurer shall request the Applicant and/or the Insured to provide additional materials in time and once for all.</w:t>
      </w:r>
    </w:p>
    <w:p w14:paraId="56953198">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Article 17 </w:t>
      </w:r>
      <w:r>
        <w:rPr>
          <w:rFonts w:hint="default" w:ascii="Times New Roman" w:hAnsi="Times New Roman" w:cs="Times New Roman" w:eastAsiaTheme="minorEastAsia"/>
          <w:szCs w:val="21"/>
        </w:rPr>
        <w:t>Upon receipt of a claim, the Insurer shall confirm whether the Damage is covered by this Policy or not in a timely manner.  For complicated cases, the Insurer shall make decision within thirty days, unless otherwise stipulated in the insurance contact.</w:t>
      </w:r>
    </w:p>
    <w:p w14:paraId="6E7E3718">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The Insurer shall notify the Insured of the decision in a timely manner. If the Damage is covered by this Policy, the Insurer shall make payment within ten days after reaching an agreement with the Insured. If the time limit for indemnity is specifically stipulated in the insurance contact, the Insurer shall make payment within such time limit. If the Damage is not covered by this Policy, within three days after the decision, the Insurer shall issue a declination letter and explain the reasons to the Insured. </w:t>
      </w:r>
    </w:p>
    <w:p w14:paraId="335ADA8E">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Article 18 </w:t>
      </w:r>
      <w:r>
        <w:rPr>
          <w:rFonts w:hint="default" w:ascii="Times New Roman" w:hAnsi="Times New Roman" w:cs="Times New Roman" w:eastAsiaTheme="minorEastAsia"/>
          <w:szCs w:val="21"/>
        </w:rPr>
        <w:t>The Insurer shall allow an advance payment that can be determined by the available proofs or documents if the final settlement amount cannot be determined within sixty days after receipt of such claim and relevant documents, and pay the balance to the Insured after the final amount of indemnity is adjusted.</w:t>
      </w:r>
    </w:p>
    <w:p w14:paraId="0573C1D6">
      <w:pPr>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OBLIGATIONS OF THE APPLICANT AND/OR INSURED</w:t>
      </w:r>
    </w:p>
    <w:p w14:paraId="217BE613">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Article 19</w:t>
      </w:r>
      <w:r>
        <w:rPr>
          <w:rFonts w:hint="default" w:ascii="Times New Roman" w:hAnsi="Times New Roman" w:cs="Times New Roman" w:eastAsiaTheme="minorEastAsia"/>
          <w:szCs w:val="21"/>
        </w:rPr>
        <w:t xml:space="preserve"> Before entering into an insurance contract, the Applicant shall make full and accurate representation and disclosure at the request and/or inquiry of the Insurer in respect of the property insured and the Insured himself and complete the Proposal Form faithfully.</w:t>
      </w:r>
    </w:p>
    <w:p w14:paraId="5D34B451">
      <w:pPr>
        <w:pStyle w:val="7"/>
        <w:snapToGrid w:val="0"/>
        <w:spacing w:afterLines="5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If the Applicant fails to fulfill the obligation of making full and accurate representation and disclosure as aforementioned due to his willful act and/or gross negligence, which may affect the Insurer’s decision whether to write the risk of the insurance and, if so, whether to raise the premium rate, the Insurer is entitled to cancel the Policy.</w:t>
      </w:r>
    </w:p>
    <w:p w14:paraId="3D6E3479">
      <w:pPr>
        <w:tabs>
          <w:tab w:val="left" w:pos="1620"/>
        </w:tabs>
        <w:snapToGrid w:val="0"/>
        <w:spacing w:after="120" w:afterLines="5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 xml:space="preserve">If the Applicant willfully fails to comply with the obligation of </w:t>
      </w:r>
      <w:r>
        <w:rPr>
          <w:rFonts w:hint="default" w:ascii="Times New Roman" w:hAnsi="Times New Roman" w:cs="Times New Roman" w:eastAsiaTheme="minorEastAsia"/>
          <w:b/>
          <w:kern w:val="0"/>
          <w:szCs w:val="21"/>
        </w:rPr>
        <w:t>making full and accurate representation and disclosure</w:t>
      </w:r>
      <w:r>
        <w:rPr>
          <w:rFonts w:hint="default" w:ascii="Times New Roman" w:hAnsi="Times New Roman" w:cs="Times New Roman" w:eastAsiaTheme="minorEastAsia"/>
          <w:b/>
          <w:szCs w:val="21"/>
        </w:rPr>
        <w:t>, the Insurer shall not be liable for any loss or damage happening prior to the cancellation of the Policy while no premium shall be refunded.</w:t>
      </w:r>
    </w:p>
    <w:p w14:paraId="0DFBF357">
      <w:pPr>
        <w:tabs>
          <w:tab w:val="left" w:pos="1620"/>
        </w:tabs>
        <w:snapToGrid w:val="0"/>
        <w:spacing w:after="120" w:afterLines="5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 xml:space="preserve">If the Applicant, due to gross negligence, fails to disclose in truth material particular(s) which has significant contribution to the occurrence of the event insured hereby, the Insurer shall not indemnify the Insured for any loss or damage happening prior to the cancellation of this Policy, but shall return premium collected. </w:t>
      </w:r>
    </w:p>
    <w:p w14:paraId="5F785401">
      <w:pPr>
        <w:pStyle w:val="9"/>
        <w:snapToGrid w:val="0"/>
        <w:spacing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 xml:space="preserve">Article 20 </w:t>
      </w:r>
      <w:r>
        <w:rPr>
          <w:rFonts w:hint="default" w:ascii="Times New Roman" w:hAnsi="Times New Roman" w:cs="Times New Roman" w:eastAsiaTheme="minorEastAsia"/>
          <w:szCs w:val="21"/>
        </w:rPr>
        <w:t>The Applicant shall pay premium as agreed upon in the insurance contract.</w:t>
      </w:r>
    </w:p>
    <w:p w14:paraId="287372C3">
      <w:pPr>
        <w:pStyle w:val="9"/>
        <w:snapToGrid w:val="0"/>
        <w:spacing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If the premium is agreed to be paid in a lump, </w:t>
      </w:r>
      <w:r>
        <w:rPr>
          <w:rFonts w:hint="default" w:ascii="Times New Roman" w:hAnsi="Times New Roman" w:cs="Times New Roman" w:eastAsiaTheme="minorEastAsia"/>
          <w:b/>
          <w:szCs w:val="21"/>
        </w:rPr>
        <w:t xml:space="preserve">the Applicant shall pay the premium on or before the agreed due date. Otherwise, the Insurer shall not be liable for any loss or damage which occurs prior to premium payment. </w:t>
      </w:r>
    </w:p>
    <w:p w14:paraId="1E691E4C">
      <w:pPr>
        <w:snapToGrid w:val="0"/>
        <w:spacing w:after="120" w:afterLines="50"/>
        <w:rPr>
          <w:rFonts w:hint="default" w:ascii="Times New Roman" w:hAnsi="Times New Roman" w:cs="Times New Roman" w:eastAsiaTheme="minorEastAsia"/>
          <w:b/>
          <w:bCs/>
          <w:szCs w:val="21"/>
        </w:rPr>
      </w:pPr>
      <w:r>
        <w:rPr>
          <w:rFonts w:hint="default" w:ascii="Times New Roman" w:hAnsi="Times New Roman" w:cs="Times New Roman" w:eastAsiaTheme="minorEastAsia"/>
          <w:szCs w:val="21"/>
        </w:rPr>
        <w:t xml:space="preserve">If the premium is agreed to be paid in installments, </w:t>
      </w:r>
      <w:r>
        <w:rPr>
          <w:rFonts w:hint="default" w:ascii="Times New Roman" w:hAnsi="Times New Roman" w:cs="Times New Roman" w:eastAsiaTheme="minorEastAsia"/>
          <w:b/>
          <w:szCs w:val="21"/>
        </w:rPr>
        <w:t xml:space="preserve">the Insurer shall undertake liability in proportion of the paid premium to the total premium payable before the occurrence of Damage. </w:t>
      </w:r>
      <w:r>
        <w:rPr>
          <w:rFonts w:hint="default" w:ascii="Times New Roman" w:hAnsi="Times New Roman" w:cs="Times New Roman" w:eastAsiaTheme="minorEastAsia"/>
          <w:szCs w:val="21"/>
        </w:rPr>
        <w:t xml:space="preserve">The total premium payable refers to the total premium that the Applicant shall pay as agreed prior to the occurrence. </w:t>
      </w:r>
    </w:p>
    <w:p w14:paraId="59B5709A">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 xml:space="preserve">Article 21 </w:t>
      </w:r>
      <w:r>
        <w:rPr>
          <w:rFonts w:hint="default" w:ascii="Times New Roman" w:hAnsi="Times New Roman" w:cs="Times New Roman" w:eastAsiaTheme="minorEastAsia"/>
          <w:szCs w:val="21"/>
        </w:rPr>
        <w:t xml:space="preserve">The insured shall observe and fulfill relevant laws, regulations and requirements on fire, safety, production operations </w:t>
      </w:r>
      <w:r>
        <w:rPr>
          <w:rFonts w:hint="default" w:ascii="Times New Roman" w:hAnsi="Times New Roman" w:cs="Times New Roman" w:eastAsiaTheme="minorEastAsia"/>
          <w:bCs/>
          <w:szCs w:val="21"/>
        </w:rPr>
        <w:t>and labor protection</w:t>
      </w:r>
      <w:r>
        <w:rPr>
          <w:rFonts w:hint="default" w:ascii="Times New Roman" w:hAnsi="Times New Roman" w:cs="Times New Roman" w:eastAsiaTheme="minorEastAsia"/>
          <w:szCs w:val="21"/>
        </w:rPr>
        <w:t xml:space="preserve">, </w:t>
      </w:r>
      <w:r>
        <w:rPr>
          <w:rFonts w:hint="default" w:ascii="Times New Roman" w:hAnsi="Times New Roman" w:cs="Times New Roman" w:eastAsiaTheme="minorEastAsia"/>
          <w:bCs/>
          <w:szCs w:val="21"/>
        </w:rPr>
        <w:t>improve management, take all reasonable precautions to protect</w:t>
      </w:r>
      <w:r>
        <w:rPr>
          <w:rFonts w:hint="default" w:ascii="Times New Roman" w:hAnsi="Times New Roman" w:cs="Times New Roman" w:eastAsiaTheme="minorEastAsia"/>
          <w:szCs w:val="21"/>
        </w:rPr>
        <w:t xml:space="preserve"> the security</w:t>
      </w:r>
      <w:r>
        <w:rPr>
          <w:rFonts w:hint="default" w:ascii="Times New Roman" w:hAnsi="Times New Roman" w:cs="Times New Roman" w:eastAsiaTheme="minorEastAsia"/>
          <w:bCs/>
          <w:szCs w:val="21"/>
        </w:rPr>
        <w:t xml:space="preserve"> of the property and prevent and/or minimize Damage thereto.</w:t>
      </w:r>
    </w:p>
    <w:p w14:paraId="19B66E91">
      <w:pPr>
        <w:adjustRightInd w:val="0"/>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 xml:space="preserve">The Insurer is entitled to inspect whether or not the Insured has fulfilled the aforementioned obligation of reasonable precautions, and make recommendations in writing to the Applicant or the Insured on eliminating risks and dangers, which shall be implemented by the Applicant and/or the Insured </w:t>
      </w:r>
      <w:r>
        <w:rPr>
          <w:rFonts w:hint="default" w:ascii="Times New Roman" w:hAnsi="Times New Roman" w:cs="Times New Roman" w:eastAsiaTheme="minorEastAsia"/>
          <w:szCs w:val="21"/>
        </w:rPr>
        <w:t xml:space="preserve">in a serious manner </w:t>
      </w:r>
      <w:r>
        <w:rPr>
          <w:rFonts w:hint="default" w:ascii="Times New Roman" w:hAnsi="Times New Roman" w:cs="Times New Roman" w:eastAsiaTheme="minorEastAsia"/>
          <w:bCs/>
          <w:szCs w:val="21"/>
        </w:rPr>
        <w:t>accordingly.</w:t>
      </w:r>
    </w:p>
    <w:p w14:paraId="723248BE">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 xml:space="preserve">If the Applicant or the Insured fails to comply with due obligation of reasonable precautions, the Insurer is entitled to charge additional premium or cancel the Policy. </w:t>
      </w:r>
    </w:p>
    <w:p w14:paraId="25A63E32">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 xml:space="preserve">Article 22 </w:t>
      </w:r>
      <w:r>
        <w:rPr>
          <w:rFonts w:hint="default" w:ascii="Times New Roman" w:hAnsi="Times New Roman" w:cs="Times New Roman" w:eastAsiaTheme="minorEastAsia"/>
          <w:bCs/>
          <w:szCs w:val="21"/>
        </w:rPr>
        <w:t>Once any property insured is transferred, the Insured or the Assignee shall notify the Insurer in time.</w:t>
      </w:r>
    </w:p>
    <w:p w14:paraId="716BD28F">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If the risk increases materially due to that transfer, the Insurer may charge additional premium or cancel the Policy subject to the terms and conditions of the Policy within thirty days after the Insurer’s receipt of such notice, in which case, the Insurer shall retain the premium due for the period from the date of inception to the date of cancellation, and refund the remainder of the charged premium to the Applicant</w:t>
      </w:r>
    </w:p>
    <w:p w14:paraId="02819315">
      <w:pPr>
        <w:snapToGrid w:val="0"/>
        <w:spacing w:after="120" w:afterLines="50"/>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If the Insured or Assignee fails to comply with the aforementioned obligation of notification, the Insurer shall not be liable for any Damage due to the material increase of risks resulted from such transfer of the property insured.</w:t>
      </w:r>
    </w:p>
    <w:p w14:paraId="143455A6">
      <w:pPr>
        <w:snapToGrid w:val="0"/>
        <w:spacing w:after="120" w:afterLines="50"/>
        <w:rPr>
          <w:rFonts w:hint="default" w:ascii="Times New Roman" w:hAnsi="Times New Roman" w:cs="Times New Roman" w:eastAsiaTheme="minorEastAsia"/>
          <w:b/>
          <w:szCs w:val="21"/>
        </w:rPr>
      </w:pPr>
      <w:r>
        <w:rPr>
          <w:rFonts w:hint="default" w:ascii="Times New Roman" w:hAnsi="Times New Roman" w:cs="Times New Roman" w:eastAsiaTheme="minorEastAsia"/>
          <w:b/>
          <w:bCs/>
          <w:szCs w:val="21"/>
        </w:rPr>
        <w:t xml:space="preserve">Article 23 </w:t>
      </w:r>
      <w:r>
        <w:rPr>
          <w:rFonts w:hint="default" w:ascii="Times New Roman" w:hAnsi="Times New Roman" w:cs="Times New Roman" w:eastAsiaTheme="minorEastAsia"/>
          <w:bCs/>
          <w:szCs w:val="21"/>
        </w:rPr>
        <w:t xml:space="preserve">During the period of insurance, the Insured shall give the Insurer timely written notice of any alteration of the occupation and/or usage and/or location of the property insured and/or other material facts which may increase the risks materially and affect the Insurer’s decision whether to continue writing the risk of insurance and, if so, whether to increase the premium, and the Insurer is entitled to charge additional premium or cancel the Policy. </w:t>
      </w:r>
    </w:p>
    <w:p w14:paraId="16FDFD0D">
      <w:pPr>
        <w:snapToGrid w:val="0"/>
        <w:spacing w:after="120" w:afterLines="50"/>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 xml:space="preserve">If the Insured fails to comply with the obligation of notification aforementioned, the Insurer shall not be liable for any Damage due to the </w:t>
      </w:r>
      <w:r>
        <w:rPr>
          <w:rFonts w:hint="default" w:ascii="Times New Roman" w:hAnsi="Times New Roman" w:cs="Times New Roman" w:eastAsiaTheme="minorEastAsia"/>
          <w:b/>
          <w:szCs w:val="21"/>
        </w:rPr>
        <w:t>material change of the risks</w:t>
      </w:r>
      <w:r>
        <w:rPr>
          <w:rFonts w:hint="default" w:ascii="Times New Roman" w:hAnsi="Times New Roman" w:cs="Times New Roman" w:eastAsiaTheme="minorEastAsia"/>
          <w:b/>
          <w:bCs/>
          <w:szCs w:val="21"/>
        </w:rPr>
        <w:t>.</w:t>
      </w:r>
    </w:p>
    <w:p w14:paraId="40B1918A">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 xml:space="preserve">Article 24 </w:t>
      </w:r>
      <w:r>
        <w:rPr>
          <w:rFonts w:hint="default" w:ascii="Times New Roman" w:hAnsi="Times New Roman" w:cs="Times New Roman" w:eastAsiaTheme="minorEastAsia"/>
          <w:bCs/>
          <w:szCs w:val="21"/>
        </w:rPr>
        <w:t>If any event giving rise to or likely to give rise to a claim under this Policy comes to his knowledge, the Insured shall:</w:t>
      </w:r>
    </w:p>
    <w:p w14:paraId="750C7B15">
      <w:pPr>
        <w:pStyle w:val="7"/>
        <w:snapToGrid w:val="0"/>
        <w:spacing w:afterLines="50"/>
        <w:ind w:left="876" w:hanging="455" w:hangingChars="217"/>
        <w:rPr>
          <w:rFonts w:hint="default" w:ascii="Times New Roman" w:hAnsi="Times New Roman" w:cs="Times New Roman" w:eastAsiaTheme="minorEastAsia"/>
          <w:bCs/>
          <w:sz w:val="21"/>
          <w:szCs w:val="21"/>
        </w:rPr>
      </w:pPr>
      <w:r>
        <w:rPr>
          <w:rFonts w:hint="default" w:ascii="Times New Roman" w:hAnsi="Times New Roman" w:cs="Times New Roman" w:eastAsiaTheme="minorEastAsia"/>
          <w:bCs/>
          <w:sz w:val="21"/>
          <w:szCs w:val="21"/>
        </w:rPr>
        <w:t xml:space="preserve">24.1 take all necessary and reasonable measures to prevent or minimize the Damage; otherwise </w:t>
      </w:r>
      <w:r>
        <w:rPr>
          <w:rFonts w:hint="default" w:ascii="Times New Roman" w:hAnsi="Times New Roman" w:cs="Times New Roman" w:eastAsiaTheme="minorEastAsia"/>
          <w:b/>
          <w:bCs/>
          <w:sz w:val="21"/>
          <w:szCs w:val="21"/>
        </w:rPr>
        <w:t>the Insurer shall not be liable for any extended or aggravated loss or damage caused hereby;</w:t>
      </w:r>
      <w:r>
        <w:rPr>
          <w:rFonts w:hint="default" w:ascii="Times New Roman" w:hAnsi="Times New Roman" w:cs="Times New Roman" w:eastAsiaTheme="minorEastAsia"/>
          <w:bCs/>
          <w:sz w:val="21"/>
          <w:szCs w:val="21"/>
        </w:rPr>
        <w:t xml:space="preserve">  </w:t>
      </w:r>
    </w:p>
    <w:p w14:paraId="3D1FD999">
      <w:pPr>
        <w:snapToGrid w:val="0"/>
        <w:spacing w:after="120" w:afterLines="50"/>
        <w:rPr>
          <w:rFonts w:hint="default" w:ascii="Times New Roman" w:hAnsi="Times New Roman" w:cs="Times New Roman" w:eastAsiaTheme="minorEastAsia"/>
          <w:b/>
          <w:bCs/>
          <w:szCs w:val="21"/>
        </w:rPr>
      </w:pPr>
      <w:r>
        <w:rPr>
          <w:rFonts w:hint="default" w:ascii="Times New Roman" w:hAnsi="Times New Roman" w:cs="Times New Roman" w:eastAsiaTheme="minorEastAsia"/>
          <w:bCs/>
          <w:szCs w:val="21"/>
        </w:rPr>
        <w:t xml:space="preserve">24.2 give notice to the Insurer immediately and submit a written report on the cause, course and extent of the loss or damage. </w:t>
      </w:r>
      <w:r>
        <w:rPr>
          <w:rFonts w:hint="default" w:ascii="Times New Roman" w:hAnsi="Times New Roman" w:cs="Times New Roman" w:eastAsiaTheme="minorEastAsia"/>
          <w:b/>
          <w:bCs/>
          <w:szCs w:val="21"/>
        </w:rPr>
        <w:t>If the Applicant and/or Insured fail to notify the Insurer in time due to his willful act or gross negligence, which makes the Insurer not able to ascertain the nature, cause and extent of the loss, the Insurer shall not indemnify the Insured in respect of such uncertain part of Damage, except that the Insurer is aware or ought to be aware of the occurrence timely by other means.</w:t>
      </w:r>
    </w:p>
    <w:p w14:paraId="20672F49">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 xml:space="preserve">24.3 preserve the spot, permit and assist the Insurer in investigation of the Damage. </w:t>
      </w:r>
      <w:r>
        <w:rPr>
          <w:rFonts w:hint="default" w:ascii="Times New Roman" w:hAnsi="Times New Roman" w:cs="Times New Roman" w:eastAsiaTheme="minorEastAsia"/>
          <w:b/>
          <w:bCs/>
          <w:szCs w:val="21"/>
        </w:rPr>
        <w:t>If the cause of the occurrence cannot be ascertained or the severity of the damage cannot be verified due to the refusal of or disturbance by the Insured, the Insurer shall not be liable for such uncertain part of Damage.</w:t>
      </w:r>
    </w:p>
    <w:p w14:paraId="65FA5E7E">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 xml:space="preserve">Article 25 </w:t>
      </w:r>
      <w:r>
        <w:rPr>
          <w:rFonts w:hint="default" w:ascii="Times New Roman" w:hAnsi="Times New Roman" w:cs="Times New Roman" w:eastAsiaTheme="minorEastAsia"/>
          <w:szCs w:val="21"/>
        </w:rPr>
        <w:t>To lodge a claim,</w:t>
      </w:r>
      <w:r>
        <w:rPr>
          <w:rFonts w:hint="default" w:ascii="Times New Roman" w:hAnsi="Times New Roman" w:cs="Times New Roman" w:eastAsiaTheme="minorEastAsia"/>
          <w:bCs/>
          <w:szCs w:val="21"/>
        </w:rPr>
        <w:t xml:space="preserve"> the Insured shall submit the following proofs and documents:</w:t>
      </w:r>
    </w:p>
    <w:p w14:paraId="4E025B68">
      <w:pPr>
        <w:snapToGrid w:val="0"/>
        <w:spacing w:after="120" w:afterLines="50"/>
        <w:ind w:left="506" w:hanging="506" w:hangingChars="241"/>
        <w:rPr>
          <w:rFonts w:hint="default" w:ascii="Times New Roman" w:hAnsi="Times New Roman" w:cs="Times New Roman" w:eastAsiaTheme="minorEastAsia"/>
          <w:szCs w:val="21"/>
        </w:rPr>
      </w:pPr>
      <w:r>
        <w:rPr>
          <w:rFonts w:hint="default" w:ascii="Times New Roman" w:hAnsi="Times New Roman" w:cs="Times New Roman" w:eastAsiaTheme="minorEastAsia"/>
          <w:bCs/>
          <w:szCs w:val="21"/>
        </w:rPr>
        <w:t>25.1 the original policy, claims application, list of lost or damaged property, certificates of technical appraisal, report on the occurrence, invoices of rescue expenses, necessary accounting books, documents and certificates issued by relevant governmental departments or public authorities.</w:t>
      </w:r>
    </w:p>
    <w:p w14:paraId="261DF7FB">
      <w:pPr>
        <w:snapToGrid w:val="0"/>
        <w:spacing w:after="120" w:afterLines="50"/>
        <w:ind w:left="506" w:hanging="506" w:hangingChars="241"/>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 xml:space="preserve">25.2 all other information and available documents or proofs concerning the verification of the nature, cause and extent of the Damage that can be provided by the Applicant or Insured.  </w:t>
      </w:r>
    </w:p>
    <w:p w14:paraId="1FD7CFD4">
      <w:pPr>
        <w:snapToGrid w:val="0"/>
        <w:spacing w:after="120" w:afterLines="50"/>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If the Applicant or Insured fails to comply with their obligation of providing the proofs and documents as aforementioned, which makes the Insurer not able to verify the Damage, the Insurer shall not indemnify the Insured in respect of the uncertain part of Damage.</w:t>
      </w:r>
    </w:p>
    <w:p w14:paraId="74035EA8">
      <w:pPr>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LOSS SETTLEMENT</w:t>
      </w:r>
    </w:p>
    <w:p w14:paraId="28383357">
      <w:pPr>
        <w:snapToGrid w:val="0"/>
        <w:spacing w:after="120" w:afterLines="50"/>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Article 26 The Insured cannot lodge any claim against the Insurer if he has no insurable interest in the property insured at the time of the occurrence hereby insured.</w:t>
      </w:r>
    </w:p>
    <w:p w14:paraId="711769DB">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 xml:space="preserve">Article 27 </w:t>
      </w:r>
      <w:r>
        <w:rPr>
          <w:rFonts w:hint="default" w:ascii="Times New Roman" w:hAnsi="Times New Roman" w:cs="Times New Roman" w:eastAsiaTheme="minorEastAsia"/>
          <w:bCs/>
          <w:szCs w:val="21"/>
        </w:rPr>
        <w:t>The Insurer may, at his option, indemnify the Insured for loss of or damage to the property insured by either:</w:t>
      </w:r>
    </w:p>
    <w:p w14:paraId="07A72878">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27.1 cash: the Insurer makes cash payment as indemnity; or</w:t>
      </w:r>
    </w:p>
    <w:p w14:paraId="4D2EEF1F">
      <w:pPr>
        <w:snapToGrid w:val="0"/>
        <w:spacing w:after="120" w:afterLines="50"/>
        <w:ind w:left="521" w:hanging="520" w:hangingChars="248"/>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27.2 replacement: the Insurer replaces the lost or damaged property with that of the same type, structure, function and capacity as the nearest condition of the property immediately prior to Loss; or</w:t>
      </w:r>
    </w:p>
    <w:p w14:paraId="1C6ADC5B">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27.3 repair: the Insurer repairs the damaged property.</w:t>
      </w:r>
    </w:p>
    <w:p w14:paraId="5D871C87">
      <w:pPr>
        <w:pStyle w:val="28"/>
        <w:tabs>
          <w:tab w:val="left" w:pos="210"/>
        </w:tabs>
        <w:autoSpaceDE w:val="0"/>
        <w:autoSpaceDN w:val="0"/>
        <w:snapToGrid w:val="0"/>
        <w:spacing w:after="120" w:afterLines="50" w:line="240" w:lineRule="auto"/>
        <w:textAlignment w:val="bottom"/>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Nevertheless the extra costs and/or expenses of any alterations, additions or improvements occurring in the course of repair or replacement carried out by the Insured shall not be recoverable under this Policy.</w:t>
      </w:r>
    </w:p>
    <w:p w14:paraId="09EFF6C8">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Article 28</w:t>
      </w:r>
      <w:r>
        <w:rPr>
          <w:rFonts w:hint="default" w:ascii="Times New Roman" w:hAnsi="Times New Roman" w:cs="Times New Roman" w:eastAsiaTheme="minorEastAsia"/>
          <w:bCs/>
          <w:szCs w:val="21"/>
        </w:rPr>
        <w:t xml:space="preserve"> The property insured still carrying salvage value after Damage shall be disposed upon agreement between the Insured and the Insurer. If the salvage of the damaged property is retained by the Insured, the salvage value shall be deducted from the actual amount of indemnity</w:t>
      </w:r>
    </w:p>
    <w:p w14:paraId="01939256">
      <w:pPr>
        <w:pStyle w:val="7"/>
        <w:snapToGrid w:val="0"/>
        <w:spacing w:afterLines="50"/>
        <w:rPr>
          <w:rFonts w:hint="default" w:ascii="Times New Roman" w:hAnsi="Times New Roman" w:cs="Times New Roman" w:eastAsiaTheme="minorEastAsia"/>
          <w:sz w:val="21"/>
          <w:szCs w:val="21"/>
        </w:rPr>
      </w:pPr>
      <w:r>
        <w:rPr>
          <w:rFonts w:hint="default" w:ascii="Times New Roman" w:hAnsi="Times New Roman" w:cs="Times New Roman" w:eastAsiaTheme="minorEastAsia"/>
          <w:b/>
          <w:bCs/>
          <w:sz w:val="21"/>
          <w:szCs w:val="21"/>
        </w:rPr>
        <w:t xml:space="preserve">Article 29 </w:t>
      </w:r>
      <w:r>
        <w:rPr>
          <w:rFonts w:hint="default" w:ascii="Times New Roman" w:hAnsi="Times New Roman" w:cs="Times New Roman" w:eastAsiaTheme="minorEastAsia"/>
          <w:sz w:val="21"/>
          <w:szCs w:val="21"/>
        </w:rPr>
        <w:t xml:space="preserve">For the loss of or damage to the insured property recoverable under this Policy, the amount of indemnity shall be ascertained on the following basis: </w:t>
      </w:r>
    </w:p>
    <w:p w14:paraId="07F52644">
      <w:pPr>
        <w:snapToGrid w:val="0"/>
        <w:spacing w:after="120" w:afterLines="50"/>
        <w:ind w:left="506" w:hanging="506" w:hangingChars="241"/>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 xml:space="preserve">29.1. If the sum insured is equivalent to or greater than the insured value, the payment shall be the actual loss sustained </w:t>
      </w:r>
      <w:r>
        <w:rPr>
          <w:rFonts w:hint="default" w:ascii="Times New Roman" w:hAnsi="Times New Roman" w:cs="Times New Roman" w:eastAsiaTheme="minorEastAsia"/>
          <w:szCs w:val="21"/>
        </w:rPr>
        <w:t>but in no case shall the maximum liability of the Insurer exceed the</w:t>
      </w:r>
      <w:r>
        <w:rPr>
          <w:rFonts w:hint="default" w:ascii="Times New Roman" w:hAnsi="Times New Roman" w:cs="Times New Roman" w:eastAsiaTheme="minorEastAsia"/>
          <w:bCs/>
          <w:szCs w:val="21"/>
        </w:rPr>
        <w:t xml:space="preserve"> insured value. </w:t>
      </w:r>
    </w:p>
    <w:p w14:paraId="7855D369">
      <w:pPr>
        <w:pStyle w:val="7"/>
        <w:snapToGrid w:val="0"/>
        <w:spacing w:afterLines="50"/>
        <w:ind w:left="974" w:hanging="554" w:hangingChars="264"/>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29.2. If the sum insured is less than the insured value, the amount of indemnity shall be such a proportion of the actual loss as the sum insured bears to the insured value, but in no case shall the maximum liability of the Insurer exceed the sum insured.</w:t>
      </w:r>
    </w:p>
    <w:p w14:paraId="4D6498AB">
      <w:pPr>
        <w:snapToGrid w:val="0"/>
        <w:spacing w:after="120" w:afterLines="50"/>
        <w:ind w:left="521" w:hanging="520" w:hangingChars="248"/>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 xml:space="preserve">29.3. </w:t>
      </w:r>
      <w:r>
        <w:rPr>
          <w:rFonts w:hint="default" w:ascii="Times New Roman" w:hAnsi="Times New Roman" w:cs="Times New Roman" w:eastAsiaTheme="minorEastAsia"/>
          <w:szCs w:val="21"/>
        </w:rPr>
        <w:t>Every item, if more than one, of this Policy shall be adjusted separately subject to the condition herein.</w:t>
      </w:r>
    </w:p>
    <w:p w14:paraId="515ABA9B">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Article 30</w:t>
      </w:r>
      <w:r>
        <w:rPr>
          <w:rFonts w:hint="default" w:ascii="Times New Roman" w:hAnsi="Times New Roman" w:cs="Times New Roman" w:eastAsiaTheme="minorEastAsia"/>
          <w:bCs/>
          <w:szCs w:val="21"/>
        </w:rPr>
        <w:t xml:space="preserve"> If the sum insured is equivalent to or greater than the insured value, the Insurer shall pay the Insured in respect of the necessary and reasonable costs and/or expenses incurred for the purpose of preventing or diminishing imminent damage to property insured caused by peril insured against by this Policy, in which case, the amount of such sue and labor expenses shall be calculated separately from the amount of indemnity for the damage of the property insured, subject to the limit of the insured value of the rescued property insured.</w:t>
      </w:r>
    </w:p>
    <w:p w14:paraId="44AFC708">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 xml:space="preserve">If the sum insured is less than the insured value, the payment of the aforementioned sue and labor expenses shall be such proportion of the actual expenses as the sum insured of the rescued property insured bears to its insured value, and calculated separately from the amount of indemnity for the Damage of the property insured, subject to the limit of the sum insured of the rescued property insured. </w:t>
      </w:r>
    </w:p>
    <w:p w14:paraId="01C6AD56">
      <w:pPr>
        <w:pStyle w:val="7"/>
        <w:snapToGrid w:val="0"/>
        <w:spacing w:afterLines="50"/>
        <w:rPr>
          <w:rFonts w:hint="default" w:ascii="Times New Roman" w:hAnsi="Times New Roman" w:cs="Times New Roman" w:eastAsiaTheme="minorEastAsia"/>
          <w:bCs/>
          <w:sz w:val="21"/>
          <w:szCs w:val="21"/>
        </w:rPr>
      </w:pPr>
      <w:r>
        <w:rPr>
          <w:rFonts w:hint="default" w:ascii="Times New Roman" w:hAnsi="Times New Roman" w:cs="Times New Roman" w:eastAsiaTheme="minorEastAsia"/>
          <w:sz w:val="21"/>
          <w:szCs w:val="21"/>
        </w:rPr>
        <w:t xml:space="preserve">In the case that uninsured items are included in the rescued property, the Insurer shall only pay for the proportion of the </w:t>
      </w:r>
      <w:r>
        <w:rPr>
          <w:rFonts w:hint="default" w:ascii="Times New Roman" w:hAnsi="Times New Roman" w:cs="Times New Roman" w:eastAsiaTheme="minorEastAsia"/>
          <w:bCs/>
          <w:sz w:val="21"/>
          <w:szCs w:val="21"/>
        </w:rPr>
        <w:t>sue and labor expenses</w:t>
      </w:r>
      <w:r>
        <w:rPr>
          <w:rFonts w:hint="default" w:ascii="Times New Roman" w:hAnsi="Times New Roman" w:cs="Times New Roman" w:eastAsiaTheme="minorEastAsia"/>
          <w:sz w:val="21"/>
          <w:szCs w:val="21"/>
        </w:rPr>
        <w:t xml:space="preserve"> as the insured value of the rescued property insured bears to the total value of the rescued property.</w:t>
      </w:r>
    </w:p>
    <w:p w14:paraId="4B343712">
      <w:pPr>
        <w:pStyle w:val="7"/>
        <w:snapToGrid w:val="0"/>
        <w:spacing w:afterLines="50"/>
        <w:rPr>
          <w:rFonts w:hint="default" w:ascii="Times New Roman" w:hAnsi="Times New Roman" w:cs="Times New Roman" w:eastAsiaTheme="minorEastAsia"/>
          <w:bCs/>
          <w:sz w:val="21"/>
          <w:szCs w:val="21"/>
        </w:rPr>
      </w:pPr>
      <w:r>
        <w:rPr>
          <w:rFonts w:hint="default" w:ascii="Times New Roman" w:hAnsi="Times New Roman" w:cs="Times New Roman" w:eastAsiaTheme="minorEastAsia"/>
          <w:b/>
          <w:bCs/>
          <w:sz w:val="21"/>
          <w:szCs w:val="21"/>
        </w:rPr>
        <w:t>Article 31</w:t>
      </w:r>
      <w:r>
        <w:rPr>
          <w:rFonts w:hint="default" w:ascii="Times New Roman" w:hAnsi="Times New Roman" w:cs="Times New Roman" w:eastAsiaTheme="minorEastAsia"/>
          <w:bCs/>
          <w:sz w:val="21"/>
          <w:szCs w:val="21"/>
        </w:rPr>
        <w:t xml:space="preserve"> </w:t>
      </w:r>
      <w:r>
        <w:rPr>
          <w:rFonts w:hint="default" w:ascii="Times New Roman" w:hAnsi="Times New Roman" w:cs="Times New Roman" w:eastAsiaTheme="minorEastAsia"/>
          <w:sz w:val="21"/>
          <w:szCs w:val="21"/>
        </w:rPr>
        <w:t xml:space="preserve">The amount of indemnity shall be the amount as reached in </w:t>
      </w:r>
      <w:r>
        <w:rPr>
          <w:rFonts w:hint="default" w:ascii="Times New Roman" w:hAnsi="Times New Roman" w:cs="Times New Roman" w:eastAsiaTheme="minorEastAsia"/>
          <w:bCs/>
          <w:sz w:val="21"/>
          <w:szCs w:val="21"/>
        </w:rPr>
        <w:t>Article 29 and 30</w:t>
      </w:r>
      <w:r>
        <w:rPr>
          <w:rFonts w:hint="default" w:ascii="Times New Roman" w:hAnsi="Times New Roman" w:cs="Times New Roman" w:eastAsiaTheme="minorEastAsia"/>
          <w:sz w:val="21"/>
          <w:szCs w:val="21"/>
        </w:rPr>
        <w:t xml:space="preserve"> deducting the deductible for any one accident/occurrence.</w:t>
      </w:r>
    </w:p>
    <w:p w14:paraId="507FE506">
      <w:pPr>
        <w:adjustRightInd w:val="0"/>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Article 32</w:t>
      </w:r>
      <w:r>
        <w:rPr>
          <w:rFonts w:hint="default" w:ascii="Times New Roman" w:hAnsi="Times New Roman" w:cs="Times New Roman" w:eastAsiaTheme="minorEastAsia"/>
          <w:bCs/>
          <w:szCs w:val="21"/>
        </w:rPr>
        <w:t xml:space="preserve"> If at the time of any loss or damage happening to any property hereby insured, there be any double insurance subsisting, the Insurer shall not pay or contribute more than his rateable proportion of loss or damage as the corresponding sum insured under this Policy bears to the corresponding total sum insured under all these policies. </w:t>
      </w:r>
    </w:p>
    <w:p w14:paraId="11FB2C24">
      <w:pPr>
        <w:snapToGrid w:val="0"/>
        <w:spacing w:after="120" w:afterLines="50"/>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 xml:space="preserve">The Insurer shall not advance the amount payable by other insurer(s). If the Insurer has paid more than his share due to the Insured’s non-disclosure, the Insurer is entitled to claim for the portion paid in excess.  </w:t>
      </w:r>
    </w:p>
    <w:p w14:paraId="1AA7ECEF">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Article 33</w:t>
      </w:r>
      <w:r>
        <w:rPr>
          <w:rFonts w:hint="default" w:ascii="Times New Roman" w:hAnsi="Times New Roman" w:cs="Times New Roman" w:eastAsiaTheme="minorEastAsia"/>
          <w:bCs/>
          <w:szCs w:val="21"/>
        </w:rPr>
        <w:t xml:space="preserve"> </w:t>
      </w:r>
      <w:r>
        <w:rPr>
          <w:rFonts w:hint="default" w:ascii="Times New Roman" w:hAnsi="Times New Roman" w:cs="Times New Roman" w:eastAsiaTheme="minorEastAsia"/>
          <w:szCs w:val="21"/>
        </w:rPr>
        <w:t>In the event of a partial loss, upon settlement of the claim by the Insurer, the sum insured of this Policy shall be reduced correspondingly from the date of Damage,</w:t>
      </w:r>
      <w:r>
        <w:rPr>
          <w:rFonts w:hint="default" w:ascii="Times New Roman" w:hAnsi="Times New Roman" w:cs="Times New Roman" w:eastAsiaTheme="minorEastAsia"/>
          <w:bCs/>
          <w:szCs w:val="21"/>
        </w:rPr>
        <w:t xml:space="preserve"> and no premium shall be refunded by the Insurer for so reduced. </w:t>
      </w:r>
      <w:r>
        <w:rPr>
          <w:rFonts w:hint="default" w:ascii="Times New Roman" w:hAnsi="Times New Roman" w:cs="Times New Roman" w:eastAsiaTheme="minorEastAsia"/>
          <w:szCs w:val="21"/>
        </w:rPr>
        <w:t>If reinstatement of the sum insured is required by the Applicant, an additional premium for the reinstated amount shall be charged on pro rata daily basis from the date of requirement by the Applicant to the expiry date of this Policy.</w:t>
      </w:r>
    </w:p>
    <w:p w14:paraId="431F52CD">
      <w:pPr>
        <w:tabs>
          <w:tab w:val="left" w:pos="2160"/>
        </w:tabs>
        <w:adjustRightInd w:val="0"/>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 xml:space="preserve">Article 34 </w:t>
      </w:r>
      <w:r>
        <w:rPr>
          <w:rFonts w:hint="default" w:ascii="Times New Roman" w:hAnsi="Times New Roman" w:cs="Times New Roman" w:eastAsiaTheme="minorEastAsia"/>
          <w:bCs/>
          <w:szCs w:val="21"/>
        </w:rPr>
        <w:t xml:space="preserve">If any third party is held liable for the Damage insured hereby, the Insurer shall be entitled by subrogation to claim for indemnity against such third party upon Insurer’s paying for the Damage subject to the limit of the payment, and the Insured shall provide the Insurer with all the necessary documents and relevant information known to him. </w:t>
      </w:r>
    </w:p>
    <w:p w14:paraId="48FE1461">
      <w:pPr>
        <w:tabs>
          <w:tab w:val="left" w:pos="2160"/>
        </w:tabs>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If the Insured has already been indemnified by the third party liable for the Damage, the Insurer shall deduct the corresponding amount when calculating the amount of indemnity.</w:t>
      </w:r>
    </w:p>
    <w:p w14:paraId="64A3AF8C">
      <w:pPr>
        <w:snapToGrid w:val="0"/>
        <w:spacing w:after="120" w:afterLines="50"/>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 xml:space="preserve">The Insurer shall not indemnify the Insured for the Damage, if the Insured waive the right to claim against the third party liable before the Insurer makes payment of indemnity. </w:t>
      </w:r>
      <w:r>
        <w:rPr>
          <w:rFonts w:hint="default" w:ascii="Times New Roman" w:hAnsi="Times New Roman" w:cs="Times New Roman" w:eastAsiaTheme="minorEastAsia"/>
          <w:bCs/>
          <w:szCs w:val="21"/>
        </w:rPr>
        <w:t xml:space="preserve">If after receiving indemnity from the Insurer, the Insured waives the right to claim against any third party liable for the Damage without the Insurer’s consent, such waiver of right is invalid. </w:t>
      </w:r>
      <w:r>
        <w:rPr>
          <w:rFonts w:hint="default" w:ascii="Times New Roman" w:hAnsi="Times New Roman" w:cs="Times New Roman" w:eastAsiaTheme="minorEastAsia"/>
          <w:b/>
          <w:bCs/>
          <w:szCs w:val="21"/>
        </w:rPr>
        <w:t xml:space="preserve">If due to the Insured’s willful act or gross negligence, the Insurer cannot exercise the right of subrogation, the Insurer may deduct a corresponding amount when calculating the amount of indemnity or request refund of a corresponding amount from the indemnity paid to the Insured. </w:t>
      </w:r>
    </w:p>
    <w:p w14:paraId="69FCCF66">
      <w:pPr>
        <w:snapToGrid w:val="0"/>
        <w:spacing w:after="120" w:afterLines="5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 xml:space="preserve">Article 35 </w:t>
      </w:r>
      <w:r>
        <w:rPr>
          <w:rFonts w:hint="default" w:ascii="Times New Roman" w:hAnsi="Times New Roman" w:cs="Times New Roman" w:eastAsiaTheme="minorEastAsia"/>
          <w:bCs/>
          <w:szCs w:val="21"/>
        </w:rPr>
        <w:t>The limitation of action to claim for indemnity under this Policy shall be two years from the date that the Insured is aware or ought to be aware of the occurrence of loss or damage insured hereby.</w:t>
      </w:r>
    </w:p>
    <w:p w14:paraId="3F94EF91">
      <w:pPr>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DISPUTE RESOLUTION AND JURISDICTION</w:t>
      </w:r>
    </w:p>
    <w:p w14:paraId="6E985932">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Article 36</w:t>
      </w:r>
      <w:r>
        <w:rPr>
          <w:rFonts w:hint="default" w:ascii="Times New Roman" w:hAnsi="Times New Roman" w:cs="Times New Roman" w:eastAsiaTheme="minorEastAsia"/>
          <w:szCs w:val="21"/>
        </w:rPr>
        <w:t xml:space="preserve"> All disputes arising from implementing this Policy shall be settled through negotiations between the parties concerned. Upon failure to reach an agreement through negotiations, such dispute shall be referred to the arbitration commission specified in the policy. If there is no arbitration commission specified in the policy and no agreement reached for arbitration, legal proceeding could be initiated with the People’s Court in People’s Republic of China.</w:t>
      </w:r>
    </w:p>
    <w:p w14:paraId="383ABF4C">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Article 37</w:t>
      </w:r>
      <w:r>
        <w:rPr>
          <w:rFonts w:hint="default" w:ascii="Times New Roman" w:hAnsi="Times New Roman" w:cs="Times New Roman" w:eastAsiaTheme="minorEastAsia"/>
          <w:szCs w:val="21"/>
        </w:rPr>
        <w:t xml:space="preserve"> All disputes related to this insurance contract shall be governed by the laws of the People’s Republic of China, but except laws of Hong Kong SAR, Macau SAR, and Taiwan.</w:t>
      </w:r>
    </w:p>
    <w:p w14:paraId="42E57C36">
      <w:pPr>
        <w:snapToGrid w:val="0"/>
        <w:spacing w:after="120" w:afterLines="50"/>
        <w:ind w:firstLine="418" w:firstLineChars="199"/>
        <w:jc w:val="center"/>
        <w:rPr>
          <w:rStyle w:val="27"/>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MISCELLANEOUS</w:t>
      </w:r>
    </w:p>
    <w:p w14:paraId="09ABD07C">
      <w:pPr>
        <w:snapToGrid w:val="0"/>
        <w:spacing w:after="120" w:afterLines="50"/>
        <w:rPr>
          <w:rStyle w:val="27"/>
          <w:rFonts w:hint="default" w:ascii="Times New Roman" w:hAnsi="Times New Roman" w:cs="Times New Roman" w:eastAsiaTheme="minorEastAsia"/>
          <w:szCs w:val="21"/>
        </w:rPr>
      </w:pPr>
      <w:r>
        <w:rPr>
          <w:rStyle w:val="27"/>
          <w:rFonts w:hint="default" w:ascii="Times New Roman" w:hAnsi="Times New Roman" w:cs="Times New Roman" w:eastAsiaTheme="minorEastAsia"/>
          <w:b/>
          <w:szCs w:val="21"/>
        </w:rPr>
        <w:t>Article 38</w:t>
      </w:r>
      <w:r>
        <w:rPr>
          <w:rStyle w:val="27"/>
          <w:rFonts w:hint="default" w:ascii="Times New Roman" w:hAnsi="Times New Roman" w:cs="Times New Roman" w:eastAsiaTheme="minorEastAsia"/>
          <w:szCs w:val="21"/>
        </w:rPr>
        <w:t xml:space="preserve"> In respect of partial loss of the property insured, the Applicant may cancel the Policy within thirty days from the date that the Insurer makes payment of indemnity. This insurance may also be terminated at the option of the Insurer by sending fifteen days’ notice to the effect being given to the Applicant, unless otherwise agreed and stipulated in this Policy.</w:t>
      </w:r>
    </w:p>
    <w:p w14:paraId="16C77B55">
      <w:pPr>
        <w:snapToGrid w:val="0"/>
        <w:spacing w:after="120" w:afterLines="50"/>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 xml:space="preserve">If this insurance is terminated as aforementioned, the Insurer shall refund to the Applicant the premium of the undamaged proportion of the property insured after deducting the premium that shall be charged from the date of inception to the date of cancellation. </w:t>
      </w:r>
    </w:p>
    <w:p w14:paraId="5506B2F8">
      <w:pPr>
        <w:snapToGrid w:val="0"/>
        <w:spacing w:after="120" w:afterLines="50"/>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b/>
          <w:szCs w:val="21"/>
        </w:rPr>
        <w:t>Article 39</w:t>
      </w:r>
      <w:r>
        <w:rPr>
          <w:rStyle w:val="26"/>
          <w:rFonts w:hint="default" w:ascii="Times New Roman" w:hAnsi="Times New Roman" w:cs="Times New Roman" w:eastAsiaTheme="minorEastAsia"/>
          <w:szCs w:val="21"/>
        </w:rPr>
        <w:t xml:space="preserve"> At the Applicant’s request for cancellation of this Policy before the inception of insurance, the Insurer shall charge the Applicant a commission for cancellation as stipulated in the Policy, but shall return the balance of the premium to the Applicant.</w:t>
      </w:r>
    </w:p>
    <w:p w14:paraId="121CEF5E">
      <w:pPr>
        <w:snapToGrid w:val="0"/>
        <w:spacing w:after="120" w:afterLines="50"/>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At the Applicant’s request for cancellation of the Policy after inception of insurance, the insurance shall be terminated from the date of notification, in which case, the Insurer shall retain the premium calculated according to the Short-Term Premium Rate Table for the period from the date of inception to the date of cancellation, and refund the balance of the charged premium to the Applicant.</w:t>
      </w:r>
    </w:p>
    <w:p w14:paraId="322A6C21">
      <w:pPr>
        <w:snapToGrid w:val="0"/>
        <w:spacing w:after="120" w:afterLines="50"/>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 xml:space="preserve">This insurance may also be cancelled at the request of the Insurer after inception of insurance </w:t>
      </w:r>
      <w:r>
        <w:rPr>
          <w:rStyle w:val="27"/>
          <w:rFonts w:hint="default" w:ascii="Times New Roman" w:hAnsi="Times New Roman" w:cs="Times New Roman" w:eastAsiaTheme="minorEastAsia"/>
          <w:szCs w:val="21"/>
        </w:rPr>
        <w:t>by sending fifteen days’ notice to the effect being given to the Applicant</w:t>
      </w:r>
      <w:r>
        <w:rPr>
          <w:rStyle w:val="26"/>
          <w:rFonts w:hint="default" w:ascii="Times New Roman" w:hAnsi="Times New Roman" w:cs="Times New Roman" w:eastAsiaTheme="minorEastAsia"/>
          <w:szCs w:val="21"/>
        </w:rPr>
        <w:t xml:space="preserve">, in which case the Insurer shall calculate the premium on pro rata daily basis from the inception date of insurance to the date of cancellation, and refund the balance of premium to the Applicant.  </w:t>
      </w:r>
    </w:p>
    <w:p w14:paraId="1F95D179">
      <w:pPr>
        <w:snapToGrid w:val="0"/>
        <w:spacing w:after="120" w:afterLines="50"/>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b/>
          <w:szCs w:val="21"/>
        </w:rPr>
        <w:t xml:space="preserve">Article 40 </w:t>
      </w:r>
      <w:r>
        <w:rPr>
          <w:rStyle w:val="26"/>
          <w:rFonts w:hint="default" w:ascii="Times New Roman" w:hAnsi="Times New Roman" w:cs="Times New Roman" w:eastAsiaTheme="minorEastAsia"/>
          <w:szCs w:val="21"/>
        </w:rPr>
        <w:t xml:space="preserve">In the case that the property insured suffers total loss insured against hereby, this insurance shall terminate upon the Insurer’s fulfillment of indemnity obligation. If the loss is not covered hereby, this insurance shall terminate, but the Insurer shall refund to the Applicant the charged premium after deducting the short-term premium as calculated pro rata daily from the date of inception to the date of total loss. </w:t>
      </w:r>
    </w:p>
    <w:p w14:paraId="365E4610">
      <w:pPr>
        <w:snapToGrid w:val="0"/>
        <w:spacing w:after="120" w:afterLines="50"/>
        <w:jc w:val="center"/>
        <w:rPr>
          <w:rStyle w:val="26"/>
          <w:rFonts w:hint="default" w:ascii="Times New Roman" w:hAnsi="Times New Roman" w:cs="Times New Roman" w:eastAsiaTheme="minorEastAsia"/>
          <w:b/>
          <w:szCs w:val="21"/>
        </w:rPr>
      </w:pPr>
      <w:r>
        <w:rPr>
          <w:rStyle w:val="26"/>
          <w:rFonts w:hint="default" w:ascii="Times New Roman" w:hAnsi="Times New Roman" w:cs="Times New Roman" w:eastAsiaTheme="minorEastAsia"/>
          <w:b/>
          <w:szCs w:val="21"/>
        </w:rPr>
        <w:t>LANGUAGE</w:t>
      </w:r>
    </w:p>
    <w:p w14:paraId="21ADC058">
      <w:pPr>
        <w:snapToGrid w:val="0"/>
        <w:spacing w:after="120" w:afterLines="50"/>
        <w:rPr>
          <w:rStyle w:val="26"/>
          <w:rFonts w:hint="default" w:ascii="Times New Roman" w:hAnsi="Times New Roman" w:cs="Times New Roman" w:eastAsiaTheme="minorEastAsia"/>
          <w:b/>
          <w:szCs w:val="21"/>
        </w:rPr>
      </w:pPr>
      <w:r>
        <w:rPr>
          <w:rStyle w:val="26"/>
          <w:rFonts w:hint="default" w:ascii="Times New Roman" w:hAnsi="Times New Roman" w:cs="Times New Roman" w:eastAsiaTheme="minorEastAsia"/>
          <w:b/>
          <w:szCs w:val="21"/>
        </w:rPr>
        <w:t xml:space="preserve">Article 41 In the event of a discrepancy between the Chinese version and its English translation, the Chinese version shall prevail. </w:t>
      </w:r>
    </w:p>
    <w:p w14:paraId="5608037F">
      <w:pPr>
        <w:snapToGrid w:val="0"/>
        <w:spacing w:after="120" w:afterLines="50"/>
        <w:ind w:firstLine="480"/>
        <w:rPr>
          <w:rStyle w:val="26"/>
          <w:rFonts w:hint="default" w:ascii="Times New Roman" w:hAnsi="Times New Roman" w:cs="Times New Roman" w:eastAsiaTheme="minorEastAsia"/>
          <w:b/>
          <w:szCs w:val="21"/>
        </w:rPr>
      </w:pPr>
      <w:r>
        <w:rPr>
          <w:rStyle w:val="26"/>
          <w:rFonts w:hint="default" w:ascii="Times New Roman" w:hAnsi="Times New Roman" w:cs="Times New Roman" w:eastAsiaTheme="minorEastAsia"/>
          <w:b/>
          <w:szCs w:val="21"/>
        </w:rPr>
        <w:t xml:space="preserve"> </w:t>
      </w:r>
    </w:p>
    <w:p w14:paraId="49D56398">
      <w:pPr>
        <w:snapToGrid w:val="0"/>
        <w:spacing w:after="120" w:afterLines="50"/>
        <w:jc w:val="center"/>
        <w:rPr>
          <w:rFonts w:hint="default" w:ascii="Times New Roman" w:hAnsi="Times New Roman" w:cs="Times New Roman" w:eastAsiaTheme="minorEastAsia"/>
          <w:szCs w:val="21"/>
        </w:rPr>
      </w:pPr>
      <w:r>
        <w:rPr>
          <w:rStyle w:val="26"/>
          <w:rFonts w:hint="default" w:ascii="Times New Roman" w:hAnsi="Times New Roman" w:cs="Times New Roman" w:eastAsiaTheme="minorEastAsia"/>
          <w:b/>
          <w:szCs w:val="21"/>
        </w:rPr>
        <w:t>DEFINITIONS</w:t>
      </w:r>
    </w:p>
    <w:p w14:paraId="767EB2D6">
      <w:pPr>
        <w:snapToGrid w:val="0"/>
        <w:spacing w:after="120" w:afterLines="50"/>
        <w:jc w:val="left"/>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b/>
          <w:vanish/>
          <w:szCs w:val="21"/>
        </w:rPr>
        <w:t>25.icle 40  and</w:t>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vanish/>
          <w:szCs w:val="21"/>
        </w:rPr>
        <w:pgNum/>
      </w:r>
      <w:r>
        <w:rPr>
          <w:rStyle w:val="26"/>
          <w:rFonts w:hint="default" w:ascii="Times New Roman" w:hAnsi="Times New Roman" w:cs="Times New Roman" w:eastAsiaTheme="minorEastAsia"/>
          <w:b/>
          <w:szCs w:val="21"/>
        </w:rPr>
        <w:t>Article 42</w:t>
      </w:r>
      <w:r>
        <w:rPr>
          <w:rStyle w:val="26"/>
          <w:rFonts w:hint="default" w:ascii="Times New Roman" w:hAnsi="Times New Roman" w:cs="Times New Roman" w:eastAsiaTheme="minorEastAsia"/>
          <w:szCs w:val="21"/>
        </w:rPr>
        <w:t xml:space="preserve"> The following definitions shall apply to the terms concerned in the policy：</w:t>
      </w:r>
    </w:p>
    <w:p w14:paraId="20685D21">
      <w:pPr>
        <w:snapToGrid w:val="0"/>
        <w:spacing w:after="120" w:afterLines="50"/>
        <w:jc w:val="left"/>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1. Fire: a disaster caused by combustion out of control in time or space. The Insurer shall not be liable for the peril of fire unless the following three conditions have been satisfied simultaneously:</w:t>
      </w:r>
    </w:p>
    <w:p w14:paraId="6BBC4B7B">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1.1 Combustion produces heat, light and flame;</w:t>
      </w:r>
    </w:p>
    <w:p w14:paraId="564E623F">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1.2 Combustion is occasional and unexpected;</w:t>
      </w:r>
    </w:p>
    <w:p w14:paraId="4F0EEB39">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1.3 Combustion goes beyond control and tends to spread and expand. </w:t>
      </w:r>
    </w:p>
    <w:p w14:paraId="3769DC3F">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Therefore only combustion phenomena shall not constitute the “fire” insured against in the policy. Purposive burnings in production and life, for example, burning contaminated clothes for epidemic prevention or burning the grass on waste land by fire, etc, is not the fire insured hereby but normal combustion.</w:t>
      </w:r>
    </w:p>
    <w:p w14:paraId="4409FAB7">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In addition, the losses caused by baking, roasting or ironing shall not be insured hereby because of no combustion phenomena and tend of spreading and expanding.</w:t>
      </w:r>
    </w:p>
    <w:p w14:paraId="133C808A">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The damage of electric motors, appliances and equipment caused by overuse, overvoltage, swinging cross, flash, leakage and self-heating shall not belong to fire risk insured. However, if combustion happens, goes beyond control and spreads, it constitutes peril of fire insured and the Insurer shall be responsible for compensation for the losses of electric motors, appliances and equipment.</w:t>
      </w:r>
    </w:p>
    <w:p w14:paraId="2B132429">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 Explosion:</w:t>
      </w:r>
      <w:r>
        <w:rPr>
          <w:rFonts w:hint="default" w:ascii="Times New Roman" w:hAnsi="Times New Roman" w:cs="Times New Roman" w:eastAsiaTheme="minorEastAsia"/>
          <w:b/>
          <w:szCs w:val="21"/>
        </w:rPr>
        <w:t xml:space="preserve"> </w:t>
      </w:r>
      <w:r>
        <w:rPr>
          <w:rFonts w:hint="default" w:ascii="Times New Roman" w:hAnsi="Times New Roman" w:cs="Times New Roman" w:eastAsiaTheme="minorEastAsia"/>
          <w:szCs w:val="21"/>
        </w:rPr>
        <w:t xml:space="preserve">explosion includes physical explosion and chemical explosion. </w:t>
      </w:r>
    </w:p>
    <w:p w14:paraId="26624A48">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Physical explosion: when liquid is changed into steam or gas expands, its pressure rises sharply and greatly exceeds the ultimate pressure that container can bear, explosion happens, such as boiler explosion, air compressor explosion, compressed gas cylinder explosion and liquid gas storage tank explosion, etc. Boiler and pressure vessel explosion is defined as follows: a boiler or pressure vessel bursts during use or pressure test to make its pressure instantaneously drop to external atmospheric pressure, which is called “explosion accident”.</w:t>
      </w:r>
    </w:p>
    <w:p w14:paraId="164B3D7C">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Chemical explosion refers to a phenomenon that an object gives off plenty of heat and gases when decomposing or burning momentarily and spreads all around at a great pressure, such as gunpowder explosion, flammable dust and fiber explosion, flammable gas explosion and various chemicals explosion, etc. </w:t>
      </w:r>
    </w:p>
    <w:p w14:paraId="37ABB22B">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Losses caused by inherent vice, latent defect, wear and tear, inferior quality of the property or negative pressure shall not be explosion insured against hereby.</w:t>
      </w:r>
    </w:p>
    <w:p w14:paraId="0BB537FB">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3. Lightning stroke: a disaster caused by lightning. Lightning refers to an electric discharge phenomenon happening in cumulonimbus clouds, between clouds or between clouds and ground. The destructive forms of lightning stroke are divided into direct lightning stroke and inductive lightning stroke.   </w:t>
      </w:r>
    </w:p>
    <w:p w14:paraId="319AC5C9">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3.1. Direct lightning stroke: loss caused as lightning hits property insured directly, which is covered hereby as direct lightning stroke liability.</w:t>
      </w:r>
    </w:p>
    <w:p w14:paraId="796DCB96">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3.2. Inductive lightning stroke: static induction or electromagnetic induction caused by lightning stroke makes indoor metal objects which insulate against ground produce high potential and sparks, thereby leading to fire and damage of electric appliance, or high voltage induction of lightning results in damage of electric appliance, which is insured hereby as inductive lightning stroke liability.  </w:t>
      </w:r>
    </w:p>
    <w:p w14:paraId="1959D454">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 Rainstorm: a rain when the rainfall is more than 16mm per hour, or more than 30mm per 12 hours, or more than 50mm per 24 hours.</w:t>
      </w:r>
    </w:p>
    <w:p w14:paraId="03A708E7">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5. Flood: flash flood, flooding of rivers, landing of tide and back flow. But regular rising tide, water leakage of automatic sprinkler system, underground water seepage and water pipe burst shall not belong to flood liability hereby insured.   </w:t>
      </w:r>
    </w:p>
    <w:p w14:paraId="3B990358">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6. Tempest: a natural wind whose force reaches Beaufort Force 8 and speed is more than 17.2 m/s.</w:t>
      </w:r>
    </w:p>
    <w:p w14:paraId="456C8B9B">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7. Tornado: a violent whirlwind of small range and short time whose maximum speed on land is 79m/s to 103m/s and maximum extreme speed is more than 100m/s.</w:t>
      </w:r>
    </w:p>
    <w:p w14:paraId="1A4522C4">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8. Hailstone: ice block or ice ball falling to the ground from severe convective cumulonimbus clouds, whose diameter is greater than 5mm and core is hard.     </w:t>
      </w:r>
    </w:p>
    <w:p w14:paraId="25428A65">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9. Typhoon and hurricane: typhoon refers to a tropical cyclone whose maximum average force near the center reaches or exceeds Beaufort Force 12, which means wind speed is more than 32.6m/s; hurricane refers to a tropical cyclone which has the same nature with typhoon but different appearance position and area from typhoon. Typhoon forms in the northwestern Pacific Ocean, while hurricane forms in the Indian Ocean and the Atlantic Ocean.  </w:t>
      </w:r>
    </w:p>
    <w:p w14:paraId="11E3E12D">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10. Sand storm: a weather phenomenon that strong wind blows up large quantities of dust and sand on the ground to make air dirty and horizontal visibility less than one kilometer.</w:t>
      </w:r>
    </w:p>
    <w:p w14:paraId="422567B5">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11. Snowstorm: a snowfall phenomenon whose snowfall in 12 consecutive hours is equal to or greater than 10mm.</w:t>
      </w:r>
    </w:p>
    <w:p w14:paraId="757E09A7">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12. Ice slush: a phenomenon that during spring break, the floating of ice blocks is obstructed and ice blocks accumulate, thereby resulting in river channel blockage and sharp rise of water level, so that river water overflows from river channel and spreads all around to cause damage. </w:t>
      </w:r>
    </w:p>
    <w:p w14:paraId="4DB3385C">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In some areas on land, for example, mountain and valley wind gap, bitter cold makes rain and snow get iced up, these ice blocks droop and become thicker and thicker, drooping pull makes objects destroyed, which also belongs to ice slush liability  insured.  </w:t>
      </w:r>
    </w:p>
    <w:p w14:paraId="222A4F1E">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13. Sudden landslide: a phenomenon that unstable soil bodies or man made deposits on slopes slide down suddenly and integrally under the action of gravity.</w:t>
      </w:r>
    </w:p>
    <w:p w14:paraId="208F9184">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14. Avalanche: a phenomenon that rock cliffs, soil cliffs and rocks crumble and collapse due to natural weathering and rain erosion and a great deal snow collapses and tumbles down from on high suddenly under the action of gravity.  </w:t>
      </w:r>
    </w:p>
    <w:p w14:paraId="00C3122E">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15. Mud-rock flow: a special torrent containing large quantities of sand and stones, excited by rainwater and water produced by ice and snow melting.   </w:t>
      </w:r>
    </w:p>
    <w:p w14:paraId="5287272A">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16. Sudden subsidence of ground: the earth's crust subsides suddenly because of natural variation and stratigraphic contraction.  The ground subsides suddenly due to tide, river and heavy rain erosion or don’t have a grasp of stratigraphic conditions before building a house and there are cavities or pockets, which also belongs to sudden submergence of ground. However, building foundation settlement, crack and collapse, etc, caused by not being in accord with construction requirements don’t belong to sudden submergence of ground.    </w:t>
      </w:r>
    </w:p>
    <w:p w14:paraId="477745AE">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17. Falling of flying objects or other objects moving in air：falling of air flying machine, man-made satellite and cloud stone, object falling when a crane or a car is moving, shooting and collapse  of stonework, stone blocks and earthworks caused by manual excavation and explosion, collapse of buildings and falling of other air moving objects.          </w:t>
      </w:r>
    </w:p>
    <w:p w14:paraId="46B9C815">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18. Natural hazards: lightning, rainstorm, flood, tempest, cyclone, hailstorm, typhoon, hurricane, sandstorm, snowstorm, ice slush, sudden landslide, avalanche, mud-rock flow, sudden subsidence of ground and any other phenomena of nature with strong destructive power and beyond human control.</w:t>
      </w:r>
    </w:p>
    <w:p w14:paraId="34A80E73">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19. Accident: unforeseen, uncontrollable and sudden event which leads to material damage, which includes fire and explosion.</w:t>
      </w:r>
    </w:p>
    <w:p w14:paraId="4992ADB2">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20. Gross negligence: an act that the doer not only fails to comply with higher requirements of legal norms, but also cannot reach the general standards a reasonable person should have paid attention to.   </w:t>
      </w:r>
    </w:p>
    <w:p w14:paraId="71147F30">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21. Terrorism: an act of any person acting on behalf of or in connection with any organization with activities directed towards the overthrowing or influencing of any government de jure or de facto by force or violence.</w:t>
      </w:r>
    </w:p>
    <w:p w14:paraId="3A588B17">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22. Earthquake: the shake the earth's crust makes.</w:t>
      </w:r>
    </w:p>
    <w:p w14:paraId="06343031">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23. Tsunami: huge ocean waves caused by submarine earthquake, volcanic eruption, underwater landslide or collapse.  </w:t>
      </w:r>
    </w:p>
    <w:p w14:paraId="38E2B78B">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24. Governmental or judicial actions: the acts of government departments and law enforcement agencies at all levels or institutions exercising public administration and social management functions according to law to destroy, expropriate or confiscate the object insured.          </w:t>
      </w:r>
    </w:p>
    <w:p w14:paraId="25CF6A4D">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25. Simple Building: building which is constructed either: </w:t>
      </w:r>
    </w:p>
    <w:p w14:paraId="0DF358A9">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25.1. with roof or wall made of bamboo, wood, reed mat, tarpaulin, couch grass, asphalt felt, plastic film, nylon cloth, glass fiber reinforced plastic and the like; or</w:t>
      </w:r>
    </w:p>
    <w:p w14:paraId="752DA503">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25.2. with close roof, but the non-close vertical area exceeds 10% of total vertical area; or </w:t>
      </w:r>
    </w:p>
    <w:p w14:paraId="4F046B93">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25.3. at the maximum distance over one meter between roof and walls. </w:t>
      </w:r>
    </w:p>
    <w:p w14:paraId="2437075D">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vanish/>
          <w:szCs w:val="21"/>
        </w:rPr>
        <w:t xml:space="preserve">1.27.   : </w:t>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vanish/>
          <w:szCs w:val="21"/>
        </w:rPr>
        <w:pgNum/>
      </w:r>
      <w:r>
        <w:rPr>
          <w:rFonts w:hint="default" w:ascii="Times New Roman" w:hAnsi="Times New Roman" w:cs="Times New Roman" w:eastAsiaTheme="minorEastAsia"/>
          <w:szCs w:val="21"/>
        </w:rPr>
        <w:t>26. Spontaneous combustion: a phenomenon that under the condition of no direct action of external heat sources, an inflammable matter emits heat because of its internal physical action (such as adsorption and radiation, etc), chemical action (such as oxidation, decomposition and aggregation, etc) or biological action (such as fermentation and bacterial putrefaction, etc), heat accumulation leads to temperature rise, when the temperature of the inflammable matter reaches a certain value, the inflammable matter burns without direct contact with open flames.</w:t>
      </w:r>
    </w:p>
    <w:p w14:paraId="2A4132E2">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27. Reinstatement Value: expenses for rebuilding or replacing the damaged property insured to its condition when new, excluding extra charges for any alteration, betterment or improvement.</w:t>
      </w:r>
    </w:p>
    <w:p w14:paraId="16BC95A6">
      <w:pPr>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28. Water tank and pipe burst: it includes frost crack and accidental burst. Water tank and pipe burst is generally caused by flaw or service wear or icing of water tank and pipe.</w:t>
      </w:r>
    </w:p>
    <w:p w14:paraId="268ADAB8">
      <w:pPr>
        <w:snapToGrid w:val="0"/>
        <w:spacing w:after="120" w:afterLines="50"/>
        <w:rPr>
          <w:rFonts w:hint="default" w:ascii="Times New Roman" w:hAnsi="Times New Roman" w:cs="Times New Roman" w:eastAsiaTheme="minorEastAsia"/>
          <w:szCs w:val="21"/>
        </w:rPr>
      </w:pPr>
    </w:p>
    <w:p w14:paraId="62BDD959">
      <w:pPr>
        <w:snapToGrid w:val="0"/>
        <w:spacing w:after="120" w:afterLines="50"/>
        <w:rPr>
          <w:rFonts w:hint="default" w:ascii="Times New Roman" w:hAnsi="Times New Roman" w:cs="Times New Roman" w:eastAsiaTheme="minorEastAsia"/>
          <w:szCs w:val="21"/>
        </w:rPr>
      </w:pPr>
    </w:p>
    <w:p w14:paraId="579014EB">
      <w:pPr>
        <w:snapToGrid w:val="0"/>
        <w:spacing w:after="120" w:afterLines="50"/>
        <w:ind w:firstLine="480"/>
        <w:rPr>
          <w:rFonts w:hint="default" w:ascii="Times New Roman" w:hAnsi="Times New Roman" w:cs="Times New Roman" w:eastAsiaTheme="minorEastAsia"/>
          <w:szCs w:val="21"/>
        </w:rPr>
      </w:pPr>
    </w:p>
    <w:p w14:paraId="23F82720">
      <w:pPr>
        <w:snapToGrid w:val="0"/>
        <w:spacing w:after="120" w:afterLines="50"/>
        <w:jc w:val="center"/>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APPENDIX</w:t>
      </w:r>
    </w:p>
    <w:p w14:paraId="2CF504CE">
      <w:pPr>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Short Term Premium Rate Table</w:t>
      </w:r>
    </w:p>
    <w:tbl>
      <w:tblPr>
        <w:tblStyle w:val="15"/>
        <w:tblW w:w="6048" w:type="dxa"/>
        <w:tblInd w:w="17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800"/>
        <w:gridCol w:w="2700"/>
      </w:tblGrid>
      <w:tr w14:paraId="4B40FA21">
        <w:tc>
          <w:tcPr>
            <w:tcW w:w="3348" w:type="dxa"/>
            <w:gridSpan w:val="2"/>
            <w:tcBorders>
              <w:top w:val="single" w:color="auto" w:sz="4" w:space="0"/>
              <w:left w:val="single" w:color="auto" w:sz="4" w:space="0"/>
              <w:bottom w:val="single" w:color="auto" w:sz="4" w:space="0"/>
              <w:right w:val="single" w:color="auto" w:sz="4" w:space="0"/>
            </w:tcBorders>
            <w:vAlign w:val="center"/>
          </w:tcPr>
          <w:p w14:paraId="6F98CF1C">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Period insured</w:t>
            </w:r>
          </w:p>
        </w:tc>
        <w:tc>
          <w:tcPr>
            <w:tcW w:w="2700" w:type="dxa"/>
            <w:vMerge w:val="restart"/>
            <w:tcBorders>
              <w:top w:val="single" w:color="auto" w:sz="4" w:space="0"/>
              <w:left w:val="single" w:color="auto" w:sz="4" w:space="0"/>
              <w:bottom w:val="single" w:color="auto" w:sz="4" w:space="0"/>
              <w:right w:val="single" w:color="auto" w:sz="4" w:space="0"/>
            </w:tcBorders>
            <w:vAlign w:val="center"/>
          </w:tcPr>
          <w:p w14:paraId="494767D4">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Annual rate %</w:t>
            </w:r>
          </w:p>
        </w:tc>
      </w:tr>
      <w:tr w14:paraId="56B4F8C3">
        <w:tc>
          <w:tcPr>
            <w:tcW w:w="1548" w:type="dxa"/>
            <w:tcBorders>
              <w:top w:val="single" w:color="auto" w:sz="4" w:space="0"/>
              <w:left w:val="single" w:color="auto" w:sz="4" w:space="0"/>
              <w:bottom w:val="single" w:color="auto" w:sz="4" w:space="0"/>
              <w:right w:val="single" w:color="auto" w:sz="4" w:space="0"/>
            </w:tcBorders>
            <w:vAlign w:val="center"/>
          </w:tcPr>
          <w:p w14:paraId="2C68F692">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Exceeding</w:t>
            </w:r>
          </w:p>
        </w:tc>
        <w:tc>
          <w:tcPr>
            <w:tcW w:w="1800" w:type="dxa"/>
            <w:tcBorders>
              <w:top w:val="single" w:color="auto" w:sz="4" w:space="0"/>
              <w:left w:val="single" w:color="auto" w:sz="4" w:space="0"/>
              <w:bottom w:val="single" w:color="auto" w:sz="4" w:space="0"/>
              <w:right w:val="single" w:color="auto" w:sz="4" w:space="0"/>
            </w:tcBorders>
            <w:vAlign w:val="center"/>
          </w:tcPr>
          <w:p w14:paraId="09358583">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Not exceeding</w:t>
            </w:r>
          </w:p>
        </w:tc>
        <w:tc>
          <w:tcPr>
            <w:tcW w:w="2700" w:type="dxa"/>
            <w:vMerge w:val="continue"/>
            <w:tcBorders>
              <w:top w:val="single" w:color="auto" w:sz="4" w:space="0"/>
              <w:left w:val="single" w:color="auto" w:sz="4" w:space="0"/>
              <w:bottom w:val="single" w:color="auto" w:sz="4" w:space="0"/>
              <w:right w:val="single" w:color="auto" w:sz="4" w:space="0"/>
            </w:tcBorders>
            <w:vAlign w:val="center"/>
          </w:tcPr>
          <w:p w14:paraId="380D398A">
            <w:pPr>
              <w:widowControl/>
              <w:jc w:val="left"/>
              <w:rPr>
                <w:rFonts w:hint="default" w:ascii="Times New Roman" w:hAnsi="Times New Roman" w:cs="Times New Roman" w:eastAsiaTheme="minorEastAsia"/>
                <w:kern w:val="0"/>
                <w:szCs w:val="21"/>
              </w:rPr>
            </w:pPr>
          </w:p>
        </w:tc>
      </w:tr>
      <w:tr w14:paraId="08CFFC99">
        <w:tc>
          <w:tcPr>
            <w:tcW w:w="1548" w:type="dxa"/>
            <w:tcBorders>
              <w:top w:val="single" w:color="auto" w:sz="4" w:space="0"/>
              <w:left w:val="single" w:color="auto" w:sz="4" w:space="0"/>
              <w:bottom w:val="single" w:color="auto" w:sz="4" w:space="0"/>
              <w:right w:val="single" w:color="auto" w:sz="4" w:space="0"/>
            </w:tcBorders>
            <w:vAlign w:val="center"/>
          </w:tcPr>
          <w:p w14:paraId="53E02868">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w:t>
            </w:r>
          </w:p>
        </w:tc>
        <w:tc>
          <w:tcPr>
            <w:tcW w:w="1800" w:type="dxa"/>
            <w:tcBorders>
              <w:top w:val="single" w:color="auto" w:sz="4" w:space="0"/>
              <w:left w:val="single" w:color="auto" w:sz="4" w:space="0"/>
              <w:bottom w:val="single" w:color="auto" w:sz="4" w:space="0"/>
              <w:right w:val="single" w:color="auto" w:sz="4" w:space="0"/>
            </w:tcBorders>
            <w:vAlign w:val="center"/>
          </w:tcPr>
          <w:p w14:paraId="1A4E8DB8">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1 month</w:t>
            </w:r>
          </w:p>
        </w:tc>
        <w:tc>
          <w:tcPr>
            <w:tcW w:w="2700" w:type="dxa"/>
            <w:tcBorders>
              <w:top w:val="single" w:color="auto" w:sz="4" w:space="0"/>
              <w:left w:val="single" w:color="auto" w:sz="4" w:space="0"/>
              <w:bottom w:val="single" w:color="auto" w:sz="4" w:space="0"/>
              <w:right w:val="single" w:color="auto" w:sz="4" w:space="0"/>
            </w:tcBorders>
            <w:vAlign w:val="center"/>
          </w:tcPr>
          <w:p w14:paraId="1841A2B1">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10% of the annual rate</w:t>
            </w:r>
          </w:p>
        </w:tc>
      </w:tr>
      <w:tr w14:paraId="0AC5A611">
        <w:tc>
          <w:tcPr>
            <w:tcW w:w="1548" w:type="dxa"/>
            <w:tcBorders>
              <w:top w:val="single" w:color="auto" w:sz="4" w:space="0"/>
              <w:left w:val="single" w:color="auto" w:sz="4" w:space="0"/>
              <w:bottom w:val="single" w:color="auto" w:sz="4" w:space="0"/>
              <w:right w:val="single" w:color="auto" w:sz="4" w:space="0"/>
            </w:tcBorders>
            <w:vAlign w:val="center"/>
          </w:tcPr>
          <w:p w14:paraId="05AB0ADD">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1 month</w:t>
            </w:r>
          </w:p>
        </w:tc>
        <w:tc>
          <w:tcPr>
            <w:tcW w:w="1800" w:type="dxa"/>
            <w:tcBorders>
              <w:top w:val="single" w:color="auto" w:sz="4" w:space="0"/>
              <w:left w:val="single" w:color="auto" w:sz="4" w:space="0"/>
              <w:bottom w:val="single" w:color="auto" w:sz="4" w:space="0"/>
              <w:right w:val="single" w:color="auto" w:sz="4" w:space="0"/>
            </w:tcBorders>
            <w:vAlign w:val="center"/>
          </w:tcPr>
          <w:p w14:paraId="58BC128C">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2 months</w:t>
            </w:r>
          </w:p>
        </w:tc>
        <w:tc>
          <w:tcPr>
            <w:tcW w:w="2700" w:type="dxa"/>
            <w:tcBorders>
              <w:top w:val="single" w:color="auto" w:sz="4" w:space="0"/>
              <w:left w:val="single" w:color="auto" w:sz="4" w:space="0"/>
              <w:bottom w:val="single" w:color="auto" w:sz="4" w:space="0"/>
              <w:right w:val="single" w:color="auto" w:sz="4" w:space="0"/>
            </w:tcBorders>
            <w:vAlign w:val="center"/>
          </w:tcPr>
          <w:p w14:paraId="2AABFBF8">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20% of the annual rate</w:t>
            </w:r>
          </w:p>
        </w:tc>
      </w:tr>
      <w:tr w14:paraId="2E32587E">
        <w:tc>
          <w:tcPr>
            <w:tcW w:w="1548" w:type="dxa"/>
            <w:tcBorders>
              <w:top w:val="single" w:color="auto" w:sz="4" w:space="0"/>
              <w:left w:val="single" w:color="auto" w:sz="4" w:space="0"/>
              <w:bottom w:val="single" w:color="auto" w:sz="4" w:space="0"/>
              <w:right w:val="single" w:color="auto" w:sz="4" w:space="0"/>
            </w:tcBorders>
            <w:vAlign w:val="center"/>
          </w:tcPr>
          <w:p w14:paraId="060F3111">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2 months</w:t>
            </w:r>
          </w:p>
        </w:tc>
        <w:tc>
          <w:tcPr>
            <w:tcW w:w="1800" w:type="dxa"/>
            <w:tcBorders>
              <w:top w:val="single" w:color="auto" w:sz="4" w:space="0"/>
              <w:left w:val="single" w:color="auto" w:sz="4" w:space="0"/>
              <w:bottom w:val="single" w:color="auto" w:sz="4" w:space="0"/>
              <w:right w:val="single" w:color="auto" w:sz="4" w:space="0"/>
            </w:tcBorders>
            <w:vAlign w:val="center"/>
          </w:tcPr>
          <w:p w14:paraId="6583C086">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3 months</w:t>
            </w:r>
          </w:p>
        </w:tc>
        <w:tc>
          <w:tcPr>
            <w:tcW w:w="2700" w:type="dxa"/>
            <w:tcBorders>
              <w:top w:val="single" w:color="auto" w:sz="4" w:space="0"/>
              <w:left w:val="single" w:color="auto" w:sz="4" w:space="0"/>
              <w:bottom w:val="single" w:color="auto" w:sz="4" w:space="0"/>
              <w:right w:val="single" w:color="auto" w:sz="4" w:space="0"/>
            </w:tcBorders>
            <w:vAlign w:val="center"/>
          </w:tcPr>
          <w:p w14:paraId="39AA4665">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30% of the annual rate</w:t>
            </w:r>
          </w:p>
        </w:tc>
      </w:tr>
      <w:tr w14:paraId="102A4C2A">
        <w:tc>
          <w:tcPr>
            <w:tcW w:w="1548" w:type="dxa"/>
            <w:tcBorders>
              <w:top w:val="single" w:color="auto" w:sz="4" w:space="0"/>
              <w:left w:val="single" w:color="auto" w:sz="4" w:space="0"/>
              <w:bottom w:val="single" w:color="auto" w:sz="4" w:space="0"/>
              <w:right w:val="single" w:color="auto" w:sz="4" w:space="0"/>
            </w:tcBorders>
            <w:vAlign w:val="center"/>
          </w:tcPr>
          <w:p w14:paraId="60998928">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3 months</w:t>
            </w:r>
          </w:p>
        </w:tc>
        <w:tc>
          <w:tcPr>
            <w:tcW w:w="1800" w:type="dxa"/>
            <w:tcBorders>
              <w:top w:val="single" w:color="auto" w:sz="4" w:space="0"/>
              <w:left w:val="single" w:color="auto" w:sz="4" w:space="0"/>
              <w:bottom w:val="single" w:color="auto" w:sz="4" w:space="0"/>
              <w:right w:val="single" w:color="auto" w:sz="4" w:space="0"/>
            </w:tcBorders>
            <w:vAlign w:val="center"/>
          </w:tcPr>
          <w:p w14:paraId="6E09CF68">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4 months</w:t>
            </w:r>
          </w:p>
        </w:tc>
        <w:tc>
          <w:tcPr>
            <w:tcW w:w="2700" w:type="dxa"/>
            <w:tcBorders>
              <w:top w:val="single" w:color="auto" w:sz="4" w:space="0"/>
              <w:left w:val="single" w:color="auto" w:sz="4" w:space="0"/>
              <w:bottom w:val="single" w:color="auto" w:sz="4" w:space="0"/>
              <w:right w:val="single" w:color="auto" w:sz="4" w:space="0"/>
            </w:tcBorders>
            <w:vAlign w:val="center"/>
          </w:tcPr>
          <w:p w14:paraId="315BE93B">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40% of the annual rate</w:t>
            </w:r>
          </w:p>
        </w:tc>
      </w:tr>
      <w:tr w14:paraId="053576FE">
        <w:tc>
          <w:tcPr>
            <w:tcW w:w="1548" w:type="dxa"/>
            <w:tcBorders>
              <w:top w:val="single" w:color="auto" w:sz="4" w:space="0"/>
              <w:left w:val="single" w:color="auto" w:sz="4" w:space="0"/>
              <w:bottom w:val="single" w:color="auto" w:sz="4" w:space="0"/>
              <w:right w:val="single" w:color="auto" w:sz="4" w:space="0"/>
            </w:tcBorders>
            <w:vAlign w:val="center"/>
          </w:tcPr>
          <w:p w14:paraId="2B4907AE">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4 months</w:t>
            </w:r>
          </w:p>
        </w:tc>
        <w:tc>
          <w:tcPr>
            <w:tcW w:w="1800" w:type="dxa"/>
            <w:tcBorders>
              <w:top w:val="single" w:color="auto" w:sz="4" w:space="0"/>
              <w:left w:val="single" w:color="auto" w:sz="4" w:space="0"/>
              <w:bottom w:val="single" w:color="auto" w:sz="4" w:space="0"/>
              <w:right w:val="single" w:color="auto" w:sz="4" w:space="0"/>
            </w:tcBorders>
            <w:vAlign w:val="center"/>
          </w:tcPr>
          <w:p w14:paraId="64AE1F16">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5 months</w:t>
            </w:r>
          </w:p>
        </w:tc>
        <w:tc>
          <w:tcPr>
            <w:tcW w:w="2700" w:type="dxa"/>
            <w:tcBorders>
              <w:top w:val="single" w:color="auto" w:sz="4" w:space="0"/>
              <w:left w:val="single" w:color="auto" w:sz="4" w:space="0"/>
              <w:bottom w:val="single" w:color="auto" w:sz="4" w:space="0"/>
              <w:right w:val="single" w:color="auto" w:sz="4" w:space="0"/>
            </w:tcBorders>
            <w:vAlign w:val="center"/>
          </w:tcPr>
          <w:p w14:paraId="6D4DF83A">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50% of the annual rate</w:t>
            </w:r>
          </w:p>
        </w:tc>
      </w:tr>
      <w:tr w14:paraId="1FB8D04A">
        <w:tc>
          <w:tcPr>
            <w:tcW w:w="1548" w:type="dxa"/>
            <w:tcBorders>
              <w:top w:val="single" w:color="auto" w:sz="4" w:space="0"/>
              <w:left w:val="single" w:color="auto" w:sz="4" w:space="0"/>
              <w:bottom w:val="single" w:color="auto" w:sz="4" w:space="0"/>
              <w:right w:val="single" w:color="auto" w:sz="4" w:space="0"/>
            </w:tcBorders>
            <w:vAlign w:val="center"/>
          </w:tcPr>
          <w:p w14:paraId="0C242A77">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5 months</w:t>
            </w:r>
          </w:p>
        </w:tc>
        <w:tc>
          <w:tcPr>
            <w:tcW w:w="1800" w:type="dxa"/>
            <w:tcBorders>
              <w:top w:val="single" w:color="auto" w:sz="4" w:space="0"/>
              <w:left w:val="single" w:color="auto" w:sz="4" w:space="0"/>
              <w:bottom w:val="single" w:color="auto" w:sz="4" w:space="0"/>
              <w:right w:val="single" w:color="auto" w:sz="4" w:space="0"/>
            </w:tcBorders>
            <w:vAlign w:val="center"/>
          </w:tcPr>
          <w:p w14:paraId="4CD6EE5B">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6 months</w:t>
            </w:r>
          </w:p>
        </w:tc>
        <w:tc>
          <w:tcPr>
            <w:tcW w:w="2700" w:type="dxa"/>
            <w:tcBorders>
              <w:top w:val="single" w:color="auto" w:sz="4" w:space="0"/>
              <w:left w:val="single" w:color="auto" w:sz="4" w:space="0"/>
              <w:bottom w:val="single" w:color="auto" w:sz="4" w:space="0"/>
              <w:right w:val="single" w:color="auto" w:sz="4" w:space="0"/>
            </w:tcBorders>
            <w:vAlign w:val="center"/>
          </w:tcPr>
          <w:p w14:paraId="68106B9D">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60% of the annual rate</w:t>
            </w:r>
          </w:p>
        </w:tc>
      </w:tr>
      <w:tr w14:paraId="60DEB011">
        <w:tc>
          <w:tcPr>
            <w:tcW w:w="1548" w:type="dxa"/>
            <w:tcBorders>
              <w:top w:val="single" w:color="auto" w:sz="4" w:space="0"/>
              <w:left w:val="single" w:color="auto" w:sz="4" w:space="0"/>
              <w:bottom w:val="single" w:color="auto" w:sz="4" w:space="0"/>
              <w:right w:val="single" w:color="auto" w:sz="4" w:space="0"/>
            </w:tcBorders>
            <w:vAlign w:val="center"/>
          </w:tcPr>
          <w:p w14:paraId="71055D77">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6 months</w:t>
            </w:r>
          </w:p>
        </w:tc>
        <w:tc>
          <w:tcPr>
            <w:tcW w:w="1800" w:type="dxa"/>
            <w:tcBorders>
              <w:top w:val="single" w:color="auto" w:sz="4" w:space="0"/>
              <w:left w:val="single" w:color="auto" w:sz="4" w:space="0"/>
              <w:bottom w:val="single" w:color="auto" w:sz="4" w:space="0"/>
              <w:right w:val="single" w:color="auto" w:sz="4" w:space="0"/>
            </w:tcBorders>
            <w:vAlign w:val="center"/>
          </w:tcPr>
          <w:p w14:paraId="777ECF1A">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7 months</w:t>
            </w:r>
          </w:p>
        </w:tc>
        <w:tc>
          <w:tcPr>
            <w:tcW w:w="2700" w:type="dxa"/>
            <w:tcBorders>
              <w:top w:val="single" w:color="auto" w:sz="4" w:space="0"/>
              <w:left w:val="single" w:color="auto" w:sz="4" w:space="0"/>
              <w:bottom w:val="single" w:color="auto" w:sz="4" w:space="0"/>
              <w:right w:val="single" w:color="auto" w:sz="4" w:space="0"/>
            </w:tcBorders>
            <w:vAlign w:val="center"/>
          </w:tcPr>
          <w:p w14:paraId="3A686E4B">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70% of the annual rate</w:t>
            </w:r>
          </w:p>
        </w:tc>
      </w:tr>
      <w:tr w14:paraId="18C2B15E">
        <w:tc>
          <w:tcPr>
            <w:tcW w:w="1548" w:type="dxa"/>
            <w:tcBorders>
              <w:top w:val="single" w:color="auto" w:sz="4" w:space="0"/>
              <w:left w:val="single" w:color="auto" w:sz="4" w:space="0"/>
              <w:bottom w:val="single" w:color="auto" w:sz="4" w:space="0"/>
              <w:right w:val="single" w:color="auto" w:sz="4" w:space="0"/>
            </w:tcBorders>
            <w:vAlign w:val="center"/>
          </w:tcPr>
          <w:p w14:paraId="407CE273">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7 months</w:t>
            </w:r>
          </w:p>
        </w:tc>
        <w:tc>
          <w:tcPr>
            <w:tcW w:w="1800" w:type="dxa"/>
            <w:tcBorders>
              <w:top w:val="single" w:color="auto" w:sz="4" w:space="0"/>
              <w:left w:val="single" w:color="auto" w:sz="4" w:space="0"/>
              <w:bottom w:val="single" w:color="auto" w:sz="4" w:space="0"/>
              <w:right w:val="single" w:color="auto" w:sz="4" w:space="0"/>
            </w:tcBorders>
            <w:vAlign w:val="center"/>
          </w:tcPr>
          <w:p w14:paraId="1368A971">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8 months</w:t>
            </w:r>
          </w:p>
        </w:tc>
        <w:tc>
          <w:tcPr>
            <w:tcW w:w="2700" w:type="dxa"/>
            <w:tcBorders>
              <w:top w:val="single" w:color="auto" w:sz="4" w:space="0"/>
              <w:left w:val="single" w:color="auto" w:sz="4" w:space="0"/>
              <w:bottom w:val="single" w:color="auto" w:sz="4" w:space="0"/>
              <w:right w:val="single" w:color="auto" w:sz="4" w:space="0"/>
            </w:tcBorders>
            <w:vAlign w:val="center"/>
          </w:tcPr>
          <w:p w14:paraId="0D23B8B5">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80% of the annual rate</w:t>
            </w:r>
          </w:p>
        </w:tc>
      </w:tr>
      <w:tr w14:paraId="1483FECC">
        <w:tc>
          <w:tcPr>
            <w:tcW w:w="1548" w:type="dxa"/>
            <w:tcBorders>
              <w:top w:val="single" w:color="auto" w:sz="4" w:space="0"/>
              <w:left w:val="single" w:color="auto" w:sz="4" w:space="0"/>
              <w:bottom w:val="single" w:color="auto" w:sz="4" w:space="0"/>
              <w:right w:val="single" w:color="auto" w:sz="4" w:space="0"/>
            </w:tcBorders>
            <w:vAlign w:val="center"/>
          </w:tcPr>
          <w:p w14:paraId="1F164F5D">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8 months</w:t>
            </w:r>
          </w:p>
        </w:tc>
        <w:tc>
          <w:tcPr>
            <w:tcW w:w="1800" w:type="dxa"/>
            <w:tcBorders>
              <w:top w:val="single" w:color="auto" w:sz="4" w:space="0"/>
              <w:left w:val="single" w:color="auto" w:sz="4" w:space="0"/>
              <w:bottom w:val="single" w:color="auto" w:sz="4" w:space="0"/>
              <w:right w:val="single" w:color="auto" w:sz="4" w:space="0"/>
            </w:tcBorders>
            <w:vAlign w:val="center"/>
          </w:tcPr>
          <w:p w14:paraId="76096519">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9 months</w:t>
            </w:r>
          </w:p>
        </w:tc>
        <w:tc>
          <w:tcPr>
            <w:tcW w:w="2700" w:type="dxa"/>
            <w:tcBorders>
              <w:top w:val="single" w:color="auto" w:sz="4" w:space="0"/>
              <w:left w:val="single" w:color="auto" w:sz="4" w:space="0"/>
              <w:bottom w:val="single" w:color="auto" w:sz="4" w:space="0"/>
              <w:right w:val="single" w:color="auto" w:sz="4" w:space="0"/>
            </w:tcBorders>
            <w:vAlign w:val="center"/>
          </w:tcPr>
          <w:p w14:paraId="57521FBD">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85% of the annual rate</w:t>
            </w:r>
          </w:p>
        </w:tc>
      </w:tr>
      <w:tr w14:paraId="3BA130F0">
        <w:tc>
          <w:tcPr>
            <w:tcW w:w="1548" w:type="dxa"/>
            <w:tcBorders>
              <w:top w:val="single" w:color="auto" w:sz="4" w:space="0"/>
              <w:left w:val="single" w:color="auto" w:sz="4" w:space="0"/>
              <w:bottom w:val="single" w:color="auto" w:sz="4" w:space="0"/>
              <w:right w:val="single" w:color="auto" w:sz="4" w:space="0"/>
            </w:tcBorders>
            <w:vAlign w:val="center"/>
          </w:tcPr>
          <w:p w14:paraId="4472B279">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9 months</w:t>
            </w:r>
          </w:p>
        </w:tc>
        <w:tc>
          <w:tcPr>
            <w:tcW w:w="1800" w:type="dxa"/>
            <w:tcBorders>
              <w:top w:val="single" w:color="auto" w:sz="4" w:space="0"/>
              <w:left w:val="single" w:color="auto" w:sz="4" w:space="0"/>
              <w:bottom w:val="single" w:color="auto" w:sz="4" w:space="0"/>
              <w:right w:val="single" w:color="auto" w:sz="4" w:space="0"/>
            </w:tcBorders>
            <w:vAlign w:val="center"/>
          </w:tcPr>
          <w:p w14:paraId="7096DC6B">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10 months</w:t>
            </w:r>
          </w:p>
        </w:tc>
        <w:tc>
          <w:tcPr>
            <w:tcW w:w="2700" w:type="dxa"/>
            <w:tcBorders>
              <w:top w:val="single" w:color="auto" w:sz="4" w:space="0"/>
              <w:left w:val="single" w:color="auto" w:sz="4" w:space="0"/>
              <w:bottom w:val="single" w:color="auto" w:sz="4" w:space="0"/>
              <w:right w:val="single" w:color="auto" w:sz="4" w:space="0"/>
            </w:tcBorders>
            <w:vAlign w:val="center"/>
          </w:tcPr>
          <w:p w14:paraId="23FA26E2">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90% of the annual rate</w:t>
            </w:r>
          </w:p>
        </w:tc>
      </w:tr>
      <w:tr w14:paraId="49D675F9">
        <w:tc>
          <w:tcPr>
            <w:tcW w:w="1548" w:type="dxa"/>
            <w:tcBorders>
              <w:top w:val="single" w:color="auto" w:sz="4" w:space="0"/>
              <w:left w:val="single" w:color="auto" w:sz="4" w:space="0"/>
              <w:bottom w:val="single" w:color="auto" w:sz="4" w:space="0"/>
              <w:right w:val="single" w:color="auto" w:sz="4" w:space="0"/>
            </w:tcBorders>
            <w:vAlign w:val="center"/>
          </w:tcPr>
          <w:p w14:paraId="69F61B1E">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10 months</w:t>
            </w:r>
          </w:p>
        </w:tc>
        <w:tc>
          <w:tcPr>
            <w:tcW w:w="1800" w:type="dxa"/>
            <w:tcBorders>
              <w:top w:val="single" w:color="auto" w:sz="4" w:space="0"/>
              <w:left w:val="single" w:color="auto" w:sz="4" w:space="0"/>
              <w:bottom w:val="single" w:color="auto" w:sz="4" w:space="0"/>
              <w:right w:val="single" w:color="auto" w:sz="4" w:space="0"/>
            </w:tcBorders>
            <w:vAlign w:val="center"/>
          </w:tcPr>
          <w:p w14:paraId="010E6BD3">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11 months</w:t>
            </w:r>
          </w:p>
        </w:tc>
        <w:tc>
          <w:tcPr>
            <w:tcW w:w="2700" w:type="dxa"/>
            <w:tcBorders>
              <w:top w:val="single" w:color="auto" w:sz="4" w:space="0"/>
              <w:left w:val="single" w:color="auto" w:sz="4" w:space="0"/>
              <w:bottom w:val="single" w:color="auto" w:sz="4" w:space="0"/>
              <w:right w:val="single" w:color="auto" w:sz="4" w:space="0"/>
            </w:tcBorders>
            <w:vAlign w:val="center"/>
          </w:tcPr>
          <w:p w14:paraId="70288958">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95% of the annual rate</w:t>
            </w:r>
          </w:p>
        </w:tc>
      </w:tr>
      <w:tr w14:paraId="06734237">
        <w:tc>
          <w:tcPr>
            <w:tcW w:w="1548" w:type="dxa"/>
            <w:tcBorders>
              <w:top w:val="single" w:color="auto" w:sz="4" w:space="0"/>
              <w:left w:val="single" w:color="auto" w:sz="4" w:space="0"/>
              <w:bottom w:val="single" w:color="auto" w:sz="4" w:space="0"/>
              <w:right w:val="single" w:color="auto" w:sz="4" w:space="0"/>
            </w:tcBorders>
            <w:vAlign w:val="center"/>
          </w:tcPr>
          <w:p w14:paraId="5321925E">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11 months</w:t>
            </w:r>
          </w:p>
        </w:tc>
        <w:tc>
          <w:tcPr>
            <w:tcW w:w="1800" w:type="dxa"/>
            <w:tcBorders>
              <w:top w:val="single" w:color="auto" w:sz="4" w:space="0"/>
              <w:left w:val="single" w:color="auto" w:sz="4" w:space="0"/>
              <w:bottom w:val="single" w:color="auto" w:sz="4" w:space="0"/>
              <w:right w:val="single" w:color="auto" w:sz="4" w:space="0"/>
            </w:tcBorders>
            <w:vAlign w:val="center"/>
          </w:tcPr>
          <w:p w14:paraId="77088A14">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12 months</w:t>
            </w:r>
          </w:p>
        </w:tc>
        <w:tc>
          <w:tcPr>
            <w:tcW w:w="2700" w:type="dxa"/>
            <w:tcBorders>
              <w:top w:val="single" w:color="auto" w:sz="4" w:space="0"/>
              <w:left w:val="single" w:color="auto" w:sz="4" w:space="0"/>
              <w:bottom w:val="single" w:color="auto" w:sz="4" w:space="0"/>
              <w:right w:val="single" w:color="auto" w:sz="4" w:space="0"/>
            </w:tcBorders>
            <w:vAlign w:val="center"/>
          </w:tcPr>
          <w:p w14:paraId="56F34340">
            <w:pPr>
              <w:snapToGrid w:val="0"/>
              <w:spacing w:after="120" w:afterLines="50"/>
              <w:jc w:val="center"/>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100% of the annual rate</w:t>
            </w:r>
          </w:p>
        </w:tc>
      </w:tr>
    </w:tbl>
    <w:p w14:paraId="7C407587">
      <w:pPr>
        <w:snapToGrid w:val="0"/>
        <w:spacing w:after="120" w:afterLines="50"/>
        <w:rPr>
          <w:rFonts w:hint="default" w:ascii="Times New Roman" w:hAnsi="Times New Roman" w:cs="Times New Roman" w:eastAsiaTheme="minorEastAsia"/>
          <w:szCs w:val="21"/>
        </w:rPr>
      </w:pPr>
    </w:p>
    <w:p w14:paraId="5F1F2384">
      <w:pPr>
        <w:widowControl/>
        <w:tabs>
          <w:tab w:val="left" w:pos="7200"/>
        </w:tabs>
        <w:adjustRightInd w:val="0"/>
        <w:snapToGrid w:val="0"/>
        <w:spacing w:after="120" w:afterLines="50"/>
        <w:jc w:val="center"/>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br w:type="page"/>
      </w:r>
      <w:r>
        <w:rPr>
          <w:rFonts w:hint="default" w:ascii="Times New Roman" w:hAnsi="Times New Roman" w:cs="Times New Roman" w:eastAsiaTheme="minorEastAsia"/>
          <w:b/>
          <w:kern w:val="0"/>
          <w:szCs w:val="21"/>
        </w:rPr>
        <w:t>中国太平洋财产保险股份有限公司</w:t>
      </w:r>
    </w:p>
    <w:p w14:paraId="51965687">
      <w:pPr>
        <w:pStyle w:val="3"/>
        <w:snapToGrid w:val="0"/>
        <w:spacing w:after="120" w:afterLines="50" w:line="240" w:lineRule="auto"/>
        <w:jc w:val="center"/>
        <w:rPr>
          <w:rFonts w:hint="default" w:ascii="Times New Roman" w:hAnsi="Times New Roman" w:cs="Times New Roman" w:eastAsiaTheme="minorEastAsia"/>
          <w:bCs/>
          <w:color w:val="auto"/>
          <w:sz w:val="21"/>
          <w:szCs w:val="21"/>
        </w:rPr>
      </w:pPr>
      <w:r>
        <w:rPr>
          <w:rFonts w:hint="default" w:ascii="Times New Roman" w:hAnsi="Times New Roman" w:cs="Times New Roman" w:eastAsiaTheme="minorEastAsia"/>
          <w:bCs/>
          <w:color w:val="auto"/>
          <w:sz w:val="21"/>
          <w:szCs w:val="21"/>
        </w:rPr>
        <w:t>财产一切险条款</w:t>
      </w:r>
    </w:p>
    <w:p w14:paraId="18BB5EC7">
      <w:pPr>
        <w:pStyle w:val="6"/>
        <w:snapToGrid w:val="0"/>
        <w:spacing w:after="120" w:afterLines="50"/>
        <w:ind w:firstLine="480"/>
        <w:rPr>
          <w:rFonts w:hint="default" w:ascii="Times New Roman" w:hAnsi="Times New Roman" w:cs="Times New Roman" w:eastAsiaTheme="minorEastAsia"/>
          <w:b/>
          <w:color w:val="auto"/>
          <w:sz w:val="21"/>
          <w:szCs w:val="21"/>
        </w:rPr>
      </w:pPr>
    </w:p>
    <w:p w14:paraId="4FF22CEC">
      <w:pPr>
        <w:adjustRightInd w:val="0"/>
        <w:snapToGrid w:val="0"/>
        <w:spacing w:after="120" w:afterLines="50"/>
        <w:jc w:val="center"/>
        <w:rPr>
          <w:rFonts w:hint="default" w:ascii="Times New Roman" w:hAnsi="Times New Roman" w:cs="Times New Roman" w:eastAsiaTheme="minorEastAsia"/>
          <w:b/>
          <w:bCs/>
          <w:szCs w:val="21"/>
        </w:rPr>
      </w:pPr>
      <w:bookmarkStart w:id="5" w:name="总则"/>
      <w:r>
        <w:rPr>
          <w:rFonts w:hint="default" w:ascii="Times New Roman" w:hAnsi="Times New Roman" w:cs="Times New Roman" w:eastAsiaTheme="minorEastAsia"/>
          <w:b/>
          <w:bCs/>
          <w:szCs w:val="21"/>
        </w:rPr>
        <w:t>总则</w:t>
      </w:r>
      <w:bookmarkEnd w:id="5"/>
    </w:p>
    <w:p w14:paraId="5C5E0E27">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第一条</w:t>
      </w:r>
      <w:r>
        <w:rPr>
          <w:rFonts w:hint="default" w:ascii="Times New Roman" w:hAnsi="Times New Roman" w:cs="Times New Roman" w:eastAsiaTheme="minorEastAsia"/>
          <w:szCs w:val="21"/>
        </w:rPr>
        <w:t xml:space="preserve">  本保险合同由保险条款、投保单、保险单或其他保险凭证以及批单组成。凡涉及本保险合同的约定，均应采用书面形式。</w:t>
      </w:r>
    </w:p>
    <w:p w14:paraId="6DC63540">
      <w:pPr>
        <w:adjustRightInd w:val="0"/>
        <w:snapToGrid w:val="0"/>
        <w:spacing w:after="120" w:afterLines="50"/>
        <w:jc w:val="center"/>
        <w:rPr>
          <w:rFonts w:hint="default" w:ascii="Times New Roman" w:hAnsi="Times New Roman" w:cs="Times New Roman" w:eastAsiaTheme="minorEastAsia"/>
          <w:b/>
          <w:bCs/>
          <w:szCs w:val="21"/>
        </w:rPr>
      </w:pPr>
    </w:p>
    <w:p w14:paraId="212E3947">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保险标的</w:t>
      </w:r>
    </w:p>
    <w:p w14:paraId="7680F29C">
      <w:pPr>
        <w:adjustRightInd w:val="0"/>
        <w:snapToGrid w:val="0"/>
        <w:spacing w:after="120" w:afterLines="50"/>
        <w:ind w:firstLine="395" w:firstLineChars="188"/>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第二条</w:t>
      </w:r>
      <w:r>
        <w:rPr>
          <w:rFonts w:hint="default" w:ascii="Times New Roman" w:hAnsi="Times New Roman" w:cs="Times New Roman" w:eastAsiaTheme="minorEastAsia"/>
          <w:szCs w:val="21"/>
        </w:rPr>
        <w:t xml:space="preserve">  本保险合同载明地址内的下列财产可作为保险标的：</w:t>
      </w:r>
    </w:p>
    <w:p w14:paraId="698DDA4E">
      <w:pPr>
        <w:adjustRightInd w:val="0"/>
        <w:snapToGrid w:val="0"/>
        <w:spacing w:after="120" w:afterLines="50"/>
        <w:ind w:firstLine="394" w:firstLineChars="188"/>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（一）属于被保险人所有或与他人共有而由被保险人负责的财产；</w:t>
      </w:r>
    </w:p>
    <w:p w14:paraId="3E9BB4E8">
      <w:pPr>
        <w:adjustRightInd w:val="0"/>
        <w:snapToGrid w:val="0"/>
        <w:spacing w:after="120" w:afterLines="50"/>
        <w:ind w:firstLine="394" w:firstLineChars="188"/>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（二）由被保险人经营管理或替他人保管的财产；</w:t>
      </w:r>
    </w:p>
    <w:p w14:paraId="4C99CBDB">
      <w:pPr>
        <w:adjustRightInd w:val="0"/>
        <w:snapToGrid w:val="0"/>
        <w:spacing w:after="120" w:afterLines="50"/>
        <w:ind w:firstLine="394" w:firstLineChars="188"/>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（三）其他具有法律上承认的与被保险人有经济利害关系的财产。</w:t>
      </w:r>
    </w:p>
    <w:p w14:paraId="771A3F63">
      <w:pPr>
        <w:adjustRightInd w:val="0"/>
        <w:snapToGrid w:val="0"/>
        <w:spacing w:after="120" w:afterLines="50"/>
        <w:ind w:firstLine="395" w:firstLineChars="188"/>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第三条</w:t>
      </w:r>
      <w:r>
        <w:rPr>
          <w:rFonts w:hint="default" w:ascii="Times New Roman" w:hAnsi="Times New Roman" w:cs="Times New Roman" w:eastAsiaTheme="minorEastAsia"/>
          <w:szCs w:val="21"/>
        </w:rPr>
        <w:t xml:space="preserve">  本保险合同载明地址内的下列财产未经保险合同双方特别约定并在保险合同中载明保险价值的，不属于本保险合同的保险标的：</w:t>
      </w:r>
    </w:p>
    <w:p w14:paraId="18ABBA8F">
      <w:pPr>
        <w:adjustRightInd w:val="0"/>
        <w:snapToGrid w:val="0"/>
        <w:spacing w:after="120" w:afterLines="50"/>
        <w:ind w:firstLine="394" w:firstLineChars="188"/>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 金银、珠宝、钻石、玉器、首饰、古币、古玩、古书、古画、邮票、字画、艺术品、稀有金属等珍贵财物；</w:t>
      </w:r>
    </w:p>
    <w:p w14:paraId="0901EB49">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（二）堤堰、水闸、铁路、道路、涵洞、隧道、桥梁、码头；</w:t>
      </w:r>
    </w:p>
    <w:p w14:paraId="6E52A897">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（三）矿井（坑）内的设备和物资；</w:t>
      </w:r>
    </w:p>
    <w:p w14:paraId="07610C2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（四）便携式通讯装置、便携式计算机设备、便携式照相摄像器材以及其他便携式装置、设备；</w:t>
      </w:r>
    </w:p>
    <w:p w14:paraId="56A17BB6">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（五）尚未交付使用或验收的工程。</w:t>
      </w:r>
    </w:p>
    <w:p w14:paraId="5A15FB3E">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第四条</w:t>
      </w:r>
      <w:r>
        <w:rPr>
          <w:rFonts w:hint="default" w:ascii="Times New Roman" w:hAnsi="Times New Roman" w:cs="Times New Roman" w:eastAsiaTheme="minorEastAsia"/>
          <w:szCs w:val="21"/>
        </w:rPr>
        <w:t xml:space="preserve">  下列财产不属于本保险合同的保险标的：</w:t>
      </w:r>
    </w:p>
    <w:p w14:paraId="52D82841">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（一）土地、矿藏、水资源及其他自然资源；</w:t>
      </w:r>
    </w:p>
    <w:p w14:paraId="7451A940">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（二）矿井、矿坑；</w:t>
      </w:r>
    </w:p>
    <w:p w14:paraId="529E3D0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（三）货币、票证、有价证券以及有现金价值的磁卡、集成电路（IC）卡等卡类；</w:t>
      </w:r>
    </w:p>
    <w:p w14:paraId="74962DB8">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（四）文件、账册、图表、技术资料、计算机软件、计算机数据资料等无法鉴定价值的财产；</w:t>
      </w:r>
    </w:p>
    <w:p w14:paraId="5A404DF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（五）枪支弹药； </w:t>
      </w:r>
    </w:p>
    <w:p w14:paraId="0E8C8551">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（六）违章建筑、危险建筑、非法占用的财产；</w:t>
      </w:r>
    </w:p>
    <w:p w14:paraId="38773384">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（七）领取公共行驶执照的机动车辆；</w:t>
      </w:r>
    </w:p>
    <w:p w14:paraId="6B3A5FCD">
      <w:pPr>
        <w:adjustRightInd w:val="0"/>
        <w:snapToGrid w:val="0"/>
        <w:spacing w:after="120" w:afterLines="50"/>
        <w:ind w:firstLine="420" w:firstLineChars="200"/>
        <w:rPr>
          <w:rFonts w:hint="default" w:ascii="Times New Roman" w:hAnsi="Times New Roman" w:cs="Times New Roman" w:eastAsiaTheme="minorEastAsia"/>
          <w:i/>
          <w:iCs/>
          <w:szCs w:val="21"/>
        </w:rPr>
      </w:pPr>
      <w:r>
        <w:rPr>
          <w:rFonts w:hint="default" w:ascii="Times New Roman" w:hAnsi="Times New Roman" w:cs="Times New Roman" w:eastAsiaTheme="minorEastAsia"/>
          <w:szCs w:val="21"/>
        </w:rPr>
        <w:t>（八）动物、植物、农作物。</w:t>
      </w:r>
    </w:p>
    <w:p w14:paraId="1536F9F7">
      <w:pPr>
        <w:adjustRightInd w:val="0"/>
        <w:snapToGrid w:val="0"/>
        <w:spacing w:after="120" w:afterLines="50"/>
        <w:jc w:val="center"/>
        <w:rPr>
          <w:rFonts w:hint="default" w:ascii="Times New Roman" w:hAnsi="Times New Roman" w:cs="Times New Roman" w:eastAsiaTheme="minorEastAsia"/>
          <w:b/>
          <w:bCs/>
          <w:szCs w:val="21"/>
        </w:rPr>
      </w:pPr>
    </w:p>
    <w:p w14:paraId="0F2DD870">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保险责任</w:t>
      </w:r>
    </w:p>
    <w:p w14:paraId="6B750579">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第五条</w:t>
      </w:r>
      <w:r>
        <w:rPr>
          <w:rFonts w:hint="default" w:ascii="Times New Roman" w:hAnsi="Times New Roman" w:cs="Times New Roman" w:eastAsiaTheme="minorEastAsia"/>
          <w:szCs w:val="21"/>
        </w:rPr>
        <w:t xml:space="preserve">  在保险期间内，由于自然灾害或意外事故造成</w:t>
      </w:r>
      <w:r>
        <w:rPr>
          <w:rFonts w:hint="default" w:ascii="Times New Roman" w:hAnsi="Times New Roman" w:cs="Times New Roman" w:eastAsiaTheme="minorEastAsia"/>
          <w:bCs/>
          <w:szCs w:val="21"/>
        </w:rPr>
        <w:t>保险标的直接物质损坏或灭失（以下简称“损失”）</w:t>
      </w:r>
      <w:r>
        <w:rPr>
          <w:rFonts w:hint="default" w:ascii="Times New Roman" w:hAnsi="Times New Roman" w:cs="Times New Roman" w:eastAsiaTheme="minorEastAsia"/>
          <w:szCs w:val="21"/>
        </w:rPr>
        <w:t>，保险人按照本保险合同的约定负责赔偿。</w:t>
      </w:r>
    </w:p>
    <w:p w14:paraId="4C55DF75">
      <w:pPr>
        <w:pStyle w:val="13"/>
        <w:snapToGrid w:val="0"/>
        <w:spacing w:afterLines="50"/>
        <w:ind w:firstLine="420" w:firstLineChars="200"/>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前款原因造成的保险事故发生时，为抢救保险标的或防止灾害蔓延，采取必要的、合理的措施而造成保险标的的损失，保险人按照本保险合同的约定也负责赔偿。</w:t>
      </w:r>
    </w:p>
    <w:p w14:paraId="7E628993">
      <w:pPr>
        <w:pStyle w:val="13"/>
        <w:snapToGrid w:val="0"/>
        <w:spacing w:afterLines="50"/>
        <w:ind w:firstLine="417" w:firstLineChars="199"/>
        <w:rPr>
          <w:rFonts w:hint="default" w:ascii="Times New Roman" w:hAnsi="Times New Roman" w:cs="Times New Roman" w:eastAsiaTheme="minorEastAsia"/>
          <w:b/>
          <w:sz w:val="21"/>
          <w:szCs w:val="21"/>
        </w:rPr>
      </w:pPr>
      <w:r>
        <w:rPr>
          <w:rFonts w:hint="default" w:ascii="Times New Roman" w:hAnsi="Times New Roman" w:cs="Times New Roman" w:eastAsiaTheme="minorEastAsia"/>
          <w:sz w:val="21"/>
          <w:szCs w:val="21"/>
        </w:rPr>
        <w:t xml:space="preserve">第六条  </w:t>
      </w:r>
      <w:r>
        <w:rPr>
          <w:rFonts w:hint="default" w:ascii="Times New Roman" w:hAnsi="Times New Roman" w:cs="Times New Roman" w:eastAsiaTheme="minorEastAsia"/>
          <w:b/>
          <w:sz w:val="21"/>
          <w:szCs w:val="21"/>
        </w:rPr>
        <w:t>保险事故发生后，被保险人为防止或减少保险标的的损失所支付的必要的、合理的费用，保险人按照本保险合同的约定也负责赔偿。</w:t>
      </w:r>
    </w:p>
    <w:p w14:paraId="2904EC8B">
      <w:pPr>
        <w:adjustRightInd w:val="0"/>
        <w:snapToGrid w:val="0"/>
        <w:spacing w:after="120" w:afterLines="50"/>
        <w:jc w:val="center"/>
        <w:rPr>
          <w:rFonts w:hint="default" w:ascii="Times New Roman" w:hAnsi="Times New Roman" w:cs="Times New Roman" w:eastAsiaTheme="minorEastAsia"/>
          <w:b/>
          <w:bCs/>
          <w:szCs w:val="21"/>
        </w:rPr>
      </w:pPr>
    </w:p>
    <w:p w14:paraId="2F8183DA">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责任免除</w:t>
      </w:r>
    </w:p>
    <w:p w14:paraId="62EC645E">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第七条</w:t>
      </w:r>
      <w:r>
        <w:rPr>
          <w:rFonts w:hint="default" w:ascii="Times New Roman" w:hAnsi="Times New Roman" w:cs="Times New Roman" w:eastAsiaTheme="minorEastAsia"/>
          <w:szCs w:val="21"/>
        </w:rPr>
        <w:t xml:space="preserve"> </w:t>
      </w:r>
      <w:r>
        <w:rPr>
          <w:rFonts w:hint="default" w:ascii="Times New Roman" w:hAnsi="Times New Roman" w:cs="Times New Roman" w:eastAsiaTheme="minorEastAsia"/>
          <w:b/>
          <w:szCs w:val="21"/>
        </w:rPr>
        <w:t xml:space="preserve"> 下列原因造成的损失、费用，保险人不负责赔偿：</w:t>
      </w:r>
    </w:p>
    <w:p w14:paraId="176CB01B">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（一）投保人、被保险人及其代表的故意或重大过失行为；</w:t>
      </w:r>
    </w:p>
    <w:p w14:paraId="202089BB">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 xml:space="preserve">（二）行政行为或司法行为； </w:t>
      </w:r>
    </w:p>
    <w:p w14:paraId="0BB6EBF7">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 xml:space="preserve">（三）战争、类似战争行为、敌对行动、军事行动、武装冲突、罢工、骚乱、暴动、政变、谋反、恐怖活动； </w:t>
      </w:r>
    </w:p>
    <w:p w14:paraId="7555AE81">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（四）地震、海啸及其次生灾害；</w:t>
      </w:r>
    </w:p>
    <w:p w14:paraId="60D6B0C4">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（五）核辐射、核裂变、核聚变、核污染及其他放射性污染；</w:t>
      </w:r>
    </w:p>
    <w:p w14:paraId="11A6B7DD">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（六）大气污染、土地污染、水污染及其他非放射性污染，但因保险事故造成的非放射性污染不在此限；</w:t>
      </w:r>
    </w:p>
    <w:p w14:paraId="263E2C3C">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（七）保险标的的内在或潜在缺陷、自然磨损、自然损耗，大气（气候或气温）变化、正常水位变化或其他渐变原因，物质本身变化、霉烂、受潮、鼠咬、虫蛀、鸟啄、氧化、锈蚀、渗漏、烘焙；</w:t>
      </w:r>
    </w:p>
    <w:p w14:paraId="3081AC04">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（八）盗窃、抢劫。</w:t>
      </w:r>
    </w:p>
    <w:p w14:paraId="65426A07">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第八条  下列损失、费用，保险人也不负责赔偿：</w:t>
      </w:r>
    </w:p>
    <w:p w14:paraId="3ADF395D">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（一） 保险标的遭受保险事故引起的各种间接损失；</w:t>
      </w:r>
    </w:p>
    <w:p w14:paraId="75C26A81">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（二）设计错误、原材料缺陷或工艺不善造成保险标的本身的损失；</w:t>
      </w:r>
    </w:p>
    <w:p w14:paraId="4FFF732C">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三）广告牌、天线、霓虹灯、太阳能装置等建筑物外部附属设施，存放于露天或简易建筑物内的保险标的以及简易建筑，由于雷电、暴雨、洪水、暴风、龙卷风、冰雹、台风、飓风、暴雪、冰凌、沙尘暴造成的损失；</w:t>
      </w:r>
    </w:p>
    <w:p w14:paraId="10BB8BBE">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（四）锅炉及压力容器爆炸造成其本身的损失；</w:t>
      </w:r>
    </w:p>
    <w:p w14:paraId="16788E06">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（五）非外力造成机械或电气设备本身的损失；</w:t>
      </w:r>
    </w:p>
    <w:p w14:paraId="130EC71C">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（六）被保险人及其雇员的操作不当、技术缺陷造成被操作的机械或电气设备的损失；</w:t>
      </w:r>
    </w:p>
    <w:p w14:paraId="12E9F8E8">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（七）盘点时发现的短缺；</w:t>
      </w:r>
    </w:p>
    <w:p w14:paraId="3A309117">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（八）任何原因导致公共供电、供水、供气及其他能源供应中断造成的损失和费用；</w:t>
      </w:r>
    </w:p>
    <w:p w14:paraId="2C14A79B">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（九）本保险合同中载明的免赔额或按本保险合同中载明的免赔率计算的免赔额。 </w:t>
      </w:r>
    </w:p>
    <w:p w14:paraId="3BBAC55B">
      <w:pPr>
        <w:adjustRightInd w:val="0"/>
        <w:snapToGrid w:val="0"/>
        <w:spacing w:after="120" w:afterLines="50"/>
        <w:jc w:val="center"/>
        <w:rPr>
          <w:rFonts w:hint="default" w:ascii="Times New Roman" w:hAnsi="Times New Roman" w:cs="Times New Roman" w:eastAsiaTheme="minorEastAsia"/>
          <w:b/>
          <w:bCs/>
          <w:szCs w:val="21"/>
        </w:rPr>
      </w:pPr>
    </w:p>
    <w:p w14:paraId="3BA9CDB5">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保险价值、保险金额与免赔额（率）</w:t>
      </w:r>
    </w:p>
    <w:p w14:paraId="7BE9284D">
      <w:pPr>
        <w:adjustRightInd w:val="0"/>
        <w:snapToGrid w:val="0"/>
        <w:spacing w:after="120" w:afterLines="50"/>
        <w:rPr>
          <w:rFonts w:hint="default" w:ascii="Times New Roman" w:hAnsi="Times New Roman" w:cs="Times New Roman" w:eastAsiaTheme="minorEastAsia"/>
          <w:b/>
          <w:bCs/>
          <w:szCs w:val="21"/>
        </w:rPr>
      </w:pPr>
      <w:r>
        <w:rPr>
          <w:rFonts w:hint="default" w:ascii="Times New Roman" w:hAnsi="Times New Roman" w:cs="Times New Roman" w:eastAsiaTheme="minorEastAsia"/>
          <w:b/>
          <w:szCs w:val="21"/>
        </w:rPr>
        <w:t xml:space="preserve">    第九条  </w:t>
      </w:r>
      <w:r>
        <w:rPr>
          <w:rFonts w:hint="default" w:ascii="Times New Roman" w:hAnsi="Times New Roman" w:cs="Times New Roman" w:eastAsiaTheme="minorEastAsia"/>
          <w:bCs/>
          <w:szCs w:val="21"/>
        </w:rPr>
        <w:t>保险标的的保险价值可以为出险时的重置价值、出险时的账面余额、出险时的市场价值或其他价值，由投保人与保险人协商确定，并在本保险合同中载明。</w:t>
      </w:r>
      <w:r>
        <w:rPr>
          <w:rFonts w:hint="default" w:ascii="Times New Roman" w:hAnsi="Times New Roman" w:cs="Times New Roman" w:eastAsiaTheme="minorEastAsia"/>
          <w:b/>
          <w:bCs/>
          <w:szCs w:val="21"/>
        </w:rPr>
        <w:t xml:space="preserve"> </w:t>
      </w:r>
    </w:p>
    <w:p w14:paraId="549DE25B">
      <w:pPr>
        <w:adjustRightInd w:val="0"/>
        <w:snapToGrid w:val="0"/>
        <w:spacing w:after="120" w:afterLines="50"/>
        <w:ind w:firstLine="412" w:firstLineChars="196"/>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第十条</w:t>
      </w:r>
      <w:r>
        <w:rPr>
          <w:rFonts w:hint="default" w:ascii="Times New Roman" w:hAnsi="Times New Roman" w:cs="Times New Roman" w:eastAsiaTheme="minorEastAsia"/>
          <w:szCs w:val="21"/>
        </w:rPr>
        <w:t xml:space="preserve">  保险金额由投保人参照保险价值自行确定，并在保险合同中载明。保险金额不得超过保险价值。超过保险价值的，超过部分无效，保险人应当退还相应的保险费。</w:t>
      </w:r>
    </w:p>
    <w:p w14:paraId="5644F9B8">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第十一条</w:t>
      </w:r>
      <w:r>
        <w:rPr>
          <w:rFonts w:hint="default" w:ascii="Times New Roman" w:hAnsi="Times New Roman" w:cs="Times New Roman" w:eastAsiaTheme="minorEastAsia"/>
          <w:szCs w:val="21"/>
        </w:rPr>
        <w:t xml:space="preserve">  免赔额（率）由投保人与保险人在订立保险合同时协商确定，并在保险合同中载明。</w:t>
      </w:r>
    </w:p>
    <w:p w14:paraId="39B7EB86">
      <w:pPr>
        <w:adjustRightInd w:val="0"/>
        <w:snapToGrid w:val="0"/>
        <w:spacing w:after="120" w:afterLines="50"/>
        <w:jc w:val="center"/>
        <w:rPr>
          <w:rFonts w:hint="default" w:ascii="Times New Roman" w:hAnsi="Times New Roman" w:cs="Times New Roman" w:eastAsiaTheme="minorEastAsia"/>
          <w:b/>
          <w:bCs/>
          <w:szCs w:val="21"/>
        </w:rPr>
      </w:pPr>
    </w:p>
    <w:p w14:paraId="375E4468">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保险期间</w:t>
      </w:r>
    </w:p>
    <w:p w14:paraId="4C8D39E2">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 xml:space="preserve">第十二条  </w:t>
      </w:r>
      <w:r>
        <w:rPr>
          <w:rFonts w:hint="default" w:ascii="Times New Roman" w:hAnsi="Times New Roman" w:cs="Times New Roman" w:eastAsiaTheme="minorEastAsia"/>
          <w:szCs w:val="21"/>
        </w:rPr>
        <w:t>除另有约定外，保险期间为一年，以保险单载明的起讫时间为准。</w:t>
      </w:r>
    </w:p>
    <w:p w14:paraId="0CE8D75A">
      <w:pPr>
        <w:adjustRightInd w:val="0"/>
        <w:snapToGrid w:val="0"/>
        <w:spacing w:after="120" w:afterLines="50"/>
        <w:jc w:val="center"/>
        <w:rPr>
          <w:rFonts w:hint="default" w:ascii="Times New Roman" w:hAnsi="Times New Roman" w:cs="Times New Roman" w:eastAsiaTheme="minorEastAsia"/>
          <w:b/>
          <w:bCs/>
          <w:szCs w:val="21"/>
        </w:rPr>
      </w:pPr>
    </w:p>
    <w:p w14:paraId="2465F820">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保险人义务</w:t>
      </w:r>
    </w:p>
    <w:p w14:paraId="0BE20A04">
      <w:pPr>
        <w:adjustRightInd w:val="0"/>
        <w:snapToGrid w:val="0"/>
        <w:spacing w:after="120" w:afterLines="50"/>
        <w:ind w:firstLine="412" w:firstLineChars="196"/>
        <w:rPr>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 xml:space="preserve">第十三条 </w:t>
      </w:r>
      <w:r>
        <w:rPr>
          <w:rFonts w:hint="default" w:ascii="Times New Roman" w:hAnsi="Times New Roman" w:cs="Times New Roman" w:eastAsiaTheme="minorEastAsia"/>
          <w:szCs w:val="21"/>
        </w:rPr>
        <w:t xml:space="preserve"> 订立保险合同时，采用保险人提供的格式条款的，保险人向投保人提供的投保单应当附格式条款，保险人应当向投保人说明保险合同的内容。对保险合同中免除保险人责任的条款，保险人在订立合同时应当在投保单、保险单或者其他保险凭证上作出足以引起投保人注意的提示，并对该条款的内容以书面或者口头形式向投保人作出明确说明；未作提示或者明确说明的，该条款不产生效力。</w:t>
      </w:r>
    </w:p>
    <w:p w14:paraId="4334B28D">
      <w:pPr>
        <w:adjustRightInd w:val="0"/>
        <w:snapToGrid w:val="0"/>
        <w:spacing w:after="120" w:afterLines="50"/>
        <w:ind w:firstLine="412" w:firstLineChars="196"/>
        <w:rPr>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 xml:space="preserve">第十四条 </w:t>
      </w:r>
      <w:r>
        <w:rPr>
          <w:rFonts w:hint="default" w:ascii="Times New Roman" w:hAnsi="Times New Roman" w:cs="Times New Roman" w:eastAsiaTheme="minorEastAsia"/>
          <w:szCs w:val="21"/>
        </w:rPr>
        <w:t xml:space="preserve"> 本保险合同成立后，保险人应当及时向投保人签发保险单或其他保险凭证。</w:t>
      </w:r>
    </w:p>
    <w:p w14:paraId="2E66408C">
      <w:pPr>
        <w:adjustRightInd w:val="0"/>
        <w:snapToGrid w:val="0"/>
        <w:spacing w:after="120" w:afterLines="50"/>
        <w:ind w:firstLine="378" w:firstLineChars="180"/>
        <w:rPr>
          <w:rStyle w:val="26"/>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 xml:space="preserve">第十五条 </w:t>
      </w:r>
      <w:r>
        <w:rPr>
          <w:rFonts w:hint="default" w:ascii="Times New Roman" w:hAnsi="Times New Roman" w:cs="Times New Roman" w:eastAsiaTheme="minorEastAsia"/>
          <w:szCs w:val="21"/>
        </w:rPr>
        <w:t xml:space="preserve"> 保险人依据第十九条所取得的保险合同解除权，</w:t>
      </w:r>
      <w:r>
        <w:rPr>
          <w:rStyle w:val="26"/>
          <w:rFonts w:hint="default" w:ascii="Times New Roman" w:hAnsi="Times New Roman" w:cs="Times New Roman" w:eastAsiaTheme="minorEastAsia"/>
          <w:szCs w:val="21"/>
        </w:rPr>
        <w:t>自保险人知道有解除事由之日起，超过三十日不行使而消灭。自保险合同成立之日起超过二年的，保险人不得解除合同；发生保险事故的，保险人承担赔偿责任。</w:t>
      </w:r>
    </w:p>
    <w:p w14:paraId="3538B3ED">
      <w:pPr>
        <w:adjustRightInd w:val="0"/>
        <w:snapToGrid w:val="0"/>
        <w:spacing w:after="120" w:afterLines="50"/>
        <w:ind w:firstLine="380" w:firstLineChars="181"/>
        <w:rPr>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保险人在合同订立时已经知道投保人未如实告知的情况的，保险人不得解除合同；发生保险事故的，保险人应当承担赔偿责任。</w:t>
      </w:r>
    </w:p>
    <w:p w14:paraId="4D9A8A4A">
      <w:pPr>
        <w:adjustRightInd w:val="0"/>
        <w:snapToGrid w:val="0"/>
        <w:spacing w:after="120" w:afterLines="50"/>
        <w:ind w:firstLine="378" w:firstLineChars="180"/>
        <w:rPr>
          <w:rStyle w:val="26"/>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 xml:space="preserve">第十六条 </w:t>
      </w:r>
      <w:r>
        <w:rPr>
          <w:rFonts w:hint="default" w:ascii="Times New Roman" w:hAnsi="Times New Roman" w:cs="Times New Roman" w:eastAsiaTheme="minorEastAsia"/>
          <w:szCs w:val="21"/>
        </w:rPr>
        <w:t xml:space="preserve"> </w:t>
      </w:r>
      <w:r>
        <w:rPr>
          <w:rStyle w:val="26"/>
          <w:rFonts w:hint="default" w:ascii="Times New Roman" w:hAnsi="Times New Roman" w:cs="Times New Roman" w:eastAsiaTheme="minorEastAsia"/>
          <w:szCs w:val="21"/>
        </w:rPr>
        <w:t>保险人按照第二十五条的约定，认为被保险人提供的有关索赔的证明和资料不完整的，应当及时一次性通知投保人、被保险人补充提供。</w:t>
      </w:r>
    </w:p>
    <w:p w14:paraId="74B03E05">
      <w:pPr>
        <w:adjustRightInd w:val="0"/>
        <w:snapToGrid w:val="0"/>
        <w:spacing w:after="120" w:afterLines="50"/>
        <w:ind w:firstLine="412" w:firstLineChars="196"/>
        <w:rPr>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 xml:space="preserve">第十七条 </w:t>
      </w:r>
      <w:r>
        <w:rPr>
          <w:rFonts w:hint="default" w:ascii="Times New Roman" w:hAnsi="Times New Roman" w:cs="Times New Roman" w:eastAsiaTheme="minorEastAsia"/>
          <w:szCs w:val="21"/>
        </w:rPr>
        <w:t xml:space="preserve"> 保险人收到被保险人的赔偿保险金的请求后，应当及时作出是否属于保险责任的核定；情形复杂的，应当在三十日内作出核定，但保险合同另有约定的除外。</w:t>
      </w:r>
    </w:p>
    <w:p w14:paraId="39EF57DD">
      <w:pPr>
        <w:adjustRightInd w:val="0"/>
        <w:snapToGrid w:val="0"/>
        <w:spacing w:after="120" w:afterLines="50"/>
        <w:ind w:firstLine="411" w:firstLineChars="196"/>
        <w:rPr>
          <w:rStyle w:val="26"/>
          <w:rFonts w:hint="default" w:ascii="Times New Roman" w:hAnsi="Times New Roman" w:cs="Times New Roman" w:eastAsiaTheme="minorEastAsia"/>
          <w:szCs w:val="21"/>
        </w:rPr>
      </w:pPr>
      <w:r>
        <w:rPr>
          <w:rFonts w:hint="default" w:ascii="Times New Roman" w:hAnsi="Times New Roman" w:cs="Times New Roman" w:eastAsiaTheme="minorEastAsia"/>
          <w:szCs w:val="21"/>
        </w:rPr>
        <w:t>保险人应当将核定结果通知被保险人；对属于保险责任的，在与被保险人达成赔偿保险金的协议后十日内，履行赔偿保险金义务。保险合同对赔偿保险金的期限有约定的，保险人应当按照约定履行赔偿保险金的义务。保险人依照前款约定作出核定后，</w:t>
      </w:r>
      <w:r>
        <w:rPr>
          <w:rStyle w:val="26"/>
          <w:rFonts w:hint="default" w:ascii="Times New Roman" w:hAnsi="Times New Roman" w:cs="Times New Roman" w:eastAsiaTheme="minorEastAsia"/>
          <w:szCs w:val="21"/>
        </w:rPr>
        <w:t>对不属于保险责任的，应当自作出核定之日起三日内向被保险人发出拒绝赔偿保险金通知书，并说明理由</w:t>
      </w:r>
      <w:r>
        <w:rPr>
          <w:rFonts w:hint="default" w:ascii="Times New Roman" w:hAnsi="Times New Roman" w:cs="Times New Roman" w:eastAsiaTheme="minorEastAsia"/>
          <w:szCs w:val="21"/>
        </w:rPr>
        <w:t>。</w:t>
      </w:r>
    </w:p>
    <w:p w14:paraId="5BE1D12F">
      <w:pPr>
        <w:adjustRightInd w:val="0"/>
        <w:snapToGrid w:val="0"/>
        <w:spacing w:after="120" w:afterLines="50"/>
        <w:ind w:firstLine="420" w:firstLineChars="200"/>
        <w:rPr>
          <w:rFonts w:hint="default" w:ascii="Times New Roman" w:hAnsi="Times New Roman" w:cs="Times New Roman" w:eastAsiaTheme="minorEastAsia"/>
          <w:i/>
          <w:iCs/>
          <w:szCs w:val="21"/>
        </w:rPr>
      </w:pPr>
      <w:r>
        <w:rPr>
          <w:rFonts w:hint="default" w:ascii="Times New Roman" w:hAnsi="Times New Roman" w:cs="Times New Roman" w:eastAsiaTheme="minorEastAsia"/>
          <w:b/>
          <w:bCs/>
          <w:szCs w:val="21"/>
        </w:rPr>
        <w:t xml:space="preserve">第十八条 </w:t>
      </w:r>
      <w:r>
        <w:rPr>
          <w:rFonts w:hint="default" w:ascii="Times New Roman" w:hAnsi="Times New Roman" w:cs="Times New Roman" w:eastAsiaTheme="minorEastAsia"/>
          <w:szCs w:val="21"/>
        </w:rPr>
        <w:t xml:space="preserve"> </w:t>
      </w:r>
      <w:r>
        <w:rPr>
          <w:rStyle w:val="26"/>
          <w:rFonts w:hint="default" w:ascii="Times New Roman" w:hAnsi="Times New Roman" w:cs="Times New Roman" w:eastAsiaTheme="minorEastAsia"/>
          <w:szCs w:val="21"/>
        </w:rPr>
        <w:t>保险人自收到赔偿的请求和有关证明、资料之日起六十日内，对其赔偿保险金的数额不能确定的，应当根据已有证明和资料可以确定的数额先予支付；保险人最终确定赔偿的数额后，应当支付相应的差额。</w:t>
      </w:r>
      <w:r>
        <w:rPr>
          <w:rStyle w:val="27"/>
          <w:rFonts w:hint="default" w:ascii="Times New Roman" w:hAnsi="Times New Roman" w:cs="Times New Roman" w:eastAsiaTheme="minorEastAsia"/>
          <w:szCs w:val="21"/>
        </w:rPr>
        <w:t> </w:t>
      </w:r>
    </w:p>
    <w:p w14:paraId="47F6B2BF">
      <w:pPr>
        <w:adjustRightInd w:val="0"/>
        <w:snapToGrid w:val="0"/>
        <w:spacing w:after="120" w:afterLines="50"/>
        <w:jc w:val="center"/>
        <w:rPr>
          <w:rFonts w:hint="default" w:ascii="Times New Roman" w:hAnsi="Times New Roman" w:cs="Times New Roman" w:eastAsiaTheme="minorEastAsia"/>
          <w:b/>
          <w:bCs/>
          <w:szCs w:val="21"/>
        </w:rPr>
      </w:pPr>
    </w:p>
    <w:p w14:paraId="67B6D8A9">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投保人、被保险人义务</w:t>
      </w:r>
    </w:p>
    <w:p w14:paraId="7ABE3C69">
      <w:pPr>
        <w:pStyle w:val="9"/>
        <w:adjustRightInd w:val="0"/>
        <w:snapToGrid w:val="0"/>
        <w:spacing w:afterLines="50"/>
        <w:ind w:firstLine="412" w:firstLineChars="196"/>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第十九条</w:t>
      </w:r>
      <w:r>
        <w:rPr>
          <w:rFonts w:hint="default" w:ascii="Times New Roman" w:hAnsi="Times New Roman" w:cs="Times New Roman" w:eastAsiaTheme="minorEastAsia"/>
          <w:szCs w:val="21"/>
        </w:rPr>
        <w:t xml:space="preserve">  订立保险合同，保险人就保险标的或者被保险人的有关情况提出询问的，投保人应当如实告知，并如实填写投保单。</w:t>
      </w:r>
    </w:p>
    <w:p w14:paraId="32867B9D">
      <w:pPr>
        <w:pStyle w:val="7"/>
        <w:snapToGrid w:val="0"/>
        <w:spacing w:afterLines="5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投保人故意或者因重大过失未履行前款规定的如实告知义务，足以影响保险人决定是否同意承保或者提高保险费率的，保险人有权解除合同。</w:t>
      </w:r>
    </w:p>
    <w:p w14:paraId="214456AA">
      <w:pPr>
        <w:pStyle w:val="7"/>
        <w:snapToGrid w:val="0"/>
        <w:spacing w:afterLines="50"/>
        <w:ind w:firstLine="422"/>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投保人故意不履行如实告知义务的，保险人对于合同解除前发生的保险事故，不承担赔偿责任，并不退还保险费。</w:t>
      </w:r>
    </w:p>
    <w:p w14:paraId="5A6CE0B2">
      <w:pPr>
        <w:pStyle w:val="7"/>
        <w:snapToGrid w:val="0"/>
        <w:spacing w:afterLines="50"/>
        <w:ind w:firstLine="422"/>
        <w:rPr>
          <w:rFonts w:hint="default" w:ascii="Times New Roman" w:hAnsi="Times New Roman" w:cs="Times New Roman" w:eastAsiaTheme="minorEastAsia"/>
          <w:bCs/>
          <w:sz w:val="21"/>
          <w:szCs w:val="21"/>
        </w:rPr>
      </w:pPr>
      <w:r>
        <w:rPr>
          <w:rFonts w:hint="default" w:ascii="Times New Roman" w:hAnsi="Times New Roman" w:cs="Times New Roman" w:eastAsiaTheme="minorEastAsia"/>
          <w:b/>
          <w:sz w:val="21"/>
          <w:szCs w:val="21"/>
        </w:rPr>
        <w:t>投保人因重大过失未履行如实告知义务，对保险事故的发生有严重影响的，保险人对于合同解除前发生的保险事故，不承担赔偿责任，</w:t>
      </w:r>
      <w:r>
        <w:rPr>
          <w:rFonts w:hint="default" w:ascii="Times New Roman" w:hAnsi="Times New Roman" w:cs="Times New Roman" w:eastAsiaTheme="minorEastAsia"/>
          <w:b/>
          <w:bCs/>
          <w:sz w:val="21"/>
          <w:szCs w:val="21"/>
        </w:rPr>
        <w:t>但应当退还保险费。</w:t>
      </w:r>
    </w:p>
    <w:p w14:paraId="7E737D40">
      <w:pPr>
        <w:pStyle w:val="9"/>
        <w:adjustRightInd w:val="0"/>
        <w:snapToGrid w:val="0"/>
        <w:spacing w:afterLines="50"/>
        <w:ind w:firstLine="420" w:firstLineChars="200"/>
        <w:rPr>
          <w:rFonts w:hint="default" w:ascii="Times New Roman" w:hAnsi="Times New Roman" w:cs="Times New Roman" w:eastAsiaTheme="minorEastAsia"/>
          <w:b/>
          <w:bCs/>
          <w:szCs w:val="21"/>
        </w:rPr>
      </w:pPr>
      <w:r>
        <w:rPr>
          <w:rFonts w:hint="default" w:ascii="Times New Roman" w:hAnsi="Times New Roman" w:cs="Times New Roman" w:eastAsiaTheme="minorEastAsia"/>
          <w:b/>
          <w:szCs w:val="21"/>
        </w:rPr>
        <w:t xml:space="preserve">第二十条  </w:t>
      </w:r>
      <w:r>
        <w:rPr>
          <w:rFonts w:hint="default" w:ascii="Times New Roman" w:hAnsi="Times New Roman" w:cs="Times New Roman" w:eastAsiaTheme="minorEastAsia"/>
          <w:bCs/>
          <w:szCs w:val="21"/>
        </w:rPr>
        <w:t>投保人应按约定交付保险费。</w:t>
      </w:r>
    </w:p>
    <w:p w14:paraId="401B7D76">
      <w:pPr>
        <w:pStyle w:val="9"/>
        <w:adjustRightInd w:val="0"/>
        <w:snapToGrid w:val="0"/>
        <w:spacing w:afterLines="50"/>
        <w:ind w:firstLine="420" w:firstLineChars="200"/>
        <w:rPr>
          <w:rFonts w:hint="default" w:ascii="Times New Roman" w:hAnsi="Times New Roman" w:cs="Times New Roman" w:eastAsiaTheme="minorEastAsia"/>
          <w:b/>
          <w:bCs/>
          <w:szCs w:val="21"/>
        </w:rPr>
      </w:pPr>
      <w:r>
        <w:rPr>
          <w:rFonts w:hint="default" w:ascii="Times New Roman" w:hAnsi="Times New Roman" w:cs="Times New Roman" w:eastAsiaTheme="minorEastAsia"/>
          <w:bCs/>
          <w:szCs w:val="21"/>
        </w:rPr>
        <w:t>约定一次性交付保险费的，</w:t>
      </w:r>
      <w:r>
        <w:rPr>
          <w:rFonts w:hint="default" w:ascii="Times New Roman" w:hAnsi="Times New Roman" w:cs="Times New Roman" w:eastAsiaTheme="minorEastAsia"/>
          <w:b/>
          <w:bCs/>
          <w:szCs w:val="21"/>
        </w:rPr>
        <w:t>投保人在约定交费日后交付保险费的，保险人对交费之前发生的保险事故不承担保险责任。</w:t>
      </w:r>
    </w:p>
    <w:p w14:paraId="3737AAB4">
      <w:pPr>
        <w:pStyle w:val="9"/>
        <w:adjustRightInd w:val="0"/>
        <w:snapToGrid w:val="0"/>
        <w:spacing w:afterLines="50"/>
        <w:ind w:firstLine="420" w:firstLineChars="200"/>
        <w:rPr>
          <w:rFonts w:hint="default" w:ascii="Times New Roman" w:hAnsi="Times New Roman" w:cs="Times New Roman" w:eastAsiaTheme="minorEastAsia"/>
          <w:b/>
          <w:bCs/>
          <w:szCs w:val="21"/>
        </w:rPr>
      </w:pPr>
      <w:r>
        <w:rPr>
          <w:rFonts w:hint="default" w:ascii="Times New Roman" w:hAnsi="Times New Roman" w:cs="Times New Roman" w:eastAsiaTheme="minorEastAsia"/>
          <w:bCs/>
          <w:szCs w:val="21"/>
        </w:rPr>
        <w:t>约定分期交付保险费的，</w:t>
      </w:r>
      <w:r>
        <w:rPr>
          <w:rFonts w:hint="default" w:ascii="Times New Roman" w:hAnsi="Times New Roman" w:cs="Times New Roman" w:eastAsiaTheme="minorEastAsia"/>
          <w:b/>
          <w:bCs/>
          <w:szCs w:val="21"/>
        </w:rPr>
        <w:t>保险人按照保险事故发生前保险人实际收取保险费总额与投保人应当交付的保险费的比例承担保险责任，</w:t>
      </w:r>
      <w:r>
        <w:rPr>
          <w:rFonts w:hint="default" w:ascii="Times New Roman" w:hAnsi="Times New Roman" w:cs="Times New Roman" w:eastAsiaTheme="minorEastAsia"/>
          <w:bCs/>
          <w:szCs w:val="21"/>
        </w:rPr>
        <w:t>投保人应当交付的保险费是指截至保险事故发生时投保人按约定分期应该缴纳的保费总额。</w:t>
      </w:r>
    </w:p>
    <w:p w14:paraId="1DFDA766">
      <w:pPr>
        <w:pStyle w:val="7"/>
        <w:snapToGrid w:val="0"/>
        <w:spacing w:afterLines="50"/>
        <w:ind w:firstLine="422"/>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第二十一条</w:t>
      </w:r>
      <w:r>
        <w:rPr>
          <w:rFonts w:hint="default" w:ascii="Times New Roman" w:hAnsi="Times New Roman" w:cs="Times New Roman" w:eastAsiaTheme="minorEastAsia"/>
          <w:sz w:val="21"/>
          <w:szCs w:val="21"/>
        </w:rPr>
        <w:t xml:space="preserve">  被保险人应当遵守国家有关消防、安全、生产操作、劳动保护等方面的相关法律、法规及规定，加强管理，采取合理的预防措施，尽力避免或减少责任事故的发生，维护保险标的的安全。</w:t>
      </w:r>
    </w:p>
    <w:p w14:paraId="54DB1548">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保险人可以对被保险人遵守前款约定的情况进行检查，向投保人、被保险人提出消除不安全因素和隐患的书面建议，投保人、被保险人应该认真付诸实施。</w:t>
      </w:r>
    </w:p>
    <w:p w14:paraId="62E84C34">
      <w:pPr>
        <w:pStyle w:val="9"/>
        <w:adjustRightInd w:val="0"/>
        <w:snapToGrid w:val="0"/>
        <w:spacing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szCs w:val="21"/>
        </w:rPr>
        <w:t>投保人、被保险人未按照约定履行其对保险标的的安全应尽责任的，保险人有权要求增加保险费或者解除合同。</w:t>
      </w:r>
    </w:p>
    <w:p w14:paraId="4381398B">
      <w:pPr>
        <w:pStyle w:val="9"/>
        <w:adjustRightInd w:val="0"/>
        <w:snapToGrid w:val="0"/>
        <w:spacing w:afterLines="50"/>
        <w:ind w:firstLine="420" w:firstLineChars="200"/>
        <w:rPr>
          <w:rStyle w:val="26"/>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第二十二条</w:t>
      </w:r>
      <w:r>
        <w:rPr>
          <w:rFonts w:hint="default" w:ascii="Times New Roman" w:hAnsi="Times New Roman" w:cs="Times New Roman" w:eastAsiaTheme="minorEastAsia"/>
          <w:szCs w:val="21"/>
        </w:rPr>
        <w:t xml:space="preserve">  </w:t>
      </w:r>
      <w:r>
        <w:rPr>
          <w:rStyle w:val="26"/>
          <w:rFonts w:hint="default" w:ascii="Times New Roman" w:hAnsi="Times New Roman" w:cs="Times New Roman" w:eastAsiaTheme="minorEastAsia"/>
          <w:szCs w:val="21"/>
        </w:rPr>
        <w:t>保险标的转让的，被保险人或者受让人应当及时通知保险人。</w:t>
      </w:r>
    </w:p>
    <w:p w14:paraId="32438A33">
      <w:pPr>
        <w:pStyle w:val="9"/>
        <w:adjustRightInd w:val="0"/>
        <w:snapToGrid w:val="0"/>
        <w:spacing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因保险标的转让导致危险程度显著增加的，保险人自收到前款规定的通知之日起三十日内，可以按照合同约定增加保险费或者解除合同。保险人解除合同的，应当将已收取的保险费，按照合同约定扣除自保险责任开始之日起至合同解除之日止应收的部分后，退还投保人。</w:t>
      </w:r>
    </w:p>
    <w:p w14:paraId="1ED4C2F6">
      <w:pPr>
        <w:pStyle w:val="9"/>
        <w:adjustRightInd w:val="0"/>
        <w:snapToGrid w:val="0"/>
        <w:spacing w:afterLines="50"/>
        <w:ind w:firstLine="420" w:firstLineChars="200"/>
        <w:rPr>
          <w:rFonts w:hint="default" w:ascii="Times New Roman" w:hAnsi="Times New Roman" w:cs="Times New Roman" w:eastAsiaTheme="minorEastAsia"/>
          <w:b/>
          <w:szCs w:val="21"/>
        </w:rPr>
      </w:pPr>
      <w:r>
        <w:rPr>
          <w:rStyle w:val="26"/>
          <w:rFonts w:hint="default" w:ascii="Times New Roman" w:hAnsi="Times New Roman" w:cs="Times New Roman" w:eastAsiaTheme="minorEastAsia"/>
          <w:b/>
          <w:szCs w:val="21"/>
        </w:rPr>
        <w:t>被保险人、受让人未履行本条规定的通知义务的，因转让导致保险标的危险程度显著增加而发生的保险事故，保险人不承担赔偿责任。</w:t>
      </w:r>
    </w:p>
    <w:p w14:paraId="59F288F5">
      <w:pPr>
        <w:pStyle w:val="9"/>
        <w:adjustRightInd w:val="0"/>
        <w:snapToGrid w:val="0"/>
        <w:spacing w:afterLines="50"/>
        <w:ind w:firstLine="420" w:firstLineChars="20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第二十三条</w:t>
      </w:r>
      <w:r>
        <w:rPr>
          <w:rFonts w:hint="default" w:ascii="Times New Roman" w:hAnsi="Times New Roman" w:cs="Times New Roman" w:eastAsiaTheme="minorEastAsia"/>
          <w:szCs w:val="21"/>
        </w:rPr>
        <w:t xml:space="preserve">  在合同有效期内，如保险标的占用与使用性质、保险标的地址及其他可能导致保险标的危险程度显著增加的、或其他足以影响保险人决定是否继续承保或是否增加保险费的保险合同重要事项变更，被保险人应及时书面通知保险人，保险人有权要求增加保险费或者解除合同。</w:t>
      </w:r>
    </w:p>
    <w:p w14:paraId="13FC4A14">
      <w:pPr>
        <w:adjustRightInd w:val="0"/>
        <w:snapToGrid w:val="0"/>
        <w:spacing w:after="120" w:afterLines="50"/>
        <w:ind w:firstLine="418" w:firstLineChars="199"/>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被保险人未履行前款约定的通知义务的，因保险标的的危险程度显著增加而发生的保险事故，保险人不承担赔偿责任。</w:t>
      </w:r>
    </w:p>
    <w:p w14:paraId="484C94E7">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第二十四条</w:t>
      </w:r>
      <w:r>
        <w:rPr>
          <w:rFonts w:hint="default" w:ascii="Times New Roman" w:hAnsi="Times New Roman" w:cs="Times New Roman" w:eastAsiaTheme="minorEastAsia"/>
          <w:szCs w:val="21"/>
        </w:rPr>
        <w:t xml:space="preserve">  知道保险事故发生后，被保险人应该：</w:t>
      </w:r>
    </w:p>
    <w:p w14:paraId="2E00205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（一）尽力采取必要、合理的措施，防止或减少损失，否则，</w:t>
      </w:r>
      <w:r>
        <w:rPr>
          <w:rFonts w:hint="default" w:ascii="Times New Roman" w:hAnsi="Times New Roman" w:cs="Times New Roman" w:eastAsiaTheme="minorEastAsia"/>
          <w:b/>
          <w:szCs w:val="21"/>
        </w:rPr>
        <w:t>对因此扩大的损失，保险人不承担赔偿责任；</w:t>
      </w:r>
    </w:p>
    <w:p w14:paraId="1E99400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（二）立即通知保险人，并书面说明事故发生的原因、经过和损失情况；</w:t>
      </w:r>
      <w:r>
        <w:rPr>
          <w:rStyle w:val="26"/>
          <w:rFonts w:hint="default" w:ascii="Times New Roman" w:hAnsi="Times New Roman" w:cs="Times New Roman" w:eastAsiaTheme="minorEastAsia"/>
          <w:b/>
          <w:szCs w:val="21"/>
        </w:rPr>
        <w:t>故意或者因重大过失未及时通知，致使保险事故的性质、原因、损失程度等难以确定的，保险人对无法确定的部分，不承担赔偿责任，但保险人通过其他途径已经及时知道或者应当及时知道保险事故发生的除外；</w:t>
      </w:r>
    </w:p>
    <w:p w14:paraId="5C190F17">
      <w:pPr>
        <w:adjustRightInd w:val="0"/>
        <w:snapToGrid w:val="0"/>
        <w:spacing w:after="120" w:afterLines="50"/>
        <w:ind w:firstLine="420" w:firstLineChars="200"/>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（三）保护事故现场，允许并且协助保险人进行事故调查；</w:t>
      </w:r>
      <w:r>
        <w:rPr>
          <w:rFonts w:hint="default" w:ascii="Times New Roman" w:hAnsi="Times New Roman" w:cs="Times New Roman" w:eastAsiaTheme="minorEastAsia"/>
          <w:b/>
          <w:bCs/>
          <w:szCs w:val="21"/>
        </w:rPr>
        <w:t>对于拒绝或者妨碍保险人进行事故调查导致无法确定事故原因或核实损失情况的，</w:t>
      </w:r>
      <w:r>
        <w:rPr>
          <w:rFonts w:hint="default" w:ascii="Times New Roman" w:hAnsi="Times New Roman" w:cs="Times New Roman" w:eastAsiaTheme="minorEastAsia"/>
          <w:b/>
          <w:szCs w:val="21"/>
        </w:rPr>
        <w:t>保险人对无法确定或核实的部分不承担赔偿责任</w:t>
      </w:r>
      <w:r>
        <w:rPr>
          <w:rFonts w:hint="default" w:ascii="Times New Roman" w:hAnsi="Times New Roman" w:cs="Times New Roman" w:eastAsiaTheme="minorEastAsia"/>
          <w:b/>
          <w:bCs/>
          <w:szCs w:val="21"/>
        </w:rPr>
        <w:t>。</w:t>
      </w:r>
    </w:p>
    <w:p w14:paraId="0328D046">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第二十五条  </w:t>
      </w:r>
      <w:r>
        <w:rPr>
          <w:rFonts w:hint="default" w:ascii="Times New Roman" w:hAnsi="Times New Roman" w:cs="Times New Roman" w:eastAsiaTheme="minorEastAsia"/>
          <w:szCs w:val="21"/>
        </w:rPr>
        <w:t>被保险人请求赔偿时，应向保险人提供下列证明和资料：</w:t>
      </w:r>
    </w:p>
    <w:p w14:paraId="5B86EDB9">
      <w:pPr>
        <w:adjustRightInd w:val="0"/>
        <w:snapToGrid w:val="0"/>
        <w:spacing w:after="120" w:afterLines="50"/>
        <w:ind w:firstLine="417"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（一）保险单正本、索赔申请、财产损失清单、技术鉴定证明、事故报告书、救护费用发票、必要的账簿、单据和有关部门的证明；</w:t>
      </w:r>
    </w:p>
    <w:p w14:paraId="0C403ACD">
      <w:pPr>
        <w:adjustRightInd w:val="0"/>
        <w:snapToGrid w:val="0"/>
        <w:spacing w:after="120" w:afterLines="50"/>
        <w:ind w:firstLine="417"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（二）投保人、被保险人所能提供的与确认保险事故的性质、原因、损失程度等有关的其他证明和资料。</w:t>
      </w:r>
    </w:p>
    <w:p w14:paraId="06AB30CE">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投保人、被保险人未履行前款约定的单证提供义务，导致保险人无法核实损失情况的，保险人对无法核实的部分不承担赔偿责任。</w:t>
      </w:r>
    </w:p>
    <w:p w14:paraId="319C76B2">
      <w:pPr>
        <w:adjustRightInd w:val="0"/>
        <w:snapToGrid w:val="0"/>
        <w:spacing w:after="120" w:afterLines="50"/>
        <w:jc w:val="center"/>
        <w:rPr>
          <w:rFonts w:hint="default" w:ascii="Times New Roman" w:hAnsi="Times New Roman" w:cs="Times New Roman" w:eastAsiaTheme="minorEastAsia"/>
          <w:b/>
          <w:bCs/>
          <w:szCs w:val="21"/>
        </w:rPr>
      </w:pPr>
    </w:p>
    <w:p w14:paraId="2C8609E3">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赔偿处理</w:t>
      </w:r>
    </w:p>
    <w:p w14:paraId="10EAC93A">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第二十六条</w:t>
      </w:r>
      <w:r>
        <w:rPr>
          <w:rFonts w:hint="default" w:ascii="Times New Roman" w:hAnsi="Times New Roman" w:cs="Times New Roman" w:eastAsiaTheme="minorEastAsia"/>
          <w:szCs w:val="21"/>
        </w:rPr>
        <w:t xml:space="preserve">  </w:t>
      </w:r>
      <w:r>
        <w:rPr>
          <w:rStyle w:val="26"/>
          <w:rFonts w:hint="default" w:ascii="Times New Roman" w:hAnsi="Times New Roman" w:cs="Times New Roman" w:eastAsiaTheme="minorEastAsia"/>
          <w:b/>
          <w:szCs w:val="21"/>
        </w:rPr>
        <w:t>保险事故发生时，被保险人对保险标的不具有保险利益的，不得向保险人请求赔偿保险金。</w:t>
      </w:r>
    </w:p>
    <w:p w14:paraId="44F556D1">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第二十七条</w:t>
      </w:r>
      <w:r>
        <w:rPr>
          <w:rFonts w:hint="default" w:ascii="Times New Roman" w:hAnsi="Times New Roman" w:cs="Times New Roman" w:eastAsiaTheme="minorEastAsia"/>
          <w:szCs w:val="21"/>
        </w:rPr>
        <w:t xml:space="preserve">  保险标的发生保险责任范围内的损失，保险人有权选择下列方式赔偿：</w:t>
      </w:r>
    </w:p>
    <w:p w14:paraId="643EEF4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（一）货币赔偿：保险人以支付保险金的方式赔偿；</w:t>
      </w:r>
    </w:p>
    <w:p w14:paraId="609325A3">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（二）实物赔偿：保险人以实物替换受损标的，该实物应具有保险标的出险前同等的类型、结构、状态和性能；</w:t>
      </w:r>
    </w:p>
    <w:p w14:paraId="00B85CF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（三）实际修复：保险人自行或委托他人修理修复受损标的。</w:t>
      </w:r>
    </w:p>
    <w:p w14:paraId="3FC0455E">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对保险标的在修复或替换过程中，被保险人进行的任何变更、性能增加或改进所产生的额外费用，保险人不负责赔偿。</w:t>
      </w:r>
    </w:p>
    <w:p w14:paraId="1C5EB249">
      <w:pPr>
        <w:pStyle w:val="7"/>
        <w:snapToGrid w:val="0"/>
        <w:spacing w:afterLines="50"/>
        <w:ind w:firstLine="422"/>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第二十八条</w:t>
      </w:r>
      <w:r>
        <w:rPr>
          <w:rFonts w:hint="default" w:ascii="Times New Roman" w:hAnsi="Times New Roman" w:cs="Times New Roman" w:eastAsiaTheme="minorEastAsia"/>
          <w:sz w:val="21"/>
          <w:szCs w:val="21"/>
        </w:rPr>
        <w:t xml:space="preserve">  保险标的遭受损失后，如果有残余价值，应由双方协商处理。如折归被保险人，由双方协商确定其价值，并在保险赔款中扣除。</w:t>
      </w:r>
    </w:p>
    <w:p w14:paraId="540BE3FA">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第二十九条</w:t>
      </w:r>
      <w:r>
        <w:rPr>
          <w:rFonts w:hint="default" w:ascii="Times New Roman" w:hAnsi="Times New Roman" w:cs="Times New Roman" w:eastAsiaTheme="minorEastAsia"/>
          <w:szCs w:val="21"/>
        </w:rPr>
        <w:t xml:space="preserve">  保险标的发生保险责任范围内的损失，保险人按以下方式计算赔偿：</w:t>
      </w:r>
    </w:p>
    <w:p w14:paraId="6CACC8EF">
      <w:pPr>
        <w:pStyle w:val="7"/>
        <w:snapToGrid w:val="0"/>
        <w:spacing w:afterLines="5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（一）保险金额等于或高于保险价值时，按实际损失计算赔偿，最高不超过保险价值；</w:t>
      </w:r>
    </w:p>
    <w:p w14:paraId="62731AD7">
      <w:pPr>
        <w:pStyle w:val="7"/>
        <w:snapToGrid w:val="0"/>
        <w:spacing w:afterLines="5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（二）保险金额低于保险价值时，按保险金额与保险价值的比例乘以实际损失计算赔偿，最高不超过保险金额；</w:t>
      </w:r>
    </w:p>
    <w:p w14:paraId="10FCC8AF">
      <w:pPr>
        <w:pStyle w:val="7"/>
        <w:snapToGrid w:val="0"/>
        <w:spacing w:afterLines="5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（三）若本保险合同所列标的不止一项时，应分项按照本条约定处理。</w:t>
      </w:r>
    </w:p>
    <w:p w14:paraId="6FF8EA16">
      <w:pPr>
        <w:pStyle w:val="7"/>
        <w:snapToGrid w:val="0"/>
        <w:spacing w:afterLines="50"/>
        <w:ind w:firstLine="422"/>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 xml:space="preserve">第三十条 </w:t>
      </w:r>
      <w:r>
        <w:rPr>
          <w:rFonts w:hint="default" w:ascii="Times New Roman" w:hAnsi="Times New Roman" w:cs="Times New Roman" w:eastAsiaTheme="minorEastAsia"/>
          <w:sz w:val="21"/>
          <w:szCs w:val="21"/>
        </w:rPr>
        <w:t xml:space="preserve"> 保险标的的保险金额大于或等于其保险价值时，被保险人为防止或减少保险标的的损失所支付的必要的、合理的费用，在保险标的损失赔偿金额之外另行计算，最高不超过被施救保险标的的保险价值。</w:t>
      </w:r>
    </w:p>
    <w:p w14:paraId="3D582422">
      <w:pPr>
        <w:pStyle w:val="7"/>
        <w:snapToGrid w:val="0"/>
        <w:spacing w:afterLines="5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保险标的的保险金额小于其保险价值时，上述费用按被施救保险标的的保险金额与其保险价值的比例在保险标的损失赔偿金额之外另行计算，最高不超过被施救保险标的的保险金额。</w:t>
      </w:r>
    </w:p>
    <w:p w14:paraId="72726048">
      <w:pPr>
        <w:pStyle w:val="7"/>
        <w:snapToGrid w:val="0"/>
        <w:spacing w:afterLines="5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被施救的财产中，含有本保险合同未承保财产的，按被施救保险标的的保险价值与全部被施救财产价值的比例分摊施救费用。</w:t>
      </w:r>
    </w:p>
    <w:p w14:paraId="138AB32D">
      <w:pPr>
        <w:pStyle w:val="7"/>
        <w:snapToGrid w:val="0"/>
        <w:spacing w:afterLines="50"/>
        <w:ind w:firstLine="422"/>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 xml:space="preserve">第三十一条  </w:t>
      </w:r>
      <w:r>
        <w:rPr>
          <w:rFonts w:hint="default" w:ascii="Times New Roman" w:hAnsi="Times New Roman" w:cs="Times New Roman" w:eastAsiaTheme="minorEastAsia"/>
          <w:sz w:val="21"/>
          <w:szCs w:val="21"/>
        </w:rPr>
        <w:t>每次事故保险人的赔偿金额为根据第二十九条、第三十条约定计算的金额扣除每次事故免赔额后的金额，或者为根据第二十九条、第三十条约定计算的金额扣除该金额与免赔率乘积后的金额。</w:t>
      </w:r>
    </w:p>
    <w:p w14:paraId="0E5F9460">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第三十二条</w:t>
      </w:r>
      <w:r>
        <w:rPr>
          <w:rFonts w:hint="default" w:ascii="Times New Roman" w:hAnsi="Times New Roman" w:cs="Times New Roman" w:eastAsiaTheme="minorEastAsia"/>
          <w:szCs w:val="21"/>
        </w:rPr>
        <w:t xml:space="preserve">  保险事故发生时，如果存在重复保险，保险人按照本保险合同的相应保险金额与其他保险合同及本保险合同相应保险金额总和的比例承担赔偿责任。</w:t>
      </w:r>
    </w:p>
    <w:p w14:paraId="413293AF">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其他保险人应承担的赔偿金额，本保险人不负责垫付。若被保险人未如实告知导致保险人多支付赔偿金的，保险人有权向被保险人追回多支付的部分。</w:t>
      </w:r>
    </w:p>
    <w:p w14:paraId="01A89085">
      <w:pPr>
        <w:autoSpaceDE w:val="0"/>
        <w:autoSpaceDN w:val="0"/>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第三十三条</w:t>
      </w:r>
      <w:r>
        <w:rPr>
          <w:rFonts w:hint="default" w:ascii="Times New Roman" w:hAnsi="Times New Roman" w:cs="Times New Roman" w:eastAsiaTheme="minorEastAsia"/>
          <w:szCs w:val="21"/>
        </w:rPr>
        <w:t xml:space="preserve">  保险标的发生部分损失，保险人履行赔偿义务后，本保险合同的保险金额自损失发生之日起按保险人的赔偿金额相应减少，保险人不退还保险金额减少部分的保险费。如投保人请求恢复至原保险金额，应按原约定的保险费率另行支付恢复部分从投保人请求的恢复日期起至保险期间届满之日止按日比例计算的保险费。</w:t>
      </w:r>
    </w:p>
    <w:p w14:paraId="36A4DB12">
      <w:pPr>
        <w:tabs>
          <w:tab w:val="left" w:pos="2160"/>
        </w:tabs>
        <w:adjustRightInd w:val="0"/>
        <w:snapToGrid w:val="0"/>
        <w:spacing w:after="120" w:afterLines="50"/>
        <w:ind w:firstLine="420" w:firstLineChars="200"/>
        <w:rPr>
          <w:rStyle w:val="26"/>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第三十四条</w:t>
      </w:r>
      <w:r>
        <w:rPr>
          <w:rFonts w:hint="default" w:ascii="Times New Roman" w:hAnsi="Times New Roman" w:cs="Times New Roman" w:eastAsiaTheme="minorEastAsia"/>
          <w:szCs w:val="21"/>
        </w:rPr>
        <w:t xml:space="preserve">  发</w:t>
      </w:r>
      <w:r>
        <w:rPr>
          <w:rStyle w:val="26"/>
          <w:rFonts w:hint="default" w:ascii="Times New Roman" w:hAnsi="Times New Roman" w:cs="Times New Roman" w:eastAsiaTheme="minorEastAsia"/>
          <w:szCs w:val="21"/>
        </w:rPr>
        <w:t>生保险责任范围内的损失，应由有关责任方负责赔偿的，保险人自向被保险人赔偿保险金之日起，在赔偿金额范围内代位行使被保险人对有关责任方请求赔偿的权利，被保险人应当向保险人提供必要的文件和所知道的有关情况。</w:t>
      </w:r>
    </w:p>
    <w:p w14:paraId="26F6B8E1">
      <w:pPr>
        <w:tabs>
          <w:tab w:val="left" w:pos="2160"/>
        </w:tabs>
        <w:adjustRightInd w:val="0"/>
        <w:snapToGrid w:val="0"/>
        <w:spacing w:after="120" w:afterLines="50"/>
        <w:ind w:firstLine="420" w:firstLineChars="200"/>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被保险人已经从有关责任方取得赔偿的，保险人赔偿保险金时，可以相应扣减被保险人已从有关责任方取得的赔偿金额。</w:t>
      </w:r>
    </w:p>
    <w:p w14:paraId="5046F2BA">
      <w:pPr>
        <w:adjustRightInd w:val="0"/>
        <w:snapToGrid w:val="0"/>
        <w:spacing w:after="120" w:afterLines="50"/>
        <w:ind w:firstLine="418" w:firstLineChars="199"/>
        <w:rPr>
          <w:rStyle w:val="26"/>
          <w:rFonts w:hint="default" w:ascii="Times New Roman" w:hAnsi="Times New Roman" w:cs="Times New Roman" w:eastAsiaTheme="minorEastAsia"/>
          <w:b/>
          <w:szCs w:val="21"/>
        </w:rPr>
      </w:pPr>
      <w:r>
        <w:rPr>
          <w:rStyle w:val="26"/>
          <w:rFonts w:hint="default" w:ascii="Times New Roman" w:hAnsi="Times New Roman" w:cs="Times New Roman" w:eastAsiaTheme="minorEastAsia"/>
          <w:b/>
          <w:szCs w:val="21"/>
        </w:rPr>
        <w:t>保险事故发生后，在保险人未赔偿保险金之前，被保险人放弃对有关责任方请求赔偿权利的，保险人不承担赔偿责任；</w:t>
      </w:r>
      <w:r>
        <w:rPr>
          <w:rStyle w:val="26"/>
          <w:rFonts w:hint="default" w:ascii="Times New Roman" w:hAnsi="Times New Roman" w:cs="Times New Roman" w:eastAsiaTheme="minorEastAsia"/>
          <w:szCs w:val="21"/>
        </w:rPr>
        <w:t>保险人向被保险人赔偿保险金后，被保险人未经保险人同意放弃对有关责任方请求赔偿权利的，该行为无效；</w:t>
      </w:r>
      <w:r>
        <w:rPr>
          <w:rStyle w:val="26"/>
          <w:rFonts w:hint="default" w:ascii="Times New Roman" w:hAnsi="Times New Roman" w:cs="Times New Roman" w:eastAsiaTheme="minorEastAsia"/>
          <w:b/>
          <w:szCs w:val="21"/>
        </w:rPr>
        <w:t>由于被保险人故意或者因重大过失致使保险人不能行使代位请求赔偿的权利的，保险人可以扣减或者要求返还相应的保险金。</w:t>
      </w:r>
    </w:p>
    <w:p w14:paraId="37929D21">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第三十五条</w:t>
      </w:r>
      <w:r>
        <w:rPr>
          <w:rFonts w:hint="default" w:ascii="Times New Roman" w:hAnsi="Times New Roman" w:cs="Times New Roman" w:eastAsiaTheme="minorEastAsia"/>
          <w:szCs w:val="21"/>
        </w:rPr>
        <w:t xml:space="preserve">  </w:t>
      </w:r>
      <w:r>
        <w:rPr>
          <w:rStyle w:val="26"/>
          <w:rFonts w:hint="default" w:ascii="Times New Roman" w:hAnsi="Times New Roman" w:cs="Times New Roman" w:eastAsiaTheme="minorEastAsia"/>
          <w:szCs w:val="21"/>
        </w:rPr>
        <w:t>被保险人向保险人请求赔偿保险金的诉讼时效期间为二年，自其知道或者应当知道保险事故发生之日起计算。</w:t>
      </w:r>
      <w:r>
        <w:rPr>
          <w:rStyle w:val="27"/>
          <w:rFonts w:hint="default" w:ascii="Times New Roman" w:hAnsi="Times New Roman" w:cs="Times New Roman" w:eastAsiaTheme="minorEastAsia"/>
          <w:szCs w:val="21"/>
        </w:rPr>
        <w:t> </w:t>
      </w:r>
    </w:p>
    <w:p w14:paraId="7C9DFF74">
      <w:pPr>
        <w:adjustRightInd w:val="0"/>
        <w:snapToGrid w:val="0"/>
        <w:spacing w:after="120" w:afterLines="50"/>
        <w:jc w:val="center"/>
        <w:rPr>
          <w:rFonts w:hint="default" w:ascii="Times New Roman" w:hAnsi="Times New Roman" w:cs="Times New Roman" w:eastAsiaTheme="minorEastAsia"/>
          <w:b/>
          <w:bCs/>
          <w:szCs w:val="21"/>
        </w:rPr>
      </w:pPr>
    </w:p>
    <w:p w14:paraId="07AA02D4">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争议处理和法律适用</w:t>
      </w:r>
    </w:p>
    <w:p w14:paraId="4794C690">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第三十六条</w:t>
      </w:r>
      <w:r>
        <w:rPr>
          <w:rFonts w:hint="default" w:ascii="Times New Roman" w:hAnsi="Times New Roman" w:cs="Times New Roman" w:eastAsiaTheme="minorEastAsia"/>
          <w:szCs w:val="21"/>
        </w:rPr>
        <w:t xml:space="preserve">  因履行本保险合同发生的争议，由当事人协商解决。协商不成的，提交保险单载明的仲裁机构仲裁；保险单未载明仲裁机构且争议发生后未达成仲裁协议的，依法向人民法院起诉。</w:t>
      </w:r>
    </w:p>
    <w:p w14:paraId="0797B333">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第三十七条</w:t>
      </w:r>
      <w:r>
        <w:rPr>
          <w:rFonts w:hint="default" w:ascii="Times New Roman" w:hAnsi="Times New Roman" w:cs="Times New Roman" w:eastAsiaTheme="minorEastAsia"/>
          <w:szCs w:val="21"/>
        </w:rPr>
        <w:t xml:space="preserve">  与本保险合同有关的以及履行本保险合同产生的一切争议，适用中华人民共和国法律（不包括港澳台地区法律）。</w:t>
      </w:r>
    </w:p>
    <w:p w14:paraId="3C79736E">
      <w:pPr>
        <w:adjustRightInd w:val="0"/>
        <w:snapToGrid w:val="0"/>
        <w:spacing w:after="120" w:afterLines="50"/>
        <w:jc w:val="center"/>
        <w:rPr>
          <w:rFonts w:hint="default" w:ascii="Times New Roman" w:hAnsi="Times New Roman" w:cs="Times New Roman" w:eastAsiaTheme="minorEastAsia"/>
          <w:b/>
          <w:bCs/>
          <w:szCs w:val="21"/>
        </w:rPr>
      </w:pPr>
    </w:p>
    <w:p w14:paraId="2192F7FF">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其他事项</w:t>
      </w:r>
    </w:p>
    <w:p w14:paraId="385DB075">
      <w:pPr>
        <w:adjustRightInd w:val="0"/>
        <w:snapToGrid w:val="0"/>
        <w:spacing w:after="120" w:afterLines="50"/>
        <w:ind w:firstLine="418" w:firstLineChars="199"/>
        <w:rPr>
          <w:rStyle w:val="27"/>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第三十八条</w:t>
      </w:r>
      <w:r>
        <w:rPr>
          <w:rFonts w:hint="default" w:ascii="Times New Roman" w:hAnsi="Times New Roman" w:cs="Times New Roman" w:eastAsiaTheme="minorEastAsia"/>
          <w:szCs w:val="21"/>
        </w:rPr>
        <w:t xml:space="preserve">  </w:t>
      </w:r>
      <w:r>
        <w:rPr>
          <w:rStyle w:val="26"/>
          <w:rFonts w:hint="default" w:ascii="Times New Roman" w:hAnsi="Times New Roman" w:cs="Times New Roman" w:eastAsiaTheme="minorEastAsia"/>
          <w:szCs w:val="21"/>
        </w:rPr>
        <w:t>保险标的发生部分损失的，自保险人赔偿之日起三十日内，投保人可以解除合同；除合同另有约定外，保险人也可以解除合同，但应当提前十五日通知投保人。</w:t>
      </w:r>
    </w:p>
    <w:p w14:paraId="16A595F0">
      <w:pPr>
        <w:adjustRightInd w:val="0"/>
        <w:snapToGrid w:val="0"/>
        <w:spacing w:after="120" w:afterLines="50"/>
        <w:ind w:firstLine="417" w:firstLineChars="199"/>
        <w:rPr>
          <w:rStyle w:val="26"/>
          <w:rFonts w:hint="default" w:ascii="Times New Roman" w:hAnsi="Times New Roman" w:cs="Times New Roman" w:eastAsiaTheme="minorEastAsia"/>
          <w:szCs w:val="21"/>
        </w:rPr>
      </w:pPr>
      <w:r>
        <w:rPr>
          <w:rFonts w:hint="default" w:ascii="Times New Roman" w:hAnsi="Times New Roman" w:cs="Times New Roman" w:eastAsiaTheme="minorEastAsia"/>
          <w:szCs w:val="21"/>
        </w:rPr>
        <w:t>保险合同依据前款规定</w:t>
      </w:r>
      <w:r>
        <w:rPr>
          <w:rStyle w:val="26"/>
          <w:rFonts w:hint="default" w:ascii="Times New Roman" w:hAnsi="Times New Roman" w:cs="Times New Roman" w:eastAsiaTheme="minorEastAsia"/>
          <w:szCs w:val="21"/>
        </w:rPr>
        <w:t>解除的，保险人应当将保险标的未受损失部分的保险费，按照合同约定扣除自保险责任开始之日起至合同解除之日止应收的部分后，退还投保人。</w:t>
      </w:r>
    </w:p>
    <w:p w14:paraId="4C0E4235">
      <w:pPr>
        <w:adjustRightInd w:val="0"/>
        <w:snapToGrid w:val="0"/>
        <w:spacing w:after="120" w:afterLines="50"/>
        <w:ind w:firstLine="420" w:firstLineChars="200"/>
        <w:rPr>
          <w:rStyle w:val="26"/>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第三十九条</w:t>
      </w:r>
      <w:r>
        <w:rPr>
          <w:rFonts w:hint="default" w:ascii="Times New Roman" w:hAnsi="Times New Roman" w:cs="Times New Roman" w:eastAsiaTheme="minorEastAsia"/>
          <w:szCs w:val="21"/>
        </w:rPr>
        <w:t xml:space="preserve">  </w:t>
      </w:r>
      <w:r>
        <w:rPr>
          <w:rStyle w:val="26"/>
          <w:rFonts w:hint="default" w:ascii="Times New Roman" w:hAnsi="Times New Roman" w:cs="Times New Roman" w:eastAsiaTheme="minorEastAsia"/>
          <w:szCs w:val="21"/>
        </w:rPr>
        <w:t>保险责任开始前，投保人要求解除保险合同的，应当按本保险合同的约定向保险人支付退保手续费，保险人应当退还剩余部分保险费。</w:t>
      </w:r>
    </w:p>
    <w:p w14:paraId="3C75D9A1">
      <w:pPr>
        <w:adjustRightInd w:val="0"/>
        <w:snapToGrid w:val="0"/>
        <w:spacing w:after="120" w:afterLines="50"/>
        <w:ind w:firstLine="420" w:firstLineChars="200"/>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保险责任开始后，投保人要求解除保险合同的，自通知保险人之日起，保险合同解除，保险人按短期费率计收保险责任开始之日起至合同解除之日止期间的保险费，并退还剩余部分保险费。</w:t>
      </w:r>
    </w:p>
    <w:p w14:paraId="23D29F48">
      <w:pPr>
        <w:adjustRightInd w:val="0"/>
        <w:snapToGrid w:val="0"/>
        <w:spacing w:after="120" w:afterLines="50"/>
        <w:ind w:firstLine="420" w:firstLineChars="200"/>
        <w:rPr>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保险责任开始后，保险人要求解除保险合同的，可提前十五日向投保人发出解约通知书解除本保险合同，保险人按照保险责任开始之日起至合同解除之日止期间与保险期间的日比例计收保险费，并退还剩余部分保险费。</w:t>
      </w:r>
    </w:p>
    <w:p w14:paraId="0EC064F2">
      <w:pPr>
        <w:adjustRightInd w:val="0"/>
        <w:snapToGrid w:val="0"/>
        <w:spacing w:after="120" w:afterLines="50"/>
        <w:ind w:firstLine="418" w:firstLineChars="199"/>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第四十条</w:t>
      </w:r>
      <w:r>
        <w:rPr>
          <w:rFonts w:hint="default" w:ascii="Times New Roman" w:hAnsi="Times New Roman" w:cs="Times New Roman" w:eastAsiaTheme="minorEastAsia"/>
          <w:szCs w:val="21"/>
        </w:rPr>
        <w:t xml:space="preserve">  保险标的发生全部损失，属于保险责任的，保险人在履行赔偿义务后，本保险合同终止；不属于保险责任的，本保险合同终止，保险人按短期费率计收自保险责任开始之日起至损失发生之日止期间的保险费，并退还剩余部分保险费。</w:t>
      </w:r>
    </w:p>
    <w:p w14:paraId="3B7147FA">
      <w:pPr>
        <w:adjustRightInd w:val="0"/>
        <w:snapToGrid w:val="0"/>
        <w:spacing w:after="120" w:afterLines="50"/>
        <w:ind w:firstLine="523" w:firstLineChars="249"/>
        <w:jc w:val="center"/>
        <w:rPr>
          <w:rFonts w:hint="default" w:ascii="Times New Roman" w:hAnsi="Times New Roman" w:cs="Times New Roman" w:eastAsiaTheme="minorEastAsia"/>
          <w:b/>
          <w:szCs w:val="21"/>
        </w:rPr>
      </w:pPr>
    </w:p>
    <w:p w14:paraId="1B9E35A9">
      <w:pPr>
        <w:adjustRightInd w:val="0"/>
        <w:snapToGrid w:val="0"/>
        <w:spacing w:after="120" w:afterLines="50"/>
        <w:ind w:firstLine="523" w:firstLineChars="249"/>
        <w:jc w:val="center"/>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释义</w:t>
      </w:r>
    </w:p>
    <w:p w14:paraId="6F5DEC62">
      <w:pPr>
        <w:pStyle w:val="6"/>
        <w:snapToGrid w:val="0"/>
        <w:spacing w:after="120" w:afterLines="50"/>
        <w:ind w:firstLine="420" w:firstLineChars="200"/>
        <w:rPr>
          <w:rFonts w:hint="default" w:ascii="Times New Roman" w:hAnsi="Times New Roman" w:cs="Times New Roman" w:eastAsiaTheme="minorEastAsia"/>
          <w:b/>
          <w:color w:val="auto"/>
          <w:sz w:val="21"/>
          <w:szCs w:val="21"/>
        </w:rPr>
      </w:pPr>
      <w:r>
        <w:rPr>
          <w:rFonts w:hint="default" w:ascii="Times New Roman" w:hAnsi="Times New Roman" w:cs="Times New Roman" w:eastAsiaTheme="minorEastAsia"/>
          <w:color w:val="auto"/>
          <w:sz w:val="21"/>
          <w:szCs w:val="21"/>
        </w:rPr>
        <w:t xml:space="preserve">第四十一条  </w:t>
      </w:r>
      <w:r>
        <w:rPr>
          <w:rFonts w:hint="default" w:ascii="Times New Roman" w:hAnsi="Times New Roman" w:cs="Times New Roman" w:eastAsiaTheme="minorEastAsia"/>
          <w:b/>
          <w:color w:val="auto"/>
          <w:sz w:val="21"/>
          <w:szCs w:val="21"/>
        </w:rPr>
        <w:t>本保险合同涉及下列术语时，适用下列释义：</w:t>
      </w:r>
    </w:p>
    <w:p w14:paraId="13447FC7">
      <w:pPr>
        <w:adjustRightInd w:val="0"/>
        <w:snapToGrid w:val="0"/>
        <w:spacing w:after="120" w:afterLines="50"/>
        <w:ind w:firstLine="380" w:firstLineChars="181"/>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（一）火灾</w:t>
      </w:r>
    </w:p>
    <w:p w14:paraId="7D94D9C8">
      <w:pPr>
        <w:adjustRightInd w:val="0"/>
        <w:snapToGrid w:val="0"/>
        <w:spacing w:after="120" w:afterLines="50"/>
        <w:ind w:firstLine="42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 在时间或空间上失去控制的燃烧所造成的灾害。构成本保险的火灾责任必须同时具备以下三个条件：</w:t>
      </w:r>
    </w:p>
    <w:p w14:paraId="32249A7E">
      <w:pPr>
        <w:adjustRightInd w:val="0"/>
        <w:snapToGrid w:val="0"/>
        <w:spacing w:after="120" w:afterLines="50"/>
        <w:ind w:firstLine="42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 1．有燃烧现象，即有热有光有火焰；</w:t>
      </w:r>
    </w:p>
    <w:p w14:paraId="60DFCB2D">
      <w:pPr>
        <w:adjustRightInd w:val="0"/>
        <w:snapToGrid w:val="0"/>
        <w:spacing w:after="120" w:afterLines="50"/>
        <w:ind w:firstLine="42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 2．偶然、意外发生的燃烧；</w:t>
      </w:r>
    </w:p>
    <w:p w14:paraId="14661D50">
      <w:pPr>
        <w:adjustRightInd w:val="0"/>
        <w:snapToGrid w:val="0"/>
        <w:spacing w:after="120" w:afterLines="50"/>
        <w:ind w:firstLine="42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 3．燃烧失去控制并有蔓延扩大的趋势。</w:t>
      </w:r>
    </w:p>
    <w:p w14:paraId="1747EDD5">
      <w:pPr>
        <w:adjustRightInd w:val="0"/>
        <w:snapToGrid w:val="0"/>
        <w:spacing w:after="120" w:afterLines="50"/>
        <w:ind w:firstLine="42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 因此，仅有燃烧现象并不等于构成本保险中的火灾责任。在生产、生活中有目的用火，如为了防疫而焚毁站污的衣物，点火烧荒等属正常燃烧，不同于火灾责任。</w:t>
      </w:r>
    </w:p>
    <w:p w14:paraId="245C8398">
      <w:pPr>
        <w:adjustRightInd w:val="0"/>
        <w:snapToGrid w:val="0"/>
        <w:spacing w:after="120" w:afterLines="50"/>
        <w:ind w:firstLine="42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 因烘、烤、烫、烙造成焦糊变质等损失，既无燃烧现象，又无蔓延扩大趋势，也不属于火灾责任。</w:t>
      </w:r>
    </w:p>
    <w:p w14:paraId="107F4C48">
      <w:pPr>
        <w:adjustRightInd w:val="0"/>
        <w:snapToGrid w:val="0"/>
        <w:spacing w:after="120" w:afterLines="50"/>
        <w:ind w:firstLine="42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 电机、电器、电气设备因使用过度、超电压、碰线、孤花、漏电、自身发热所造成的本身损毁，不属于火灾责任。但如果发生了燃烧并失去控制蔓延扩大，才构成火灾责任，并对电机、电器、电气设备本身的损失负责赔偿。</w:t>
      </w:r>
    </w:p>
    <w:p w14:paraId="1D30DA01">
      <w:pPr>
        <w:adjustRightInd w:val="0"/>
        <w:snapToGrid w:val="0"/>
        <w:spacing w:after="120" w:afterLines="50"/>
        <w:ind w:firstLine="42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 （二）爆炸</w:t>
      </w:r>
    </w:p>
    <w:p w14:paraId="5E4633CE">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爆炸分物理性爆炸和化学性爆炸。</w:t>
      </w:r>
    </w:p>
    <w:p w14:paraId="519E129A">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 1．物理性爆炸：由于液体变为蒸汽或气体膨胀，压力急剧增加并大大超过容器所能承受的极限压力，因而发生爆炸。如锅炉、空气压缩机、压缩气体钢瓶、液化气罐爆炸等。关于锅炉、压力容器爆炸的定义是：锅炉或压力容器在使用中或试压时发生破裂，使压力瞬时降到等于外界大气压力的事故，称为“爆炸事故”。</w:t>
      </w:r>
    </w:p>
    <w:p w14:paraId="083519C9">
      <w:pPr>
        <w:adjustRightInd w:val="0"/>
        <w:snapToGrid w:val="0"/>
        <w:spacing w:after="120" w:afterLines="50"/>
        <w:ind w:firstLine="380" w:firstLineChars="181"/>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 2．化学性爆炸：物体在瞬息分解或燃烧时放出大量的热和气体，并以很大的压力向四周扩散的现象。如火药爆炸、可燃性粉尘纤维爆炸、可燃气体爆炸及各种化学物品的爆炸等。</w:t>
      </w:r>
    </w:p>
    <w:p w14:paraId="4DE8D919">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因物体本身的瑕疵，使用损耗或产品质量低劣以及由于容器内部承受“负压”（内压比外压小）造成的损失，不属于爆炸责任。</w:t>
      </w:r>
    </w:p>
    <w:p w14:paraId="47E8D2E3">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（三）雷击</w:t>
      </w:r>
    </w:p>
    <w:p w14:paraId="15058E3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雷击指由雷电造成的灾害。雷电为积雨云中、云间或云地之间产生的放电现象。雷击的破坏形式分直接雷击与感应雷击两种。</w:t>
      </w:r>
    </w:p>
    <w:p w14:paraId="631127E4">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1．直接雷击：由于雷电直接击中保险标的造成损失，属直接雷击责任。</w:t>
      </w:r>
    </w:p>
    <w:p w14:paraId="1C2BFB1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 xml:space="preserve">2．感应雷击：由于雷击产生的静电感应或电磁感应使屋内对地绝缘金属物体产生高电位放出火花引起的火灾，导致电器本身的损毁，或因雷电的高电压感应，致使电器部件的损毁，属感应雷击责任。    </w:t>
      </w:r>
    </w:p>
    <w:p w14:paraId="12FFAA6C">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（四）暴雨：指每小时降雨量达16毫米以上，或连续12小时降雨量达30毫米以上，或连续24小时降雨量达50毫米以上的降雨。</w:t>
      </w:r>
    </w:p>
    <w:p w14:paraId="072E6BF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（五）洪水：指山洪暴发、江河泛滥、潮水上岸及倒灌。但规律性的涨潮、自动灭火设施漏水以及在常年水位以下或地下渗水、水管爆裂不属于洪水责任。</w:t>
      </w:r>
    </w:p>
    <w:p w14:paraId="49C34E38">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（六）暴风：指风力达8级、风速在17.2米/秒以上的自然风。</w:t>
      </w:r>
    </w:p>
    <w:p w14:paraId="33F36717">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（七）龙卷风：指一种范围小而时间短的猛烈旋风，陆地上平均最大风速在79米/秒-103米/秒，极端最大风速在100米/秒以上。</w:t>
      </w:r>
    </w:p>
    <w:p w14:paraId="5D3A337C">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（八）冰雹：指从强烈对流的积雨云中降落到地面的冰块或冰球，直径大于5毫米，核心坚硬的固体降水。</w:t>
      </w:r>
    </w:p>
    <w:p w14:paraId="5BF2ADD7">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九）台风、飓风：台风指中心附近最大平均风力12级或以上，即风速在32.6米/秒以上的热带气旋；飓风是一种与台风性质相同、但出现的位置区域不同的热带气旋，台风出现在西北太平洋海域，而飓风出现在印度洋、大西洋海域。</w:t>
      </w:r>
    </w:p>
    <w:p w14:paraId="6DBEDAD1">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（十）沙尘暴：指强风将地面大量尘沙吹起，使空气很混浊，水平能见度小于1公里的天气现象。</w:t>
      </w:r>
    </w:p>
    <w:p w14:paraId="7FB68AF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（十一）暴雪：指连续12小时的降雪量大于或等于10毫米的降雪现象。</w:t>
      </w:r>
    </w:p>
    <w:p w14:paraId="4712D04C">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（十二）冰凌：指春季江河解冻期时冰块飘浮遇阻，堆积成坝，堵塞江道，造成水位急剧上升，以致江水溢出江道，漫延成灾。</w:t>
      </w:r>
    </w:p>
    <w:p w14:paraId="27BA0811">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陆上有些地区，如山谷风口或酷寒致使雨雪在物体上结成冰块，成下垂形状，越结越厚，重量增加，由于下垂的拉力致使物体毁坏，也属冰凌责任。</w:t>
      </w:r>
    </w:p>
    <w:p w14:paraId="0D3B2D49">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（十三）突发性滑坡：斜坡上不稳的岩土体或人为堆积物在重力作用下突然整体向下滑动的现象。</w:t>
      </w:r>
    </w:p>
    <w:p w14:paraId="2F00803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（十四）崩塌：石崖、土崖、岩石受自然风化、雨蚀造成崩溃下塌，以及大量积雪在重力作用下从高处突然崩塌滚落。</w:t>
      </w:r>
    </w:p>
    <w:p w14:paraId="6C5FAB94">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（十五）泥石流：由于雨水、冰雪融化等水源激发的、含有大量泥沙石块的特殊洪流。</w:t>
      </w:r>
    </w:p>
    <w:p w14:paraId="1F4C5B77">
      <w:pPr>
        <w:adjustRightInd w:val="0"/>
        <w:snapToGrid w:val="0"/>
        <w:spacing w:after="120" w:afterLines="50"/>
        <w:ind w:firstLine="380" w:firstLineChars="181"/>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六）地面突然下陷下沉：地壳因为自然变异，地层收缩而发生突然塌陷。对于因海潮、河流、大雨侵蚀或在建筑房屋前没有掌握地层情况，地下有孔穴、矿穴，以致地面突然塌陷，也属地面突然下陷下沉。但未按建筑施工要求导致建筑地基下沉、裂缝、倒塌等，不在此列。</w:t>
      </w:r>
    </w:p>
    <w:p w14:paraId="4B5170B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七）飞行物体及其他空中运行物体坠落：指空中飞行器、人造卫星、陨石坠落，吊车、行车在运行时发生的物体坠落，人工开凿或爆炸而致石方、石块、土方飞射、塌下，建筑物倒塌、倒落、倾倒，以及其他空中运行物体坠落。</w:t>
      </w:r>
    </w:p>
    <w:p w14:paraId="6F07957A">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（十八）自然灾害：指雷击、暴雨、洪水、暴风、龙卷风、冰雹、台风、飓风、沙尘暴、暴雪、冰凌、突发性滑坡、崩塌、泥石流、地面突然下陷下沉及其他人力不可抗拒的破坏力强大的自然现象。</w:t>
      </w:r>
    </w:p>
    <w:p w14:paraId="58B78E6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（十九）意外事故：指不可预料的以及被保险人无法控制并造成物质损失的突发性事件，包括火灾和爆炸。</w:t>
      </w:r>
    </w:p>
    <w:p w14:paraId="27E87312">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（二十）重大过失行为：指行为人不但没有遵守法律规范对其较高要求，甚至连人们都应当注意并能注意的一般标准也未达到的行为。</w:t>
      </w:r>
    </w:p>
    <w:p w14:paraId="604013DC">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（二十一）恐怖活动：指任何人以某一组织的名义或参与某一组织使用武力或暴力对任何政府进行恐吓或施加影响而采取的行动。</w:t>
      </w:r>
    </w:p>
    <w:p w14:paraId="26611383">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（二十二）地震：地壳发生的震动。</w:t>
      </w:r>
    </w:p>
    <w:p w14:paraId="48AD0C15">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（二十三）海啸：海啸是指由海底地震，火山爆发或水下滑坡、塌陷所激发的海洋巨波。</w:t>
      </w:r>
    </w:p>
    <w:p w14:paraId="79DDA38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（二十四）行政行为或司法行为：指各级政府部门、执法机关或依法履行公共管理、社会管理职能的机构下令破坏、征用、罚没保险标的的行为。</w:t>
      </w:r>
    </w:p>
    <w:p w14:paraId="291FA5E4">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十五）简易建筑：指符合下列条件之一的建筑：（1）使用竹木、芦席、蓬布、茅草、油毛毡、塑料膜、尼龙布、玻璃钢瓦等材料为顶或墙体的建筑；（2）顶部封闭，但直立面非封闭部分的面积与直立面总面积的比例超过10％的建筑；（3）屋顶与所有墙体之间的最大距离超过一米的建筑。</w:t>
      </w:r>
    </w:p>
    <w:p w14:paraId="6C7E3033">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十六）自燃：指可燃物在没有外部热源直接作用的情况下，由于其内部的物理作用（如吸附、辐射等）、化学作用（如氧化、分解、聚合等）或生物作用（如发酵、细菌腐败等）而发热，热量积聚导致升温，当可燃物达到一定温度时，未与明火直接接触而发生燃烧的现象。</w:t>
      </w:r>
    </w:p>
    <w:p w14:paraId="7B1C1535">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（二十七）重置价值：指替换、重建受损保险标的，以使其达到全新状态而发生的费用，但不包括被保险人进行的任何变更、性能增加或改进所产生的额外费用。</w:t>
      </w:r>
    </w:p>
    <w:p w14:paraId="3A1A58B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（二十八）水箱、水管爆裂：包括冻裂和意外爆裂两种情况。水箱、水管爆裂一般是由水箱、水管本身瑕疵或使用耗损或严寒结冰造成的。</w:t>
      </w:r>
    </w:p>
    <w:p w14:paraId="3101E25F">
      <w:pPr>
        <w:adjustRightInd w:val="0"/>
        <w:snapToGrid w:val="0"/>
        <w:spacing w:after="120" w:afterLines="50"/>
        <w:jc w:val="center"/>
        <w:rPr>
          <w:rFonts w:hint="default" w:ascii="Times New Roman" w:hAnsi="Times New Roman" w:cs="Times New Roman" w:eastAsiaTheme="minorEastAsia"/>
          <w:b/>
          <w:szCs w:val="21"/>
        </w:rPr>
      </w:pPr>
    </w:p>
    <w:p w14:paraId="159927F7">
      <w:pPr>
        <w:adjustRightInd w:val="0"/>
        <w:snapToGrid w:val="0"/>
        <w:spacing w:after="120" w:afterLines="50"/>
        <w:jc w:val="center"/>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附录</w:t>
      </w:r>
    </w:p>
    <w:p w14:paraId="3D70B118">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bCs/>
          <w:szCs w:val="21"/>
        </w:rPr>
        <w:t>短期费率表</w:t>
      </w:r>
    </w:p>
    <w:tbl>
      <w:tblPr>
        <w:tblStyle w:val="15"/>
        <w:tblW w:w="8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5"/>
        <w:gridCol w:w="540"/>
        <w:gridCol w:w="540"/>
        <w:gridCol w:w="540"/>
        <w:gridCol w:w="540"/>
        <w:gridCol w:w="540"/>
        <w:gridCol w:w="540"/>
        <w:gridCol w:w="540"/>
        <w:gridCol w:w="540"/>
        <w:gridCol w:w="540"/>
        <w:gridCol w:w="540"/>
        <w:gridCol w:w="537"/>
        <w:gridCol w:w="531"/>
      </w:tblGrid>
      <w:tr w14:paraId="39285BC6">
        <w:trPr>
          <w:jc w:val="center"/>
        </w:trPr>
        <w:tc>
          <w:tcPr>
            <w:tcW w:w="1695" w:type="dxa"/>
            <w:vAlign w:val="center"/>
          </w:tcPr>
          <w:p w14:paraId="2EBA6165">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保险</w:t>
            </w:r>
          </w:p>
          <w:p w14:paraId="234541A7">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期间</w:t>
            </w:r>
          </w:p>
        </w:tc>
        <w:tc>
          <w:tcPr>
            <w:tcW w:w="540" w:type="dxa"/>
            <w:vAlign w:val="center"/>
          </w:tcPr>
          <w:p w14:paraId="265B080A">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w:t>
            </w:r>
          </w:p>
          <w:p w14:paraId="5879115B">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5BE945D3">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33836AD2">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w:t>
            </w:r>
          </w:p>
          <w:p w14:paraId="04C48498">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500F1D0C">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3DAC147F">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三</w:t>
            </w:r>
          </w:p>
          <w:p w14:paraId="290BEF5A">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4DE9F19B">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19B289A8">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四</w:t>
            </w:r>
          </w:p>
          <w:p w14:paraId="328AFD3B">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2E73C7D0">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489F58FA">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五</w:t>
            </w:r>
          </w:p>
          <w:p w14:paraId="2891EAC2">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47A1BC5F">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74A15C48">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六</w:t>
            </w:r>
          </w:p>
          <w:p w14:paraId="3C4B15EF">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6B23DC2E">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612927A0">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七</w:t>
            </w:r>
          </w:p>
          <w:p w14:paraId="768AB3AB">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6EC46FD1">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01B2F10F">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八</w:t>
            </w:r>
          </w:p>
          <w:p w14:paraId="3CE4EB35">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1E9B3B68">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54FA54FB">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九</w:t>
            </w:r>
          </w:p>
          <w:p w14:paraId="6AAFD15A">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3FFE4DCB">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29F379A4">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w:t>
            </w:r>
          </w:p>
          <w:p w14:paraId="13B6EAC4">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54C76200">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37" w:type="dxa"/>
            <w:vAlign w:val="center"/>
          </w:tcPr>
          <w:p w14:paraId="6B3BEA85">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w:t>
            </w:r>
          </w:p>
          <w:p w14:paraId="27EA7C0B">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w:t>
            </w:r>
          </w:p>
          <w:p w14:paraId="58F6B972">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3D61D526">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31" w:type="dxa"/>
            <w:vAlign w:val="center"/>
          </w:tcPr>
          <w:p w14:paraId="2716E2E8">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w:t>
            </w:r>
          </w:p>
          <w:p w14:paraId="1804C874">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w:t>
            </w:r>
          </w:p>
          <w:p w14:paraId="00223607">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2FB4D126">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r>
      <w:tr w14:paraId="69E261AC">
        <w:trPr>
          <w:jc w:val="center"/>
        </w:trPr>
        <w:tc>
          <w:tcPr>
            <w:tcW w:w="1695" w:type="dxa"/>
            <w:vAlign w:val="center"/>
          </w:tcPr>
          <w:p w14:paraId="6D5DD1CC">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年费率的百分比</w:t>
            </w:r>
          </w:p>
        </w:tc>
        <w:tc>
          <w:tcPr>
            <w:tcW w:w="540" w:type="dxa"/>
            <w:vAlign w:val="center"/>
          </w:tcPr>
          <w:p w14:paraId="43046243">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10</w:t>
            </w:r>
          </w:p>
        </w:tc>
        <w:tc>
          <w:tcPr>
            <w:tcW w:w="540" w:type="dxa"/>
            <w:vAlign w:val="center"/>
          </w:tcPr>
          <w:p w14:paraId="3625C679">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20</w:t>
            </w:r>
          </w:p>
        </w:tc>
        <w:tc>
          <w:tcPr>
            <w:tcW w:w="540" w:type="dxa"/>
            <w:vAlign w:val="center"/>
          </w:tcPr>
          <w:p w14:paraId="1A2732F2">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30</w:t>
            </w:r>
          </w:p>
        </w:tc>
        <w:tc>
          <w:tcPr>
            <w:tcW w:w="540" w:type="dxa"/>
            <w:vAlign w:val="center"/>
          </w:tcPr>
          <w:p w14:paraId="04B2677A">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40</w:t>
            </w:r>
          </w:p>
        </w:tc>
        <w:tc>
          <w:tcPr>
            <w:tcW w:w="540" w:type="dxa"/>
            <w:vAlign w:val="center"/>
          </w:tcPr>
          <w:p w14:paraId="55EBEACB">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50</w:t>
            </w:r>
          </w:p>
        </w:tc>
        <w:tc>
          <w:tcPr>
            <w:tcW w:w="540" w:type="dxa"/>
            <w:vAlign w:val="center"/>
          </w:tcPr>
          <w:p w14:paraId="283E4F01">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60</w:t>
            </w:r>
          </w:p>
        </w:tc>
        <w:tc>
          <w:tcPr>
            <w:tcW w:w="540" w:type="dxa"/>
            <w:vAlign w:val="center"/>
          </w:tcPr>
          <w:p w14:paraId="5FCB3862">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70</w:t>
            </w:r>
          </w:p>
        </w:tc>
        <w:tc>
          <w:tcPr>
            <w:tcW w:w="540" w:type="dxa"/>
            <w:vAlign w:val="center"/>
          </w:tcPr>
          <w:p w14:paraId="247A5798">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80</w:t>
            </w:r>
          </w:p>
        </w:tc>
        <w:tc>
          <w:tcPr>
            <w:tcW w:w="540" w:type="dxa"/>
            <w:vAlign w:val="center"/>
          </w:tcPr>
          <w:p w14:paraId="32BA8F26">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85</w:t>
            </w:r>
          </w:p>
        </w:tc>
        <w:tc>
          <w:tcPr>
            <w:tcW w:w="540" w:type="dxa"/>
            <w:vAlign w:val="center"/>
          </w:tcPr>
          <w:p w14:paraId="79AD60FF">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90</w:t>
            </w:r>
          </w:p>
        </w:tc>
        <w:tc>
          <w:tcPr>
            <w:tcW w:w="537" w:type="dxa"/>
            <w:vAlign w:val="center"/>
          </w:tcPr>
          <w:p w14:paraId="13F12071">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95</w:t>
            </w:r>
          </w:p>
        </w:tc>
        <w:tc>
          <w:tcPr>
            <w:tcW w:w="531" w:type="dxa"/>
            <w:vAlign w:val="center"/>
          </w:tcPr>
          <w:p w14:paraId="103225E6">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100</w:t>
            </w:r>
          </w:p>
        </w:tc>
      </w:tr>
    </w:tbl>
    <w:p w14:paraId="1EF75BEB">
      <w:pPr>
        <w:adjustRightInd w:val="0"/>
        <w:snapToGrid w:val="0"/>
        <w:spacing w:after="120" w:afterLines="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注：不足一个月的部分按一个月计收。</w:t>
      </w:r>
    </w:p>
    <w:p w14:paraId="10373949">
      <w:pPr>
        <w:adjustRightInd w:val="0"/>
        <w:snapToGrid w:val="0"/>
        <w:spacing w:after="120" w:afterLines="50"/>
        <w:rPr>
          <w:rFonts w:hint="default" w:ascii="Times New Roman" w:hAnsi="Times New Roman" w:cs="Times New Roman" w:eastAsiaTheme="minorEastAsia"/>
          <w:szCs w:val="21"/>
        </w:rPr>
      </w:pPr>
    </w:p>
    <w:p w14:paraId="405BDCC4">
      <w:pPr>
        <w:adjustRightInd w:val="0"/>
        <w:snapToGrid w:val="0"/>
        <w:spacing w:after="120" w:afterLines="50"/>
        <w:rPr>
          <w:rFonts w:hint="default" w:ascii="Times New Roman" w:hAnsi="Times New Roman" w:cs="Times New Roman" w:eastAsiaTheme="minorEastAsia"/>
          <w:szCs w:val="21"/>
        </w:rPr>
        <w:sectPr>
          <w:pgSz w:w="11906" w:h="16838"/>
          <w:pgMar w:top="1440" w:right="1466" w:bottom="1440" w:left="1170" w:header="851" w:footer="850" w:gutter="0"/>
          <w:pgNumType w:fmt="decimal"/>
          <w:cols w:space="425" w:num="1"/>
          <w:docGrid w:linePitch="286" w:charSpace="0"/>
        </w:sectPr>
      </w:pPr>
    </w:p>
    <w:p w14:paraId="6661C494">
      <w:pPr>
        <w:adjustRightInd w:val="0"/>
        <w:spacing w:line="360" w:lineRule="atLeast"/>
        <w:jc w:val="center"/>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t>Special Provisions</w:t>
      </w:r>
    </w:p>
    <w:p w14:paraId="0689B1B3">
      <w:pPr>
        <w:adjustRightInd w:val="0"/>
        <w:spacing w:line="360" w:lineRule="atLeast"/>
        <w:textAlignment w:val="baseline"/>
        <w:rPr>
          <w:rFonts w:hint="default" w:ascii="Times New Roman" w:hAnsi="Times New Roman" w:cs="Times New Roman" w:eastAsiaTheme="minorEastAsia"/>
          <w:b/>
          <w:kern w:val="0"/>
          <w:szCs w:val="21"/>
          <w:lang w:val="en-GB"/>
        </w:rPr>
      </w:pPr>
    </w:p>
    <w:p w14:paraId="7E67368F">
      <w:pPr>
        <w:keepNext/>
        <w:numPr>
          <w:ilvl w:val="0"/>
          <w:numId w:val="4"/>
        </w:numPr>
        <w:autoSpaceDE w:val="0"/>
        <w:autoSpaceDN w:val="0"/>
        <w:adjustRightInd w:val="0"/>
        <w:spacing w:line="360" w:lineRule="atLeast"/>
        <w:ind w:right="720"/>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Automatic Capital Additions Clause (Limit: 15% of sum insured)</w:t>
      </w:r>
    </w:p>
    <w:p w14:paraId="56BFA85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this Policy shall be extended to cover additions and extensions to property insured in the People's Republic of China, but not appreciation in value, made after the commencement of this Policy for an amount not exceeding 10%of sum insured of the sum insured on similar property under the relative item, it being understood that the Insured shall declare quarterly the value of any such additions and extensions and pay an additional premium therefore calculated pro rata from inception of the additional cover..</w:t>
      </w:r>
    </w:p>
    <w:p w14:paraId="685CCADF">
      <w:pPr>
        <w:adjustRightInd w:val="0"/>
        <w:spacing w:line="360" w:lineRule="atLeast"/>
        <w:jc w:val="lef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exceptions of this Policy.</w:t>
      </w:r>
    </w:p>
    <w:p w14:paraId="1DB62D36">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1BC7572E">
      <w:pPr>
        <w:keepNext/>
        <w:numPr>
          <w:ilvl w:val="0"/>
          <w:numId w:val="4"/>
        </w:numPr>
        <w:autoSpaceDE w:val="0"/>
        <w:autoSpaceDN w:val="0"/>
        <w:adjustRightInd w:val="0"/>
        <w:spacing w:line="360" w:lineRule="atLeast"/>
        <w:ind w:right="720"/>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Automatic Reinstatement of Sum Insured Clause</w:t>
      </w:r>
    </w:p>
    <w:p w14:paraId="6DC4996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in the event of loss or damage to the Insured property described in the Schedule of this Policy, the amount payable for such loss or damage shall be automatically reinstated from the time of the happening and the Insured shall pay an additional premium therefore calculated pro rata from the date of loss to the expiration of this Policy.</w:t>
      </w:r>
    </w:p>
    <w:p w14:paraId="2F7389B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exceptions of this Policy.</w:t>
      </w:r>
    </w:p>
    <w:p w14:paraId="32538ACA">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7C7F6B94">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Alterations, Additions &amp; Repairs Clause (Contract Limit: RMB5,000,000)</w:t>
      </w:r>
    </w:p>
    <w:p w14:paraId="0326A5F0">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Any project of additions, alterations and repairs with total contract value not exceeding RMB5,000,000 is automatically covered by this Policy. </w:t>
      </w:r>
    </w:p>
    <w:p w14:paraId="52E4131B">
      <w:pPr>
        <w:tabs>
          <w:tab w:val="left" w:pos="1440"/>
          <w:tab w:val="left" w:pos="1800"/>
        </w:tabs>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In the event of any project with total contract value exceeding RMB5,000,000 prior notice thereof must be given to the Company who reserves the right to charge an additional premium for such project. </w:t>
      </w:r>
    </w:p>
    <w:p w14:paraId="4E2D24B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0437956F">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2AA7989E">
      <w:pPr>
        <w:keepNext/>
        <w:numPr>
          <w:ilvl w:val="0"/>
          <w:numId w:val="4"/>
        </w:numPr>
        <w:autoSpaceDE w:val="0"/>
        <w:autoSpaceDN w:val="0"/>
        <w:adjustRightInd w:val="0"/>
        <w:spacing w:line="360" w:lineRule="atLeast"/>
        <w:ind w:right="720"/>
        <w:jc w:val="left"/>
        <w:textAlignment w:val="baseline"/>
        <w:outlineLvl w:val="0"/>
        <w:rPr>
          <w:rFonts w:hint="default" w:ascii="Times New Roman" w:hAnsi="Times New Roman" w:eastAsia="宋体" w:cs="Times New Roman"/>
          <w:color w:val="auto"/>
          <w:kern w:val="0"/>
          <w:sz w:val="21"/>
          <w:szCs w:val="21"/>
          <w:u w:val="single"/>
        </w:rPr>
      </w:pPr>
      <w:r>
        <w:rPr>
          <w:rFonts w:hint="default" w:ascii="Times New Roman" w:hAnsi="Times New Roman" w:eastAsia="宋体" w:cs="Times New Roman"/>
          <w:b/>
          <w:color w:val="auto"/>
          <w:kern w:val="0"/>
          <w:sz w:val="21"/>
          <w:szCs w:val="21"/>
          <w:u w:val="single"/>
        </w:rPr>
        <w:t>All other Contents Clause (Limit: RMB10, 000 per item)</w:t>
      </w:r>
    </w:p>
    <w:p w14:paraId="6BDDE058">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the term "All Other Contents" is understood to include:</w:t>
      </w:r>
    </w:p>
    <w:p w14:paraId="37870FC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 Money and stamps not otherwise specifically insured;</w:t>
      </w:r>
    </w:p>
    <w:p w14:paraId="6A992DB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 Documents, manuscripts and business tools but only for the value of the materials as stationery, together with the cost of clerical labour expended in writing up, and not for the value to the Insured of the information contained therein;</w:t>
      </w:r>
    </w:p>
    <w:p w14:paraId="1502079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(3) Computer systems record but only for the value of the materials together with the cost of clerical labour and computer time expended in reproducing such records (excluding any expenses in connection with the production of information to be recorded therein and not for the value to the Insured of the information contained therein);</w:t>
      </w:r>
    </w:p>
    <w:p w14:paraId="22DC017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(4) Patterns, models, moulds, plans and designs;</w:t>
      </w:r>
    </w:p>
    <w:p w14:paraId="026BF3C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(5) Employees' clothing, tools and other personal effects excluding pedal cycles, bicycles, private devices such as portable computers, mobile phone, etc.; Provided the amount would not exceed RMB10,000per item in respect of any one employees and in aggregate.</w:t>
      </w:r>
    </w:p>
    <w:p w14:paraId="7F61EEC8">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60753193">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33E29EEE">
      <w:pPr>
        <w:keepNext/>
        <w:numPr>
          <w:ilvl w:val="0"/>
          <w:numId w:val="4"/>
        </w:numPr>
        <w:autoSpaceDE w:val="0"/>
        <w:autoSpaceDN w:val="0"/>
        <w:adjustRightInd w:val="0"/>
        <w:spacing w:line="360" w:lineRule="atLeast"/>
        <w:ind w:right="720"/>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Automatic Cover for New Locations (Limit: RMB10, 000,000 subject to 90 days reporting period)</w:t>
      </w:r>
    </w:p>
    <w:p w14:paraId="154017E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the insurance by this Policy shall automatically cover the property at newly acquired location of the insured, subject to declaration to the Company within 90 days upon Insured acquiring such property and an additional premium shall be payable.</w:t>
      </w:r>
    </w:p>
    <w:p w14:paraId="78092BA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554D1672">
      <w:pPr>
        <w:adjustRightInd w:val="0"/>
        <w:spacing w:line="360" w:lineRule="atLeast"/>
        <w:textAlignment w:val="baseline"/>
        <w:rPr>
          <w:rFonts w:hint="default" w:ascii="Times New Roman" w:hAnsi="Times New Roman" w:eastAsia="宋体" w:cs="Times New Roman"/>
          <w:color w:val="auto"/>
          <w:kern w:val="0"/>
          <w:sz w:val="21"/>
          <w:szCs w:val="21"/>
        </w:rPr>
      </w:pPr>
    </w:p>
    <w:p w14:paraId="0D1158DA">
      <w:pPr>
        <w:keepNext/>
        <w:numPr>
          <w:ilvl w:val="0"/>
          <w:numId w:val="4"/>
        </w:numPr>
        <w:autoSpaceDE w:val="0"/>
        <w:autoSpaceDN w:val="0"/>
        <w:adjustRightInd w:val="0"/>
        <w:spacing w:line="360" w:lineRule="atLeast"/>
        <w:ind w:right="720"/>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Air Freight Extension Clause (Limit: 10% of sum insured)</w:t>
      </w:r>
    </w:p>
    <w:p w14:paraId="3647257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this insurance shall be extended to cover extra charges for airfreight.</w:t>
      </w:r>
    </w:p>
    <w:p w14:paraId="6FBA5A5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Provided always that such extra charges shall be incurred in connection with any loss of or damage to the insured items recoverable under the Policy.</w:t>
      </w:r>
    </w:p>
    <w:p w14:paraId="45C7FAE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Provided further that the maximum amount payable under this Clause in respect of airfreight shall not exceed the amount stated below during the period of insurance.</w:t>
      </w:r>
    </w:p>
    <w:p w14:paraId="564A5287">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exceptions of this Policy.</w:t>
      </w:r>
    </w:p>
    <w:p w14:paraId="6B58395C">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10E6179C">
      <w:pPr>
        <w:keepNext/>
        <w:numPr>
          <w:ilvl w:val="0"/>
          <w:numId w:val="4"/>
        </w:numPr>
        <w:autoSpaceDE w:val="0"/>
        <w:autoSpaceDN w:val="0"/>
        <w:adjustRightInd w:val="0"/>
        <w:spacing w:line="360" w:lineRule="atLeast"/>
        <w:ind w:right="720"/>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Boiler Explosion Clause</w:t>
      </w:r>
    </w:p>
    <w:p w14:paraId="662A9FB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    The indemnity as granted by this policy shall apply also to accidental loss or damage to property as within defined caused by explosion of boiler vessel or apparatus designed to operate under steam pressure provided that the insured shall have taken reasonable precautions to comply with all legal requirements relating to inspection that apply to any boiler vessel or apparatus from which the explosion arises.</w:t>
      </w:r>
    </w:p>
    <w:p w14:paraId="5F4F78A0">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112BFE68">
      <w:pPr>
        <w:keepNext/>
        <w:numPr>
          <w:ilvl w:val="0"/>
          <w:numId w:val="4"/>
        </w:numPr>
        <w:autoSpaceDE w:val="0"/>
        <w:autoSpaceDN w:val="0"/>
        <w:adjustRightInd w:val="0"/>
        <w:spacing w:line="360" w:lineRule="atLeast"/>
        <w:ind w:right="720"/>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Breach of Condition Clause</w:t>
      </w:r>
    </w:p>
    <w:p w14:paraId="55DAED30">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the conditions and warranties of this Policy shall apply individually to each of the risks insured and not collectively to them. Thus a breach in any condition or warranty shall void the section only in respect of all the risks to which that breach applied and does not affect the section in respect of the other risks.</w:t>
      </w:r>
    </w:p>
    <w:p w14:paraId="24B9A34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exclusions of this policy.</w:t>
      </w:r>
    </w:p>
    <w:p w14:paraId="48CF1F7A">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0D36EAD1">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Brand and Trademark Clause</w:t>
      </w:r>
    </w:p>
    <w:p w14:paraId="2C9C67A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 Assured shall have full rights to possession of all goods bearing embossed or indented brands or labels or other permanent markings identifying the Assured as the manufacturer thereof , or exclusive &amp;/or secret formulas that may be involved in any loss hereunder , and shall retain control of all such goods.</w:t>
      </w:r>
    </w:p>
    <w:p w14:paraId="3CA65528">
      <w:pPr>
        <w:adjustRightInd w:val="0"/>
        <w:spacing w:after="120" w:line="360" w:lineRule="atLeast"/>
        <w:textAlignment w:val="baseline"/>
        <w:rPr>
          <w:rFonts w:hint="default" w:ascii="Times New Roman" w:hAnsi="Times New Roman" w:eastAsia="宋体" w:cs="Times New Roman"/>
          <w:color w:val="auto"/>
          <w:kern w:val="0"/>
          <w:sz w:val="21"/>
          <w:szCs w:val="21"/>
          <w:lang w:eastAsia="en-US"/>
        </w:rPr>
      </w:pPr>
      <w:r>
        <w:rPr>
          <w:rFonts w:hint="default" w:ascii="Times New Roman" w:hAnsi="Times New Roman" w:eastAsia="宋体" w:cs="Times New Roman"/>
          <w:color w:val="auto"/>
          <w:kern w:val="0"/>
          <w:sz w:val="21"/>
          <w:szCs w:val="21"/>
          <w:lang w:eastAsia="en-US"/>
        </w:rPr>
        <w:t>On shipments covered under this policy, Insurers are to pay a total loss on any and all goods damaged by perils insured against which the Assured elects to either destroy or return to their factory, or recondition, Insurers being entitled to such salvage as may be obtained.</w:t>
      </w:r>
    </w:p>
    <w:p w14:paraId="2D435175">
      <w:pPr>
        <w:adjustRightInd w:val="0"/>
        <w:spacing w:line="360" w:lineRule="atLeast"/>
        <w:jc w:val="lef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 Assured shall consult with the appointed Surveyors/ Insurers claim department to judge whether the goods involved in any loss hereunder are suitable for marketing and no goods deemed by the Assured to be unfit for marketing shall be sold or otherwise disposed of except by the Assured or with the Assured's consents, but the Assured shall allow Insurers any salvage obtained on any sale or other disposition of such goods.</w:t>
      </w:r>
    </w:p>
    <w:p w14:paraId="4C626006">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49734A84">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Burglary, Theft &amp; Robbery</w:t>
      </w:r>
    </w:p>
    <w:p w14:paraId="3C778FD6">
      <w:pPr>
        <w:tabs>
          <w:tab w:val="left" w:pos="-720"/>
        </w:tabs>
        <w:suppressAutoHyphens/>
        <w:adjustRightInd w:val="0"/>
        <w:spacing w:line="360" w:lineRule="atLeast"/>
        <w:jc w:val="lef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Notwithstanding anything to the contrary contained in this Policy it is hereby understood and agreed that the Company shall not be liable in respect of any loss due to burglary, theft or robbery unless the loss is caused by:</w:t>
      </w:r>
    </w:p>
    <w:p w14:paraId="1F356283">
      <w:pPr>
        <w:widowControl/>
        <w:numPr>
          <w:ilvl w:val="0"/>
          <w:numId w:val="5"/>
        </w:numPr>
        <w:tabs>
          <w:tab w:val="left" w:pos="-720"/>
        </w:tabs>
        <w:suppressAutoHyphens/>
        <w:adjustRightInd w:val="0"/>
        <w:spacing w:line="360" w:lineRule="atLeast"/>
        <w:jc w:val="lef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burglary or theft following assault or violence or threat or armed robbery or hold-up thereof to the Insured or to any employee of the Insured, or;</w:t>
      </w:r>
    </w:p>
    <w:p w14:paraId="31413982">
      <w:pPr>
        <w:widowControl/>
        <w:numPr>
          <w:ilvl w:val="0"/>
          <w:numId w:val="5"/>
        </w:numPr>
        <w:tabs>
          <w:tab w:val="left" w:pos="-720"/>
        </w:tabs>
        <w:suppressAutoHyphens/>
        <w:adjustRightInd w:val="0"/>
        <w:spacing w:line="360" w:lineRule="atLeast"/>
        <w:jc w:val="lef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burglary or theft involving entry into or exit from the premises by actual forcible and violent means, or;</w:t>
      </w:r>
    </w:p>
    <w:p w14:paraId="0BC83CA1">
      <w:pPr>
        <w:widowControl/>
        <w:numPr>
          <w:ilvl w:val="0"/>
          <w:numId w:val="5"/>
        </w:numPr>
        <w:tabs>
          <w:tab w:val="left" w:pos="-720"/>
        </w:tabs>
        <w:suppressAutoHyphens/>
        <w:adjustRightInd w:val="0"/>
        <w:spacing w:line="360" w:lineRule="atLeast"/>
        <w:jc w:val="lef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theft or any attempt theft by a person feloniously concealed on the Insured premises.</w:t>
      </w:r>
    </w:p>
    <w:p w14:paraId="0ACEA270">
      <w:pPr>
        <w:widowControl/>
        <w:tabs>
          <w:tab w:val="left" w:pos="-720"/>
        </w:tabs>
        <w:suppressAutoHyphens/>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52D3DBF4">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Care, Custody And Control Coverage</w:t>
      </w:r>
    </w:p>
    <w:p w14:paraId="3BFB235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declared and agreed that notwithstanding anything contained herein to the contrary, this Policy is extended to indemnify the Insured against property for material damage itself where the Insured has the care, custody and control of the said property. But the indemnified sum is confronted to the sum insured of the designated property in the schedule.</w:t>
      </w:r>
    </w:p>
    <w:p w14:paraId="7140E0C9">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35B73355">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Co-Insurance Clause</w:t>
      </w:r>
    </w:p>
    <w:p w14:paraId="0CD24A07">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In consideration of the Insured named in the Schedule hereto having paid or agreed to pay the premium set forth in the said Schedule to the Insurers who have subscribed their Names in the Policy (hereinafter referred to as “the Coinsurers”)</w:t>
      </w:r>
    </w:p>
    <w:p w14:paraId="2F4B966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 Coinsurers hereby severally agree each for the proportion set against its name to indemnify the Insured or the Insured’s legal personal representatives by payment or at the option of the Coinsurers by reinstatement, repair or replacement in accordance with the terms and conditions contained hereunder or endorsed hereon.</w:t>
      </w:r>
    </w:p>
    <w:p w14:paraId="0156CE20">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Provided that:</w:t>
      </w:r>
    </w:p>
    <w:p w14:paraId="15CDB54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The liability of the Coinsurers shall not exceed the limits of liability expressed below or such other limits of liability as may be substituted therefore by endorsement hereon or attached hereto signed by or on behalf of the Coinsurers.</w:t>
      </w:r>
    </w:p>
    <w:p w14:paraId="35DA015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The liability of the Coinsurers individually in respect of such loss shall be limited to the proportion set against its name.</w:t>
      </w:r>
    </w:p>
    <w:p w14:paraId="5A02A85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China Pacific Property Insurance Co., Ltd – Shanghai Branch as Lead Coinsurer does elect to conduct, direct, and/or control the investigation, coverage determinations, adjustment, settlement, and/or recovery proceedings with respect to any claim involving this coinsurance arrangement. Each Coinsurer to follow fully in all respects. Expenses incurred by or at the direction of China Pacific Property Insurance Co., Ltd – Shanghai Branch shall be borne pro rata by the Coinsurers in direct proportion to their respective coinsurance participation. It is further declared and agreed that any reference to China Pacific Property Insurance Co., Ltd – Shanghai Branch during the period of insurance shall be deemed to refer to the Coinsurance mentioned in the Schedule for their respective rights and interests and liabilities each for its own proportion of the risk as shown below and not one for another.</w:t>
      </w:r>
    </w:p>
    <w:p w14:paraId="69F9519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 lead Coinsurer is entitled to receive notifications and declarations of intent from the Insured for the Coinsurers.  The Coinsurers acknowledge all decisions made by the Lead Coinsurer as binding of them.  All notifications and declarations are regarded as having been received by Coinsurers upon receipt by the Lead Coinsurer.</w:t>
      </w:r>
    </w:p>
    <w:p w14:paraId="2D21D1F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Co-insurers and participate share:</w:t>
      </w:r>
    </w:p>
    <w:p w14:paraId="5FB7557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China Pacific Property Insurance Co., Ltd – Shanghai Branch</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ab/>
      </w:r>
    </w:p>
    <w:p w14:paraId="5FFA102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PICC Property and Casualty Company Limited – Nanjing Branch</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 xml:space="preserve">    </w:t>
      </w:r>
    </w:p>
    <w:p w14:paraId="5DF2CBD6">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0546C6F5">
      <w:pPr>
        <w:keepNext/>
        <w:numPr>
          <w:ilvl w:val="0"/>
          <w:numId w:val="4"/>
        </w:numPr>
        <w:autoSpaceDE w:val="0"/>
        <w:autoSpaceDN w:val="0"/>
        <w:adjustRightInd w:val="0"/>
        <w:spacing w:line="360" w:lineRule="atLeast"/>
        <w:ind w:right="56"/>
        <w:jc w:val="left"/>
        <w:textAlignment w:val="baseline"/>
        <w:outlineLvl w:val="0"/>
        <w:rPr>
          <w:rFonts w:hint="default" w:ascii="Times New Roman" w:hAnsi="Times New Roman" w:eastAsia="宋体" w:cs="Times New Roman"/>
          <w:color w:val="auto"/>
          <w:kern w:val="0"/>
          <w:sz w:val="21"/>
          <w:szCs w:val="21"/>
        </w:rPr>
      </w:pPr>
      <w:r>
        <w:rPr>
          <w:rFonts w:hint="default" w:ascii="Times New Roman" w:hAnsi="Times New Roman" w:eastAsia="宋体" w:cs="Times New Roman"/>
          <w:b/>
          <w:color w:val="auto"/>
          <w:kern w:val="0"/>
          <w:sz w:val="21"/>
          <w:szCs w:val="21"/>
          <w:u w:val="single"/>
        </w:rPr>
        <w:t xml:space="preserve">Cost of compiling records and claim preparation clause </w:t>
      </w:r>
      <w:r>
        <w:rPr>
          <w:rFonts w:hint="default" w:ascii="Times New Roman" w:hAnsi="Times New Roman" w:eastAsia="宋体" w:cs="Times New Roman"/>
          <w:color w:val="auto"/>
          <w:kern w:val="0"/>
          <w:sz w:val="21"/>
          <w:szCs w:val="21"/>
        </w:rPr>
        <w:t>(Limit: RMB1,000,000 per occurrence)</w:t>
      </w:r>
    </w:p>
    <w:p w14:paraId="4C9ECE3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Notwithstanding anything contained to the contrary contained in the within policy. It is herby declared that this policy extends to include the reasonable costs of materials and labour used or expended by the insured with the company's consent in producing and certifying any records, information, evidence or such other proofs as may be required by the company under the terms and condition of this policy to substantiate any claim.</w:t>
      </w:r>
    </w:p>
    <w:p w14:paraId="16BB926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 total liability of the company under this policy for both losses to property and such expenses shall not exceed the sum insured of the property insured.</w:t>
      </w:r>
    </w:p>
    <w:p w14:paraId="2BC07B67">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35B6A9D2">
      <w:pPr>
        <w:keepNext/>
        <w:numPr>
          <w:ilvl w:val="0"/>
          <w:numId w:val="4"/>
        </w:numPr>
        <w:autoSpaceDE w:val="0"/>
        <w:autoSpaceDN w:val="0"/>
        <w:adjustRightInd w:val="0"/>
        <w:spacing w:line="360" w:lineRule="atLeast"/>
        <w:ind w:right="720"/>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Cost of Re-erection Clause (Limit: RMB5, 000,000)</w:t>
      </w:r>
    </w:p>
    <w:p w14:paraId="37240D40">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this policy extends to include the cost of re-erecting, fitting and fixing machinery and plant in consequence of destruction or damage by any of the perils hereby insured against, provided that the total amount recoverable under any item of the policy shall not exceed the amount stated below during the period of insurance.</w:t>
      </w:r>
    </w:p>
    <w:p w14:paraId="7A71EB3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and conditions of the policy.</w:t>
      </w:r>
    </w:p>
    <w:p w14:paraId="5DFA431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Limit of Indemnity: RMB5,000,000</w:t>
      </w:r>
    </w:p>
    <w:p w14:paraId="30B6C9B3">
      <w:pPr>
        <w:adjustRightInd w:val="0"/>
        <w:spacing w:line="360" w:lineRule="atLeast"/>
        <w:textAlignment w:val="baseline"/>
        <w:rPr>
          <w:rFonts w:hint="default" w:ascii="Times New Roman" w:hAnsi="Times New Roman" w:eastAsia="宋体" w:cs="Times New Roman"/>
          <w:color w:val="auto"/>
          <w:kern w:val="0"/>
          <w:sz w:val="21"/>
          <w:szCs w:val="21"/>
        </w:rPr>
      </w:pPr>
    </w:p>
    <w:p w14:paraId="193F26AB">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Contract Price Clause (On Stock):</w:t>
      </w:r>
    </w:p>
    <w:p w14:paraId="241AB15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declared that in respect only of goods sold but not delivered for which the Insured is responsible and with regard to which under the conditions of the sale contract is cancelled by reason of the fire or any other peril hereby insured against, either wholly or to the extent of the loss or damage, the liability of the Insurers shall be based on the Contract Price, and for the purpose of Average the value of all goods to which this clause would in the event of loss or damage be applicable shall be ascertained on the same basis.</w:t>
      </w:r>
    </w:p>
    <w:p w14:paraId="172C7446">
      <w:pPr>
        <w:adjustRightInd w:val="0"/>
        <w:spacing w:line="360" w:lineRule="atLeast"/>
        <w:textAlignment w:val="baseline"/>
        <w:rPr>
          <w:rFonts w:hint="default" w:ascii="Times New Roman" w:hAnsi="Times New Roman" w:eastAsia="宋体" w:cs="Times New Roman"/>
          <w:color w:val="auto"/>
          <w:kern w:val="0"/>
          <w:sz w:val="21"/>
          <w:szCs w:val="21"/>
        </w:rPr>
      </w:pPr>
    </w:p>
    <w:p w14:paraId="6A30A138">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Designation of Property Clause</w:t>
      </w:r>
    </w:p>
    <w:p w14:paraId="6497EC0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for the purpose of determining where necessary the heading under which any property is insured the company agrees to accept the designation under which such property has been entered in the insured's books.</w:t>
      </w:r>
    </w:p>
    <w:p w14:paraId="66A2358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and conditions of the policy.</w:t>
      </w:r>
    </w:p>
    <w:p w14:paraId="22CF57CA">
      <w:pPr>
        <w:adjustRightInd w:val="0"/>
        <w:spacing w:line="360" w:lineRule="atLeast"/>
        <w:textAlignment w:val="baseline"/>
        <w:rPr>
          <w:rFonts w:hint="default" w:ascii="Times New Roman" w:hAnsi="Times New Roman" w:eastAsia="宋体" w:cs="Times New Roman"/>
          <w:color w:val="auto"/>
          <w:kern w:val="0"/>
          <w:sz w:val="21"/>
          <w:szCs w:val="21"/>
        </w:rPr>
      </w:pPr>
    </w:p>
    <w:p w14:paraId="2ACA37AE">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Exhibition/Trade Shows Clause (limit of RMB5,000,000 per occurrence.)</w:t>
      </w:r>
    </w:p>
    <w:p w14:paraId="3DC5992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this Policy is extended to cover loss of or damage to insured property whilst located anywhere within P. R. China for exhibitions or trade shows caused by the insured perils subject to the maximum limit of RMB5,000,000 per occurrence.</w:t>
      </w:r>
    </w:p>
    <w:p w14:paraId="4A2B87B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exceptions of this Policy.</w:t>
      </w:r>
    </w:p>
    <w:p w14:paraId="0C178745">
      <w:pPr>
        <w:adjustRightInd w:val="0"/>
        <w:spacing w:line="360" w:lineRule="atLeast"/>
        <w:textAlignment w:val="baseline"/>
        <w:rPr>
          <w:rFonts w:hint="default" w:ascii="Times New Roman" w:hAnsi="Times New Roman" w:eastAsia="宋体" w:cs="Times New Roman"/>
          <w:color w:val="auto"/>
          <w:kern w:val="0"/>
          <w:sz w:val="21"/>
          <w:szCs w:val="21"/>
        </w:rPr>
      </w:pPr>
    </w:p>
    <w:p w14:paraId="57DCD452">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color w:val="auto"/>
          <w:kern w:val="0"/>
          <w:sz w:val="21"/>
          <w:szCs w:val="21"/>
          <w:u w:val="single"/>
        </w:rPr>
      </w:pPr>
      <w:r>
        <w:rPr>
          <w:rFonts w:hint="default" w:ascii="Times New Roman" w:hAnsi="Times New Roman" w:eastAsia="宋体" w:cs="Times New Roman"/>
          <w:b/>
          <w:color w:val="auto"/>
          <w:kern w:val="0"/>
          <w:sz w:val="21"/>
          <w:szCs w:val="21"/>
          <w:u w:val="single"/>
        </w:rPr>
        <w:t>Extra Charge Clause (Limit: 25% of loss)</w:t>
      </w:r>
    </w:p>
    <w:p w14:paraId="1E52E5A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in the event of any part of the insured property sustaining damage for which the insurers are liable the indemnity provided by this Insurance is extended to include</w:t>
      </w:r>
    </w:p>
    <w:p w14:paraId="2ACE2D5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 costs necessarily incurred for delivery of any part or parts by express or special delivery (including air freight Expenses);</w:t>
      </w:r>
    </w:p>
    <w:p w14:paraId="5C062AB8">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b) in the execution of authorized repairs for labor overtime costs necessary to expedite repairs including Sundays, Holidays and Night work.</w:t>
      </w:r>
    </w:p>
    <w:p w14:paraId="289967E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Provided that the additional liability of the Insurers shall not exceed 25% of the amount of the loss.</w:t>
      </w:r>
    </w:p>
    <w:p w14:paraId="6F5838B8">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3BC28E48">
      <w:pPr>
        <w:adjustRightInd w:val="0"/>
        <w:spacing w:line="360" w:lineRule="atLeast"/>
        <w:textAlignment w:val="baseline"/>
        <w:rPr>
          <w:rFonts w:hint="default" w:ascii="Times New Roman" w:hAnsi="Times New Roman" w:eastAsia="宋体" w:cs="Times New Roman"/>
          <w:color w:val="auto"/>
          <w:kern w:val="0"/>
          <w:sz w:val="21"/>
          <w:szCs w:val="21"/>
        </w:rPr>
      </w:pPr>
    </w:p>
    <w:p w14:paraId="15622B74">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color w:val="auto"/>
          <w:kern w:val="0"/>
          <w:sz w:val="21"/>
          <w:szCs w:val="21"/>
          <w:u w:val="single"/>
        </w:rPr>
      </w:pPr>
      <w:r>
        <w:rPr>
          <w:rFonts w:hint="default" w:ascii="Times New Roman" w:hAnsi="Times New Roman" w:eastAsia="宋体" w:cs="Times New Roman"/>
          <w:b/>
          <w:color w:val="auto"/>
          <w:kern w:val="0"/>
          <w:sz w:val="21"/>
          <w:szCs w:val="21"/>
          <w:u w:val="single"/>
        </w:rPr>
        <w:t>Escalation Clause (Limit: 15%of sum insured)</w:t>
      </w:r>
    </w:p>
    <w:p w14:paraId="39F39D9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the sum insured by each of the said items shall, during each period of insurance, be increased by that proportion of 15%of sum insured which the number of days since the commencement of such period shall bear to the whole of such period. Unless specifically agreed to the contrary the provisions of this memorandum shall only apply to the sums insured in force at the commencement of the period of insurance. At each renewal date the insured shall notify the insurers:</w:t>
      </w:r>
    </w:p>
    <w:p w14:paraId="31EFAE17">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 The sums to be insured at the commencement of the forthcoming period of insurance;</w:t>
      </w:r>
    </w:p>
    <w:p w14:paraId="6F2EA12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 The percentage increases required for the forthcoming period of insurance.</w:t>
      </w:r>
    </w:p>
    <w:p w14:paraId="36632C9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In default thereof the provisions of this memorandum shall cease to apply. In that event the sums insured for the items referred to above shall, for the forthcoming period of insurance, revert to the sums insured in the schedule. Subject otherwise to the terms and conditions of the policy.</w:t>
      </w:r>
    </w:p>
    <w:p w14:paraId="23C61B20">
      <w:pPr>
        <w:adjustRightInd w:val="0"/>
        <w:spacing w:line="360" w:lineRule="atLeast"/>
        <w:textAlignment w:val="baseline"/>
        <w:rPr>
          <w:rFonts w:hint="default" w:ascii="Times New Roman" w:hAnsi="Times New Roman" w:eastAsia="宋体" w:cs="Times New Roman"/>
          <w:color w:val="auto"/>
          <w:kern w:val="0"/>
          <w:sz w:val="21"/>
          <w:szCs w:val="21"/>
        </w:rPr>
      </w:pPr>
    </w:p>
    <w:p w14:paraId="5895D3B0">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color w:val="auto"/>
          <w:kern w:val="0"/>
          <w:sz w:val="21"/>
          <w:szCs w:val="21"/>
          <w:u w:val="single"/>
        </w:rPr>
      </w:pPr>
      <w:r>
        <w:rPr>
          <w:rFonts w:hint="default" w:ascii="Times New Roman" w:hAnsi="Times New Roman" w:eastAsia="宋体" w:cs="Times New Roman"/>
          <w:b/>
          <w:color w:val="auto"/>
          <w:kern w:val="0"/>
          <w:sz w:val="21"/>
          <w:szCs w:val="21"/>
          <w:u w:val="single"/>
        </w:rPr>
        <w:t>Extension Cover for earthquake and Tsunami (Limit: 80%of sum insured, Excess per occurrence: 20% of loss)</w:t>
      </w:r>
    </w:p>
    <w:p w14:paraId="4BEC4E5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this policy shall be extended to cover loss of or damage to the insured property caused by or expense incurred directly in consequence of earthquake and tsunami as well as its secondary disaster.</w:t>
      </w:r>
    </w:p>
    <w:p w14:paraId="14FDEFD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exclusions of this policy.</w:t>
      </w:r>
    </w:p>
    <w:p w14:paraId="1C3BDAA5">
      <w:pPr>
        <w:adjustRightInd w:val="0"/>
        <w:spacing w:line="360" w:lineRule="atLeast"/>
        <w:textAlignment w:val="baseline"/>
        <w:rPr>
          <w:rFonts w:hint="default" w:ascii="Times New Roman" w:hAnsi="Times New Roman" w:eastAsia="宋体" w:cs="Times New Roman"/>
          <w:color w:val="auto"/>
          <w:kern w:val="0"/>
          <w:sz w:val="21"/>
          <w:szCs w:val="21"/>
        </w:rPr>
      </w:pPr>
    </w:p>
    <w:p w14:paraId="3DE0736F">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Errors and Omissions Clause</w:t>
      </w:r>
    </w:p>
    <w:p w14:paraId="3B98E05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the liability under this policy shall not be prejudiced by any unintentional delay, error or omission in reporting new locations acquired or occupied or in reporting values of property or in description of any other information provided that such delay, error or omission shall be reported to the Company as soon as practicable after knowledge thereof, and the Insured shall pay an appropriate additional premium upon request by the company, from the date of any increase in risk .Improper, faulty or erroneous appraisals shall not be considered to be an unintentional error or omission.</w:t>
      </w:r>
    </w:p>
    <w:p w14:paraId="08899957">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exclusions of this policy.</w:t>
      </w:r>
    </w:p>
    <w:p w14:paraId="6CF1D373">
      <w:pPr>
        <w:adjustRightInd w:val="0"/>
        <w:spacing w:line="360" w:lineRule="atLeast"/>
        <w:textAlignment w:val="baseline"/>
        <w:rPr>
          <w:rFonts w:hint="default" w:ascii="Times New Roman" w:hAnsi="Times New Roman" w:eastAsia="宋体" w:cs="Times New Roman"/>
          <w:color w:val="auto"/>
          <w:kern w:val="0"/>
          <w:sz w:val="21"/>
          <w:szCs w:val="21"/>
        </w:rPr>
      </w:pPr>
    </w:p>
    <w:p w14:paraId="0D52822A">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color w:val="auto"/>
          <w:kern w:val="0"/>
          <w:sz w:val="21"/>
          <w:szCs w:val="21"/>
          <w:u w:val="single"/>
        </w:rPr>
      </w:pPr>
      <w:r>
        <w:rPr>
          <w:rFonts w:hint="default" w:ascii="Times New Roman" w:hAnsi="Times New Roman" w:eastAsia="宋体" w:cs="Times New Roman"/>
          <w:b/>
          <w:color w:val="auto"/>
          <w:kern w:val="0"/>
          <w:sz w:val="21"/>
          <w:szCs w:val="21"/>
          <w:u w:val="single"/>
        </w:rPr>
        <w:t>Fire Extinguishing Expenses Clause (Limit: RMB1, 000,000)</w:t>
      </w:r>
    </w:p>
    <w:p w14:paraId="468BCF1C">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this Policy is extended to cover:</w:t>
      </w:r>
    </w:p>
    <w:p w14:paraId="7EB9F17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 All costs incurred in the extinguishment of a fire;</w:t>
      </w:r>
    </w:p>
    <w:p w14:paraId="27DC660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B) All costs incurred in the removal of water and/or substances;</w:t>
      </w:r>
    </w:p>
    <w:p w14:paraId="3C0E41D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C) All cleaning expenses;</w:t>
      </w:r>
    </w:p>
    <w:p w14:paraId="3121BBA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D) The erection of temporary barricades;</w:t>
      </w:r>
    </w:p>
    <w:p w14:paraId="356FC3C7">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Arising from loss or damage by any peril hereby insured against. The total liability under this policy for both loss to property and fire extinguishment and other costs shall not exceed RMB1,000,000.Fire extinguishment and other costs shall not be considered in the determination of replacement value in the application of any clause forming a part of this policy.</w:t>
      </w:r>
    </w:p>
    <w:p w14:paraId="13E4235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3FC2060A">
      <w:pPr>
        <w:adjustRightInd w:val="0"/>
        <w:spacing w:line="360" w:lineRule="atLeast"/>
        <w:textAlignment w:val="baseline"/>
        <w:rPr>
          <w:rFonts w:hint="default" w:ascii="Times New Roman" w:hAnsi="Times New Roman" w:eastAsia="宋体" w:cs="Times New Roman"/>
          <w:color w:val="auto"/>
          <w:kern w:val="0"/>
          <w:sz w:val="21"/>
          <w:szCs w:val="21"/>
        </w:rPr>
      </w:pPr>
    </w:p>
    <w:p w14:paraId="6F072BA3">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Full Flood Extension</w:t>
      </w:r>
    </w:p>
    <w:p w14:paraId="70B9F279">
      <w:pPr>
        <w:adjustRightInd w:val="0"/>
        <w:spacing w:line="360" w:lineRule="atLeast"/>
        <w:textAlignment w:val="baseline"/>
        <w:rPr>
          <w:rFonts w:hint="default" w:ascii="Times New Roman" w:hAnsi="Times New Roman" w:eastAsia="宋体" w:cs="Times New Roman"/>
          <w:color w:val="auto"/>
          <w:kern w:val="0"/>
          <w:sz w:val="21"/>
          <w:szCs w:val="21"/>
          <w:lang w:eastAsia="zh-TW"/>
        </w:rPr>
      </w:pPr>
      <w:r>
        <w:rPr>
          <w:rFonts w:hint="default" w:ascii="Times New Roman" w:hAnsi="Times New Roman" w:eastAsia="宋体" w:cs="Times New Roman"/>
          <w:color w:val="auto"/>
          <w:kern w:val="0"/>
          <w:sz w:val="21"/>
          <w:szCs w:val="21"/>
          <w:lang w:eastAsia="zh-TW"/>
        </w:rPr>
        <w:t>The insurance under this Policy shall extend to include loss of or damage to the Property Insured directly caused by typhoon, windstorm or flood, subject otherwise to the terms, conditions and exclusions of the policy. For the purpose of this extension, flood damage shall mean loss of or damage to the property insured directly caused by water from any cause whatsoever.</w:t>
      </w:r>
    </w:p>
    <w:p w14:paraId="166DD0FF">
      <w:pPr>
        <w:adjustRightInd w:val="0"/>
        <w:spacing w:line="360" w:lineRule="atLeast"/>
        <w:textAlignment w:val="baseline"/>
        <w:rPr>
          <w:rFonts w:hint="default" w:ascii="Times New Roman" w:hAnsi="Times New Roman" w:eastAsia="宋体" w:cs="Times New Roman"/>
          <w:color w:val="auto"/>
          <w:kern w:val="0"/>
          <w:sz w:val="21"/>
          <w:szCs w:val="21"/>
        </w:rPr>
      </w:pPr>
    </w:p>
    <w:p w14:paraId="1FC02077">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Full Theft Clause</w:t>
      </w:r>
    </w:p>
    <w:p w14:paraId="388F261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this policy is extended to cover loss of or damage to the property insured by theft without violent and forcible entry into the premises.</w:t>
      </w:r>
    </w:p>
    <w:p w14:paraId="66AE71B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 indemnity herein provided shall not apply to nor include:</w:t>
      </w:r>
    </w:p>
    <w:p w14:paraId="5ED5B80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 Loss or damage caused by or resulting from infidelity or any dishonest act on the part of the insured or other parties of interest or his or their employees or agents or any person or persons to whom the property insured may be entrusted.</w:t>
      </w:r>
    </w:p>
    <w:p w14:paraId="33120E50">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B) Unexplained loss, mysterious disappearance or loss or shortage upon taking inventory.</w:t>
      </w:r>
    </w:p>
    <w:p w14:paraId="5DB6BE5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 liability of the company under this endorsement shall not exceed the amount stated in the schedule of this policy and the Insured shall bear the first for each and every claim under this Extension.</w:t>
      </w:r>
    </w:p>
    <w:p w14:paraId="7958B48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178C1891">
      <w:pPr>
        <w:adjustRightInd w:val="0"/>
        <w:spacing w:line="360" w:lineRule="atLeast"/>
        <w:textAlignment w:val="baseline"/>
        <w:rPr>
          <w:rFonts w:hint="default" w:ascii="Times New Roman" w:hAnsi="Times New Roman" w:eastAsia="宋体" w:cs="Times New Roman"/>
          <w:color w:val="auto"/>
          <w:kern w:val="0"/>
          <w:sz w:val="21"/>
          <w:szCs w:val="21"/>
        </w:rPr>
      </w:pPr>
    </w:p>
    <w:p w14:paraId="70E8806B">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Inland Transit Extension Clause (Limit: RMB1, 000,000 any one accident within the city which the insured domiciles)</w:t>
      </w:r>
    </w:p>
    <w:p w14:paraId="38FD55AF">
      <w:pPr>
        <w:adjustRightInd w:val="0"/>
        <w:spacing w:line="360" w:lineRule="atLeast"/>
        <w:textAlignment w:val="baseline"/>
        <w:rPr>
          <w:rFonts w:hint="default" w:ascii="Times New Roman" w:hAnsi="Times New Roman" w:eastAsia="宋体" w:cs="Times New Roman"/>
          <w:color w:val="auto"/>
          <w:kern w:val="0"/>
          <w:sz w:val="21"/>
          <w:szCs w:val="21"/>
          <w:lang w:val="en-GB"/>
        </w:rPr>
      </w:pPr>
      <w:r>
        <w:rPr>
          <w:rFonts w:hint="default" w:ascii="Times New Roman" w:hAnsi="Times New Roman" w:eastAsia="宋体" w:cs="Times New Roman"/>
          <w:color w:val="auto"/>
          <w:kern w:val="0"/>
          <w:sz w:val="21"/>
          <w:szCs w:val="21"/>
        </w:rPr>
        <w:t xml:space="preserve">It is hereby declared and agreed that this Policy is extended to cover the Property Insured  whilst in the course of direct and uninterrupted land transit within </w:t>
      </w:r>
      <w:r>
        <w:rPr>
          <w:rFonts w:hint="default" w:ascii="Times New Roman" w:hAnsi="Times New Roman" w:eastAsia="宋体" w:cs="Times New Roman"/>
          <w:color w:val="auto"/>
          <w:kern w:val="0"/>
          <w:sz w:val="21"/>
          <w:szCs w:val="21"/>
          <w:lang w:val="en-GB"/>
        </w:rPr>
        <w:t>the city which the insured domiciles</w:t>
      </w:r>
      <w:r>
        <w:rPr>
          <w:rFonts w:hint="default" w:ascii="Times New Roman" w:hAnsi="Times New Roman" w:eastAsia="宋体" w:cs="Times New Roman"/>
          <w:color w:val="auto"/>
          <w:kern w:val="0"/>
          <w:sz w:val="21"/>
          <w:szCs w:val="21"/>
        </w:rPr>
        <w:t xml:space="preserve"> from the time the Property Insured leaves the factory, store, warehouse, or other initial point of shipment and covers thereafter continuously, in due course of direct and uninterrupted land transportation, in or on conveyance owned or operated by the Insured, or while in the custody of any common or contract carrier until the same are delivered at store, warehouse or other point of destination</w:t>
      </w:r>
      <w:r>
        <w:rPr>
          <w:rFonts w:hint="default" w:ascii="Times New Roman" w:hAnsi="Times New Roman" w:eastAsia="宋体" w:cs="Times New Roman"/>
          <w:color w:val="auto"/>
          <w:kern w:val="0"/>
          <w:sz w:val="21"/>
          <w:szCs w:val="21"/>
          <w:lang w:val="en-GB"/>
        </w:rPr>
        <w:t>.</w:t>
      </w:r>
    </w:p>
    <w:p w14:paraId="4B7CC8D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Limit of indemnity shall not exceed RMB1, 000,000 per conveyance for any one occurrence. And if there’s any other transportation insurance covers the same risk, this extension will be the excess cover only.</w:t>
      </w:r>
    </w:p>
    <w:p w14:paraId="5CE8BBA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exclusions of this Policy.</w:t>
      </w:r>
    </w:p>
    <w:p w14:paraId="29D26E03">
      <w:pPr>
        <w:adjustRightInd w:val="0"/>
        <w:spacing w:line="360" w:lineRule="atLeast"/>
        <w:textAlignment w:val="baseline"/>
        <w:rPr>
          <w:rFonts w:hint="default" w:ascii="Times New Roman" w:hAnsi="Times New Roman" w:eastAsia="宋体" w:cs="Times New Roman"/>
          <w:strike/>
          <w:color w:val="auto"/>
          <w:kern w:val="0"/>
          <w:sz w:val="21"/>
          <w:szCs w:val="21"/>
        </w:rPr>
      </w:pPr>
    </w:p>
    <w:p w14:paraId="499BD2FF">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Landslide and Subsidence Clause</w:t>
      </w:r>
    </w:p>
    <w:p w14:paraId="53FA74B7">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In consideration of the payment of an additional premium, it is hereby agreed and declared that notwithstanding anything in the within written Policy contained to the contrary the insurance under the Policy shall extend to cover:</w:t>
      </w:r>
    </w:p>
    <w:p w14:paraId="32EB6F2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Loss of or damage to the Property insured directly caused by subsidence of the site or landslip, occurring within the period stated in the schedule but excluding:</w:t>
      </w:r>
    </w:p>
    <w:p w14:paraId="540B847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 loss or damage occasioned by or through or in consequence directly or indirectly of any of the following occurrences:</w:t>
      </w:r>
    </w:p>
    <w:p w14:paraId="5754F99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 Coastal erosion</w:t>
      </w:r>
    </w:p>
    <w:p w14:paraId="259B0D8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ii) Heave</w:t>
      </w:r>
    </w:p>
    <w:p w14:paraId="110783D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iii) Bedding down of structures or the settlement of made up ground within 5 years of the completion of such works</w:t>
      </w:r>
    </w:p>
    <w:p w14:paraId="4685D23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 loss of or damage to paths drives fences gates boundary and retaining walls caused by subsidence and/or landslip.</w:t>
      </w:r>
    </w:p>
    <w:p w14:paraId="58208A7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3) unless otherwise specifically insured, the cost of removal of subsidence and/or landslip debris or the making good of the site following subsidence and or landslip except in so far as is necessary to repair the property insured.</w:t>
      </w:r>
    </w:p>
    <w:p w14:paraId="7E0CC88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4) loss or damage directly occasioned by or through defective design or workmanship or the use of defective materials.</w:t>
      </w:r>
    </w:p>
    <w:p w14:paraId="4517120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5) consequential loss or damage of any kind or description.</w:t>
      </w:r>
    </w:p>
    <w:p w14:paraId="302C8BF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WARRANTED:</w:t>
      </w:r>
    </w:p>
    <w:p w14:paraId="1D280EA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 The Insured shall maintain the insured property in sound repair and shall take all responsible steps to prevent damage from the perils covered hereby.</w:t>
      </w:r>
    </w:p>
    <w:p w14:paraId="503194D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 The Insured shall notify the company immediately:</w:t>
      </w:r>
    </w:p>
    <w:p w14:paraId="376D1F0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 any excavations are commenced beneath, around or in the vicinity of the insured property. In such event the Company shall have the right to vary or cancel the cover provided under this Policy.</w:t>
      </w:r>
    </w:p>
    <w:p w14:paraId="3762EE1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ii) of the operation of an insured peril affecting any part of the site (whether or not the insured property is involved) or its nearby surroundings.</w:t>
      </w:r>
    </w:p>
    <w:p w14:paraId="0ADF2928">
      <w:pPr>
        <w:adjustRightInd w:val="0"/>
        <w:spacing w:line="360" w:lineRule="atLeast"/>
        <w:textAlignment w:val="baseline"/>
        <w:rPr>
          <w:rFonts w:hint="default" w:ascii="Times New Roman" w:hAnsi="Times New Roman" w:eastAsia="宋体" w:cs="Times New Roman"/>
          <w:strike/>
          <w:color w:val="auto"/>
          <w:kern w:val="0"/>
          <w:sz w:val="21"/>
          <w:szCs w:val="21"/>
        </w:rPr>
      </w:pPr>
    </w:p>
    <w:p w14:paraId="3428C9B5">
      <w:pPr>
        <w:adjustRightInd w:val="0"/>
        <w:spacing w:line="360" w:lineRule="atLeast"/>
        <w:textAlignment w:val="baseline"/>
        <w:rPr>
          <w:rFonts w:hint="default" w:ascii="Times New Roman" w:hAnsi="Times New Roman" w:eastAsia="宋体" w:cs="Times New Roman"/>
          <w:strike/>
          <w:color w:val="auto"/>
          <w:kern w:val="0"/>
          <w:sz w:val="21"/>
          <w:szCs w:val="21"/>
        </w:rPr>
      </w:pPr>
    </w:p>
    <w:p w14:paraId="12030C1C">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Leased Property Clause</w:t>
      </w:r>
    </w:p>
    <w:p w14:paraId="6925C38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Policy extends to indemnify any other party having an interest in the property Insured by virtue of and in accordance with the terms of a mortgage, leasing, hiring or, renting agreement, provided such property is not more specifically insured.</w:t>
      </w:r>
    </w:p>
    <w:p w14:paraId="07D20131">
      <w:pPr>
        <w:adjustRightInd w:val="0"/>
        <w:spacing w:line="360" w:lineRule="atLeast"/>
        <w:textAlignment w:val="baseline"/>
        <w:rPr>
          <w:rFonts w:hint="default" w:ascii="Times New Roman" w:hAnsi="Times New Roman" w:eastAsia="宋体" w:cs="Times New Roman"/>
          <w:color w:val="auto"/>
          <w:kern w:val="0"/>
          <w:sz w:val="21"/>
          <w:szCs w:val="21"/>
        </w:rPr>
      </w:pPr>
    </w:p>
    <w:p w14:paraId="6AE5CC04">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Loss Notification Clause</w:t>
      </w:r>
    </w:p>
    <w:p w14:paraId="1BFC79C2">
      <w:pPr>
        <w:tabs>
          <w:tab w:val="left" w:pos="1800"/>
          <w:tab w:val="left" w:pos="2160"/>
        </w:tabs>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Notwithstanding anything contained herein to the contrary, it is hereby declared and agreed that this insurance will not be prejudiced by any inadvertent delays, errors, or omission in notifying the insurers of any circumstances or event giving rise or likely to give rise to a claim inside this Policy. Subject otherwise to</w:t>
      </w:r>
      <w:r>
        <w:rPr>
          <w:rFonts w:hint="default" w:ascii="Times New Roman" w:hAnsi="Times New Roman" w:eastAsia="宋体" w:cs="Times New Roman"/>
          <w:color w:val="auto"/>
          <w:kern w:val="0"/>
          <w:sz w:val="21"/>
          <w:szCs w:val="21"/>
          <w:lang w:eastAsia="zh-TW"/>
        </w:rPr>
        <w:t xml:space="preserve"> the </w:t>
      </w:r>
      <w:r>
        <w:rPr>
          <w:rFonts w:hint="default" w:ascii="Times New Roman" w:hAnsi="Times New Roman" w:eastAsia="宋体" w:cs="Times New Roman"/>
          <w:color w:val="auto"/>
          <w:kern w:val="0"/>
          <w:sz w:val="21"/>
          <w:szCs w:val="21"/>
        </w:rPr>
        <w:t>Terms, Exceptions and Conditions of this Policy.</w:t>
      </w:r>
    </w:p>
    <w:p w14:paraId="649F1106">
      <w:pPr>
        <w:adjustRightInd w:val="0"/>
        <w:spacing w:line="360" w:lineRule="atLeast"/>
        <w:textAlignment w:val="baseline"/>
        <w:rPr>
          <w:rFonts w:hint="default" w:ascii="Times New Roman" w:hAnsi="Times New Roman" w:eastAsia="宋体" w:cs="Times New Roman"/>
          <w:color w:val="auto"/>
          <w:kern w:val="0"/>
          <w:sz w:val="21"/>
          <w:szCs w:val="21"/>
        </w:rPr>
      </w:pPr>
    </w:p>
    <w:p w14:paraId="4D32BD6C">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Minor Works Clause (Contract Limit: RMB5,000,000)</w:t>
      </w:r>
    </w:p>
    <w:p w14:paraId="380C0ECB">
      <w:pPr>
        <w:pStyle w:val="39"/>
        <w:keepNext w:val="0"/>
        <w:rPr>
          <w:rFonts w:hint="default" w:ascii="Times New Roman" w:hAnsi="Times New Roman" w:eastAsia="宋体" w:cs="Times New Roman"/>
          <w:color w:val="auto"/>
          <w:spacing w:val="-2"/>
          <w:sz w:val="21"/>
          <w:szCs w:val="21"/>
          <w:lang w:eastAsia="zh-CN"/>
        </w:rPr>
      </w:pPr>
    </w:p>
    <w:p w14:paraId="0E569D9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understood and agreed that this Policy automatically covers minor alterations, construction, re-construction, additions, maintenance, modification work and any testing and commissioning arising therefrom, carried out on any of the Property Insured under this Policy, subject to an estimated project value at the commencement of the project not exceeding the sub-limit as defined in the Policy Schedule any one Project/Property in Course of Construction in respect of existing locations only. Notwithstanding other terms and conditions herein, this Policy shall only pay in excess of more specific insurance, if any, arranged in respect of minor works. The Deductibles applicable to this Policy shall not apply where the amount payable under such other insurance exceeds the Deductible herein but in no case shall any loss be payable below the Deductible amount.</w:t>
      </w:r>
    </w:p>
    <w:p w14:paraId="6D18DBC3">
      <w:pPr>
        <w:adjustRightInd w:val="0"/>
        <w:spacing w:line="360" w:lineRule="atLeast"/>
        <w:textAlignment w:val="baseline"/>
        <w:rPr>
          <w:rFonts w:hint="default" w:ascii="Times New Roman" w:hAnsi="Times New Roman" w:eastAsia="宋体" w:cs="Times New Roman"/>
          <w:color w:val="auto"/>
          <w:kern w:val="0"/>
          <w:sz w:val="21"/>
          <w:szCs w:val="21"/>
        </w:rPr>
      </w:pPr>
    </w:p>
    <w:p w14:paraId="56BEEF3F">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Miscellaneous Unnamed Locations (Limit: RMB5, 000,000 per location)</w:t>
      </w:r>
    </w:p>
    <w:p w14:paraId="039F6EE7">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this Policy shall automatically cover all properties of the Insured in which it has an insurable interest at a Miscellaneous Unnamed Location within the territory limit of P. R. China which is not specified in the schedule of locations.</w:t>
      </w:r>
    </w:p>
    <w:p w14:paraId="78E7535B">
      <w:pPr>
        <w:tabs>
          <w:tab w:val="left" w:pos="1800"/>
          <w:tab w:val="left" w:pos="2160"/>
        </w:tabs>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Limit of Indemnity: RMB5,000,000 per location.</w:t>
      </w:r>
    </w:p>
    <w:p w14:paraId="4989163F">
      <w:pPr>
        <w:tabs>
          <w:tab w:val="left" w:pos="1800"/>
          <w:tab w:val="left" w:pos="2160"/>
        </w:tabs>
        <w:adjustRightInd w:val="0"/>
        <w:spacing w:line="360" w:lineRule="atLeast"/>
        <w:textAlignment w:val="baseline"/>
        <w:rPr>
          <w:rFonts w:hint="default" w:ascii="Times New Roman" w:hAnsi="Times New Roman" w:eastAsia="宋体" w:cs="Times New Roman"/>
          <w:color w:val="auto"/>
          <w:kern w:val="0"/>
          <w:sz w:val="21"/>
          <w:szCs w:val="21"/>
        </w:rPr>
      </w:pPr>
    </w:p>
    <w:p w14:paraId="37CA6C52">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Money Insurance（Limit: RMB30,000 per occurrence and in aggregate）</w:t>
      </w:r>
    </w:p>
    <w:p w14:paraId="1068D60C">
      <w:pPr>
        <w:adjustRightInd w:val="0"/>
        <w:snapToGrid w:val="0"/>
        <w:spacing w:line="360" w:lineRule="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It is agreed and understood that this Policy shall automatically cover the loss of Money &amp; Securities, including but not limited to Money, Cash, Bank and Currency Notes, Cheques, Money Orders, Postal Orders, Unused Postage Stamps, Insurance Stamps, Travelers Cheques, Lucheon Vouchers, Credit Card Vouchers, belonging to the Insured or for which the Insured has accepted responsibility whilst in premises or whilst in transit within P. R. China, caused by: </w:t>
      </w:r>
    </w:p>
    <w:p w14:paraId="4C6D7EB1">
      <w:pPr>
        <w:adjustRightInd w:val="0"/>
        <w:snapToGrid w:val="0"/>
        <w:spacing w:line="360" w:lineRule="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fire, explosion or flood or;</w:t>
      </w:r>
    </w:p>
    <w:p w14:paraId="0A1E9416">
      <w:pPr>
        <w:adjustRightInd w:val="0"/>
        <w:snapToGrid w:val="0"/>
        <w:spacing w:line="360" w:lineRule="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 xml:space="preserve">robbery occurring during transit accompanied by the Insured’s employees or; </w:t>
      </w:r>
    </w:p>
    <w:p w14:paraId="4C78C11C">
      <w:pPr>
        <w:adjustRightInd w:val="0"/>
        <w:snapToGrid w:val="0"/>
        <w:spacing w:line="360" w:lineRule="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(3)</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 xml:space="preserve">robbery or theft occurring when Money &amp; Securities stored in locked safe or strongroom or; </w:t>
      </w:r>
    </w:p>
    <w:p w14:paraId="7BE1384E">
      <w:pPr>
        <w:adjustRightInd w:val="0"/>
        <w:snapToGrid w:val="0"/>
        <w:spacing w:line="360" w:lineRule="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(4)</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robbery occurring in the Premises during business hours.</w:t>
      </w:r>
    </w:p>
    <w:p w14:paraId="62F24A16">
      <w:pPr>
        <w:adjustRightInd w:val="0"/>
        <w:spacing w:line="360" w:lineRule="auto"/>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Otherwise subject to the terms exception and condition of this Policy.</w:t>
      </w:r>
    </w:p>
    <w:p w14:paraId="6834B168">
      <w:pPr>
        <w:tabs>
          <w:tab w:val="left" w:pos="1800"/>
          <w:tab w:val="left" w:pos="2160"/>
        </w:tabs>
        <w:adjustRightInd w:val="0"/>
        <w:spacing w:line="360" w:lineRule="atLeast"/>
        <w:textAlignment w:val="baseline"/>
        <w:rPr>
          <w:rFonts w:hint="default" w:ascii="Times New Roman" w:hAnsi="Times New Roman" w:eastAsia="宋体" w:cs="Times New Roman"/>
          <w:color w:val="auto"/>
          <w:kern w:val="0"/>
          <w:sz w:val="21"/>
          <w:szCs w:val="21"/>
        </w:rPr>
      </w:pPr>
    </w:p>
    <w:p w14:paraId="616F0D49">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Non-invalidation Clause</w:t>
      </w:r>
    </w:p>
    <w:p w14:paraId="4EAE8A2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this insurance shall not be invalidated by any change of occupancy or increase of risk taking place in the property insured without the Insured's knowledge provided that they shall, immediately on the same coming to their knowledge, advise the company and pay any additional premium that may be required from the date of such increase of risk. Subject otherwise to the terms exceptions and conditions of this policy.</w:t>
      </w:r>
    </w:p>
    <w:p w14:paraId="6550439B">
      <w:pPr>
        <w:adjustRightInd w:val="0"/>
        <w:spacing w:line="360" w:lineRule="atLeast"/>
        <w:textAlignment w:val="baseline"/>
        <w:rPr>
          <w:rFonts w:hint="default" w:ascii="Times New Roman" w:hAnsi="Times New Roman" w:eastAsia="宋体" w:cs="Times New Roman"/>
          <w:color w:val="auto"/>
          <w:kern w:val="0"/>
          <w:sz w:val="21"/>
          <w:szCs w:val="21"/>
        </w:rPr>
      </w:pPr>
    </w:p>
    <w:p w14:paraId="5C4BB2A1">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No Control Clause</w:t>
      </w:r>
    </w:p>
    <w:p w14:paraId="6CC61E6C">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Insurance shall not be affected by the failure of the Insured to comply with any provisions of this Policy (including the warranties or conditions endorsed hereon) in any portion of the Premises over which the Insured has no control</w:t>
      </w:r>
    </w:p>
    <w:p w14:paraId="0C3A10C0">
      <w:pPr>
        <w:adjustRightInd w:val="0"/>
        <w:spacing w:line="360" w:lineRule="atLeast"/>
        <w:textAlignment w:val="baseline"/>
        <w:rPr>
          <w:rFonts w:hint="default" w:ascii="Times New Roman" w:hAnsi="Times New Roman" w:eastAsia="宋体" w:cs="Times New Roman"/>
          <w:color w:val="auto"/>
          <w:kern w:val="0"/>
          <w:sz w:val="21"/>
          <w:szCs w:val="21"/>
        </w:rPr>
      </w:pPr>
    </w:p>
    <w:p w14:paraId="1EF1B7A1">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Nominated Loss Adjuster Clauses (Sedgwick , McLarens Young International or Crawford &amp; Company)</w:t>
      </w:r>
    </w:p>
    <w:p w14:paraId="28E877A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any loss under the policy will be assessed by an approved loss adjuster to be mutually agreed upon.</w:t>
      </w:r>
    </w:p>
    <w:p w14:paraId="55F72A5D">
      <w:pPr>
        <w:adjustRightInd w:val="0"/>
        <w:spacing w:line="360" w:lineRule="atLeast"/>
        <w:textAlignment w:val="baseline"/>
        <w:rPr>
          <w:rFonts w:hint="default" w:ascii="Times New Roman" w:hAnsi="Times New Roman" w:eastAsia="宋体" w:cs="Times New Roman"/>
          <w:color w:val="auto"/>
          <w:kern w:val="0"/>
          <w:sz w:val="21"/>
          <w:szCs w:val="21"/>
        </w:rPr>
      </w:pPr>
    </w:p>
    <w:p w14:paraId="32D496E0">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0ff Premises Property Clause</w:t>
      </w:r>
    </w:p>
    <w:p w14:paraId="592729D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this policy is extended to cover the property insured whilst being removed from the described premises for repair, servicing or to avoid threatened damage by any peril hereby insured against, for a period up to 60 days from the date of removal for an amount not exceeding the value of such property or up to 10% of the Sum Insured on content of the situation involved, whichever is the lesser.</w:t>
      </w:r>
    </w:p>
    <w:p w14:paraId="58F4B16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 provision shall not apply to property removed for normal storage or for processing, nor to property otherwise insured.</w:t>
      </w:r>
    </w:p>
    <w:p w14:paraId="248F1F6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72BBAB4C">
      <w:pPr>
        <w:adjustRightInd w:val="0"/>
        <w:spacing w:line="360" w:lineRule="atLeast"/>
        <w:textAlignment w:val="baseline"/>
        <w:rPr>
          <w:rFonts w:hint="default" w:ascii="Times New Roman" w:hAnsi="Times New Roman" w:eastAsia="宋体" w:cs="Times New Roman"/>
          <w:color w:val="auto"/>
          <w:kern w:val="0"/>
          <w:sz w:val="21"/>
          <w:szCs w:val="21"/>
        </w:rPr>
      </w:pPr>
    </w:p>
    <w:p w14:paraId="4442EFA7">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Outdoor Fixtures and Fittings Extension</w:t>
      </w:r>
    </w:p>
    <w:p w14:paraId="3BBA9338">
      <w:pPr>
        <w:pStyle w:val="39"/>
        <w:keepNext w:val="0"/>
        <w:ind w:left="360"/>
        <w:rPr>
          <w:rFonts w:hint="default" w:ascii="Times New Roman" w:hAnsi="Times New Roman" w:eastAsia="宋体" w:cs="Times New Roman"/>
          <w:b/>
          <w:color w:val="auto"/>
          <w:sz w:val="21"/>
          <w:szCs w:val="21"/>
          <w:u w:val="single"/>
          <w:lang w:eastAsia="zh-CN"/>
        </w:rPr>
      </w:pPr>
    </w:p>
    <w:p w14:paraId="1230323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that the Insurer is liable for indemnity of the direct material loss or damage on the billboard, antenna, solar installations, neon signs and other subsidiary facilities outside the insured building caused by the insured perils per the insurance contract.</w:t>
      </w:r>
    </w:p>
    <w:p w14:paraId="22702C15">
      <w:pPr>
        <w:rPr>
          <w:rFonts w:hint="default" w:ascii="Times New Roman" w:hAnsi="Times New Roman" w:eastAsia="宋体" w:cs="Times New Roman"/>
          <w:color w:val="auto"/>
          <w:sz w:val="21"/>
          <w:szCs w:val="21"/>
        </w:rPr>
      </w:pPr>
    </w:p>
    <w:p w14:paraId="3F30D348">
      <w:pPr>
        <w:adjustRightInd w:val="0"/>
        <w:snapToGrid w:val="0"/>
        <w:spacing w:after="120" w:afterLines="50"/>
        <w:rPr>
          <w:rFonts w:hint="default" w:ascii="Times New Roman" w:hAnsi="Times New Roman" w:eastAsia="宋体" w:cs="Times New Roman"/>
          <w:bCs/>
          <w:color w:val="auto"/>
          <w:sz w:val="21"/>
          <w:szCs w:val="21"/>
        </w:rPr>
      </w:pPr>
      <w:r>
        <w:rPr>
          <w:rFonts w:hint="default" w:ascii="Times New Roman" w:hAnsi="Times New Roman" w:eastAsia="宋体" w:cs="Times New Roman"/>
          <w:bCs/>
          <w:color w:val="auto"/>
          <w:sz w:val="21"/>
          <w:szCs w:val="21"/>
        </w:rPr>
        <w:t>兹经双方同意，本保险单扩展承保因发生保险责任范围内的事故，而造成被保险人加装于建筑物上的广告、天线、霓红灯、太阳能装置，</w:t>
      </w:r>
      <w:r>
        <w:rPr>
          <w:rFonts w:hint="default" w:ascii="Times New Roman" w:hAnsi="Times New Roman" w:eastAsia="宋体" w:cs="Times New Roman"/>
          <w:color w:val="auto"/>
          <w:sz w:val="21"/>
          <w:szCs w:val="21"/>
        </w:rPr>
        <w:t>及其它附属设施</w:t>
      </w:r>
      <w:r>
        <w:rPr>
          <w:rFonts w:hint="default" w:ascii="Times New Roman" w:hAnsi="Times New Roman" w:eastAsia="宋体" w:cs="Times New Roman"/>
          <w:bCs/>
          <w:color w:val="auto"/>
          <w:sz w:val="21"/>
          <w:szCs w:val="21"/>
        </w:rPr>
        <w:t>的损失。</w:t>
      </w:r>
    </w:p>
    <w:p w14:paraId="134CA5A9">
      <w:pPr>
        <w:adjustRightInd w:val="0"/>
        <w:spacing w:line="360" w:lineRule="atLeast"/>
        <w:textAlignment w:val="baseline"/>
        <w:rPr>
          <w:rFonts w:hint="default" w:ascii="Times New Roman" w:hAnsi="Times New Roman" w:eastAsia="宋体" w:cs="Times New Roman"/>
          <w:color w:val="auto"/>
          <w:kern w:val="0"/>
          <w:sz w:val="21"/>
          <w:szCs w:val="21"/>
        </w:rPr>
      </w:pPr>
    </w:p>
    <w:p w14:paraId="6D5628F9">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Public Authorities Clause</w:t>
      </w:r>
    </w:p>
    <w:p w14:paraId="44BFE0E0">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this Policy shall be extended to include such additional cost of reinstatement of the destroyed or damaged property thereby insured as may be incurred solely by reason of the necessity to comply with building or other regulations under or framed in pursuance of any ordinance, law, statute or with bye-laws of any relative public authority provided that:</w:t>
      </w:r>
    </w:p>
    <w:p w14:paraId="279BB17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1.The Company shall not indemnify the Insured for such additional cost as may be incurred by reason of the necessity to comply with building or other regulations under or framed in pursuance of any ordinance, law, statute or with bye-laws of any relative public authority in case:</w:t>
      </w:r>
    </w:p>
    <w:p w14:paraId="5043393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  destruction or damage has occurred prior to the granting of this extension;</w:t>
      </w:r>
    </w:p>
    <w:p w14:paraId="1C90160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ii  destruction or damage shall not be insured by this policy;</w:t>
      </w:r>
    </w:p>
    <w:p w14:paraId="7FE447C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iii. notice of rebuilding or demolishing has been served upon the Insured prior to the happening of the destruction or damage;</w:t>
      </w:r>
    </w:p>
    <w:p w14:paraId="65ED5D68">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iv. work of rebuilding or demolishing or replacement of undamaged property other than foundation shall be carried out.</w:t>
      </w:r>
    </w:p>
    <w:p w14:paraId="521980D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2.The work of reinstatement must be commenced and carried out with reasonable dispatch and in any case must be completed within twelve months after the destruction or damage or within such further time as the Company may (during the said twelve months)in writing and may be carried out upon another site (if the aforesaid regulations or by-laws so necessitate)subject to the liability of the Company under this extension not being thereby increased.</w:t>
      </w:r>
    </w:p>
    <w:p w14:paraId="0D9A09A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3.If the liability of the Company under this Policy apart from this extension shall be reduced by application of any of the terms and conditions of this Policy, then the liability of the Company under this extension shall be reduced in like proportion.</w:t>
      </w:r>
    </w:p>
    <w:p w14:paraId="7906C01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4.The amount recoverable under any item of this Policy shall not exceed the sum insured thereby.</w:t>
      </w:r>
    </w:p>
    <w:p w14:paraId="5653B3A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exceptions of this Policy</w:t>
      </w:r>
    </w:p>
    <w:p w14:paraId="3968C38D">
      <w:pPr>
        <w:adjustRightInd w:val="0"/>
        <w:spacing w:line="360" w:lineRule="atLeast"/>
        <w:jc w:val="left"/>
        <w:textAlignment w:val="baseline"/>
        <w:rPr>
          <w:rFonts w:hint="default" w:ascii="Times New Roman" w:hAnsi="Times New Roman" w:eastAsia="宋体" w:cs="Times New Roman"/>
          <w:color w:val="auto"/>
          <w:kern w:val="0"/>
          <w:sz w:val="21"/>
          <w:szCs w:val="21"/>
        </w:rPr>
      </w:pPr>
    </w:p>
    <w:p w14:paraId="6DBC3A67">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 xml:space="preserve">Payment on Account Clause </w:t>
      </w:r>
    </w:p>
    <w:p w14:paraId="1AB0A6B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lang w:val="en-GB"/>
        </w:rPr>
        <w:t>T</w:t>
      </w:r>
      <w:r>
        <w:rPr>
          <w:rFonts w:hint="default" w:ascii="Times New Roman" w:hAnsi="Times New Roman" w:eastAsia="宋体" w:cs="Times New Roman"/>
          <w:color w:val="auto"/>
          <w:kern w:val="0"/>
          <w:sz w:val="21"/>
          <w:szCs w:val="21"/>
        </w:rPr>
        <w:t>he Company shall make 100% advance payment in respect of the loss amount which can be determined by supporting documents submitted by the Insured if the total settlement amount cannot be determined within 30 days of receipt of these documents.  For the rest of loss amount which cannot be determined, the Company agrees to make 50% advance payment on account upon request of the Insured.</w:t>
      </w:r>
    </w:p>
    <w:p w14:paraId="000C0FF2">
      <w:pPr>
        <w:adjustRightInd w:val="0"/>
        <w:spacing w:line="360" w:lineRule="atLeast"/>
        <w:textAlignment w:val="baseline"/>
        <w:rPr>
          <w:rFonts w:hint="default" w:ascii="Times New Roman" w:hAnsi="Times New Roman" w:eastAsia="宋体" w:cs="Times New Roman"/>
          <w:color w:val="auto"/>
          <w:kern w:val="0"/>
          <w:sz w:val="21"/>
          <w:szCs w:val="21"/>
        </w:rPr>
      </w:pPr>
    </w:p>
    <w:p w14:paraId="12464E4F">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Premium Payment Clause</w:t>
      </w:r>
    </w:p>
    <w:p w14:paraId="403F788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Notwithstanding anything contained herein to the contrary, the Company agrees that the Insured will be covered from policy inception date stipulated in policy schedule.  In the event of any claim caused by insured risk which occurred before premium payment, the Company confirms that the Insured’s right of recovery will not be prejudiced and the Company shall indemnify the Insured after receiving the premium.</w:t>
      </w:r>
    </w:p>
    <w:p w14:paraId="2C13497C">
      <w:pPr>
        <w:adjustRightInd w:val="0"/>
        <w:spacing w:line="360" w:lineRule="atLeast"/>
        <w:textAlignment w:val="baseline"/>
        <w:rPr>
          <w:rFonts w:hint="default" w:ascii="Times New Roman" w:hAnsi="Times New Roman" w:eastAsia="宋体" w:cs="Times New Roman"/>
          <w:color w:val="auto"/>
          <w:kern w:val="0"/>
          <w:sz w:val="21"/>
          <w:szCs w:val="21"/>
        </w:rPr>
      </w:pPr>
    </w:p>
    <w:p w14:paraId="25CCEB64">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Property in the Open or Simple Building (including coverage for Simple Building) Extension Clause 扩展承保存放于露天或简易建筑物内的保险标的以及简易建筑 (Limit: 10% of Sum Insured or RMB 8,000,000 per occurrence, whichever is higher)</w:t>
      </w:r>
    </w:p>
    <w:p w14:paraId="02857288">
      <w:pPr>
        <w:adjustRightInd w:val="0"/>
        <w:spacing w:line="360" w:lineRule="atLeast"/>
        <w:textAlignment w:val="baseline"/>
        <w:rPr>
          <w:rFonts w:hint="default" w:ascii="Times New Roman" w:hAnsi="Times New Roman" w:eastAsia="宋体" w:cs="Times New Roman"/>
          <w:color w:val="auto"/>
          <w:kern w:val="0"/>
          <w:sz w:val="21"/>
          <w:szCs w:val="21"/>
        </w:rPr>
      </w:pPr>
    </w:p>
    <w:p w14:paraId="2F9BA056">
      <w:pPr>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It is agreed and understood that this Policy shall be extended to cover the loss of or damage to insured property placed in the open or stored in the simple building &amp; simple building itself caused by storm, tempest, tornado, typhoon, hurricane, lightning, hailstorm, snowstorm, icicle and/or flood. </w:t>
      </w:r>
    </w:p>
    <w:p w14:paraId="3F90C892">
      <w:pPr>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It is warranted by the Insured that the relevant rules or regulations shal1 be complied with and necessary security measures shall be taken while the property insured being placed in the open-air or stored in a simple and crude construction. </w:t>
      </w:r>
    </w:p>
    <w:p w14:paraId="799345D8">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exceptions of this Policy.</w:t>
      </w:r>
    </w:p>
    <w:p w14:paraId="2012861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兹经双方同意并约定，本保单扩展承保广告牌、天线、霓虹灯、太阳能装置等建筑物外部附属设施，以及存放于露天或简易建筑物内的保险标的以及简易建筑本身，由于雷电、暴雨、洪水、暴风、龙卷风、冰雹、台风、飓风、暴雪、冰凌、沙尘暴造成的损失。</w:t>
      </w:r>
    </w:p>
    <w:p w14:paraId="1E0C02BA">
      <w:pPr>
        <w:adjustRightInd w:val="0"/>
        <w:spacing w:line="360" w:lineRule="atLeast"/>
        <w:textAlignment w:val="baseline"/>
        <w:rPr>
          <w:rFonts w:hint="default" w:ascii="Times New Roman" w:hAnsi="Times New Roman" w:eastAsia="宋体" w:cs="Times New Roman"/>
          <w:color w:val="auto"/>
          <w:kern w:val="0"/>
          <w:sz w:val="21"/>
          <w:szCs w:val="21"/>
        </w:rPr>
      </w:pPr>
    </w:p>
    <w:p w14:paraId="7529CCA1">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Portable Computer Extension (World-wide)</w:t>
      </w:r>
    </w:p>
    <w:p w14:paraId="0B798E30">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It is hereby agreed and declared that this policy extends to cover loss of or damage to portable computers which covered in the sum insured caused by or arising from NATURAL HAZARDS OR ACCIDENT whilst in </w:t>
      </w:r>
      <w:r>
        <w:rPr>
          <w:rFonts w:hint="default" w:ascii="Times New Roman" w:hAnsi="Times New Roman" w:eastAsia="宋体" w:cs="Times New Roman"/>
          <w:color w:val="auto"/>
          <w:sz w:val="21"/>
          <w:szCs w:val="21"/>
        </w:rPr>
        <w:t>world-wide</w:t>
      </w:r>
      <w:r>
        <w:rPr>
          <w:rFonts w:hint="default" w:ascii="Times New Roman" w:hAnsi="Times New Roman" w:eastAsia="宋体" w:cs="Times New Roman"/>
          <w:color w:val="auto"/>
          <w:kern w:val="0"/>
          <w:sz w:val="21"/>
          <w:szCs w:val="21"/>
        </w:rPr>
        <w:t xml:space="preserve">, Including theft, burglary or robbery by forcible entry that all claims should be supported by Police report. But not including loss of or damage due to burglary by any member of the family of the Insured, his relatives, employees. </w:t>
      </w:r>
    </w:p>
    <w:p w14:paraId="2340A11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It is further agreed and understood that the policy does not cover loss of or damage to portable computers whilst unsecured and unattended. </w:t>
      </w:r>
    </w:p>
    <w:p w14:paraId="117D257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068D2452">
      <w:pPr>
        <w:adjustRightInd w:val="0"/>
        <w:spacing w:line="360" w:lineRule="atLeast"/>
        <w:textAlignment w:val="baseline"/>
        <w:rPr>
          <w:rFonts w:hint="default" w:ascii="Times New Roman" w:hAnsi="Times New Roman" w:eastAsia="宋体" w:cs="Times New Roman"/>
          <w:color w:val="auto"/>
          <w:kern w:val="0"/>
          <w:sz w:val="21"/>
          <w:szCs w:val="21"/>
        </w:rPr>
      </w:pPr>
    </w:p>
    <w:p w14:paraId="7369F09D">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Pairs &amp; Set Clause</w:t>
      </w:r>
    </w:p>
    <w:p w14:paraId="75BB8A6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Where any insured item consists of articles in a pair or set, the Company‘s liability shall not exceed the value of any particular part or parts which may be lost or damaged, without reference to any special value which such articles may have as part of such pair or set, nor more than a proportionate part of the sum Insured hereby on such pair or set.</w:t>
      </w:r>
    </w:p>
    <w:p w14:paraId="29A49A7B">
      <w:pPr>
        <w:adjustRightInd w:val="0"/>
        <w:spacing w:line="360" w:lineRule="atLeast"/>
        <w:textAlignment w:val="baseline"/>
        <w:rPr>
          <w:rFonts w:hint="default" w:ascii="Times New Roman" w:hAnsi="Times New Roman" w:eastAsia="宋体" w:cs="Times New Roman"/>
          <w:color w:val="auto"/>
          <w:kern w:val="0"/>
          <w:sz w:val="21"/>
          <w:szCs w:val="21"/>
        </w:rPr>
      </w:pPr>
    </w:p>
    <w:p w14:paraId="58290219">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Professional Fees Clause (Limit: 10% of sum insured)</w:t>
      </w:r>
    </w:p>
    <w:p w14:paraId="0A1230A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the Company shall indemnify the Insured for the architects', surveyors' consulting engineers' fees necessarily incurred by the Insured in the reinstatement of the property insured consequent upon its destruction or damage by peril hereby insured against but not any fees for the preparation of a claim or estimate of loss, it being understood that the amount payable for such fees shall not exceed the amount authorized under the scales of the related professional department regulating such charges prevailing at the time of the destruction or damage. Provided that the total amount recoverable shall not exceed the amount stated below during the period of insurance.</w:t>
      </w:r>
    </w:p>
    <w:p w14:paraId="5AF4DAD8">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Limit of Indemnity: 10% of sum insured</w:t>
      </w:r>
    </w:p>
    <w:p w14:paraId="374C2E5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exclusions of this Policy.</w:t>
      </w:r>
    </w:p>
    <w:p w14:paraId="7AB3E759">
      <w:pPr>
        <w:adjustRightInd w:val="0"/>
        <w:spacing w:line="360" w:lineRule="atLeast"/>
        <w:textAlignment w:val="baseline"/>
        <w:rPr>
          <w:rFonts w:hint="default" w:ascii="Times New Roman" w:hAnsi="Times New Roman" w:eastAsia="宋体" w:cs="Times New Roman"/>
          <w:color w:val="auto"/>
          <w:kern w:val="0"/>
          <w:sz w:val="21"/>
          <w:szCs w:val="21"/>
        </w:rPr>
      </w:pPr>
    </w:p>
    <w:p w14:paraId="6F581404">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Reinstatement Value Clause</w:t>
      </w:r>
    </w:p>
    <w:p w14:paraId="1797282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subject to the following special conditions the basis upon which the amount payable in respect of each insured item (excluding stock of any kind)shown in the Schedule is to be calculated shall be the reinstatement of the property lost, destroyed or damaged.</w:t>
      </w:r>
    </w:p>
    <w:p w14:paraId="2F84CEB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For the purpose of this Clause, the word "reinstatement" shall mean:</w:t>
      </w:r>
    </w:p>
    <w:p w14:paraId="17C07B1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1.the rebuilding or replacement of property damaged or destroyed, which, provided the liability of this Company is not increased, may be carried out;</w:t>
      </w:r>
    </w:p>
    <w:p w14:paraId="45446A4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 in any manner suitable to the requirements of the Insured;</w:t>
      </w:r>
    </w:p>
    <w:p w14:paraId="34F54E67">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ii. upon another site.</w:t>
      </w:r>
    </w:p>
    <w:p w14:paraId="5D1EF76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2.the repair or restoration of property damaged; In either case to a condition equivalent to or substantially the same as but not better or more extensive than its condition when new.</w:t>
      </w:r>
    </w:p>
    <w:p w14:paraId="09B225F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Special Conditions</w:t>
      </w:r>
    </w:p>
    <w:p w14:paraId="63BC25A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 The liability of the Company for the repair or restoration of property damaged in part only shall not exceed the amount which would have been payable had such property been wholly destroyed.</w:t>
      </w:r>
    </w:p>
    <w:p w14:paraId="1F81E0F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(2)If at the time of reinstatement the sum representing the cost which would have been incurred in reinstating the damaged property is greater than the sum insured at the commencement of any damage,  the liability of the Company shall not exceed that proportion of the amount of the damage which the said sum insured bears to the sum representing the cost of reinstating the damaged property at that time, calculated as follows: </w:t>
      </w:r>
    </w:p>
    <w:p w14:paraId="113EB71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sum insured of the damaged property</w:t>
      </w:r>
    </w:p>
    <w:p w14:paraId="4E7ABDB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amount of loss－deductible = amount payable</w:t>
      </w:r>
    </w:p>
    <w:p w14:paraId="2E119A6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reinstatement value of damaged property</w:t>
      </w:r>
    </w:p>
    <w:p w14:paraId="554294F8">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 (3) No payment beyond the market value which would have been payable in the absence of this Clause shall be made:</w:t>
      </w:r>
    </w:p>
    <w:p w14:paraId="62C011D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 unless reinstatement commences and proceeds without unreasonable delay;</w:t>
      </w:r>
    </w:p>
    <w:p w14:paraId="590F238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b) until the cost of reinstatement shall have been actually incurred;</w:t>
      </w:r>
    </w:p>
    <w:p w14:paraId="15EAB9B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c)if the property insured at the time of its loss destruction or damage shall be insured by any other insurance.</w:t>
      </w:r>
    </w:p>
    <w:p w14:paraId="2F1D5419">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exceptions of this Policy.</w:t>
      </w:r>
    </w:p>
    <w:p w14:paraId="43A751BB">
      <w:pPr>
        <w:adjustRightInd w:val="0"/>
        <w:spacing w:line="360" w:lineRule="atLeast"/>
        <w:textAlignment w:val="baseline"/>
        <w:rPr>
          <w:rFonts w:hint="default" w:ascii="Times New Roman" w:hAnsi="Times New Roman" w:eastAsia="宋体" w:cs="Times New Roman"/>
          <w:color w:val="auto"/>
          <w:kern w:val="0"/>
          <w:sz w:val="21"/>
          <w:szCs w:val="21"/>
        </w:rPr>
      </w:pPr>
    </w:p>
    <w:p w14:paraId="6FA82478">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Removal of Debris Clause (Limit:10% of sum insured)</w:t>
      </w:r>
    </w:p>
    <w:p w14:paraId="5DF2930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the Company shall indemnify the Insured for costs and expenses incurred in:</w:t>
      </w:r>
    </w:p>
    <w:p w14:paraId="513A0DE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removing debris;</w:t>
      </w:r>
    </w:p>
    <w:p w14:paraId="74DDEBF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dismantling and/or demolishing;</w:t>
      </w:r>
    </w:p>
    <w:p w14:paraId="0A4AF6F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3.</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shoring up or propping of the portion or portions of the properties insured under this Policy destroyed or damaged by perils insured by this Company provided that the total amount recoverable shall not exceed the amount stated below during the period of insurance.</w:t>
      </w:r>
    </w:p>
    <w:p w14:paraId="11691AF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Limit of Indemnity: 10%of sum insured</w:t>
      </w:r>
    </w:p>
    <w:p w14:paraId="4173437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exclusions of this Policy.</w:t>
      </w:r>
    </w:p>
    <w:p w14:paraId="1E32E88A">
      <w:pPr>
        <w:adjustRightInd w:val="0"/>
        <w:spacing w:line="360" w:lineRule="atLeast"/>
        <w:textAlignment w:val="baseline"/>
        <w:rPr>
          <w:rFonts w:hint="default" w:ascii="Times New Roman" w:hAnsi="Times New Roman" w:eastAsia="宋体" w:cs="Times New Roman"/>
          <w:color w:val="auto"/>
          <w:kern w:val="0"/>
          <w:sz w:val="21"/>
          <w:szCs w:val="21"/>
        </w:rPr>
      </w:pPr>
    </w:p>
    <w:p w14:paraId="6EF97D61">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lang w:eastAsia="zh-CN"/>
        </w:rPr>
        <w:t>企业财产保险附加自动喷淋水损条款 (limit of RMB 5,000,000 per occurrence.)</w:t>
      </w:r>
    </w:p>
    <w:p w14:paraId="4E786F4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兹经双方同意，本保险扩展承保本保险单明细表中列明的保险财产因喷淋系统的突然破裂、失灵造成该财产的水损或水污损失。</w:t>
      </w:r>
    </w:p>
    <w:p w14:paraId="2C8DB07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但保险人不负责下列原因造成的水损：</w:t>
      </w:r>
    </w:p>
    <w:p w14:paraId="53D2FCC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（一）爆炸、地震、地下火或因火灾受热；</w:t>
      </w:r>
    </w:p>
    <w:p w14:paraId="51E523B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（二）建筑物闲置期间的严寒；</w:t>
      </w:r>
    </w:p>
    <w:p w14:paraId="190F71E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（三）喷淋系统闲置或废弃。</w:t>
      </w:r>
    </w:p>
    <w:p w14:paraId="1C454A1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本条款对每次损失的免赔金额由双方约定并在保险单中载明；</w:t>
      </w:r>
    </w:p>
    <w:p w14:paraId="209D0F6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本条款的赔偿限额由双方约定并在保险单中载明。</w:t>
      </w:r>
    </w:p>
    <w:p w14:paraId="7150718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本保险单所载其他条件不变。</w:t>
      </w:r>
    </w:p>
    <w:p w14:paraId="0EBFD4AA">
      <w:pPr>
        <w:adjustRightInd w:val="0"/>
        <w:spacing w:line="360" w:lineRule="atLeast"/>
        <w:textAlignment w:val="baseline"/>
        <w:rPr>
          <w:rFonts w:hint="default" w:ascii="Times New Roman" w:hAnsi="Times New Roman" w:eastAsia="宋体" w:cs="Times New Roman"/>
          <w:color w:val="auto"/>
          <w:kern w:val="0"/>
          <w:sz w:val="21"/>
          <w:szCs w:val="21"/>
        </w:rPr>
      </w:pPr>
    </w:p>
    <w:p w14:paraId="6A648988">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Smoke Damage Clause</w:t>
      </w:r>
    </w:p>
    <w:p w14:paraId="5892A5A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It is agreed and understood that this Policy shall be extended to cover loss of or damage to the property insured and/or cleaning expenses caused by smoke resulting from accident. </w:t>
      </w:r>
    </w:p>
    <w:p w14:paraId="2F41C51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All the terms and conditions of this Policy remain unchanged except as specifically varied or provided by this Clause.</w:t>
      </w:r>
    </w:p>
    <w:p w14:paraId="1DD6DFDD">
      <w:pPr>
        <w:adjustRightInd w:val="0"/>
        <w:spacing w:line="360" w:lineRule="atLeast"/>
        <w:textAlignment w:val="baseline"/>
        <w:rPr>
          <w:rFonts w:hint="default" w:ascii="Times New Roman" w:hAnsi="Times New Roman" w:eastAsia="宋体" w:cs="Times New Roman"/>
          <w:color w:val="auto"/>
          <w:kern w:val="0"/>
          <w:sz w:val="21"/>
          <w:szCs w:val="21"/>
        </w:rPr>
      </w:pPr>
    </w:p>
    <w:p w14:paraId="5B7DB633">
      <w:pPr>
        <w:adjustRightInd w:val="0"/>
        <w:spacing w:line="360" w:lineRule="atLeast"/>
        <w:textAlignment w:val="baseline"/>
        <w:rPr>
          <w:rFonts w:hint="default" w:ascii="Times New Roman" w:hAnsi="Times New Roman" w:eastAsia="宋体" w:cs="Times New Roman"/>
          <w:color w:val="auto"/>
          <w:kern w:val="0"/>
          <w:sz w:val="21"/>
          <w:szCs w:val="21"/>
        </w:rPr>
      </w:pPr>
    </w:p>
    <w:p w14:paraId="6DBAC141">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Strike, Riot &amp; Civil Commotion</w:t>
      </w:r>
    </w:p>
    <w:p w14:paraId="0FFFAD0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Insurance is extended to cover loss of or damage to the Insured Property due to strike riot and civil commotion including the loss or damage caused by the act of any striker whilst occurring in the Premises and the loss or damage caused by looting occurring at the time of strike riot and civil commotion excluding the loss or damage arising from confiscation commandeering or requisition or destruction by order of the government or any relative public authority or by fire caused by strikers or malicious persons</w:t>
      </w:r>
    </w:p>
    <w:p w14:paraId="2284368E">
      <w:pPr>
        <w:adjustRightInd w:val="0"/>
        <w:spacing w:line="360" w:lineRule="atLeast"/>
        <w:textAlignment w:val="baseline"/>
        <w:rPr>
          <w:rFonts w:hint="default" w:ascii="Times New Roman" w:hAnsi="Times New Roman" w:eastAsia="宋体" w:cs="Times New Roman"/>
          <w:color w:val="auto"/>
          <w:kern w:val="0"/>
          <w:sz w:val="21"/>
          <w:szCs w:val="21"/>
        </w:rPr>
      </w:pPr>
    </w:p>
    <w:p w14:paraId="761A7B28">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 xml:space="preserve">Supply Failure Extension Clause </w:t>
      </w:r>
    </w:p>
    <w:p w14:paraId="4F0539B1">
      <w:pP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 xml:space="preserve">It is agreed and understood that this Policy shall be extended to cover loss of or damage to the property insured resulting from supply failure, caused by perils hereby insured against, of the electricity, water, gas or other energy supply facilities. </w:t>
      </w:r>
    </w:p>
    <w:p w14:paraId="35DA02EB">
      <w:pP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This Clause is subject otherwise to the terms, conditions and exceptions of this Policy.</w:t>
      </w:r>
    </w:p>
    <w:p w14:paraId="53F3C80B">
      <w:pPr>
        <w:rPr>
          <w:rFonts w:hint="default" w:ascii="Times New Roman" w:hAnsi="Times New Roman" w:eastAsia="宋体" w:cs="Times New Roman"/>
          <w:color w:val="auto"/>
          <w:sz w:val="21"/>
          <w:szCs w:val="21"/>
        </w:rPr>
      </w:pPr>
    </w:p>
    <w:p w14:paraId="298B24CF">
      <w:pPr>
        <w:spacing w:line="300" w:lineRule="auto"/>
        <w:rPr>
          <w:rFonts w:hint="default" w:ascii="Times New Roman" w:hAnsi="Times New Roman" w:eastAsia="宋体" w:cs="Times New Roman"/>
          <w:b/>
          <w:color w:val="auto"/>
          <w:kern w:val="0"/>
          <w:sz w:val="21"/>
          <w:szCs w:val="21"/>
        </w:rPr>
      </w:pPr>
      <w:r>
        <w:rPr>
          <w:rFonts w:hint="default" w:ascii="Times New Roman" w:hAnsi="Times New Roman" w:eastAsia="宋体" w:cs="Times New Roman"/>
          <w:b/>
          <w:color w:val="auto"/>
          <w:kern w:val="0"/>
          <w:sz w:val="21"/>
          <w:szCs w:val="21"/>
        </w:rPr>
        <w:t>供应中断扩展条款D</w:t>
      </w:r>
    </w:p>
    <w:p w14:paraId="67801910">
      <w:pPr>
        <w:spacing w:line="300" w:lineRule="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经双方同意，由于供应电、水、气及其他能源的设备遭受保险事故致使供应中断造成保险标的的损失，保险人按照本保险合同的约定负责赔偿。</w:t>
      </w:r>
    </w:p>
    <w:p w14:paraId="1E46295B">
      <w:pPr>
        <w:spacing w:line="300" w:lineRule="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本附加条款与主条款内容相悖之处，以本附加条款为准；未尽之处，以主条款为准。</w:t>
      </w:r>
    </w:p>
    <w:p w14:paraId="20535C44">
      <w:pPr>
        <w:spacing w:line="300" w:lineRule="auto"/>
        <w:rPr>
          <w:rFonts w:hint="default" w:ascii="Times New Roman" w:hAnsi="Times New Roman" w:eastAsia="宋体" w:cs="Times New Roman"/>
          <w:color w:val="auto"/>
          <w:kern w:val="0"/>
          <w:sz w:val="21"/>
          <w:szCs w:val="21"/>
        </w:rPr>
      </w:pPr>
    </w:p>
    <w:p w14:paraId="3F64856F">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Sue &amp; Labor Clause</w:t>
      </w:r>
    </w:p>
    <w:p w14:paraId="2EDFF91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In the event of fire or any peril insured against by this policy, it shall be lawful and necessary for the insured, his or their agents, servants and assigns, to sue, labor and travel for, in and about the defense, safeguard and recovery of the property insured hereunder and part thereof without prejudice to this insurance, nor shall the acts of the insured or the company in recovering, saving and preserving the property covered in case of loss be considered a waiver or an acceptance of abandonment.</w:t>
      </w:r>
    </w:p>
    <w:p w14:paraId="27E53F7E">
      <w:pPr>
        <w:widowControl/>
        <w:adjustRightInd w:val="0"/>
        <w:snapToGrid w:val="0"/>
        <w:jc w:val="left"/>
        <w:rPr>
          <w:rFonts w:hint="default" w:ascii="Times New Roman" w:hAnsi="Times New Roman" w:eastAsia="宋体" w:cs="Times New Roman"/>
          <w:color w:val="auto"/>
          <w:kern w:val="0"/>
          <w:sz w:val="21"/>
          <w:szCs w:val="21"/>
        </w:rPr>
      </w:pPr>
    </w:p>
    <w:p w14:paraId="5BEE76CE">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Tax and Duty Clause</w:t>
      </w:r>
    </w:p>
    <w:p w14:paraId="1B3C4F2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declared and agreed that the indemnity provided under this policy for repair, reinstatement and/or replacement of the Property Insured shall include all taxes and/or import duties even if they have been waived on the original purchase and import of Insured Property but imposed subsequent to the inception of the Policy.</w:t>
      </w:r>
    </w:p>
    <w:p w14:paraId="41340D9D">
      <w:pPr>
        <w:adjustRightInd w:val="0"/>
        <w:spacing w:line="360" w:lineRule="atLeast"/>
        <w:textAlignment w:val="baseline"/>
        <w:rPr>
          <w:rFonts w:hint="default" w:ascii="Times New Roman" w:hAnsi="Times New Roman" w:eastAsia="宋体" w:cs="Times New Roman"/>
          <w:color w:val="auto"/>
          <w:kern w:val="0"/>
          <w:sz w:val="21"/>
          <w:szCs w:val="21"/>
        </w:rPr>
      </w:pPr>
    </w:p>
    <w:p w14:paraId="5C3EFDBD">
      <w:pPr>
        <w:spacing w:line="300" w:lineRule="auto"/>
        <w:rPr>
          <w:rFonts w:hint="default" w:ascii="Times New Roman" w:hAnsi="Times New Roman" w:eastAsia="宋体" w:cs="Times New Roman"/>
          <w:color w:val="auto"/>
          <w:kern w:val="0"/>
          <w:sz w:val="21"/>
          <w:szCs w:val="21"/>
        </w:rPr>
      </w:pPr>
    </w:p>
    <w:p w14:paraId="35D9BE75">
      <w:pPr>
        <w:adjustRightInd w:val="0"/>
        <w:spacing w:line="360" w:lineRule="atLeast"/>
        <w:textAlignment w:val="baseline"/>
        <w:rPr>
          <w:rFonts w:hint="default" w:ascii="Times New Roman" w:hAnsi="Times New Roman" w:eastAsia="宋体" w:cs="Times New Roman"/>
          <w:color w:val="auto"/>
          <w:kern w:val="0"/>
          <w:sz w:val="21"/>
          <w:szCs w:val="21"/>
        </w:rPr>
      </w:pPr>
    </w:p>
    <w:p w14:paraId="61AAD262">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Temporary Removal Clause (Limit: 10%of sum insured)</w:t>
      </w:r>
    </w:p>
    <w:p w14:paraId="0F14A208">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to the following provisions, the property insured by this Policy (other than stock in trade or merchandise if insured hereby) is covered whilst temporarily removed for cleaning, renovation, repair or other similar purposes elsewhere on the same or to any other premises and in transit thereto and thereon by road, rail or public ferry, all in .The amount recoverable under this extension in respect of each item of the Policy shall not exceed the amount which would have been recoverable had the loss occurred in the part of the property is temporarily removed, nor, 10% of the Sum Insured by the item after deducting therefrom the value of any building (exclusive of fixtures and fittings) stock in trade or merchandise insured thereby.</w:t>
      </w:r>
    </w:p>
    <w:p w14:paraId="5A00671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extension does not apply to property if and so far as it is otherwise insured, nor, as regards losses occurring elsewhere than at the premises from which the property is temporarily removed, to</w:t>
      </w:r>
    </w:p>
    <w:p w14:paraId="7BF110B0">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  Motor vehicles and motor chassis licensed for normal road use</w:t>
      </w:r>
    </w:p>
    <w:p w14:paraId="107DD772">
      <w:pPr>
        <w:numPr>
          <w:ilvl w:val="0"/>
          <w:numId w:val="6"/>
        </w:numPr>
        <w:adjustRightInd w:val="0"/>
        <w:spacing w:line="360" w:lineRule="atLeast"/>
        <w:jc w:val="lef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Property held by the insured in trust, other than machinery and plant.</w:t>
      </w:r>
    </w:p>
    <w:p w14:paraId="644049D4">
      <w:pPr>
        <w:adjustRightInd w:val="0"/>
        <w:spacing w:line="360" w:lineRule="atLeast"/>
        <w:textAlignment w:val="baseline"/>
        <w:rPr>
          <w:rFonts w:hint="default" w:ascii="Times New Roman" w:hAnsi="Times New Roman" w:eastAsia="宋体" w:cs="Times New Roman"/>
          <w:color w:val="auto"/>
          <w:kern w:val="0"/>
          <w:sz w:val="21"/>
          <w:szCs w:val="21"/>
        </w:rPr>
      </w:pPr>
    </w:p>
    <w:p w14:paraId="3557707C">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Temporary Protection Clause (Limit: RMB5,000,000 per occurrence)</w:t>
      </w:r>
    </w:p>
    <w:p w14:paraId="11659290">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this policy is extended to cover the cost of temporary protection in the period of insurance reasonably for the safety and protection of the premises pending repairs/replacement of damage.</w:t>
      </w:r>
    </w:p>
    <w:p w14:paraId="6E3624A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70D4970A">
      <w:pPr>
        <w:adjustRightInd w:val="0"/>
        <w:spacing w:line="360" w:lineRule="atLeast"/>
        <w:textAlignment w:val="baseline"/>
        <w:rPr>
          <w:rFonts w:hint="default" w:ascii="Times New Roman" w:hAnsi="Times New Roman" w:eastAsia="宋体" w:cs="Times New Roman"/>
          <w:color w:val="auto"/>
          <w:kern w:val="0"/>
          <w:sz w:val="21"/>
          <w:szCs w:val="21"/>
        </w:rPr>
      </w:pPr>
    </w:p>
    <w:p w14:paraId="2A216467">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Time Adjustment Clause (72Hours)</w:t>
      </w:r>
    </w:p>
    <w:p w14:paraId="02002DFC">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It is hereby agreed and understood that any loss of or damage to the Insured's property arising during any one period of seventy-two (72) consecutive hours, caused by storm typhoon tempest flood shall be deemed as a single event and therefore to constitute one occurrence with regard to the excesses provided for herein. For the purposes of the foregoing the commencement of any such seventy-two (72) hours period shall be decided at the discretion of the Insured it being understood and agreed, however, that there shall be overlapping in any two or more such seventy-two (72) hours period in the event of damage occurring over a more extended period of time. </w:t>
      </w:r>
    </w:p>
    <w:p w14:paraId="61D348D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767F0C5D">
      <w:pPr>
        <w:adjustRightInd w:val="0"/>
        <w:spacing w:line="360" w:lineRule="atLeast"/>
        <w:textAlignment w:val="baseline"/>
        <w:rPr>
          <w:rFonts w:hint="default" w:ascii="Times New Roman" w:hAnsi="Times New Roman" w:eastAsia="宋体" w:cs="Times New Roman"/>
          <w:color w:val="auto"/>
          <w:kern w:val="0"/>
          <w:sz w:val="21"/>
          <w:szCs w:val="21"/>
        </w:rPr>
      </w:pPr>
    </w:p>
    <w:p w14:paraId="430C025B">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Terrorism Extension Clause (Limit: RMB 200,000,000 per occurrence and in aggregate combined for PD &amp; BI）</w:t>
      </w:r>
    </w:p>
    <w:p w14:paraId="22084E1F">
      <w:pPr>
        <w:pStyle w:val="8"/>
        <w:rPr>
          <w:rFonts w:hint="default" w:ascii="Times New Roman" w:hAnsi="Times New Roman" w:eastAsia="宋体" w:cs="Times New Roman"/>
          <w:color w:val="auto"/>
          <w:sz w:val="21"/>
          <w:szCs w:val="21"/>
        </w:rPr>
      </w:pPr>
    </w:p>
    <w:p w14:paraId="7A379F2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 policy extends to cover physical loss of or damage to insured property arising from an Act of Terrorism, as herein defined, occurring during the period of this Policy as stated in the Schedule attaching to and forming part hereof (hereinafter referred to as the “Schedule”).</w:t>
      </w:r>
    </w:p>
    <w:p w14:paraId="52955F36">
      <w:pPr>
        <w:adjustRightInd w:val="0"/>
        <w:spacing w:line="360" w:lineRule="atLeast"/>
        <w:textAlignment w:val="baseline"/>
        <w:rPr>
          <w:rFonts w:hint="default" w:ascii="Times New Roman" w:hAnsi="Times New Roman" w:eastAsia="宋体" w:cs="Times New Roman"/>
          <w:color w:val="auto"/>
          <w:kern w:val="0"/>
          <w:sz w:val="21"/>
          <w:szCs w:val="21"/>
        </w:rPr>
      </w:pPr>
    </w:p>
    <w:p w14:paraId="0AE1121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For the purpose of this Insurance, an act of terrorism means an act, including the use of force or violence, of any person or group(s) of persons, whether acting alone or on behalf of or in connection with any organization(s), committed for political, religious or ideological purposes including the intention to influence any government and/or to put the public in fear for such purposes</w:t>
      </w:r>
    </w:p>
    <w:p w14:paraId="4008BAAE">
      <w:pPr>
        <w:adjustRightInd w:val="0"/>
        <w:spacing w:line="360" w:lineRule="atLeast"/>
        <w:textAlignment w:val="baseline"/>
        <w:rPr>
          <w:rFonts w:hint="default" w:ascii="Times New Roman" w:hAnsi="Times New Roman" w:eastAsia="宋体" w:cs="Times New Roman"/>
          <w:color w:val="auto"/>
          <w:kern w:val="0"/>
          <w:sz w:val="21"/>
          <w:szCs w:val="21"/>
        </w:rPr>
      </w:pPr>
    </w:p>
    <w:p w14:paraId="243BFE69">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Undamaged Building Extra Charges Extension Clause建筑物未受损部分额外费用扩展条款</w:t>
      </w:r>
    </w:p>
    <w:p w14:paraId="451B13AC">
      <w:pPr>
        <w:autoSpaceDE w:val="0"/>
        <w:autoSpaceDN w:val="0"/>
        <w:adjustRightInd w:val="0"/>
        <w:jc w:val="left"/>
        <w:rPr>
          <w:rFonts w:hint="default" w:ascii="Times New Roman" w:hAnsi="Times New Roman" w:eastAsia="宋体" w:cs="Times New Roman"/>
          <w:b/>
          <w:color w:val="auto"/>
          <w:sz w:val="21"/>
          <w:szCs w:val="21"/>
        </w:rPr>
      </w:pPr>
    </w:p>
    <w:p w14:paraId="7ACD8EC9">
      <w:pPr>
        <w:autoSpaceDE w:val="0"/>
        <w:autoSpaceDN w:val="0"/>
        <w:snapToGrid w:val="0"/>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 xml:space="preserve">It is agreed and understood that this Policy shall be extended to cover loss of undamaged portion or portions of the insured building, which the Insured have to abandon and rebuild upon another site by reason of the necessity to comply with building or other regulations under or framed in pursuance of any ordinance, law, statute or with by-laws of any relative public authority. However, the Insurer shall not be liable for such loss if notice of removal has been served upon the Insured prior to the happening of the loss. </w:t>
      </w:r>
    </w:p>
    <w:p w14:paraId="0826485C">
      <w:pPr>
        <w:autoSpaceDE w:val="0"/>
        <w:autoSpaceDN w:val="0"/>
        <w:snapToGrid w:val="0"/>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 xml:space="preserve">The Insurer's liability under this Clause shall not exceed the related limit of liability specified in the Policy. </w:t>
      </w:r>
    </w:p>
    <w:p w14:paraId="1642F7B2">
      <w:pPr>
        <w:autoSpaceDE w:val="0"/>
        <w:autoSpaceDN w:val="0"/>
        <w:snapToGrid w:val="0"/>
        <w:jc w:val="left"/>
        <w:rPr>
          <w:rFonts w:hint="default" w:ascii="Times New Roman" w:hAnsi="Times New Roman" w:eastAsia="宋体" w:cs="Times New Roman"/>
          <w:color w:val="auto"/>
          <w:sz w:val="21"/>
          <w:szCs w:val="21"/>
        </w:rPr>
      </w:pPr>
    </w:p>
    <w:p w14:paraId="4B3BA8B4">
      <w:pPr>
        <w:autoSpaceDE w:val="0"/>
        <w:autoSpaceDN w:val="0"/>
        <w:snapToGrid w:val="0"/>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This Clause is subject otherwise to the terms, conditions and exceptions of this Policy.</w:t>
      </w:r>
    </w:p>
    <w:p w14:paraId="6B5BF5A6">
      <w:pPr>
        <w:adjustRightInd w:val="0"/>
        <w:spacing w:line="360" w:lineRule="atLeast"/>
        <w:textAlignment w:val="baseline"/>
        <w:rPr>
          <w:rFonts w:hint="default" w:ascii="Times New Roman" w:hAnsi="Times New Roman" w:eastAsia="宋体" w:cs="Times New Roman"/>
          <w:color w:val="auto"/>
          <w:sz w:val="21"/>
          <w:szCs w:val="21"/>
        </w:rPr>
      </w:pPr>
    </w:p>
    <w:p w14:paraId="6D9C2CB4">
      <w:pPr>
        <w:adjustRightInd w:val="0"/>
        <w:spacing w:line="360" w:lineRule="atLeast"/>
        <w:textAlignment w:val="baseline"/>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经双方同意，被保险建筑物部分损失时，若根据有关法律、法令、法规及其附则，该受损保险标的必须在其他地点重建，对于因此必须废弃的建筑物未受损部分，保险人按照本附加险合同的约定负责赔偿。但发生损失前被保险人已接到有关当局关于移址通知的，保险人不负责赔偿。</w:t>
      </w:r>
    </w:p>
    <w:p w14:paraId="39F00FF0">
      <w:pPr>
        <w:adjustRightInd w:val="0"/>
        <w:spacing w:line="360" w:lineRule="atLeast"/>
        <w:textAlignment w:val="baseline"/>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本附加险合同项下的赔偿金额不超过本保险单中载明的相应限额。</w:t>
      </w:r>
    </w:p>
    <w:p w14:paraId="1CAEC088">
      <w:pPr>
        <w:adjustRightInd w:val="0"/>
        <w:spacing w:line="360" w:lineRule="atLeast"/>
        <w:textAlignment w:val="baseline"/>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本附加险条款与主险条款内容相悖之处，以本附加险条款为准；未尽之处，以主险条款为准。</w:t>
      </w:r>
    </w:p>
    <w:p w14:paraId="2BE3CDB6">
      <w:pPr>
        <w:adjustRightInd w:val="0"/>
        <w:spacing w:line="360" w:lineRule="atLeast"/>
        <w:textAlignment w:val="baseline"/>
        <w:rPr>
          <w:rFonts w:hint="default" w:ascii="Times New Roman" w:hAnsi="Times New Roman" w:eastAsia="宋体" w:cs="Times New Roman"/>
          <w:color w:val="auto"/>
          <w:kern w:val="0"/>
          <w:sz w:val="21"/>
          <w:szCs w:val="21"/>
        </w:rPr>
      </w:pPr>
    </w:p>
    <w:p w14:paraId="37F2CAC2">
      <w:pPr>
        <w:adjustRightInd w:val="0"/>
        <w:spacing w:line="360" w:lineRule="atLeast"/>
        <w:textAlignment w:val="baseline"/>
        <w:rPr>
          <w:rFonts w:hint="default" w:ascii="Times New Roman" w:hAnsi="Times New Roman" w:eastAsia="宋体" w:cs="Times New Roman"/>
          <w:color w:val="auto"/>
          <w:kern w:val="0"/>
          <w:sz w:val="21"/>
          <w:szCs w:val="21"/>
        </w:rPr>
      </w:pPr>
    </w:p>
    <w:p w14:paraId="26FEE0BC">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Vehicle Load Clause</w:t>
      </w:r>
    </w:p>
    <w:p w14:paraId="20D47D2C">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in the event of any of the Insured's vehicles being left loaded overnight whilst in and/or on the premises described in the specification hereto the company will indemnify the insured in respect of such load in the event of loss or damage by any of the perils insured against by this policy.</w:t>
      </w:r>
    </w:p>
    <w:p w14:paraId="67FE84D1">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029CEDB4">
      <w:pPr>
        <w:adjustRightInd w:val="0"/>
        <w:spacing w:line="360" w:lineRule="atLeast"/>
        <w:textAlignment w:val="baseline"/>
        <w:rPr>
          <w:rFonts w:hint="default" w:ascii="Times New Roman" w:hAnsi="Times New Roman" w:eastAsia="宋体" w:cs="Times New Roman"/>
          <w:color w:val="auto"/>
          <w:kern w:val="0"/>
          <w:sz w:val="21"/>
          <w:szCs w:val="21"/>
        </w:rPr>
      </w:pPr>
    </w:p>
    <w:p w14:paraId="0F33B62F">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Waiver of Subrogation Clause</w:t>
      </w:r>
    </w:p>
    <w:p w14:paraId="2AF56F2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the Insurer shall waive its right of subrogation against Subsidiary or Parent Company, who would in the event of a subrogation action being pursued submit a claim to and be indemnified by the Insurers provided that all Insurers of these policies will likewise waive their rights of subrogation against each party who would otherwise be indemnified hereunder, except such right of subrogation arising directly as a result of claims made in respect of any malicious, criminal, fraudulent or dishonest act.</w:t>
      </w:r>
    </w:p>
    <w:p w14:paraId="57CB786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0040766B">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Water Tanks, Apparatus and Pipes Clause</w:t>
      </w:r>
    </w:p>
    <w:p w14:paraId="3524141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this Policy shall be extended to cover loss of or damage to the water tank or water pipe and/or other property insured resulting from the bursting of water tank or water pipe caused by lightning, falling of flying object, high pressure, collision, chilliness, high temperature. However, the Insurer shall not be liable for any loss of or damage to the property insured caused by:</w:t>
      </w:r>
    </w:p>
    <w:p w14:paraId="5F96D11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 Installing, overhauling, testing of water tank or water pipe;</w:t>
      </w:r>
    </w:p>
    <w:p w14:paraId="03AF634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 Failure or lack of proper maintenance and protection;</w:t>
      </w:r>
    </w:p>
    <w:p w14:paraId="0E4A0BD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3. Inherent or latent defects of the water tank or water pipe;</w:t>
      </w:r>
    </w:p>
    <w:p w14:paraId="1410C99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4. Bursting of pipes for temporary use. </w:t>
      </w:r>
    </w:p>
    <w:p w14:paraId="320A8D72">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All the terms and conditions of this Policy remain unchanged except as specifically varied or provided by this Clause. </w:t>
      </w:r>
    </w:p>
    <w:p w14:paraId="35A76D6A">
      <w:pPr>
        <w:adjustRightInd w:val="0"/>
        <w:spacing w:line="360" w:lineRule="atLeast"/>
        <w:textAlignment w:val="baseline"/>
        <w:rPr>
          <w:rFonts w:hint="default" w:ascii="Times New Roman" w:hAnsi="Times New Roman" w:eastAsia="宋体" w:cs="Times New Roman"/>
          <w:b/>
          <w:color w:val="auto"/>
          <w:kern w:val="0"/>
          <w:sz w:val="21"/>
          <w:szCs w:val="21"/>
          <w:u w:val="single"/>
        </w:rPr>
      </w:pPr>
    </w:p>
    <w:p w14:paraId="0D82E826">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Works of Arts (Limit: RMB100, 000 per article/RMB1,000, 000 in annual aggregate)</w:t>
      </w:r>
    </w:p>
    <w:p w14:paraId="1E0810CC">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agreed and understood that Work of Arts means private collections of paintings, etching, pictures, tapestries, art glass windows, other bona fide works of art of rarity and items of historical value or artistic merit within the location specified in the policy.</w:t>
      </w:r>
    </w:p>
    <w:p w14:paraId="7EC56F13">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Limit of indemnity: RMB100, 000 per article/RMB1,000, 000 in annual aggregate</w:t>
      </w:r>
    </w:p>
    <w:p w14:paraId="7BBF4E4A">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This Clause is subject otherwise to the terms, conditions and exceptions of this Policy.</w:t>
      </w:r>
    </w:p>
    <w:p w14:paraId="716CCD9B">
      <w:pPr>
        <w:adjustRightInd w:val="0"/>
        <w:spacing w:line="360" w:lineRule="atLeast"/>
        <w:textAlignment w:val="baseline"/>
        <w:rPr>
          <w:rFonts w:hint="default" w:ascii="Times New Roman" w:hAnsi="Times New Roman" w:eastAsia="宋体" w:cs="Times New Roman"/>
          <w:b/>
          <w:color w:val="auto"/>
          <w:kern w:val="0"/>
          <w:sz w:val="21"/>
          <w:szCs w:val="21"/>
          <w:u w:val="single"/>
        </w:rPr>
      </w:pPr>
    </w:p>
    <w:p w14:paraId="478F5AF5">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90 Days Notice of Cancellation by Insurer (Immediate Notice of Cancellation by Insured, return premium on pro rata daily basis)</w:t>
      </w:r>
    </w:p>
    <w:p w14:paraId="642BB04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It is hereby agreed and understood that this policy may be cancelled at any time at the request of the insured in writing to the company and the premium shall be adjusted on the basis of the company receiving or retaining pro rata daily premium or minimum premium. This policy may also be cancelled by the company giving 90 days' notice in writing to the insured at his last known address and the premium shall be adjusted on the basis of the company receiving or retaining pro rata premium.</w:t>
      </w:r>
    </w:p>
    <w:p w14:paraId="301698DE">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Subject otherwise to the terms exceptions and conditions of this policy.</w:t>
      </w:r>
    </w:p>
    <w:p w14:paraId="754591CE">
      <w:pPr>
        <w:adjustRightInd w:val="0"/>
        <w:spacing w:line="360" w:lineRule="atLeast"/>
        <w:textAlignment w:val="baseline"/>
        <w:rPr>
          <w:rFonts w:hint="default" w:ascii="Times New Roman" w:hAnsi="Times New Roman" w:eastAsia="宋体" w:cs="Times New Roman"/>
          <w:color w:val="auto"/>
          <w:kern w:val="0"/>
          <w:sz w:val="21"/>
          <w:szCs w:val="21"/>
        </w:rPr>
      </w:pPr>
    </w:p>
    <w:p w14:paraId="7DC59177">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 xml:space="preserve">80% Average Relief Clause </w:t>
      </w:r>
    </w:p>
    <w:p w14:paraId="23144EF3">
      <w:pPr>
        <w:pStyle w:val="4"/>
        <w:spacing w:before="120"/>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 xml:space="preserve">Notwithstanding anything contained herein to the contrary, it is hereby declared and agreed that if at the time of any loss or damage the Sum Insured shall be less than </w:t>
      </w:r>
      <w:r>
        <w:rPr>
          <w:rFonts w:hint="default" w:ascii="Times New Roman" w:hAnsi="Times New Roman" w:eastAsia="宋体" w:cs="Times New Roman"/>
          <w:b/>
          <w:color w:val="auto"/>
          <w:sz w:val="21"/>
          <w:szCs w:val="21"/>
          <w:u w:val="single"/>
        </w:rPr>
        <w:t>80%</w:t>
      </w:r>
      <w:r>
        <w:rPr>
          <w:rFonts w:hint="default" w:ascii="Times New Roman" w:hAnsi="Times New Roman" w:eastAsia="宋体" w:cs="Times New Roman"/>
          <w:color w:val="auto"/>
          <w:sz w:val="21"/>
          <w:szCs w:val="21"/>
        </w:rPr>
        <w:t xml:space="preserve"> of the total value of the property insured, the Insured shall be a coinsurer to the extent of an amount sufficient to make the insurance equal to </w:t>
      </w:r>
      <w:r>
        <w:rPr>
          <w:rFonts w:hint="default" w:ascii="Times New Roman" w:hAnsi="Times New Roman" w:eastAsia="宋体" w:cs="Times New Roman"/>
          <w:b/>
          <w:color w:val="auto"/>
          <w:sz w:val="21"/>
          <w:szCs w:val="21"/>
          <w:u w:val="single"/>
        </w:rPr>
        <w:t>80%</w:t>
      </w:r>
      <w:r>
        <w:rPr>
          <w:rFonts w:hint="default" w:ascii="Times New Roman" w:hAnsi="Times New Roman" w:eastAsia="宋体" w:cs="Times New Roman"/>
          <w:b/>
          <w:color w:val="auto"/>
          <w:sz w:val="21"/>
          <w:szCs w:val="21"/>
        </w:rPr>
        <w:t xml:space="preserve"> </w:t>
      </w:r>
      <w:r>
        <w:rPr>
          <w:rFonts w:hint="default" w:ascii="Times New Roman" w:hAnsi="Times New Roman" w:eastAsia="宋体" w:cs="Times New Roman"/>
          <w:color w:val="auto"/>
          <w:sz w:val="21"/>
          <w:szCs w:val="21"/>
        </w:rPr>
        <w:t>of the total value of property hereby insured and in the capacity shall bear their proportion of any loss that may occur. Every item, if more than one, of the Policy shall be separately subject to this Clause.</w:t>
      </w:r>
    </w:p>
    <w:p w14:paraId="661B320B">
      <w:pPr>
        <w:pStyle w:val="4"/>
        <w:spacing w:before="120"/>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This Clause is subject otherwise to the terms, conditions and exclusions of this policy.</w:t>
      </w:r>
    </w:p>
    <w:p w14:paraId="7361C0EE">
      <w:pPr>
        <w:adjustRightInd w:val="0"/>
        <w:spacing w:line="360" w:lineRule="atLeast"/>
        <w:textAlignment w:val="baseline"/>
        <w:rPr>
          <w:rFonts w:hint="default" w:ascii="Times New Roman" w:hAnsi="Times New Roman" w:eastAsia="宋体" w:cs="Times New Roman"/>
          <w:strike/>
          <w:color w:val="auto"/>
          <w:kern w:val="0"/>
          <w:sz w:val="21"/>
          <w:szCs w:val="21"/>
        </w:rPr>
      </w:pPr>
    </w:p>
    <w:p w14:paraId="298A9CB1">
      <w:pPr>
        <w:keepNext/>
        <w:numPr>
          <w:ilvl w:val="0"/>
          <w:numId w:val="4"/>
        </w:numPr>
        <w:autoSpaceDE w:val="0"/>
        <w:autoSpaceDN w:val="0"/>
        <w:adjustRightInd w:val="0"/>
        <w:spacing w:line="360" w:lineRule="atLeast"/>
        <w:jc w:val="left"/>
        <w:textAlignment w:val="baseline"/>
        <w:outlineLvl w:val="0"/>
        <w:rPr>
          <w:rFonts w:hint="default" w:ascii="Times New Roman" w:hAnsi="Times New Roman" w:eastAsia="宋体" w:cs="Times New Roman"/>
          <w:b/>
          <w:color w:val="auto"/>
          <w:kern w:val="0"/>
          <w:sz w:val="21"/>
          <w:szCs w:val="21"/>
          <w:u w:val="single"/>
        </w:rPr>
      </w:pPr>
      <w:r>
        <w:rPr>
          <w:rFonts w:hint="default" w:ascii="Times New Roman" w:hAnsi="Times New Roman" w:eastAsia="宋体" w:cs="Times New Roman"/>
          <w:b/>
          <w:color w:val="auto"/>
          <w:kern w:val="0"/>
          <w:sz w:val="21"/>
          <w:szCs w:val="21"/>
          <w:u w:val="single"/>
        </w:rPr>
        <w:t>Stock Declaration Clause (75%)</w:t>
      </w:r>
    </w:p>
    <w:p w14:paraId="48BBE21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The premium paid by the Insured for stock described in the Schedule being provisional premium shall be adjusted according to the provisions of this extension.</w:t>
      </w:r>
    </w:p>
    <w:p w14:paraId="2158A9B5">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1.</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 xml:space="preserve">The Insured shall declare the value of the stock in writing to the Company quarterly and if a declaration be not so given the sum insured showed in the Schedule shall be deemed to be the declared value of the said stock. </w:t>
      </w:r>
    </w:p>
    <w:p w14:paraId="11B3640B">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2.</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 xml:space="preserve">If the value of the stock insured exceeds the sum insured showed in the Schedule, in event of loss or damage, the Company shall settle the claim in the following manner. </w:t>
      </w:r>
    </w:p>
    <w:p w14:paraId="68B5D70F">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Sum Insured</w:t>
      </w:r>
    </w:p>
    <w:p w14:paraId="2BE46C1D">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—————————×amount of loss－deductible = amount payable </w:t>
      </w:r>
    </w:p>
    <w:p w14:paraId="7E68AD3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actual value of stock</w:t>
      </w:r>
    </w:p>
    <w:p w14:paraId="06F828A6">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3.</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75% deposit premium on sum insured is to be charged at inception of this Policy and adjusted on the average amount of stock to be declared upon expiration of this Policy. In the event the actual premium is more than the deposit premium, the Insured shall pay the difference, if less, the difference shall be repaid to the Insured. But no refund shall be more than 50% of the deposit premium.</w:t>
      </w:r>
    </w:p>
    <w:p w14:paraId="0ACD1BA4">
      <w:pPr>
        <w:adjustRightInd w:val="0"/>
        <w:spacing w:line="360" w:lineRule="atLeast"/>
        <w:textAlignment w:val="baseline"/>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4.</w:t>
      </w:r>
      <w:r>
        <w:rPr>
          <w:rFonts w:hint="default" w:ascii="Times New Roman" w:hAnsi="Times New Roman" w:eastAsia="宋体" w:cs="Times New Roman"/>
          <w:color w:val="auto"/>
          <w:kern w:val="0"/>
          <w:sz w:val="21"/>
          <w:szCs w:val="21"/>
        </w:rPr>
        <w:tab/>
      </w:r>
      <w:r>
        <w:rPr>
          <w:rFonts w:hint="default" w:ascii="Times New Roman" w:hAnsi="Times New Roman" w:eastAsia="宋体" w:cs="Times New Roman"/>
          <w:color w:val="auto"/>
          <w:kern w:val="0"/>
          <w:sz w:val="21"/>
          <w:szCs w:val="21"/>
        </w:rPr>
        <w:t>In the event of loss or damage under this Policy, the amount payable for such loss or damage shall be automatically reinstated from the time of the happening and the Insured shall pay an additional premium therefore calculated pro rata from the date of loss to the expiration of this Policy.</w:t>
      </w:r>
    </w:p>
    <w:p w14:paraId="4E1D406B">
      <w:pPr>
        <w:adjustRightInd w:val="0"/>
        <w:spacing w:line="360" w:lineRule="atLeast"/>
        <w:textAlignment w:val="baseline"/>
        <w:rPr>
          <w:rFonts w:hint="default" w:ascii="Times New Roman" w:hAnsi="Times New Roman" w:eastAsia="宋体" w:cs="Times New Roman"/>
          <w:color w:val="auto"/>
          <w:kern w:val="0"/>
          <w:sz w:val="21"/>
          <w:szCs w:val="21"/>
        </w:rPr>
        <w:sectPr>
          <w:pgSz w:w="11906" w:h="16838"/>
          <w:pgMar w:top="1440" w:right="1466" w:bottom="1440" w:left="1170" w:header="851" w:footer="992" w:gutter="0"/>
          <w:pgNumType w:fmt="decimal"/>
          <w:cols w:space="425" w:num="1"/>
        </w:sectPr>
      </w:pPr>
      <w:r>
        <w:rPr>
          <w:rFonts w:hint="default" w:ascii="Times New Roman" w:hAnsi="Times New Roman" w:eastAsia="宋体" w:cs="Times New Roman"/>
          <w:color w:val="auto"/>
          <w:kern w:val="0"/>
          <w:sz w:val="21"/>
          <w:szCs w:val="21"/>
        </w:rPr>
        <w:t>This Clause is subject otherwise to the terms, conditions and exclusions of this policy.</w:t>
      </w:r>
    </w:p>
    <w:p w14:paraId="2F2B4BAC">
      <w:pPr>
        <w:adjustRightInd w:val="0"/>
        <w:spacing w:line="360" w:lineRule="atLeast"/>
        <w:textAlignment w:val="baseline"/>
        <w:rPr>
          <w:rFonts w:hint="default" w:ascii="Times New Roman" w:hAnsi="Times New Roman" w:eastAsia="宋体" w:cs="Times New Roman"/>
          <w:color w:val="auto"/>
          <w:kern w:val="0"/>
          <w:sz w:val="21"/>
          <w:szCs w:val="21"/>
        </w:rPr>
      </w:pPr>
    </w:p>
    <w:sectPr>
      <w:type w:val="continuous"/>
      <w:pgSz w:w="11906" w:h="16838"/>
      <w:pgMar w:top="1440" w:right="1466" w:bottom="1440" w:left="1170" w:header="851" w:footer="992" w:gutter="0"/>
      <w:pgNumType w:fmt="decimal"/>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BECU">
    <w:altName w:val="苹方-简"/>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Univers">
    <w:altName w:val="苹方-简"/>
    <w:panose1 w:val="00000000000000000000"/>
    <w:charset w:val="00"/>
    <w:family w:val="swiss"/>
    <w:pitch w:val="default"/>
    <w:sig w:usb0="00000000" w:usb1="00000000" w:usb2="00000000" w:usb3="00000000" w:csb0="0000000F" w:csb1="00000000"/>
  </w:font>
  <w:font w:name="Times New Roman Regular">
    <w:panose1 w:val="02020503050405090304"/>
    <w:charset w:val="00"/>
    <w:family w:val="auto"/>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细黑">
    <w:altName w:val="黑体-简"/>
    <w:panose1 w:val="02010600040101010101"/>
    <w:charset w:val="86"/>
    <w:family w:val="auto"/>
    <w:pitch w:val="default"/>
    <w:sig w:usb0="00000000" w:usb1="00000000" w:usb2="00000000" w:usb3="00000000" w:csb0="0004009F" w:csb1="DFD70000"/>
  </w:font>
  <w:font w:name="黑体-简">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40F9C">
    <w:pPr>
      <w:pStyle w:val="1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1A5CF">
    <w:pPr>
      <w:pStyle w:val="11"/>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2472F2">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72472F2">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65FE4">
    <w:pPr>
      <w:pStyle w:val="12"/>
      <w:pBdr>
        <w:bottom w:val="none" w:color="auto" w:sz="0" w:space="0"/>
      </w:pBdr>
    </w:pPr>
    <w:r>
      <w:drawing>
        <wp:anchor distT="0" distB="0" distL="114300" distR="114300" simplePos="0" relativeHeight="251659264" behindDoc="0" locked="0" layoutInCell="1" allowOverlap="1">
          <wp:simplePos x="0" y="0"/>
          <wp:positionH relativeFrom="column">
            <wp:posOffset>64135</wp:posOffset>
          </wp:positionH>
          <wp:positionV relativeFrom="paragraph">
            <wp:posOffset>-237490</wp:posOffset>
          </wp:positionV>
          <wp:extent cx="1593215" cy="480695"/>
          <wp:effectExtent l="19050" t="0" r="0" b="0"/>
          <wp:wrapNone/>
          <wp:docPr id="2" name="图片 2"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22"/>
                  <pic:cNvPicPr>
                    <a:picLocks noChangeAspect="1" noChangeArrowheads="1"/>
                  </pic:cNvPicPr>
                </pic:nvPicPr>
                <pic:blipFill>
                  <a:blip r:embed="rId1"/>
                  <a:srcRect/>
                  <a:stretch>
                    <a:fillRect/>
                  </a:stretch>
                </pic:blipFill>
                <pic:spPr>
                  <a:xfrm>
                    <a:off x="0" y="0"/>
                    <a:ext cx="1593215" cy="48069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56D2F"/>
    <w:multiLevelType w:val="multilevel"/>
    <w:tmpl w:val="03656D2F"/>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E3A6984"/>
    <w:multiLevelType w:val="multilevel"/>
    <w:tmpl w:val="0E3A6984"/>
    <w:lvl w:ilvl="0" w:tentative="0">
      <w:start w:val="30"/>
      <w:numFmt w:val="bullet"/>
      <w:lvlText w:val="-"/>
      <w:lvlJc w:val="left"/>
      <w:pPr>
        <w:ind w:left="360" w:hanging="360"/>
      </w:pPr>
      <w:rPr>
        <w:rFonts w:hint="default"/>
        <w:b w:val="0"/>
        <w:i w:val="0"/>
        <w:sz w:val="24"/>
        <w:u w:val="no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FF677D3"/>
    <w:multiLevelType w:val="multilevel"/>
    <w:tmpl w:val="0FF677D3"/>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332549F3"/>
    <w:multiLevelType w:val="multilevel"/>
    <w:tmpl w:val="332549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DC43DD2"/>
    <w:multiLevelType w:val="multilevel"/>
    <w:tmpl w:val="3DC43DD2"/>
    <w:lvl w:ilvl="0" w:tentative="0">
      <w:start w:val="1"/>
      <w:numFmt w:val="lowerLetter"/>
      <w:lvlText w:val="%1)"/>
      <w:lvlJc w:val="left"/>
      <w:pPr>
        <w:tabs>
          <w:tab w:val="left" w:pos="450"/>
        </w:tabs>
        <w:ind w:left="450" w:hanging="45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F804592"/>
    <w:multiLevelType w:val="singleLevel"/>
    <w:tmpl w:val="3F804592"/>
    <w:lvl w:ilvl="0" w:tentative="0">
      <w:start w:val="2"/>
      <w:numFmt w:val="lowerLetter"/>
      <w:lvlText w:val="(%1)"/>
      <w:lvlJc w:val="left"/>
      <w:pPr>
        <w:tabs>
          <w:tab w:val="left" w:pos="420"/>
        </w:tabs>
        <w:ind w:left="420" w:hanging="420"/>
      </w:pPr>
      <w:rPr>
        <w:rFonts w:hint="eastAsia"/>
      </w:r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hNTg1YjU4MzU3NWJhZGRlMDhjMDJmMjhlODVkZmUifQ=="/>
  </w:docVars>
  <w:rsids>
    <w:rsidRoot w:val="DFFD5EAC"/>
    <w:rsid w:val="000035DA"/>
    <w:rsid w:val="0000702A"/>
    <w:rsid w:val="00016A75"/>
    <w:rsid w:val="00077AD9"/>
    <w:rsid w:val="0009230F"/>
    <w:rsid w:val="00093BE7"/>
    <w:rsid w:val="00096FFB"/>
    <w:rsid w:val="000B7608"/>
    <w:rsid w:val="000D69E1"/>
    <w:rsid w:val="000D6CC6"/>
    <w:rsid w:val="000F08FC"/>
    <w:rsid w:val="000F7639"/>
    <w:rsid w:val="000F7DFB"/>
    <w:rsid w:val="001145A2"/>
    <w:rsid w:val="00135B39"/>
    <w:rsid w:val="0016690D"/>
    <w:rsid w:val="0017128A"/>
    <w:rsid w:val="00173E5D"/>
    <w:rsid w:val="001A077D"/>
    <w:rsid w:val="001D78C7"/>
    <w:rsid w:val="001F7913"/>
    <w:rsid w:val="002015BA"/>
    <w:rsid w:val="00213037"/>
    <w:rsid w:val="00240CA8"/>
    <w:rsid w:val="00297E79"/>
    <w:rsid w:val="002F652D"/>
    <w:rsid w:val="00302319"/>
    <w:rsid w:val="003232DF"/>
    <w:rsid w:val="00327B27"/>
    <w:rsid w:val="00376A61"/>
    <w:rsid w:val="00393994"/>
    <w:rsid w:val="003952A4"/>
    <w:rsid w:val="00396073"/>
    <w:rsid w:val="003A78F4"/>
    <w:rsid w:val="003D5693"/>
    <w:rsid w:val="003E0613"/>
    <w:rsid w:val="003E18BE"/>
    <w:rsid w:val="003F026D"/>
    <w:rsid w:val="004375B7"/>
    <w:rsid w:val="004423D3"/>
    <w:rsid w:val="004A3A94"/>
    <w:rsid w:val="004B5ED5"/>
    <w:rsid w:val="004C6F82"/>
    <w:rsid w:val="004F4487"/>
    <w:rsid w:val="00505EF7"/>
    <w:rsid w:val="00506CBF"/>
    <w:rsid w:val="00531CB2"/>
    <w:rsid w:val="0055572A"/>
    <w:rsid w:val="00560B5F"/>
    <w:rsid w:val="005B1377"/>
    <w:rsid w:val="005C711B"/>
    <w:rsid w:val="005E17C1"/>
    <w:rsid w:val="005F0908"/>
    <w:rsid w:val="005F6A93"/>
    <w:rsid w:val="00646BDB"/>
    <w:rsid w:val="00647F52"/>
    <w:rsid w:val="00653A23"/>
    <w:rsid w:val="00657D16"/>
    <w:rsid w:val="0066395A"/>
    <w:rsid w:val="00672E38"/>
    <w:rsid w:val="00683DEA"/>
    <w:rsid w:val="006A2EB6"/>
    <w:rsid w:val="006A50AB"/>
    <w:rsid w:val="006A57BE"/>
    <w:rsid w:val="006A6306"/>
    <w:rsid w:val="006B1607"/>
    <w:rsid w:val="006B74DC"/>
    <w:rsid w:val="006F3DE9"/>
    <w:rsid w:val="007027A3"/>
    <w:rsid w:val="007142A4"/>
    <w:rsid w:val="0073476A"/>
    <w:rsid w:val="00742142"/>
    <w:rsid w:val="0075045C"/>
    <w:rsid w:val="007706BF"/>
    <w:rsid w:val="007C617A"/>
    <w:rsid w:val="007F1972"/>
    <w:rsid w:val="0081090F"/>
    <w:rsid w:val="008259FF"/>
    <w:rsid w:val="00852D7B"/>
    <w:rsid w:val="0086148C"/>
    <w:rsid w:val="008672A4"/>
    <w:rsid w:val="00870D9C"/>
    <w:rsid w:val="008723B7"/>
    <w:rsid w:val="00872FB5"/>
    <w:rsid w:val="008734A3"/>
    <w:rsid w:val="00893953"/>
    <w:rsid w:val="008F4733"/>
    <w:rsid w:val="00900C40"/>
    <w:rsid w:val="0093683B"/>
    <w:rsid w:val="00936BE4"/>
    <w:rsid w:val="00940AE8"/>
    <w:rsid w:val="009513B2"/>
    <w:rsid w:val="00956CFF"/>
    <w:rsid w:val="00960D17"/>
    <w:rsid w:val="00961951"/>
    <w:rsid w:val="0096424E"/>
    <w:rsid w:val="00982655"/>
    <w:rsid w:val="0098628D"/>
    <w:rsid w:val="00993E5D"/>
    <w:rsid w:val="009A35CF"/>
    <w:rsid w:val="009A729A"/>
    <w:rsid w:val="009E6CE3"/>
    <w:rsid w:val="009F1977"/>
    <w:rsid w:val="00A0606F"/>
    <w:rsid w:val="00A111D7"/>
    <w:rsid w:val="00A156F5"/>
    <w:rsid w:val="00A16110"/>
    <w:rsid w:val="00A32A27"/>
    <w:rsid w:val="00A32E14"/>
    <w:rsid w:val="00A51A77"/>
    <w:rsid w:val="00A56729"/>
    <w:rsid w:val="00AA56DA"/>
    <w:rsid w:val="00AC1B81"/>
    <w:rsid w:val="00AD236B"/>
    <w:rsid w:val="00AD5F38"/>
    <w:rsid w:val="00B259A8"/>
    <w:rsid w:val="00B6037B"/>
    <w:rsid w:val="00B81EBF"/>
    <w:rsid w:val="00BA7A9E"/>
    <w:rsid w:val="00BB7EC8"/>
    <w:rsid w:val="00BF4B44"/>
    <w:rsid w:val="00C03BE8"/>
    <w:rsid w:val="00C11A36"/>
    <w:rsid w:val="00C1368D"/>
    <w:rsid w:val="00C20A28"/>
    <w:rsid w:val="00C256DC"/>
    <w:rsid w:val="00C50163"/>
    <w:rsid w:val="00C50E72"/>
    <w:rsid w:val="00C5102B"/>
    <w:rsid w:val="00C63644"/>
    <w:rsid w:val="00C85358"/>
    <w:rsid w:val="00CD36B3"/>
    <w:rsid w:val="00D11F77"/>
    <w:rsid w:val="00DC2E8A"/>
    <w:rsid w:val="00DC356F"/>
    <w:rsid w:val="00E03252"/>
    <w:rsid w:val="00E04ECC"/>
    <w:rsid w:val="00E16CA3"/>
    <w:rsid w:val="00E25D0B"/>
    <w:rsid w:val="00E54AE7"/>
    <w:rsid w:val="00E70D71"/>
    <w:rsid w:val="00E81735"/>
    <w:rsid w:val="00E85654"/>
    <w:rsid w:val="00E86F10"/>
    <w:rsid w:val="00E90DE4"/>
    <w:rsid w:val="00EA0C9A"/>
    <w:rsid w:val="00EB206D"/>
    <w:rsid w:val="00EC7FAD"/>
    <w:rsid w:val="00EF2A8D"/>
    <w:rsid w:val="00EF65C6"/>
    <w:rsid w:val="00F022AA"/>
    <w:rsid w:val="00F54022"/>
    <w:rsid w:val="00F60D1A"/>
    <w:rsid w:val="00F65F23"/>
    <w:rsid w:val="00F969EC"/>
    <w:rsid w:val="00FA31B0"/>
    <w:rsid w:val="00FC5425"/>
    <w:rsid w:val="00FE169A"/>
    <w:rsid w:val="012612A2"/>
    <w:rsid w:val="052C23CD"/>
    <w:rsid w:val="09A44144"/>
    <w:rsid w:val="11954623"/>
    <w:rsid w:val="12E16087"/>
    <w:rsid w:val="14514FE4"/>
    <w:rsid w:val="1672275E"/>
    <w:rsid w:val="1A2F2AAB"/>
    <w:rsid w:val="1D045577"/>
    <w:rsid w:val="1EEF6CA2"/>
    <w:rsid w:val="20631D6C"/>
    <w:rsid w:val="23955FD5"/>
    <w:rsid w:val="27D1270D"/>
    <w:rsid w:val="27FFE4A9"/>
    <w:rsid w:val="3205641A"/>
    <w:rsid w:val="33444D16"/>
    <w:rsid w:val="3A081435"/>
    <w:rsid w:val="3AFFC5A6"/>
    <w:rsid w:val="3B933E70"/>
    <w:rsid w:val="3EEF14CC"/>
    <w:rsid w:val="42791CF1"/>
    <w:rsid w:val="437B7294"/>
    <w:rsid w:val="43B715F7"/>
    <w:rsid w:val="452E0DFD"/>
    <w:rsid w:val="466C580B"/>
    <w:rsid w:val="4DDFB8CF"/>
    <w:rsid w:val="4E8651DF"/>
    <w:rsid w:val="513C6931"/>
    <w:rsid w:val="53472457"/>
    <w:rsid w:val="5704433A"/>
    <w:rsid w:val="5926565A"/>
    <w:rsid w:val="5BF67FD4"/>
    <w:rsid w:val="5E7F295C"/>
    <w:rsid w:val="610005CF"/>
    <w:rsid w:val="63542B24"/>
    <w:rsid w:val="63750B89"/>
    <w:rsid w:val="65B80C29"/>
    <w:rsid w:val="661701F9"/>
    <w:rsid w:val="6A7D7FD1"/>
    <w:rsid w:val="6D7F4976"/>
    <w:rsid w:val="6F2B18C2"/>
    <w:rsid w:val="6FF587EF"/>
    <w:rsid w:val="70E57245"/>
    <w:rsid w:val="71991380"/>
    <w:rsid w:val="73100325"/>
    <w:rsid w:val="76417537"/>
    <w:rsid w:val="7797A3C7"/>
    <w:rsid w:val="7BE5121A"/>
    <w:rsid w:val="7D6B783A"/>
    <w:rsid w:val="7EBF833A"/>
    <w:rsid w:val="7FF67382"/>
    <w:rsid w:val="7FF877FB"/>
    <w:rsid w:val="7FF9A2FF"/>
    <w:rsid w:val="BFDAB1C4"/>
    <w:rsid w:val="BFF933D8"/>
    <w:rsid w:val="DB26AA69"/>
    <w:rsid w:val="DFFD5EAC"/>
    <w:rsid w:val="F7F63F7F"/>
    <w:rsid w:val="FEAB57F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0"/>
    <w:qFormat/>
    <w:uiPriority w:val="0"/>
    <w:pPr>
      <w:keepNext/>
      <w:autoSpaceDE w:val="0"/>
      <w:autoSpaceDN w:val="0"/>
      <w:adjustRightInd w:val="0"/>
      <w:spacing w:line="360" w:lineRule="atLeast"/>
      <w:ind w:left="360" w:right="720"/>
      <w:jc w:val="left"/>
      <w:textAlignment w:val="baseline"/>
      <w:outlineLvl w:val="0"/>
    </w:pPr>
    <w:rPr>
      <w:rFonts w:ascii="Times New Roman" w:hAnsi="Times New Roman" w:eastAsia="BECU"/>
      <w:b/>
      <w:color w:val="800000"/>
      <w:kern w:val="0"/>
      <w:sz w:val="24"/>
      <w:szCs w:val="20"/>
      <w:u w:val="single"/>
    </w:rPr>
  </w:style>
  <w:style w:type="paragraph" w:styleId="3">
    <w:name w:val="heading 2"/>
    <w:basedOn w:val="1"/>
    <w:next w:val="4"/>
    <w:link w:val="21"/>
    <w:qFormat/>
    <w:uiPriority w:val="0"/>
    <w:pPr>
      <w:keepNext/>
      <w:tabs>
        <w:tab w:val="left" w:pos="9360"/>
      </w:tabs>
      <w:autoSpaceDE w:val="0"/>
      <w:autoSpaceDN w:val="0"/>
      <w:adjustRightInd w:val="0"/>
      <w:spacing w:line="360" w:lineRule="atLeast"/>
      <w:ind w:left="360" w:right="866"/>
      <w:jc w:val="left"/>
      <w:textAlignment w:val="baseline"/>
      <w:outlineLvl w:val="1"/>
    </w:pPr>
    <w:rPr>
      <w:rFonts w:ascii="Times New Roman" w:hAnsi="Times New Roman" w:eastAsia="BECU"/>
      <w:b/>
      <w:color w:val="800000"/>
      <w:kern w:val="0"/>
      <w:sz w:val="24"/>
      <w:szCs w:val="20"/>
      <w:u w:val="single"/>
    </w:rPr>
  </w:style>
  <w:style w:type="paragraph" w:styleId="5">
    <w:name w:val="heading 4"/>
    <w:basedOn w:val="1"/>
    <w:next w:val="4"/>
    <w:link w:val="22"/>
    <w:qFormat/>
    <w:uiPriority w:val="0"/>
    <w:pPr>
      <w:keepNext/>
      <w:adjustRightInd w:val="0"/>
      <w:spacing w:line="360" w:lineRule="atLeast"/>
      <w:jc w:val="left"/>
      <w:textAlignment w:val="baseline"/>
      <w:outlineLvl w:val="3"/>
    </w:pPr>
    <w:rPr>
      <w:rFonts w:ascii="Times New Roman" w:hAnsi="Times New Roman"/>
      <w:kern w:val="0"/>
      <w:sz w:val="24"/>
      <w:szCs w:val="20"/>
      <w:u w:val="single"/>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adjustRightInd w:val="0"/>
      <w:spacing w:line="360" w:lineRule="atLeast"/>
      <w:ind w:firstLine="420"/>
      <w:jc w:val="left"/>
      <w:textAlignment w:val="baseline"/>
    </w:pPr>
    <w:rPr>
      <w:rFonts w:ascii="Times New Roman" w:hAnsi="Times New Roman"/>
      <w:kern w:val="0"/>
      <w:sz w:val="24"/>
      <w:szCs w:val="20"/>
    </w:rPr>
  </w:style>
  <w:style w:type="paragraph" w:styleId="6">
    <w:name w:val="Body Text"/>
    <w:basedOn w:val="1"/>
    <w:link w:val="23"/>
    <w:qFormat/>
    <w:uiPriority w:val="0"/>
    <w:pPr>
      <w:autoSpaceDE w:val="0"/>
      <w:autoSpaceDN w:val="0"/>
      <w:adjustRightInd w:val="0"/>
      <w:spacing w:line="240" w:lineRule="atLeast"/>
      <w:ind w:right="1714"/>
      <w:textAlignment w:val="baseline"/>
    </w:pPr>
    <w:rPr>
      <w:rFonts w:ascii="Times New Roman" w:hAnsi="Times New Roman"/>
      <w:color w:val="000000"/>
      <w:kern w:val="0"/>
      <w:sz w:val="24"/>
      <w:szCs w:val="20"/>
    </w:rPr>
  </w:style>
  <w:style w:type="paragraph" w:styleId="7">
    <w:name w:val="Body Text Indent"/>
    <w:basedOn w:val="1"/>
    <w:link w:val="25"/>
    <w:qFormat/>
    <w:uiPriority w:val="0"/>
    <w:pPr>
      <w:adjustRightInd w:val="0"/>
      <w:spacing w:after="120" w:line="360" w:lineRule="atLeast"/>
      <w:ind w:left="420" w:leftChars="200"/>
      <w:jc w:val="left"/>
      <w:textAlignment w:val="baseline"/>
    </w:pPr>
    <w:rPr>
      <w:rFonts w:ascii="Times New Roman" w:hAnsi="Times New Roman"/>
      <w:kern w:val="0"/>
      <w:sz w:val="24"/>
      <w:szCs w:val="20"/>
    </w:rPr>
  </w:style>
  <w:style w:type="paragraph" w:styleId="8">
    <w:name w:val="Plain Text"/>
    <w:basedOn w:val="1"/>
    <w:link w:val="38"/>
    <w:qFormat/>
    <w:uiPriority w:val="0"/>
    <w:rPr>
      <w:rFonts w:ascii="宋体" w:hAnsi="Courier New"/>
      <w:szCs w:val="20"/>
      <w:lang w:val="zh-CN"/>
    </w:rPr>
  </w:style>
  <w:style w:type="paragraph" w:styleId="9">
    <w:name w:val="Body Text Indent 2"/>
    <w:basedOn w:val="1"/>
    <w:link w:val="32"/>
    <w:semiHidden/>
    <w:unhideWhenUsed/>
    <w:qFormat/>
    <w:uiPriority w:val="99"/>
    <w:pPr>
      <w:spacing w:after="120" w:line="480" w:lineRule="auto"/>
      <w:ind w:left="420" w:leftChars="200"/>
    </w:pPr>
  </w:style>
  <w:style w:type="paragraph" w:styleId="10">
    <w:name w:val="Balloon Text"/>
    <w:basedOn w:val="1"/>
    <w:link w:val="30"/>
    <w:semiHidden/>
    <w:unhideWhenUsed/>
    <w:qFormat/>
    <w:uiPriority w:val="99"/>
    <w:rPr>
      <w:kern w:val="0"/>
      <w:sz w:val="18"/>
      <w:szCs w:val="18"/>
    </w:rPr>
  </w:style>
  <w:style w:type="paragraph" w:styleId="11">
    <w:name w:val="footer"/>
    <w:basedOn w:val="1"/>
    <w:link w:val="36"/>
    <w:unhideWhenUsed/>
    <w:qFormat/>
    <w:uiPriority w:val="99"/>
    <w:pPr>
      <w:tabs>
        <w:tab w:val="center" w:pos="4153"/>
        <w:tab w:val="right" w:pos="8306"/>
      </w:tabs>
      <w:snapToGrid w:val="0"/>
      <w:jc w:val="left"/>
    </w:pPr>
    <w:rPr>
      <w:kern w:val="0"/>
      <w:sz w:val="18"/>
      <w:szCs w:val="18"/>
    </w:rPr>
  </w:style>
  <w:style w:type="paragraph" w:styleId="12">
    <w:name w:val="header"/>
    <w:basedOn w:val="1"/>
    <w:link w:val="35"/>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3">
    <w:name w:val="Body Text 2"/>
    <w:basedOn w:val="1"/>
    <w:link w:val="24"/>
    <w:qFormat/>
    <w:uiPriority w:val="0"/>
    <w:pPr>
      <w:adjustRightInd w:val="0"/>
      <w:spacing w:after="120" w:line="480" w:lineRule="auto"/>
      <w:jc w:val="left"/>
      <w:textAlignment w:val="baseline"/>
    </w:pPr>
    <w:rPr>
      <w:rFonts w:ascii="Times New Roman" w:hAnsi="Times New Roman"/>
      <w:kern w:val="0"/>
      <w:sz w:val="24"/>
      <w:szCs w:val="20"/>
    </w:rPr>
  </w:style>
  <w:style w:type="paragraph" w:styleId="14">
    <w:name w:val="Title"/>
    <w:basedOn w:val="1"/>
    <w:qFormat/>
    <w:uiPriority w:val="0"/>
    <w:pPr>
      <w:widowControl/>
      <w:tabs>
        <w:tab w:val="left" w:pos="1440"/>
        <w:tab w:val="left" w:pos="1800"/>
        <w:tab w:val="left" w:pos="2160"/>
      </w:tabs>
      <w:jc w:val="center"/>
    </w:pPr>
    <w:rPr>
      <w:rFonts w:ascii="Times New Roman" w:hAnsi="Times New Roman"/>
      <w:b/>
      <w:bCs/>
      <w:kern w:val="0"/>
      <w:sz w:val="24"/>
      <w:szCs w:val="20"/>
      <w:u w:val="single"/>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FollowedHyperlink"/>
    <w:basedOn w:val="17"/>
    <w:semiHidden/>
    <w:unhideWhenUsed/>
    <w:qFormat/>
    <w:uiPriority w:val="99"/>
    <w:rPr>
      <w:rFonts w:hint="eastAsia" w:ascii="宋体" w:hAnsi="宋体" w:eastAsia="宋体" w:cs="宋体"/>
      <w:color w:val="000000"/>
      <w:sz w:val="18"/>
      <w:szCs w:val="18"/>
      <w:u w:val="none"/>
    </w:rPr>
  </w:style>
  <w:style w:type="character" w:styleId="19">
    <w:name w:val="Hyperlink"/>
    <w:basedOn w:val="17"/>
    <w:semiHidden/>
    <w:unhideWhenUsed/>
    <w:qFormat/>
    <w:uiPriority w:val="99"/>
    <w:rPr>
      <w:rFonts w:hint="eastAsia" w:ascii="宋体" w:hAnsi="宋体" w:eastAsia="宋体" w:cs="宋体"/>
      <w:color w:val="000000"/>
      <w:sz w:val="18"/>
      <w:szCs w:val="18"/>
      <w:u w:val="none"/>
    </w:rPr>
  </w:style>
  <w:style w:type="character" w:customStyle="1" w:styleId="20">
    <w:name w:val="标题 1 字符"/>
    <w:link w:val="2"/>
    <w:qFormat/>
    <w:uiPriority w:val="0"/>
    <w:rPr>
      <w:rFonts w:ascii="Times New Roman" w:hAnsi="Times New Roman" w:eastAsia="BECU" w:cs="Times New Roman"/>
      <w:b/>
      <w:color w:val="800000"/>
      <w:kern w:val="0"/>
      <w:sz w:val="24"/>
      <w:szCs w:val="20"/>
      <w:u w:val="single"/>
    </w:rPr>
  </w:style>
  <w:style w:type="character" w:customStyle="1" w:styleId="21">
    <w:name w:val="标题 2 字符"/>
    <w:link w:val="3"/>
    <w:qFormat/>
    <w:uiPriority w:val="0"/>
    <w:rPr>
      <w:rFonts w:ascii="Times New Roman" w:hAnsi="Times New Roman" w:eastAsia="BECU" w:cs="Times New Roman"/>
      <w:b/>
      <w:color w:val="800000"/>
      <w:kern w:val="0"/>
      <w:sz w:val="24"/>
      <w:szCs w:val="20"/>
      <w:u w:val="single"/>
    </w:rPr>
  </w:style>
  <w:style w:type="character" w:customStyle="1" w:styleId="22">
    <w:name w:val="标题 4 字符"/>
    <w:link w:val="5"/>
    <w:qFormat/>
    <w:uiPriority w:val="0"/>
    <w:rPr>
      <w:rFonts w:ascii="Times New Roman" w:hAnsi="Times New Roman" w:eastAsia="宋体" w:cs="Times New Roman"/>
      <w:kern w:val="0"/>
      <w:sz w:val="24"/>
      <w:szCs w:val="20"/>
      <w:u w:val="single"/>
    </w:rPr>
  </w:style>
  <w:style w:type="character" w:customStyle="1" w:styleId="23">
    <w:name w:val="正文文本 字符"/>
    <w:link w:val="6"/>
    <w:qFormat/>
    <w:uiPriority w:val="0"/>
    <w:rPr>
      <w:rFonts w:ascii="Times New Roman" w:hAnsi="Times New Roman" w:eastAsia="宋体" w:cs="Times New Roman"/>
      <w:color w:val="000000"/>
      <w:kern w:val="0"/>
      <w:sz w:val="24"/>
      <w:szCs w:val="20"/>
    </w:rPr>
  </w:style>
  <w:style w:type="character" w:customStyle="1" w:styleId="24">
    <w:name w:val="正文文本 2 字符"/>
    <w:link w:val="13"/>
    <w:qFormat/>
    <w:uiPriority w:val="0"/>
    <w:rPr>
      <w:rFonts w:ascii="Times New Roman" w:hAnsi="Times New Roman" w:eastAsia="宋体" w:cs="Times New Roman"/>
      <w:kern w:val="0"/>
      <w:sz w:val="24"/>
      <w:szCs w:val="20"/>
    </w:rPr>
  </w:style>
  <w:style w:type="character" w:customStyle="1" w:styleId="25">
    <w:name w:val="正文文本缩进 字符"/>
    <w:link w:val="7"/>
    <w:qFormat/>
    <w:uiPriority w:val="0"/>
    <w:rPr>
      <w:rFonts w:ascii="Times New Roman" w:hAnsi="Times New Roman" w:eastAsia="宋体" w:cs="Times New Roman"/>
      <w:kern w:val="0"/>
      <w:sz w:val="24"/>
      <w:szCs w:val="20"/>
    </w:rPr>
  </w:style>
  <w:style w:type="character" w:customStyle="1" w:styleId="26">
    <w:name w:val="apple-style-span"/>
    <w:basedOn w:val="17"/>
    <w:qFormat/>
    <w:uiPriority w:val="0"/>
  </w:style>
  <w:style w:type="character" w:customStyle="1" w:styleId="27">
    <w:name w:val="apple-converted-space"/>
    <w:basedOn w:val="17"/>
    <w:qFormat/>
    <w:uiPriority w:val="0"/>
  </w:style>
  <w:style w:type="paragraph" w:customStyle="1" w:styleId="28">
    <w:name w:val="Normal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29">
    <w:name w:val="trans"/>
    <w:basedOn w:val="17"/>
    <w:qFormat/>
    <w:uiPriority w:val="0"/>
  </w:style>
  <w:style w:type="character" w:customStyle="1" w:styleId="30">
    <w:name w:val="批注框文本 字符"/>
    <w:link w:val="10"/>
    <w:semiHidden/>
    <w:qFormat/>
    <w:uiPriority w:val="99"/>
    <w:rPr>
      <w:sz w:val="18"/>
      <w:szCs w:val="18"/>
    </w:rPr>
  </w:style>
  <w:style w:type="paragraph" w:customStyle="1" w:styleId="31">
    <w:name w:val="Char Char Char"/>
    <w:basedOn w:val="1"/>
    <w:qFormat/>
    <w:uiPriority w:val="0"/>
    <w:pPr>
      <w:tabs>
        <w:tab w:val="left" w:pos="1440"/>
      </w:tabs>
      <w:ind w:left="1296" w:hanging="1296"/>
    </w:pPr>
    <w:rPr>
      <w:rFonts w:ascii="Arial" w:hAnsi="Arial" w:cs="Arial"/>
      <w:sz w:val="20"/>
      <w:szCs w:val="20"/>
    </w:rPr>
  </w:style>
  <w:style w:type="character" w:customStyle="1" w:styleId="32">
    <w:name w:val="正文文本缩进 2 字符"/>
    <w:basedOn w:val="17"/>
    <w:link w:val="9"/>
    <w:semiHidden/>
    <w:qFormat/>
    <w:uiPriority w:val="99"/>
  </w:style>
  <w:style w:type="character" w:customStyle="1" w:styleId="33">
    <w:name w:val="word"/>
    <w:basedOn w:val="17"/>
    <w:qFormat/>
    <w:uiPriority w:val="0"/>
  </w:style>
  <w:style w:type="paragraph" w:styleId="34">
    <w:name w:val="List Paragraph"/>
    <w:basedOn w:val="1"/>
    <w:qFormat/>
    <w:uiPriority w:val="34"/>
    <w:pPr>
      <w:ind w:firstLine="420" w:firstLineChars="200"/>
    </w:pPr>
  </w:style>
  <w:style w:type="character" w:customStyle="1" w:styleId="35">
    <w:name w:val="页眉 字符"/>
    <w:link w:val="12"/>
    <w:qFormat/>
    <w:uiPriority w:val="99"/>
    <w:rPr>
      <w:sz w:val="18"/>
      <w:szCs w:val="18"/>
    </w:rPr>
  </w:style>
  <w:style w:type="character" w:customStyle="1" w:styleId="36">
    <w:name w:val="页脚 字符"/>
    <w:link w:val="11"/>
    <w:qFormat/>
    <w:uiPriority w:val="99"/>
    <w:rPr>
      <w:sz w:val="18"/>
      <w:szCs w:val="18"/>
    </w:rPr>
  </w:style>
  <w:style w:type="paragraph" w:customStyle="1" w:styleId="37">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8">
    <w:name w:val="纯文本 字符"/>
    <w:basedOn w:val="17"/>
    <w:link w:val="8"/>
    <w:qFormat/>
    <w:uiPriority w:val="0"/>
    <w:rPr>
      <w:rFonts w:ascii="宋体" w:hAnsi="Courier New"/>
      <w:kern w:val="2"/>
      <w:sz w:val="21"/>
      <w:lang w:val="zh-CN" w:eastAsia="zh-CN"/>
    </w:rPr>
  </w:style>
  <w:style w:type="paragraph" w:customStyle="1" w:styleId="39">
    <w:name w:val="Document 1"/>
    <w:basedOn w:val="1"/>
    <w:qFormat/>
    <w:uiPriority w:val="0"/>
    <w:pPr>
      <w:keepNext/>
      <w:widowControl/>
      <w:jc w:val="left"/>
    </w:pPr>
    <w:rPr>
      <w:rFonts w:ascii="Univers" w:hAnsi="Univers" w:cs="宋体"/>
      <w:kern w:val="0"/>
      <w:sz w:val="20"/>
      <w:szCs w:val="20"/>
      <w:lang w:eastAsia="en-US"/>
    </w:rPr>
  </w:style>
  <w:style w:type="character" w:customStyle="1" w:styleId="40">
    <w:name w:val="font31"/>
    <w:basedOn w:val="17"/>
    <w:qFormat/>
    <w:uiPriority w:val="0"/>
    <w:rPr>
      <w:rFonts w:hint="eastAsia" w:ascii="宋体" w:hAnsi="宋体" w:eastAsia="宋体" w:cs="宋体"/>
      <w:color w:val="000000"/>
      <w:sz w:val="21"/>
      <w:szCs w:val="21"/>
      <w:u w:val="none"/>
    </w:rPr>
  </w:style>
  <w:style w:type="character" w:customStyle="1" w:styleId="41">
    <w:name w:val="font21"/>
    <w:basedOn w:val="17"/>
    <w:qFormat/>
    <w:uiPriority w:val="0"/>
    <w:rPr>
      <w:rFonts w:hint="default" w:ascii="Times New Roman" w:hAnsi="Times New Roman" w:cs="Times New Roman"/>
      <w:color w:val="000000"/>
      <w:sz w:val="21"/>
      <w:szCs w:val="21"/>
      <w:u w:val="none"/>
    </w:rPr>
  </w:style>
  <w:style w:type="character" w:customStyle="1" w:styleId="42">
    <w:name w:val="font11"/>
    <w:basedOn w:val="17"/>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2544</Words>
  <Characters>11647</Characters>
  <Lines>652</Lines>
  <Paragraphs>183</Paragraphs>
  <TotalTime>13</TotalTime>
  <ScaleCrop>false</ScaleCrop>
  <LinksUpToDate>false</LinksUpToDate>
  <CharactersWithSpaces>13411</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2025-12-04T05:02:00Z</dcterms:created>
  <dc:creator>Alex Jin</dc:creator>
  <cp:lastModifiedBy>Alex Jin</cp:lastModifiedBy>
  <dcterms:modified xsi:type="dcterms:W3CDTF">2026-01-24T19:01:07Z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DE16F195EE8CDD87D5937469C9354279_43</vt:lpwstr>
  </property>
  <property fmtid="{D5CDD505-2E9C-101B-9397-08002B2CF9AE}" pid="4" name="KSOTemplateDocerSaveRecord">
    <vt:lpwstr>eyJoZGlkIjoiODNhNTg1YjU4MzU3NWJhZGRlMDhjMDJmMjhlODVkZmUiLCJ1c2VySWQiOiI4OTkyOTc1MjAifQ==</vt:lpwstr>
  </property>
</Properties>
</file>