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A5A09">
      <w:pPr>
        <w:autoSpaceDE w:val="0"/>
        <w:autoSpaceDN w:val="0"/>
        <w:adjustRightInd w:val="0"/>
        <w:spacing w:line="240" w:lineRule="atLeast"/>
        <w:jc w:val="center"/>
        <w:textAlignment w:val="baseline"/>
        <w:rPr>
          <w:rFonts w:ascii="Times New Roman" w:hAnsi="Times New Roman" w:eastAsiaTheme="minorEastAsia"/>
          <w:kern w:val="0"/>
          <w:szCs w:val="21"/>
        </w:rPr>
      </w:pPr>
      <w:bookmarkStart w:id="2" w:name="_GoBack"/>
      <w:bookmarkEnd w:id="2"/>
    </w:p>
    <w:p w14:paraId="47703C03">
      <w:pPr>
        <w:autoSpaceDE w:val="0"/>
        <w:autoSpaceDN w:val="0"/>
        <w:adjustRightInd w:val="0"/>
        <w:spacing w:line="240" w:lineRule="atLeast"/>
        <w:jc w:val="center"/>
        <w:textAlignment w:val="baseline"/>
        <w:rPr>
          <w:rFonts w:ascii="Times New Roman" w:hAnsi="Times New Roman" w:eastAsiaTheme="minorEastAsia"/>
          <w:kern w:val="0"/>
          <w:szCs w:val="21"/>
        </w:rPr>
      </w:pPr>
    </w:p>
    <w:p w14:paraId="331EA36C">
      <w:pPr>
        <w:tabs>
          <w:tab w:val="left" w:pos="9270"/>
          <w:tab w:val="left" w:pos="9360"/>
        </w:tabs>
        <w:autoSpaceDE w:val="0"/>
        <w:autoSpaceDN w:val="0"/>
        <w:adjustRightInd w:val="0"/>
        <w:spacing w:line="240" w:lineRule="atLeast"/>
        <w:jc w:val="center"/>
        <w:textAlignment w:val="baseline"/>
        <w:rPr>
          <w:rFonts w:ascii="Times New Roman" w:hAnsi="Times New Roman" w:eastAsiaTheme="minorEastAsia"/>
          <w:b/>
          <w:kern w:val="0"/>
          <w:sz w:val="30"/>
          <w:szCs w:val="30"/>
        </w:rPr>
      </w:pPr>
      <w:r>
        <w:rPr>
          <w:rFonts w:ascii="Times New Roman" w:hAnsi="Times New Roman" w:eastAsiaTheme="minorEastAsia"/>
          <w:b/>
          <w:kern w:val="0"/>
          <w:sz w:val="30"/>
          <w:szCs w:val="30"/>
        </w:rPr>
        <w:t>CHINA PACIFIC PROPERTY INSURANCE COMPANY LIMITED</w:t>
      </w:r>
    </w:p>
    <w:p w14:paraId="1759C900">
      <w:pPr>
        <w:widowControl/>
        <w:autoSpaceDE w:val="0"/>
        <w:autoSpaceDN w:val="0"/>
        <w:spacing w:line="240" w:lineRule="atLeast"/>
        <w:ind w:right="360"/>
        <w:jc w:val="center"/>
        <w:textAlignment w:val="bottom"/>
        <w:rPr>
          <w:rFonts w:ascii="Times New Roman" w:hAnsi="Times New Roman" w:eastAsiaTheme="minorEastAsia"/>
          <w:sz w:val="28"/>
          <w:szCs w:val="28"/>
        </w:rPr>
      </w:pPr>
    </w:p>
    <w:p w14:paraId="0CF21669">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 w:val="24"/>
          <w:szCs w:val="24"/>
        </w:rPr>
      </w:pPr>
      <w:r>
        <w:rPr>
          <w:rFonts w:ascii="Times New Roman" w:hAnsi="Times New Roman" w:eastAsiaTheme="minorEastAsia"/>
          <w:b/>
          <w:kern w:val="0"/>
          <w:sz w:val="24"/>
          <w:szCs w:val="24"/>
        </w:rPr>
        <w:t>Head Office: in Shanghai</w:t>
      </w:r>
    </w:p>
    <w:p w14:paraId="68860E03">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 w:val="28"/>
          <w:szCs w:val="28"/>
        </w:rPr>
      </w:pPr>
    </w:p>
    <w:p w14:paraId="71F06EA3">
      <w:pPr>
        <w:tabs>
          <w:tab w:val="left" w:pos="9270"/>
          <w:tab w:val="left" w:pos="9360"/>
        </w:tabs>
        <w:autoSpaceDE w:val="0"/>
        <w:autoSpaceDN w:val="0"/>
        <w:adjustRightInd w:val="0"/>
        <w:spacing w:line="240" w:lineRule="atLeast"/>
        <w:jc w:val="center"/>
        <w:textAlignment w:val="baseline"/>
        <w:rPr>
          <w:rFonts w:ascii="Times New Roman" w:hAnsi="Times New Roman" w:eastAsiaTheme="minorEastAsia"/>
          <w:b/>
          <w:kern w:val="0"/>
          <w:sz w:val="28"/>
          <w:szCs w:val="28"/>
        </w:rPr>
      </w:pPr>
      <w:r>
        <w:rPr>
          <w:rFonts w:ascii="Times New Roman" w:hAnsi="Times New Roman" w:eastAsiaTheme="minorEastAsia"/>
          <w:b/>
          <w:kern w:val="0"/>
          <w:sz w:val="28"/>
          <w:szCs w:val="28"/>
        </w:rPr>
        <w:t>MACHINERY BREAKDOWN INSURANCE POLICY</w:t>
      </w:r>
    </w:p>
    <w:p w14:paraId="3C3B194E">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 w:val="28"/>
          <w:szCs w:val="28"/>
        </w:rPr>
      </w:pPr>
    </w:p>
    <w:p w14:paraId="3750E0BE">
      <w:pPr>
        <w:widowControl/>
        <w:jc w:val="center"/>
        <w:rPr>
          <w:rFonts w:hint="eastAsia" w:ascii="Times New Roman" w:hAnsi="Times New Roman" w:eastAsiaTheme="minorEastAsia"/>
          <w:b/>
          <w:kern w:val="0"/>
          <w:szCs w:val="21"/>
          <w:lang w:eastAsia="zh-CN"/>
        </w:rPr>
      </w:pPr>
      <w:r>
        <w:rPr>
          <w:rFonts w:ascii="Times New Roman" w:hAnsi="Times New Roman" w:eastAsiaTheme="minorEastAsia"/>
          <w:b/>
          <w:kern w:val="0"/>
          <w:szCs w:val="21"/>
        </w:rPr>
        <w:t>Policy No.:</w:t>
      </w:r>
      <w:r>
        <w:rPr>
          <w:rFonts w:hint="eastAsia" w:ascii="Times New Roman" w:hAnsi="Times New Roman" w:eastAsiaTheme="minorEastAsia"/>
          <w:b/>
          <w:kern w:val="0"/>
          <w:szCs w:val="21"/>
          <w:lang w:val="en-US" w:eastAsia="zh-CN"/>
        </w:rPr>
        <w:t xml:space="preserve"> </w:t>
      </w:r>
      <w:r>
        <w:rPr>
          <w:rFonts w:ascii="Times New Roman" w:hAnsi="Times New Roman" w:eastAsiaTheme="minorEastAsia"/>
          <w:b/>
          <w:kern w:val="0"/>
          <w:szCs w:val="21"/>
        </w:rPr>
        <w:t>ASHH05023425QAAAA5ZO</w:t>
      </w:r>
    </w:p>
    <w:p w14:paraId="0C09AA9E">
      <w:pPr>
        <w:jc w:val="center"/>
        <w:rPr>
          <w:rFonts w:ascii="Times New Roman" w:hAnsi="Times New Roman" w:eastAsiaTheme="minorEastAsia"/>
          <w:b/>
          <w:kern w:val="0"/>
          <w:szCs w:val="21"/>
        </w:rPr>
      </w:pPr>
    </w:p>
    <w:p w14:paraId="7ED8F861">
      <w:pPr>
        <w:jc w:val="center"/>
        <w:rPr>
          <w:rFonts w:ascii="Times New Roman" w:hAnsi="Times New Roman" w:eastAsiaTheme="minorEastAsia"/>
          <w:b/>
          <w:kern w:val="0"/>
          <w:szCs w:val="21"/>
        </w:rPr>
      </w:pPr>
      <w:r>
        <w:rPr>
          <w:rFonts w:ascii="Times New Roman" w:hAnsi="Times New Roman" w:eastAsiaTheme="minorEastAsia"/>
          <w:b/>
          <w:kern w:val="0"/>
          <w:szCs w:val="21"/>
        </w:rPr>
        <w:t> （ORIGINAL）</w:t>
      </w:r>
    </w:p>
    <w:p w14:paraId="07B5DD81">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5BC022B6">
      <w:pPr>
        <w:pBdr>
          <w:top w:val="single" w:color="auto" w:sz="4" w:space="1"/>
          <w:bottom w:val="single" w:color="auto" w:sz="4" w:space="1"/>
        </w:pBdr>
        <w:tabs>
          <w:tab w:val="left" w:pos="9270"/>
        </w:tabs>
        <w:autoSpaceDE w:val="0"/>
        <w:autoSpaceDN w:val="0"/>
        <w:adjustRightInd w:val="0"/>
        <w:spacing w:line="240" w:lineRule="atLeast"/>
        <w:textAlignment w:val="baseline"/>
        <w:rPr>
          <w:rFonts w:ascii="Times New Roman" w:hAnsi="Times New Roman" w:eastAsiaTheme="minorEastAsia"/>
          <w:kern w:val="0"/>
          <w:szCs w:val="21"/>
        </w:rPr>
      </w:pPr>
      <w:r>
        <w:rPr>
          <w:rFonts w:ascii="Times New Roman" w:hAnsi="Times New Roman" w:eastAsiaTheme="minorEastAsia"/>
          <w:kern w:val="0"/>
          <w:szCs w:val="21"/>
        </w:rPr>
        <w:t>Please read this Policy and the Schedule and make certain that they are in accordance with your requirement.</w:t>
      </w:r>
    </w:p>
    <w:p w14:paraId="0AB832B3">
      <w:pPr>
        <w:tabs>
          <w:tab w:val="left" w:pos="9270"/>
        </w:tabs>
        <w:autoSpaceDE w:val="0"/>
        <w:autoSpaceDN w:val="0"/>
        <w:adjustRightInd w:val="0"/>
        <w:spacing w:line="240" w:lineRule="atLeast"/>
        <w:textAlignment w:val="baseline"/>
        <w:rPr>
          <w:rFonts w:ascii="Times New Roman" w:hAnsi="Times New Roman" w:eastAsiaTheme="minorEastAsia"/>
          <w:b/>
          <w:kern w:val="0"/>
          <w:szCs w:val="21"/>
        </w:rPr>
      </w:pPr>
    </w:p>
    <w:p w14:paraId="5FD46B27">
      <w:pPr>
        <w:tabs>
          <w:tab w:val="left" w:pos="9270"/>
        </w:tabs>
        <w:autoSpaceDE w:val="0"/>
        <w:autoSpaceDN w:val="0"/>
        <w:adjustRightInd w:val="0"/>
        <w:spacing w:line="240" w:lineRule="atLeast"/>
        <w:textAlignment w:val="baseline"/>
        <w:rPr>
          <w:rFonts w:ascii="Times New Roman" w:hAnsi="Times New Roman" w:eastAsiaTheme="minorEastAsia"/>
          <w:kern w:val="0"/>
          <w:szCs w:val="21"/>
        </w:rPr>
      </w:pPr>
      <w:r>
        <w:rPr>
          <w:rFonts w:ascii="Times New Roman" w:hAnsi="Times New Roman" w:eastAsiaTheme="minorEastAsia"/>
          <w:kern w:val="0"/>
          <w:szCs w:val="21"/>
        </w:rPr>
        <w:t>This Policy comprises mainly the Schedule, Scope of Cover, Exclusions, Treatment of Claim, Insured's Obligations, General Conditions and Special Provisions, including also the Proposal of Insurance together with its attachments as well as any additions to be made, from time to time, by the Company in the form of Endorsement.</w:t>
      </w:r>
    </w:p>
    <w:p w14:paraId="44198D2A">
      <w:pPr>
        <w:tabs>
          <w:tab w:val="left" w:pos="9270"/>
        </w:tabs>
        <w:autoSpaceDE w:val="0"/>
        <w:autoSpaceDN w:val="0"/>
        <w:adjustRightInd w:val="0"/>
        <w:spacing w:line="240" w:lineRule="atLeast"/>
        <w:textAlignment w:val="baseline"/>
        <w:rPr>
          <w:rFonts w:ascii="Times New Roman" w:hAnsi="Times New Roman" w:eastAsiaTheme="minorEastAsia"/>
          <w:b/>
          <w:kern w:val="0"/>
          <w:szCs w:val="21"/>
        </w:rPr>
      </w:pPr>
    </w:p>
    <w:p w14:paraId="00EBB0BE">
      <w:pPr>
        <w:tabs>
          <w:tab w:val="left" w:pos="9270"/>
        </w:tabs>
        <w:autoSpaceDE w:val="0"/>
        <w:autoSpaceDN w:val="0"/>
        <w:adjustRightInd w:val="0"/>
        <w:spacing w:line="240" w:lineRule="atLeast"/>
        <w:textAlignment w:val="baseline"/>
        <w:rPr>
          <w:rFonts w:ascii="Times New Roman" w:hAnsi="Times New Roman" w:eastAsiaTheme="minorEastAsia"/>
          <w:kern w:val="0"/>
          <w:szCs w:val="21"/>
        </w:rPr>
      </w:pPr>
      <w:r>
        <w:rPr>
          <w:rFonts w:ascii="Times New Roman" w:hAnsi="Times New Roman" w:eastAsiaTheme="minorEastAsia"/>
          <w:kern w:val="0"/>
          <w:szCs w:val="21"/>
        </w:rPr>
        <w:t>WHEREAS THE INSURED named in the Schedule hereto has made to China Pacific Insurance Company Limited (hereinafter called "the Company")a written Proposal which together with any other statements made by the Insured for the purpose of this Policy is deemed to be incorporated herein and has paid to the Company the premium stated in the Schedule.</w:t>
      </w:r>
    </w:p>
    <w:p w14:paraId="53379DC3">
      <w:pPr>
        <w:tabs>
          <w:tab w:val="left" w:pos="9270"/>
        </w:tabs>
        <w:autoSpaceDE w:val="0"/>
        <w:autoSpaceDN w:val="0"/>
        <w:adjustRightInd w:val="0"/>
        <w:spacing w:line="240" w:lineRule="atLeast"/>
        <w:textAlignment w:val="baseline"/>
        <w:rPr>
          <w:rFonts w:ascii="Times New Roman" w:hAnsi="Times New Roman" w:eastAsiaTheme="minorEastAsia"/>
          <w:b/>
          <w:kern w:val="0"/>
          <w:szCs w:val="21"/>
        </w:rPr>
      </w:pPr>
    </w:p>
    <w:p w14:paraId="7E5C1475">
      <w:pPr>
        <w:tabs>
          <w:tab w:val="left" w:pos="9270"/>
        </w:tabs>
        <w:autoSpaceDE w:val="0"/>
        <w:autoSpaceDN w:val="0"/>
        <w:adjustRightInd w:val="0"/>
        <w:spacing w:line="240" w:lineRule="atLeast"/>
        <w:textAlignment w:val="baseline"/>
        <w:rPr>
          <w:rFonts w:ascii="Times New Roman" w:hAnsi="Times New Roman" w:eastAsiaTheme="minorEastAsia"/>
          <w:kern w:val="0"/>
          <w:szCs w:val="21"/>
        </w:rPr>
      </w:pPr>
      <w:r>
        <w:rPr>
          <w:rFonts w:ascii="Times New Roman" w:hAnsi="Times New Roman" w:eastAsiaTheme="minorEastAsia"/>
          <w:kern w:val="0"/>
          <w:szCs w:val="21"/>
        </w:rPr>
        <w:t>NOW THIS POLICY OF INSURANCE WITNESSES that subject to the terms and conditions contained herein or endorsed hereon the Company shall indemnify the Insured for the loss or damage sustained during the period of insurance stated in the Schedule in the manner and to the extent hereinafter provided.</w:t>
      </w:r>
    </w:p>
    <w:p w14:paraId="3627A322">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481E0793">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0AD8494A">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5EFDF27F">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3ADA7720">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73A8D0E8">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5E7A986E">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49C84CB3">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691220E9">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2B701EED">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358F7DE8">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1DC34B99">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48A64351">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3BCBEAA4">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7308E69C">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76BDA95F">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6B184F7A">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42D3D297">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1D66EC8A">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0B904080">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p w14:paraId="6356A16D">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p>
    <w:tbl>
      <w:tblPr>
        <w:tblStyle w:val="14"/>
        <w:tblW w:w="9270" w:type="dxa"/>
        <w:tblInd w:w="198" w:type="dxa"/>
        <w:tblLayout w:type="fixed"/>
        <w:tblCellMar>
          <w:top w:w="0" w:type="dxa"/>
          <w:left w:w="108" w:type="dxa"/>
          <w:bottom w:w="0" w:type="dxa"/>
          <w:right w:w="108" w:type="dxa"/>
        </w:tblCellMar>
      </w:tblPr>
      <w:tblGrid>
        <w:gridCol w:w="4446"/>
        <w:gridCol w:w="4824"/>
      </w:tblGrid>
      <w:tr w14:paraId="351C2191">
        <w:tc>
          <w:tcPr>
            <w:tcW w:w="4446" w:type="dxa"/>
          </w:tcPr>
          <w:p w14:paraId="287A4C8C">
            <w:pPr>
              <w:tabs>
                <w:tab w:val="left" w:pos="9270"/>
              </w:tabs>
              <w:autoSpaceDE w:val="0"/>
              <w:autoSpaceDN w:val="0"/>
              <w:adjustRightInd w:val="0"/>
              <w:spacing w:line="240" w:lineRule="atLeast"/>
              <w:jc w:val="left"/>
              <w:textAlignment w:val="baseline"/>
              <w:rPr>
                <w:rFonts w:ascii="Times New Roman" w:hAnsi="Times New Roman" w:eastAsiaTheme="minorEastAsia"/>
                <w:b/>
                <w:kern w:val="0"/>
                <w:szCs w:val="21"/>
              </w:rPr>
            </w:pPr>
          </w:p>
        </w:tc>
        <w:tc>
          <w:tcPr>
            <w:tcW w:w="4824" w:type="dxa"/>
          </w:tcPr>
          <w:p w14:paraId="01358B59">
            <w:pPr>
              <w:autoSpaceDE w:val="0"/>
              <w:autoSpaceDN w:val="0"/>
              <w:adjustRightInd w:val="0"/>
              <w:spacing w:line="240" w:lineRule="atLeast"/>
              <w:ind w:right="360"/>
              <w:jc w:val="center"/>
              <w:textAlignment w:val="baseline"/>
              <w:rPr>
                <w:rFonts w:ascii="Times New Roman" w:hAnsi="Times New Roman" w:eastAsiaTheme="minorEastAsia"/>
                <w:kern w:val="0"/>
                <w:szCs w:val="21"/>
              </w:rPr>
            </w:pPr>
            <w:r>
              <w:rPr>
                <w:rFonts w:ascii="Times New Roman" w:hAnsi="Times New Roman" w:eastAsiaTheme="minorEastAsia"/>
                <w:kern w:val="0"/>
                <w:szCs w:val="21"/>
              </w:rPr>
              <w:t>By China Pacific Insurance Company Limited</w:t>
            </w:r>
          </w:p>
        </w:tc>
      </w:tr>
      <w:tr w14:paraId="7E482BA6">
        <w:tc>
          <w:tcPr>
            <w:tcW w:w="4446" w:type="dxa"/>
          </w:tcPr>
          <w:p w14:paraId="6564FE1A">
            <w:pPr>
              <w:tabs>
                <w:tab w:val="left" w:pos="9270"/>
              </w:tabs>
              <w:autoSpaceDE w:val="0"/>
              <w:autoSpaceDN w:val="0"/>
              <w:adjustRightInd w:val="0"/>
              <w:spacing w:line="240" w:lineRule="atLeast"/>
              <w:jc w:val="left"/>
              <w:textAlignment w:val="baseline"/>
              <w:rPr>
                <w:rFonts w:ascii="Times New Roman" w:hAnsi="Times New Roman" w:eastAsiaTheme="minorEastAsia"/>
                <w:b/>
                <w:kern w:val="0"/>
                <w:szCs w:val="21"/>
              </w:rPr>
            </w:pPr>
            <w:r>
              <w:rPr>
                <w:rFonts w:ascii="Times New Roman" w:hAnsi="Times New Roman" w:eastAsiaTheme="minorEastAsia"/>
                <w:kern w:val="0"/>
                <w:szCs w:val="21"/>
              </w:rPr>
              <w:t>Address： No 400, Wusong Road Shanghai</w:t>
            </w:r>
          </w:p>
        </w:tc>
        <w:tc>
          <w:tcPr>
            <w:tcW w:w="4824" w:type="dxa"/>
          </w:tcPr>
          <w:p w14:paraId="7D2D5E91">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r>
              <w:rPr>
                <w:rFonts w:ascii="Times New Roman" w:hAnsi="Times New Roman" w:eastAsiaTheme="minorEastAsia"/>
                <w:kern w:val="0"/>
                <w:szCs w:val="21"/>
              </w:rPr>
              <w:t>Shanghai Branch</w:t>
            </w:r>
          </w:p>
        </w:tc>
      </w:tr>
      <w:tr w14:paraId="4B81AF40">
        <w:tc>
          <w:tcPr>
            <w:tcW w:w="4446" w:type="dxa"/>
          </w:tcPr>
          <w:p w14:paraId="4E708DF8">
            <w:pPr>
              <w:tabs>
                <w:tab w:val="left" w:pos="9270"/>
              </w:tabs>
              <w:autoSpaceDE w:val="0"/>
              <w:autoSpaceDN w:val="0"/>
              <w:adjustRightInd w:val="0"/>
              <w:spacing w:line="240" w:lineRule="atLeast"/>
              <w:jc w:val="left"/>
              <w:textAlignment w:val="baseline"/>
              <w:rPr>
                <w:rFonts w:hint="eastAsia" w:ascii="Times New Roman" w:hAnsi="Times New Roman" w:eastAsiaTheme="minorEastAsia"/>
                <w:b/>
                <w:kern w:val="0"/>
                <w:szCs w:val="21"/>
                <w:lang w:val="en-US" w:eastAsia="zh-CN"/>
              </w:rPr>
            </w:pPr>
            <w:r>
              <w:rPr>
                <w:rFonts w:ascii="Times New Roman" w:hAnsi="Times New Roman" w:eastAsiaTheme="minorEastAsia"/>
                <w:kern w:val="0"/>
                <w:szCs w:val="21"/>
              </w:rPr>
              <w:t>Date of Issue： 20</w:t>
            </w:r>
            <w:r>
              <w:rPr>
                <w:rFonts w:hint="eastAsia" w:ascii="Times New Roman" w:hAnsi="Times New Roman" w:eastAsiaTheme="minorEastAsia"/>
                <w:kern w:val="0"/>
                <w:szCs w:val="21"/>
              </w:rPr>
              <w:t>2</w:t>
            </w:r>
            <w:r>
              <w:rPr>
                <w:rFonts w:hint="eastAsia" w:ascii="Times New Roman" w:hAnsi="Times New Roman" w:eastAsiaTheme="minorEastAsia"/>
                <w:kern w:val="0"/>
                <w:szCs w:val="21"/>
                <w:lang w:val="en-US" w:eastAsia="zh-CN"/>
              </w:rPr>
              <w:t>5</w:t>
            </w:r>
            <w:r>
              <w:rPr>
                <w:rFonts w:ascii="Times New Roman" w:hAnsi="Times New Roman" w:eastAsiaTheme="minorEastAsia"/>
                <w:kern w:val="0"/>
                <w:szCs w:val="21"/>
              </w:rPr>
              <w:t>-1</w:t>
            </w:r>
            <w:r>
              <w:rPr>
                <w:rFonts w:hint="eastAsia" w:ascii="Times New Roman" w:hAnsi="Times New Roman" w:eastAsiaTheme="minorEastAsia"/>
                <w:kern w:val="0"/>
                <w:szCs w:val="21"/>
                <w:lang w:val="en-US" w:eastAsia="zh-CN"/>
              </w:rPr>
              <w:t>0</w:t>
            </w:r>
            <w:r>
              <w:rPr>
                <w:rFonts w:ascii="Times New Roman" w:hAnsi="Times New Roman" w:eastAsiaTheme="minorEastAsia"/>
                <w:kern w:val="0"/>
                <w:szCs w:val="21"/>
              </w:rPr>
              <w:t>-3</w:t>
            </w:r>
            <w:r>
              <w:rPr>
                <w:rFonts w:hint="eastAsia" w:ascii="Times New Roman" w:hAnsi="Times New Roman" w:eastAsiaTheme="minorEastAsia"/>
                <w:kern w:val="0"/>
                <w:szCs w:val="21"/>
                <w:lang w:val="en-US" w:eastAsia="zh-CN"/>
              </w:rPr>
              <w:t>1</w:t>
            </w:r>
          </w:p>
        </w:tc>
        <w:tc>
          <w:tcPr>
            <w:tcW w:w="4824" w:type="dxa"/>
          </w:tcPr>
          <w:p w14:paraId="29DC9269">
            <w:pPr>
              <w:tabs>
                <w:tab w:val="left" w:pos="9270"/>
              </w:tabs>
              <w:autoSpaceDE w:val="0"/>
              <w:autoSpaceDN w:val="0"/>
              <w:adjustRightInd w:val="0"/>
              <w:spacing w:line="240" w:lineRule="atLeast"/>
              <w:jc w:val="left"/>
              <w:textAlignment w:val="baseline"/>
              <w:rPr>
                <w:rFonts w:ascii="Times New Roman" w:hAnsi="Times New Roman" w:eastAsiaTheme="minorEastAsia"/>
                <w:b/>
                <w:kern w:val="0"/>
                <w:szCs w:val="21"/>
              </w:rPr>
            </w:pPr>
          </w:p>
        </w:tc>
      </w:tr>
      <w:tr w14:paraId="6B51D4C6">
        <w:tc>
          <w:tcPr>
            <w:tcW w:w="4446" w:type="dxa"/>
          </w:tcPr>
          <w:p w14:paraId="4A594D1A">
            <w:pPr>
              <w:tabs>
                <w:tab w:val="left" w:pos="9270"/>
              </w:tabs>
              <w:autoSpaceDE w:val="0"/>
              <w:autoSpaceDN w:val="0"/>
              <w:adjustRightInd w:val="0"/>
              <w:spacing w:line="240" w:lineRule="atLeast"/>
              <w:jc w:val="left"/>
              <w:textAlignment w:val="baseline"/>
              <w:rPr>
                <w:rFonts w:ascii="Times New Roman" w:hAnsi="Times New Roman" w:eastAsiaTheme="minorEastAsia"/>
                <w:b/>
                <w:kern w:val="0"/>
                <w:szCs w:val="21"/>
              </w:rPr>
            </w:pPr>
            <w:r>
              <w:rPr>
                <w:rFonts w:ascii="Times New Roman" w:hAnsi="Times New Roman" w:eastAsiaTheme="minorEastAsia"/>
                <w:kern w:val="0"/>
                <w:szCs w:val="21"/>
              </w:rPr>
              <w:t>Place of Issue： Shanghai</w:t>
            </w:r>
          </w:p>
        </w:tc>
        <w:tc>
          <w:tcPr>
            <w:tcW w:w="4824" w:type="dxa"/>
          </w:tcPr>
          <w:p w14:paraId="2B79CF50">
            <w:pPr>
              <w:tabs>
                <w:tab w:val="left" w:pos="9270"/>
              </w:tabs>
              <w:autoSpaceDE w:val="0"/>
              <w:autoSpaceDN w:val="0"/>
              <w:adjustRightInd w:val="0"/>
              <w:spacing w:line="240" w:lineRule="atLeast"/>
              <w:jc w:val="left"/>
              <w:textAlignment w:val="baseline"/>
              <w:rPr>
                <w:rFonts w:ascii="Times New Roman" w:hAnsi="Times New Roman" w:eastAsiaTheme="minorEastAsia"/>
                <w:b/>
                <w:kern w:val="0"/>
                <w:szCs w:val="21"/>
              </w:rPr>
            </w:pPr>
          </w:p>
        </w:tc>
      </w:tr>
      <w:tr w14:paraId="431B315F">
        <w:tc>
          <w:tcPr>
            <w:tcW w:w="4446" w:type="dxa"/>
          </w:tcPr>
          <w:p w14:paraId="38BAFDB9">
            <w:pPr>
              <w:tabs>
                <w:tab w:val="left" w:pos="9270"/>
              </w:tabs>
              <w:autoSpaceDE w:val="0"/>
              <w:autoSpaceDN w:val="0"/>
              <w:adjustRightInd w:val="0"/>
              <w:spacing w:line="240" w:lineRule="atLeast"/>
              <w:jc w:val="left"/>
              <w:textAlignment w:val="baseline"/>
              <w:rPr>
                <w:rFonts w:ascii="Times New Roman" w:hAnsi="Times New Roman" w:eastAsiaTheme="minorEastAsia"/>
                <w:kern w:val="0"/>
                <w:szCs w:val="21"/>
              </w:rPr>
            </w:pPr>
            <w:r>
              <w:rPr>
                <w:rFonts w:ascii="Times New Roman" w:hAnsi="Times New Roman" w:eastAsiaTheme="minorEastAsia"/>
                <w:kern w:val="0"/>
                <w:szCs w:val="21"/>
              </w:rPr>
              <w:t>Tel： 021-66779900</w:t>
            </w:r>
          </w:p>
        </w:tc>
        <w:tc>
          <w:tcPr>
            <w:tcW w:w="4824" w:type="dxa"/>
          </w:tcPr>
          <w:p w14:paraId="2254B6E6">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r>
              <w:rPr>
                <w:rFonts w:ascii="Times New Roman" w:hAnsi="Times New Roman" w:eastAsiaTheme="minorEastAsia"/>
                <w:kern w:val="0"/>
                <w:szCs w:val="21"/>
              </w:rPr>
              <w:t>_____________________________</w:t>
            </w:r>
          </w:p>
        </w:tc>
      </w:tr>
      <w:tr w14:paraId="74F3BBFE">
        <w:tc>
          <w:tcPr>
            <w:tcW w:w="4446" w:type="dxa"/>
          </w:tcPr>
          <w:p w14:paraId="06E03604">
            <w:pPr>
              <w:tabs>
                <w:tab w:val="left" w:pos="9270"/>
              </w:tabs>
              <w:autoSpaceDE w:val="0"/>
              <w:autoSpaceDN w:val="0"/>
              <w:adjustRightInd w:val="0"/>
              <w:spacing w:line="240" w:lineRule="atLeast"/>
              <w:jc w:val="left"/>
              <w:textAlignment w:val="baseline"/>
              <w:rPr>
                <w:rFonts w:ascii="Times New Roman" w:hAnsi="Times New Roman" w:eastAsiaTheme="minorEastAsia"/>
                <w:kern w:val="0"/>
                <w:szCs w:val="21"/>
              </w:rPr>
            </w:pPr>
            <w:r>
              <w:rPr>
                <w:rFonts w:ascii="Times New Roman" w:hAnsi="Times New Roman" w:eastAsiaTheme="minorEastAsia"/>
                <w:kern w:val="0"/>
                <w:szCs w:val="21"/>
              </w:rPr>
              <w:t>Fax： 021-66085269</w:t>
            </w:r>
          </w:p>
        </w:tc>
        <w:tc>
          <w:tcPr>
            <w:tcW w:w="4824" w:type="dxa"/>
          </w:tcPr>
          <w:p w14:paraId="64DEED88">
            <w:pPr>
              <w:tabs>
                <w:tab w:val="left" w:pos="9270"/>
              </w:tabs>
              <w:autoSpaceDE w:val="0"/>
              <w:autoSpaceDN w:val="0"/>
              <w:adjustRightInd w:val="0"/>
              <w:spacing w:line="240" w:lineRule="atLeast"/>
              <w:jc w:val="center"/>
              <w:textAlignment w:val="baseline"/>
              <w:rPr>
                <w:rFonts w:ascii="Times New Roman" w:hAnsi="Times New Roman" w:eastAsiaTheme="minorEastAsia"/>
                <w:b/>
                <w:kern w:val="0"/>
                <w:szCs w:val="21"/>
              </w:rPr>
            </w:pPr>
            <w:r>
              <w:rPr>
                <w:rFonts w:ascii="Times New Roman" w:hAnsi="Times New Roman" w:eastAsiaTheme="minorEastAsia"/>
                <w:kern w:val="0"/>
                <w:szCs w:val="21"/>
              </w:rPr>
              <w:t>Authorized Signature</w:t>
            </w:r>
          </w:p>
        </w:tc>
      </w:tr>
    </w:tbl>
    <w:p w14:paraId="615F9520">
      <w:pPr>
        <w:autoSpaceDE w:val="0"/>
        <w:autoSpaceDN w:val="0"/>
        <w:adjustRightInd w:val="0"/>
        <w:spacing w:line="240" w:lineRule="atLeast"/>
        <w:ind w:right="1714"/>
        <w:jc w:val="left"/>
        <w:textAlignment w:val="baseline"/>
        <w:rPr>
          <w:rFonts w:ascii="Times New Roman" w:hAnsi="Times New Roman" w:eastAsiaTheme="minorEastAsia"/>
          <w:kern w:val="0"/>
          <w:szCs w:val="21"/>
        </w:rPr>
        <w:sectPr>
          <w:headerReference r:id="rId3" w:type="default"/>
          <w:footerReference r:id="rId4" w:type="default"/>
          <w:pgSz w:w="11906" w:h="16838"/>
          <w:pgMar w:top="1440" w:right="1466" w:bottom="1440" w:left="1170" w:header="851" w:footer="850" w:gutter="0"/>
          <w:cols w:space="425" w:num="1"/>
          <w:docGrid w:linePitch="286" w:charSpace="0"/>
        </w:sectPr>
      </w:pPr>
    </w:p>
    <w:p w14:paraId="38582AB4">
      <w:pPr>
        <w:autoSpaceDE w:val="0"/>
        <w:autoSpaceDN w:val="0"/>
        <w:adjustRightInd w:val="0"/>
        <w:spacing w:line="240" w:lineRule="atLeast"/>
        <w:ind w:right="360"/>
        <w:jc w:val="center"/>
        <w:textAlignment w:val="baseline"/>
        <w:rPr>
          <w:rFonts w:ascii="Times New Roman" w:hAnsi="Times New Roman" w:eastAsiaTheme="minorEastAsia"/>
          <w:b/>
          <w:kern w:val="0"/>
          <w:szCs w:val="21"/>
        </w:rPr>
      </w:pPr>
      <w:bookmarkStart w:id="0" w:name="_OCEAN_MARINE_CARGO"/>
      <w:bookmarkEnd w:id="0"/>
      <w:r>
        <w:rPr>
          <w:rFonts w:ascii="Times New Roman" w:hAnsi="Times New Roman" w:eastAsiaTheme="minorEastAsia"/>
          <w:b/>
          <w:kern w:val="0"/>
          <w:szCs w:val="21"/>
        </w:rPr>
        <w:t>Schedule</w:t>
      </w:r>
    </w:p>
    <w:p w14:paraId="7860D8FE">
      <w:pPr>
        <w:autoSpaceDE w:val="0"/>
        <w:autoSpaceDN w:val="0"/>
        <w:adjustRightInd w:val="0"/>
        <w:spacing w:line="240" w:lineRule="atLeast"/>
        <w:ind w:right="360"/>
        <w:textAlignment w:val="baseline"/>
        <w:rPr>
          <w:rFonts w:ascii="Times New Roman" w:hAnsi="Times New Roman" w:eastAsiaTheme="minorEastAsia"/>
          <w:b/>
          <w:kern w:val="0"/>
          <w:szCs w:val="21"/>
        </w:rPr>
      </w:pPr>
    </w:p>
    <w:tbl>
      <w:tblPr>
        <w:tblStyle w:val="14"/>
        <w:tblW w:w="9300" w:type="dxa"/>
        <w:tblInd w:w="91" w:type="dxa"/>
        <w:tblLayout w:type="fixed"/>
        <w:tblCellMar>
          <w:top w:w="0" w:type="dxa"/>
          <w:left w:w="108" w:type="dxa"/>
          <w:bottom w:w="0" w:type="dxa"/>
          <w:right w:w="108" w:type="dxa"/>
        </w:tblCellMar>
      </w:tblPr>
      <w:tblGrid>
        <w:gridCol w:w="7"/>
        <w:gridCol w:w="2201"/>
        <w:gridCol w:w="7084"/>
        <w:gridCol w:w="8"/>
      </w:tblGrid>
      <w:tr w14:paraId="3F7AF853">
        <w:tc>
          <w:tcPr>
            <w:tcW w:w="2208" w:type="dxa"/>
            <w:gridSpan w:val="2"/>
            <w:tcBorders>
              <w:right w:val="single" w:color="auto" w:sz="8" w:space="0"/>
            </w:tcBorders>
          </w:tcPr>
          <w:p w14:paraId="3F8577AC">
            <w:pPr>
              <w:autoSpaceDE w:val="0"/>
              <w:autoSpaceDN w:val="0"/>
              <w:adjustRightInd w:val="0"/>
              <w:spacing w:line="240" w:lineRule="atLeast"/>
              <w:ind w:right="360"/>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The Insured</w:t>
            </w:r>
          </w:p>
        </w:tc>
        <w:tc>
          <w:tcPr>
            <w:tcW w:w="7092" w:type="dxa"/>
            <w:gridSpan w:val="2"/>
            <w:tcBorders>
              <w:left w:val="single" w:color="auto" w:sz="8" w:space="0"/>
            </w:tcBorders>
            <w:vAlign w:val="top"/>
          </w:tcPr>
          <w:p w14:paraId="4AC17A3B">
            <w:pPr>
              <w:keepNext w:val="0"/>
              <w:keepLines w:val="0"/>
              <w:widowControl/>
              <w:suppressLineNumbers w:val="0"/>
              <w:jc w:val="left"/>
              <w:textAlignment w:val="top"/>
              <w:rPr>
                <w:rFonts w:hint="eastAsia" w:ascii="Times New Roman" w:hAnsi="Times New Roman" w:cs="Times New Roman" w:eastAsiaTheme="minorEastAsia"/>
                <w:szCs w:val="21"/>
                <w:lang w:eastAsia="zh-CN"/>
              </w:rPr>
            </w:pPr>
            <w:r>
              <w:rPr>
                <w:rFonts w:hint="eastAsia"/>
              </w:rPr>
              <w:t>{</w:t>
            </w:r>
            <w:r>
              <w:rPr>
                <w:rFonts w:hint="eastAsia"/>
                <w:b/>
                <w:bCs/>
                <w:color w:val="auto"/>
                <w:sz w:val="21"/>
                <w:szCs w:val="21"/>
                <w:highlight w:val="none"/>
                <w:lang w:val="en-US" w:eastAsia="zh-CN"/>
              </w:rPr>
              <w:t>The Insured</w:t>
            </w:r>
            <w:r>
              <w:rPr>
                <w:rFonts w:hint="eastAsia"/>
              </w:rPr>
              <w:t>}</w:t>
            </w:r>
          </w:p>
        </w:tc>
      </w:tr>
      <w:tr w14:paraId="45114CD3">
        <w:trPr>
          <w:gridAfter w:val="1"/>
          <w:wAfter w:w="8" w:type="dxa"/>
        </w:trPr>
        <w:tc>
          <w:tcPr>
            <w:tcW w:w="2208" w:type="dxa"/>
            <w:gridSpan w:val="2"/>
            <w:tcBorders>
              <w:right w:val="single" w:color="auto" w:sz="8" w:space="0"/>
            </w:tcBorders>
          </w:tcPr>
          <w:p w14:paraId="140D90FA">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p>
        </w:tc>
        <w:tc>
          <w:tcPr>
            <w:tcW w:w="7084" w:type="dxa"/>
            <w:tcBorders>
              <w:left w:val="single" w:color="auto" w:sz="8" w:space="0"/>
            </w:tcBorders>
            <w:vAlign w:val="top"/>
          </w:tcPr>
          <w:p w14:paraId="3F1BB0E8">
            <w:pPr>
              <w:widowControl/>
              <w:tabs>
                <w:tab w:val="left" w:pos="-1440"/>
                <w:tab w:val="left" w:pos="-720"/>
                <w:tab w:val="left" w:pos="0"/>
                <w:tab w:val="left" w:pos="2165"/>
                <w:tab w:val="left" w:pos="2460"/>
              </w:tabs>
              <w:suppressAutoHyphens/>
              <w:rPr>
                <w:rFonts w:hint="default" w:ascii="Times New Roman" w:hAnsi="Times New Roman" w:cs="Times New Roman" w:eastAsiaTheme="minorEastAsia"/>
                <w:b w:val="0"/>
                <w:bCs w:val="0"/>
                <w:color w:val="auto"/>
                <w:spacing w:val="-2"/>
                <w:kern w:val="0"/>
                <w:szCs w:val="21"/>
              </w:rPr>
            </w:pPr>
            <w:r>
              <w:rPr>
                <w:rFonts w:hint="default" w:ascii="Times New Roman" w:hAnsi="Times New Roman" w:cs="Times New Roman" w:eastAsiaTheme="minorEastAsia"/>
                <w:b w:val="0"/>
                <w:bCs w:val="0"/>
                <w:color w:val="auto"/>
                <w:spacing w:val="-2"/>
                <w:kern w:val="0"/>
                <w:szCs w:val="21"/>
              </w:rPr>
              <w:t>&amp;/or Its Subsidiaries &amp;/or Affiliated Companies &amp;/or Associated Companies for their respective rights and interests</w:t>
            </w:r>
          </w:p>
          <w:p w14:paraId="1AEAB0AA">
            <w:pPr>
              <w:widowControl/>
              <w:tabs>
                <w:tab w:val="left" w:pos="-1440"/>
                <w:tab w:val="left" w:pos="-720"/>
                <w:tab w:val="left" w:pos="0"/>
                <w:tab w:val="left" w:pos="2165"/>
                <w:tab w:val="left" w:pos="2460"/>
              </w:tabs>
              <w:suppressAutoHyphens/>
              <w:rPr>
                <w:rFonts w:hint="default" w:ascii="Times New Roman" w:hAnsi="Times New Roman" w:cs="Times New Roman" w:eastAsiaTheme="minorEastAsia"/>
                <w:b w:val="0"/>
                <w:bCs w:val="0"/>
                <w:color w:val="auto"/>
                <w:spacing w:val="-2"/>
                <w:kern w:val="0"/>
                <w:szCs w:val="21"/>
              </w:rPr>
            </w:pPr>
          </w:p>
        </w:tc>
      </w:tr>
      <w:tr w14:paraId="65631F3D">
        <w:trPr>
          <w:gridAfter w:val="1"/>
          <w:wAfter w:w="8" w:type="dxa"/>
        </w:trPr>
        <w:tc>
          <w:tcPr>
            <w:tcW w:w="2208" w:type="dxa"/>
            <w:gridSpan w:val="2"/>
            <w:tcBorders>
              <w:right w:val="single" w:color="auto" w:sz="8" w:space="0"/>
            </w:tcBorders>
          </w:tcPr>
          <w:p w14:paraId="7F9635D5">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r>
              <w:rPr>
                <w:rFonts w:hint="default" w:ascii="Times New Roman" w:hAnsi="Times New Roman" w:cs="Times New Roman" w:eastAsiaTheme="minorEastAsia"/>
                <w:b/>
                <w:kern w:val="0"/>
                <w:szCs w:val="21"/>
              </w:rPr>
              <w:t xml:space="preserve">Locations </w:t>
            </w:r>
          </w:p>
        </w:tc>
        <w:tc>
          <w:tcPr>
            <w:tcW w:w="7084" w:type="dxa"/>
            <w:tcBorders>
              <w:left w:val="single" w:color="auto" w:sz="8" w:space="0"/>
            </w:tcBorders>
            <w:vAlign w:val="center"/>
          </w:tcPr>
          <w:p w14:paraId="5F93906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rPr>
              <w:t>{</w:t>
            </w:r>
            <w:r>
              <w:rPr>
                <w:rFonts w:hint="eastAsia"/>
                <w:b/>
                <w:bCs/>
                <w:color w:val="auto"/>
                <w:sz w:val="21"/>
                <w:szCs w:val="21"/>
                <w:highlight w:val="none"/>
                <w:lang w:val="en-US" w:eastAsia="zh-CN"/>
              </w:rPr>
              <w:t>Address</w:t>
            </w:r>
            <w:r>
              <w:rPr>
                <w:rFonts w:hint="eastAsia"/>
              </w:rPr>
              <w:t>}</w:t>
            </w:r>
          </w:p>
        </w:tc>
      </w:tr>
      <w:tr w14:paraId="2140551A">
        <w:trPr>
          <w:gridAfter w:val="1"/>
          <w:wAfter w:w="8" w:type="dxa"/>
        </w:trPr>
        <w:tc>
          <w:tcPr>
            <w:tcW w:w="2208" w:type="dxa"/>
            <w:gridSpan w:val="2"/>
            <w:tcBorders>
              <w:right w:val="single" w:color="auto" w:sz="8" w:space="0"/>
            </w:tcBorders>
          </w:tcPr>
          <w:p w14:paraId="5B53C7E5">
            <w:pPr>
              <w:autoSpaceDE w:val="0"/>
              <w:autoSpaceDN w:val="0"/>
              <w:adjustRightInd w:val="0"/>
              <w:spacing w:line="240" w:lineRule="atLeast"/>
              <w:ind w:right="34"/>
              <w:jc w:val="left"/>
              <w:textAlignment w:val="baseline"/>
              <w:rPr>
                <w:rFonts w:hint="default" w:ascii="Times New Roman" w:hAnsi="Times New Roman" w:cs="Times New Roman" w:eastAsiaTheme="minorEastAsia"/>
                <w:b/>
                <w:kern w:val="0"/>
                <w:szCs w:val="21"/>
              </w:rPr>
            </w:pPr>
          </w:p>
        </w:tc>
        <w:tc>
          <w:tcPr>
            <w:tcW w:w="7084" w:type="dxa"/>
            <w:tcBorders>
              <w:left w:val="single" w:color="auto" w:sz="8" w:space="0"/>
            </w:tcBorders>
            <w:vAlign w:val="top"/>
          </w:tcPr>
          <w:p w14:paraId="45D278AF">
            <w:pPr>
              <w:keepNext w:val="0"/>
              <w:keepLines w:val="0"/>
              <w:widowControl/>
              <w:suppressLineNumbers w:val="0"/>
              <w:jc w:val="left"/>
              <w:textAlignment w:val="top"/>
              <w:rPr>
                <w:rFonts w:hint="default" w:ascii="Times New Roman" w:hAnsi="Times New Roman" w:cs="Times New Roman" w:eastAsiaTheme="minorEastAsia"/>
                <w:b w:val="0"/>
                <w:bCs w:val="0"/>
                <w:i w:val="0"/>
                <w:iCs w:val="0"/>
                <w:color w:val="000000"/>
                <w:kern w:val="0"/>
                <w:sz w:val="21"/>
                <w:szCs w:val="21"/>
                <w:u w:val="none"/>
                <w:lang w:val="en-US" w:eastAsia="zh-CN" w:bidi="ar"/>
              </w:rPr>
            </w:pPr>
          </w:p>
        </w:tc>
      </w:tr>
      <w:tr w14:paraId="0C2D3FC4">
        <w:trPr>
          <w:gridBefore w:val="1"/>
          <w:gridAfter w:val="1"/>
          <w:wBefore w:w="7" w:type="dxa"/>
          <w:wAfter w:w="8" w:type="dxa"/>
        </w:trPr>
        <w:tc>
          <w:tcPr>
            <w:tcW w:w="2201" w:type="dxa"/>
            <w:tcBorders>
              <w:right w:val="single" w:color="auto" w:sz="8" w:space="0"/>
            </w:tcBorders>
            <w:noWrap w:val="0"/>
            <w:vAlign w:val="top"/>
          </w:tcPr>
          <w:p w14:paraId="45A3219D">
            <w:pPr>
              <w:tabs>
                <w:tab w:val="left" w:pos="1877"/>
              </w:tabs>
              <w:autoSpaceDE w:val="0"/>
              <w:autoSpaceDN w:val="0"/>
              <w:adjustRightInd w:val="0"/>
              <w:spacing w:line="240" w:lineRule="atLeast"/>
              <w:jc w:val="left"/>
              <w:textAlignment w:val="baseline"/>
              <w:rPr>
                <w:rFonts w:hint="default" w:ascii="Times New Roman" w:hAnsi="Times New Roman" w:cs="Times New Roman" w:eastAsiaTheme="minorEastAsia"/>
                <w:b/>
                <w:color w:val="000000"/>
                <w:kern w:val="0"/>
                <w:szCs w:val="21"/>
              </w:rPr>
            </w:pPr>
            <w:r>
              <w:rPr>
                <w:rFonts w:hint="default" w:ascii="Times New Roman" w:hAnsi="Times New Roman" w:cs="Times New Roman" w:eastAsiaTheme="minorEastAsia"/>
                <w:b/>
                <w:color w:val="000000"/>
                <w:kern w:val="0"/>
                <w:szCs w:val="21"/>
              </w:rPr>
              <w:t>Period of Insurance</w:t>
            </w:r>
          </w:p>
          <w:p w14:paraId="5835045C">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000000"/>
                <w:kern w:val="0"/>
                <w:szCs w:val="21"/>
              </w:rPr>
            </w:pPr>
          </w:p>
        </w:tc>
        <w:tc>
          <w:tcPr>
            <w:tcW w:w="7084" w:type="dxa"/>
            <w:tcBorders>
              <w:left w:val="single" w:color="auto" w:sz="8" w:space="0"/>
            </w:tcBorders>
            <w:noWrap w:val="0"/>
            <w:vAlign w:val="top"/>
          </w:tcPr>
          <w:p w14:paraId="68DA17EF">
            <w:pPr>
              <w:autoSpaceDE w:val="0"/>
              <w:autoSpaceDN w:val="0"/>
              <w:adjustRightInd w:val="0"/>
              <w:spacing w:line="240" w:lineRule="atLeast"/>
              <w:ind w:right="360"/>
              <w:jc w:val="left"/>
              <w:textAlignment w:val="baseline"/>
              <w:rPr>
                <w:rFonts w:hint="default" w:ascii="Times New Roman" w:hAnsi="Times New Roman" w:cs="Times New Roman" w:eastAsiaTheme="minorEastAsia"/>
                <w:color w:val="auto"/>
                <w:kern w:val="0"/>
                <w:szCs w:val="21"/>
              </w:rPr>
            </w:pPr>
            <w:r>
              <w:rPr>
                <w:rFonts w:hint="default" w:ascii="Times New Roman" w:hAnsi="Times New Roman" w:cs="Times New Roman" w:eastAsiaTheme="minorEastAsia"/>
                <w:color w:val="auto"/>
                <w:kern w:val="0"/>
                <w:szCs w:val="21"/>
              </w:rPr>
              <w:t>From 202</w:t>
            </w:r>
            <w:r>
              <w:rPr>
                <w:rFonts w:hint="eastAsia" w:ascii="Times New Roman" w:hAnsi="Times New Roman" w:cs="Times New Roman" w:eastAsiaTheme="minorEastAsia"/>
                <w:color w:val="auto"/>
                <w:kern w:val="0"/>
                <w:szCs w:val="21"/>
                <w:lang w:val="en-US" w:eastAsia="zh-CN"/>
              </w:rPr>
              <w:t>6</w:t>
            </w:r>
            <w:r>
              <w:rPr>
                <w:rFonts w:hint="default" w:ascii="Times New Roman" w:hAnsi="Times New Roman" w:cs="Times New Roman" w:eastAsiaTheme="minorEastAsia"/>
                <w:color w:val="auto"/>
                <w:kern w:val="0"/>
                <w:szCs w:val="21"/>
              </w:rPr>
              <w:t>-01-01 at 0:00 to 202</w:t>
            </w:r>
            <w:r>
              <w:rPr>
                <w:rFonts w:hint="eastAsia" w:ascii="Times New Roman" w:hAnsi="Times New Roman" w:cs="Times New Roman" w:eastAsiaTheme="minorEastAsia"/>
                <w:color w:val="auto"/>
                <w:kern w:val="0"/>
                <w:szCs w:val="21"/>
                <w:lang w:val="en-US" w:eastAsia="zh-CN"/>
              </w:rPr>
              <w:t>6</w:t>
            </w:r>
            <w:r>
              <w:rPr>
                <w:rFonts w:hint="default" w:ascii="Times New Roman" w:hAnsi="Times New Roman" w:cs="Times New Roman" w:eastAsiaTheme="minorEastAsia"/>
                <w:color w:val="auto"/>
                <w:kern w:val="0"/>
                <w:szCs w:val="21"/>
              </w:rPr>
              <w:t>-12-31 at 24:00</w:t>
            </w:r>
          </w:p>
        </w:tc>
      </w:tr>
      <w:tr w14:paraId="68629E61">
        <w:trPr>
          <w:gridBefore w:val="1"/>
          <w:gridAfter w:val="1"/>
          <w:wBefore w:w="7" w:type="dxa"/>
          <w:wAfter w:w="8" w:type="dxa"/>
        </w:trPr>
        <w:tc>
          <w:tcPr>
            <w:tcW w:w="2201" w:type="dxa"/>
            <w:tcBorders>
              <w:right w:val="single" w:color="auto" w:sz="8" w:space="0"/>
            </w:tcBorders>
            <w:noWrap w:val="0"/>
            <w:vAlign w:val="top"/>
          </w:tcPr>
          <w:p w14:paraId="7DFDC673">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Coverage</w:t>
            </w:r>
          </w:p>
        </w:tc>
        <w:tc>
          <w:tcPr>
            <w:tcW w:w="7084" w:type="dxa"/>
            <w:tcBorders>
              <w:left w:val="single" w:color="auto" w:sz="8" w:space="0"/>
            </w:tcBorders>
            <w:noWrap w:val="0"/>
            <w:vAlign w:val="top"/>
          </w:tcPr>
          <w:p w14:paraId="7785E555">
            <w:pPr>
              <w:widowControl/>
              <w:tabs>
                <w:tab w:val="left" w:pos="-1440"/>
                <w:tab w:val="left" w:pos="-720"/>
                <w:tab w:val="left" w:pos="0"/>
                <w:tab w:val="left" w:pos="2165"/>
                <w:tab w:val="left" w:pos="2460"/>
              </w:tabs>
              <w:suppressAutoHyphens/>
              <w:rPr>
                <w:rFonts w:hint="default" w:ascii="Times New Roman" w:hAnsi="Times New Roman" w:eastAsia="宋体" w:cs="Times New Roman"/>
                <w:color w:val="000000"/>
                <w:spacing w:val="-2"/>
                <w:kern w:val="0"/>
                <w:sz w:val="21"/>
                <w:szCs w:val="21"/>
              </w:rPr>
            </w:pPr>
            <w:r>
              <w:rPr>
                <w:rFonts w:hint="default" w:ascii="Times New Roman" w:hAnsi="Times New Roman" w:eastAsia="宋体" w:cs="Times New Roman"/>
                <w:color w:val="000000"/>
                <w:spacing w:val="-2"/>
                <w:kern w:val="0"/>
                <w:sz w:val="21"/>
                <w:szCs w:val="21"/>
              </w:rPr>
              <w:t>Any unforeseen and sudden physical loss or damage from causes such as defects in casting and material, faulty design, fault at workshop or in erection, bad workmanship, lack of skill, carelessness, shortage of water in boilers, physical explosion, tearing apart on account of centrifugal force, short-circuit, or from any other causes not specially excluded in the policy.</w:t>
            </w:r>
          </w:p>
          <w:p w14:paraId="0E06E989">
            <w:pPr>
              <w:autoSpaceDE w:val="0"/>
              <w:autoSpaceDN w:val="0"/>
              <w:adjustRightInd w:val="0"/>
              <w:spacing w:line="240" w:lineRule="atLeast"/>
              <w:ind w:right="360"/>
              <w:jc w:val="left"/>
              <w:textAlignment w:val="baseline"/>
              <w:rPr>
                <w:rFonts w:hint="default" w:ascii="Times New Roman" w:hAnsi="Times New Roman" w:eastAsia="宋体" w:cs="Times New Roman"/>
                <w:color w:val="000000"/>
                <w:kern w:val="0"/>
                <w:sz w:val="21"/>
                <w:szCs w:val="21"/>
              </w:rPr>
            </w:pPr>
          </w:p>
        </w:tc>
      </w:tr>
      <w:tr w14:paraId="4B62915A">
        <w:trPr>
          <w:gridBefore w:val="1"/>
          <w:gridAfter w:val="1"/>
          <w:wBefore w:w="7" w:type="dxa"/>
          <w:wAfter w:w="8" w:type="dxa"/>
        </w:trPr>
        <w:tc>
          <w:tcPr>
            <w:tcW w:w="2201" w:type="dxa"/>
            <w:tcBorders>
              <w:right w:val="single" w:color="auto" w:sz="8" w:space="0"/>
            </w:tcBorders>
            <w:noWrap w:val="0"/>
            <w:vAlign w:val="top"/>
          </w:tcPr>
          <w:p w14:paraId="69096B6C">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Interest Insured</w:t>
            </w:r>
          </w:p>
        </w:tc>
        <w:tc>
          <w:tcPr>
            <w:tcW w:w="7084" w:type="dxa"/>
            <w:tcBorders>
              <w:left w:val="single" w:color="auto" w:sz="8" w:space="0"/>
            </w:tcBorders>
            <w:noWrap w:val="0"/>
            <w:vAlign w:val="top"/>
          </w:tcPr>
          <w:p w14:paraId="05E17EAD">
            <w:pPr>
              <w:widowControl/>
              <w:tabs>
                <w:tab w:val="left" w:pos="-1440"/>
                <w:tab w:val="left" w:pos="-720"/>
                <w:tab w:val="left" w:pos="0"/>
                <w:tab w:val="left" w:pos="2165"/>
                <w:tab w:val="left" w:pos="2460"/>
              </w:tabs>
              <w:suppressAutoHyphens/>
              <w:rPr>
                <w:rFonts w:hint="default" w:ascii="Times New Roman" w:hAnsi="Times New Roman" w:eastAsia="宋体" w:cs="Times New Roman"/>
                <w:color w:val="000000"/>
                <w:spacing w:val="-2"/>
                <w:kern w:val="0"/>
                <w:sz w:val="21"/>
                <w:szCs w:val="21"/>
              </w:rPr>
            </w:pPr>
            <w:r>
              <w:rPr>
                <w:rFonts w:hint="default" w:ascii="Times New Roman" w:hAnsi="Times New Roman" w:eastAsia="宋体" w:cs="Times New Roman"/>
                <w:color w:val="000000"/>
                <w:spacing w:val="-2"/>
                <w:kern w:val="0"/>
                <w:sz w:val="21"/>
                <w:szCs w:val="21"/>
              </w:rPr>
              <w:t>On All Plant, Equipment and Machinery including but not limited to machinery and equipment, boiler and pressure vessel belonging to the insured or for which they are responsible. Including rented equipment and machinery.</w:t>
            </w:r>
          </w:p>
          <w:p w14:paraId="0A6BB976">
            <w:pPr>
              <w:autoSpaceDE w:val="0"/>
              <w:autoSpaceDN w:val="0"/>
              <w:adjustRightInd w:val="0"/>
              <w:spacing w:line="240" w:lineRule="atLeast"/>
              <w:ind w:right="360"/>
              <w:jc w:val="left"/>
              <w:textAlignment w:val="baseline"/>
              <w:rPr>
                <w:rFonts w:hint="default" w:ascii="Times New Roman" w:hAnsi="Times New Roman" w:eastAsia="宋体" w:cs="Times New Roman"/>
                <w:color w:val="000000"/>
                <w:kern w:val="0"/>
                <w:sz w:val="21"/>
                <w:szCs w:val="21"/>
              </w:rPr>
            </w:pPr>
          </w:p>
        </w:tc>
      </w:tr>
      <w:tr w14:paraId="3AE8FC52">
        <w:trPr>
          <w:gridBefore w:val="1"/>
          <w:gridAfter w:val="1"/>
          <w:wBefore w:w="7" w:type="dxa"/>
          <w:wAfter w:w="8" w:type="dxa"/>
          <w:trHeight w:val="723" w:hRule="atLeast"/>
        </w:trPr>
        <w:tc>
          <w:tcPr>
            <w:tcW w:w="2201" w:type="dxa"/>
            <w:tcBorders>
              <w:right w:val="single" w:color="auto" w:sz="8" w:space="0"/>
            </w:tcBorders>
            <w:noWrap w:val="0"/>
            <w:vAlign w:val="top"/>
          </w:tcPr>
          <w:p w14:paraId="432131E3">
            <w:pPr>
              <w:autoSpaceDE w:val="0"/>
              <w:autoSpaceDN w:val="0"/>
              <w:adjustRightInd w:val="0"/>
              <w:spacing w:line="240" w:lineRule="atLeast"/>
              <w:ind w:right="360"/>
              <w:jc w:val="left"/>
              <w:textAlignment w:val="baseline"/>
              <w:rPr>
                <w:rFonts w:hint="default" w:ascii="Times New Roman" w:hAnsi="Times New Roman" w:eastAsia="宋体" w:cs="Times New Roman"/>
                <w:b/>
                <w:bCs w:val="0"/>
                <w:color w:val="000000"/>
                <w:kern w:val="0"/>
                <w:sz w:val="21"/>
                <w:szCs w:val="21"/>
              </w:rPr>
            </w:pPr>
            <w:r>
              <w:rPr>
                <w:rFonts w:hint="default" w:ascii="Times New Roman" w:hAnsi="Times New Roman" w:eastAsia="宋体" w:cs="Times New Roman"/>
                <w:b/>
                <w:bCs w:val="0"/>
                <w:color w:val="000000"/>
                <w:kern w:val="0"/>
                <w:sz w:val="21"/>
                <w:szCs w:val="21"/>
              </w:rPr>
              <w:t>Sum Insured</w:t>
            </w:r>
          </w:p>
          <w:p w14:paraId="54835B84">
            <w:pPr>
              <w:autoSpaceDE w:val="0"/>
              <w:autoSpaceDN w:val="0"/>
              <w:adjustRightInd w:val="0"/>
              <w:spacing w:line="240" w:lineRule="atLeast"/>
              <w:ind w:right="360"/>
              <w:jc w:val="left"/>
              <w:textAlignment w:val="baseline"/>
              <w:rPr>
                <w:rFonts w:hint="eastAsia" w:ascii="Times New Roman" w:hAnsi="Times New Roman" w:eastAsia="等线" w:cs="Times New Roman"/>
                <w:b/>
                <w:bCs w:val="0"/>
                <w:i w:val="0"/>
                <w:iCs w:val="0"/>
                <w:color w:val="000000"/>
                <w:kern w:val="0"/>
                <w:sz w:val="21"/>
                <w:szCs w:val="21"/>
                <w:u w:val="none"/>
                <w:lang w:val="en-US" w:eastAsia="zh-CN" w:bidi="ar"/>
              </w:rPr>
            </w:pPr>
            <w:r>
              <w:rPr>
                <w:rFonts w:hint="eastAsia" w:ascii="Times New Roman" w:hAnsi="Times New Roman" w:eastAsia="等线" w:cs="Times New Roman"/>
                <w:b/>
                <w:bCs w:val="0"/>
                <w:i w:val="0"/>
                <w:iCs w:val="0"/>
                <w:color w:val="000000"/>
                <w:kern w:val="0"/>
                <w:sz w:val="21"/>
                <w:szCs w:val="21"/>
                <w:u w:val="none"/>
                <w:lang w:val="en-US" w:eastAsia="zh-CN" w:bidi="ar"/>
              </w:rPr>
              <w:t>(</w:t>
            </w:r>
            <w:r>
              <w:rPr>
                <w:rFonts w:hint="default" w:ascii="Times New Roman" w:hAnsi="Times New Roman" w:eastAsia="等线" w:cs="Times New Roman"/>
                <w:b/>
                <w:bCs w:val="0"/>
                <w:i w:val="0"/>
                <w:iCs w:val="0"/>
                <w:color w:val="000000"/>
                <w:kern w:val="0"/>
                <w:sz w:val="21"/>
                <w:szCs w:val="21"/>
                <w:u w:val="none"/>
                <w:lang w:val="en-US" w:eastAsia="zh-CN" w:bidi="ar"/>
              </w:rPr>
              <w:t>RMB</w:t>
            </w:r>
            <w:r>
              <w:rPr>
                <w:rFonts w:hint="eastAsia" w:ascii="Times New Roman" w:hAnsi="Times New Roman" w:eastAsia="等线" w:cs="Times New Roman"/>
                <w:b/>
                <w:bCs w:val="0"/>
                <w:i w:val="0"/>
                <w:iCs w:val="0"/>
                <w:color w:val="000000"/>
                <w:kern w:val="0"/>
                <w:sz w:val="21"/>
                <w:szCs w:val="21"/>
                <w:u w:val="none"/>
                <w:lang w:val="en-US" w:eastAsia="zh-CN" w:bidi="ar"/>
              </w:rPr>
              <w:t>)</w:t>
            </w:r>
          </w:p>
          <w:p w14:paraId="68A9B1A5">
            <w:pPr>
              <w:autoSpaceDE w:val="0"/>
              <w:autoSpaceDN w:val="0"/>
              <w:adjustRightInd w:val="0"/>
              <w:spacing w:line="240" w:lineRule="atLeast"/>
              <w:ind w:right="360"/>
              <w:jc w:val="left"/>
              <w:textAlignment w:val="baseline"/>
              <w:rPr>
                <w:rFonts w:hint="default" w:ascii="Times New Roman" w:hAnsi="Times New Roman" w:eastAsia="等线" w:cs="Times New Roman"/>
                <w:i w:val="0"/>
                <w:iCs w:val="0"/>
                <w:color w:val="000000"/>
                <w:kern w:val="0"/>
                <w:sz w:val="21"/>
                <w:szCs w:val="21"/>
                <w:u w:val="none"/>
                <w:lang w:val="en-US" w:eastAsia="zh-CN" w:bidi="ar"/>
              </w:rPr>
            </w:pPr>
          </w:p>
        </w:tc>
        <w:tc>
          <w:tcPr>
            <w:tcW w:w="7084" w:type="dxa"/>
            <w:tcBorders>
              <w:left w:val="single" w:color="auto" w:sz="8" w:space="0"/>
            </w:tcBorders>
            <w:noWrap w:val="0"/>
            <w:vAlign w:val="top"/>
          </w:tcPr>
          <w:p w14:paraId="1C50171A">
            <w:pPr>
              <w:keepNext w:val="0"/>
              <w:keepLines w:val="0"/>
              <w:widowControl/>
              <w:suppressLineNumbers w:val="0"/>
              <w:jc w:val="left"/>
              <w:textAlignment w:val="top"/>
              <w:rPr>
                <w:rFonts w:hint="default" w:ascii="Times New Roman" w:hAnsi="Times New Roman" w:eastAsia="等线" w:cs="Times New Roman"/>
                <w:i w:val="0"/>
                <w:iCs w:val="0"/>
                <w:color w:val="000000"/>
                <w:kern w:val="2"/>
                <w:sz w:val="21"/>
                <w:szCs w:val="21"/>
                <w:u w:val="none"/>
                <w:lang w:val="en-US" w:eastAsia="zh-CN" w:bidi="ar-SA"/>
              </w:rPr>
            </w:pPr>
            <w:r>
              <w:rPr>
                <w:rFonts w:hint="eastAsia"/>
              </w:rPr>
              <w:t>{</w:t>
            </w:r>
            <w:r>
              <w:rPr>
                <w:rFonts w:hint="eastAsia"/>
                <w:b/>
                <w:bCs/>
                <w:color w:val="auto"/>
                <w:sz w:val="21"/>
                <w:szCs w:val="21"/>
                <w:highlight w:val="none"/>
                <w:lang w:val="en-US" w:eastAsia="zh-CN"/>
              </w:rPr>
              <w:t>MB SIV 2026</w:t>
            </w:r>
            <w:r>
              <w:rPr>
                <w:rFonts w:hint="eastAsia"/>
              </w:rPr>
              <w:t>}</w:t>
            </w:r>
          </w:p>
        </w:tc>
      </w:tr>
      <w:tr w14:paraId="12B79201">
        <w:trPr>
          <w:gridBefore w:val="1"/>
          <w:gridAfter w:val="1"/>
          <w:wBefore w:w="7" w:type="dxa"/>
          <w:wAfter w:w="8" w:type="dxa"/>
          <w:trHeight w:val="240" w:hRule="atLeast"/>
        </w:trPr>
        <w:tc>
          <w:tcPr>
            <w:tcW w:w="2201" w:type="dxa"/>
            <w:tcBorders>
              <w:right w:val="single" w:color="auto" w:sz="8" w:space="0"/>
            </w:tcBorders>
            <w:noWrap/>
            <w:vAlign w:val="top"/>
          </w:tcPr>
          <w:p w14:paraId="78323F71">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Valuation Basis</w:t>
            </w:r>
          </w:p>
        </w:tc>
        <w:tc>
          <w:tcPr>
            <w:tcW w:w="7084" w:type="dxa"/>
            <w:tcBorders>
              <w:left w:val="single" w:color="auto" w:sz="8" w:space="0"/>
            </w:tcBorders>
            <w:noWrap/>
            <w:vAlign w:val="top"/>
          </w:tcPr>
          <w:p w14:paraId="5AD0F6C9">
            <w:pP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spacing w:val="-2"/>
                <w:kern w:val="0"/>
                <w:sz w:val="21"/>
                <w:szCs w:val="21"/>
              </w:rPr>
              <w:t>New Replacement Value</w:t>
            </w:r>
          </w:p>
          <w:p w14:paraId="7BCC54A7">
            <w:pPr>
              <w:rPr>
                <w:rFonts w:hint="default" w:ascii="Times New Roman" w:hAnsi="Times New Roman" w:eastAsia="宋体" w:cs="Times New Roman"/>
                <w:color w:val="000000"/>
                <w:kern w:val="0"/>
                <w:sz w:val="21"/>
                <w:szCs w:val="21"/>
              </w:rPr>
            </w:pPr>
          </w:p>
        </w:tc>
      </w:tr>
      <w:tr w14:paraId="2D058144">
        <w:trPr>
          <w:gridBefore w:val="1"/>
          <w:gridAfter w:val="1"/>
          <w:wBefore w:w="7" w:type="dxa"/>
          <w:wAfter w:w="8" w:type="dxa"/>
        </w:trPr>
        <w:tc>
          <w:tcPr>
            <w:tcW w:w="2201" w:type="dxa"/>
            <w:tcBorders>
              <w:right w:val="single" w:color="auto" w:sz="8" w:space="0"/>
            </w:tcBorders>
            <w:noWrap w:val="0"/>
            <w:vAlign w:val="top"/>
          </w:tcPr>
          <w:p w14:paraId="53B0090E">
            <w:pPr>
              <w:autoSpaceDE w:val="0"/>
              <w:autoSpaceDN w:val="0"/>
              <w:adjustRightInd w:val="0"/>
              <w:spacing w:line="240" w:lineRule="atLeast"/>
              <w:ind w:right="360"/>
              <w:jc w:val="left"/>
              <w:textAlignment w:val="baseline"/>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Jurisdiction</w:t>
            </w:r>
          </w:p>
        </w:tc>
        <w:tc>
          <w:tcPr>
            <w:tcW w:w="7084" w:type="dxa"/>
            <w:tcBorders>
              <w:left w:val="single" w:color="auto" w:sz="8" w:space="0"/>
            </w:tcBorders>
            <w:noWrap w:val="0"/>
            <w:vAlign w:val="top"/>
          </w:tcPr>
          <w:p w14:paraId="40368880">
            <w:pPr>
              <w:autoSpaceDE w:val="0"/>
              <w:autoSpaceDN w:val="0"/>
              <w:spacing w:line="280" w:lineRule="exac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spacing w:val="-2"/>
                <w:kern w:val="0"/>
                <w:sz w:val="21"/>
                <w:szCs w:val="21"/>
              </w:rPr>
              <w:t>People's Republic of China, excluding Hong Kong, Macao and Taiwan</w:t>
            </w:r>
          </w:p>
          <w:p w14:paraId="338328E5">
            <w:pPr>
              <w:widowControl/>
              <w:tabs>
                <w:tab w:val="left" w:pos="-1440"/>
                <w:tab w:val="left" w:pos="-720"/>
                <w:tab w:val="left" w:pos="0"/>
                <w:tab w:val="left" w:pos="2165"/>
                <w:tab w:val="left" w:pos="2460"/>
              </w:tabs>
              <w:suppressAutoHyphens/>
              <w:rPr>
                <w:rFonts w:hint="default" w:ascii="Times New Roman" w:hAnsi="Times New Roman" w:eastAsia="宋体" w:cs="Times New Roman"/>
                <w:color w:val="000000"/>
                <w:kern w:val="0"/>
                <w:sz w:val="21"/>
                <w:szCs w:val="21"/>
              </w:rPr>
            </w:pPr>
          </w:p>
        </w:tc>
      </w:tr>
      <w:tr w14:paraId="7DDC10A7">
        <w:trPr>
          <w:gridBefore w:val="1"/>
          <w:gridAfter w:val="1"/>
          <w:wBefore w:w="7" w:type="dxa"/>
          <w:wAfter w:w="8" w:type="dxa"/>
          <w:trHeight w:val="240" w:hRule="atLeast"/>
        </w:trPr>
        <w:tc>
          <w:tcPr>
            <w:tcW w:w="2201" w:type="dxa"/>
            <w:tcBorders>
              <w:right w:val="single" w:color="auto" w:sz="8" w:space="0"/>
            </w:tcBorders>
            <w:noWrap/>
            <w:vAlign w:val="top"/>
          </w:tcPr>
          <w:p w14:paraId="4015EF70">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Extension</w:t>
            </w:r>
          </w:p>
        </w:tc>
        <w:tc>
          <w:tcPr>
            <w:tcW w:w="7084" w:type="dxa"/>
            <w:tcBorders>
              <w:left w:val="single" w:color="auto" w:sz="8" w:space="0"/>
            </w:tcBorders>
            <w:noWrap/>
            <w:vAlign w:val="top"/>
          </w:tcPr>
          <w:p w14:paraId="14AC36C2">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Airfreight Cost (Limit: 30% of the loss) </w:t>
            </w:r>
          </w:p>
          <w:p w14:paraId="0C8D9F83">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Automatic Reinstatement of Sum Insured</w:t>
            </w:r>
          </w:p>
          <w:p w14:paraId="73FEDC4F">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Automatic Cover for New Locations (Limit: RMB10, 000,000 subjects to 90 days reporting period)</w:t>
            </w:r>
          </w:p>
          <w:p w14:paraId="29B1E079">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Average Relief Clause (80%)</w:t>
            </w:r>
          </w:p>
          <w:p w14:paraId="6857DE8C">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Automatic Capital Additions (Limit: 10% of sum insured)</w:t>
            </w:r>
          </w:p>
          <w:p w14:paraId="5E184274">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Breach of Condition Clause</w:t>
            </w:r>
          </w:p>
          <w:p w14:paraId="6304340D">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Co-Insurance Clause</w:t>
            </w:r>
          </w:p>
          <w:p w14:paraId="11E57318">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Cost of Re-Erection </w:t>
            </w:r>
          </w:p>
          <w:p w14:paraId="72710792">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Claim Preparation Cost Clause (Limit: RMB1,000,000 per valid claim)</w:t>
            </w:r>
          </w:p>
          <w:p w14:paraId="1C44D518">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Designation of Property Clause</w:t>
            </w:r>
          </w:p>
          <w:p w14:paraId="2114FB12">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90 Days Notice of Cancellation by Insurer (Immediate Notice of Cancellation by Insured, return premium on pro rata daily basis)</w:t>
            </w:r>
          </w:p>
          <w:p w14:paraId="18C8E2F5">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Extra Charges (Limit: 25% of the loss) (excluding airfreight)</w:t>
            </w:r>
          </w:p>
          <w:p w14:paraId="348E7B0D">
            <w:pPr>
              <w:pStyle w:val="33"/>
              <w:widowControl/>
              <w:numPr>
                <w:ilvl w:val="0"/>
                <w:numId w:val="2"/>
              </w:numPr>
              <w:ind w:firstLineChars="0"/>
              <w:jc w:val="left"/>
              <w:rPr>
                <w:color w:val="auto"/>
              </w:rPr>
            </w:pPr>
            <w:r>
              <w:rPr>
                <w:rFonts w:hint="default" w:ascii="Times New Roman" w:hAnsi="Times New Roman" w:eastAsia="宋体" w:cs="Times New Roman"/>
                <w:color w:val="auto"/>
                <w:kern w:val="0"/>
                <w:sz w:val="21"/>
                <w:szCs w:val="21"/>
              </w:rPr>
              <w:t>Escalation (Limit: 10% of Sum Insured)</w:t>
            </w:r>
          </w:p>
          <w:p w14:paraId="172582EE">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lang w:val="en-US" w:eastAsia="zh-CN" w:bidi="ar"/>
              </w:rPr>
              <w:t>Fire Extinguishing Expenses Clause (Limit: 15% of total sum insured)</w:t>
            </w:r>
          </w:p>
          <w:p w14:paraId="54C20599">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Errors &amp; Omissions</w:t>
            </w:r>
          </w:p>
          <w:p w14:paraId="190D7850">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Loss Notification Clause</w:t>
            </w:r>
          </w:p>
          <w:p w14:paraId="64C148FC">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Misdescription Clause</w:t>
            </w:r>
          </w:p>
          <w:p w14:paraId="538A0355">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Non-invalidation</w:t>
            </w:r>
          </w:p>
          <w:p w14:paraId="3FF4C00B">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No Control</w:t>
            </w:r>
          </w:p>
          <w:p w14:paraId="45F65388">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Pairs &amp; Set Clause</w:t>
            </w:r>
          </w:p>
          <w:p w14:paraId="765A07E5">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Payment on Account </w:t>
            </w:r>
          </w:p>
          <w:p w14:paraId="2BE6C03D">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Premium Payment Clause</w:t>
            </w:r>
          </w:p>
          <w:p w14:paraId="5F14731D">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 xml:space="preserve">Public Utilities </w:t>
            </w:r>
          </w:p>
          <w:p w14:paraId="17CAF3F3">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Professional Fees (Limit: 10% of the Sum Insured)</w:t>
            </w:r>
          </w:p>
          <w:p w14:paraId="3791F170">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Removal of Debris (Limit: 10% of the Sum Insured)</w:t>
            </w:r>
          </w:p>
          <w:p w14:paraId="4F335695">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Replacement value</w:t>
            </w:r>
          </w:p>
          <w:p w14:paraId="1D2C9917">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Temporary Protection Clause (Limit: RMB5,000,000 per occurrence)</w:t>
            </w:r>
          </w:p>
          <w:p w14:paraId="2D4AC6FB">
            <w:pPr>
              <w:pStyle w:val="33"/>
              <w:widowControl/>
              <w:numPr>
                <w:ilvl w:val="0"/>
                <w:numId w:val="2"/>
              </w:numPr>
              <w:ind w:firstLineChars="0"/>
              <w:jc w:val="left"/>
              <w:rPr>
                <w:color w:val="auto"/>
              </w:rPr>
            </w:pPr>
            <w:r>
              <w:rPr>
                <w:rFonts w:hint="default" w:ascii="Times New Roman" w:hAnsi="Times New Roman" w:eastAsia="宋体" w:cs="Times New Roman"/>
                <w:color w:val="auto"/>
                <w:kern w:val="0"/>
                <w:sz w:val="21"/>
                <w:szCs w:val="21"/>
              </w:rPr>
              <w:t>Temporary Removal (Limit: 10% of sum insured)</w:t>
            </w:r>
          </w:p>
          <w:p w14:paraId="05D6C69B">
            <w:pPr>
              <w:pStyle w:val="33"/>
              <w:widowControl/>
              <w:numPr>
                <w:ilvl w:val="0"/>
                <w:numId w:val="2"/>
              </w:numPr>
              <w:ind w:firstLineChars="0"/>
              <w:jc w:val="left"/>
              <w:rPr>
                <w:color w:val="auto"/>
              </w:rPr>
            </w:pPr>
            <w:r>
              <w:rPr>
                <w:rFonts w:hint="default" w:ascii="Times New Roman" w:hAnsi="Times New Roman" w:eastAsia="宋体" w:cs="Times New Roman"/>
                <w:color w:val="auto"/>
                <w:kern w:val="0"/>
                <w:sz w:val="21"/>
                <w:szCs w:val="21"/>
                <w:lang w:val="en-US" w:eastAsia="zh-CN" w:bidi="ar"/>
              </w:rPr>
              <w:t>Tax Clause</w:t>
            </w:r>
          </w:p>
          <w:p w14:paraId="4829E36E">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Waiver of Subrogation</w:t>
            </w:r>
          </w:p>
          <w:p w14:paraId="42A30BEF">
            <w:pPr>
              <w:pStyle w:val="33"/>
              <w:widowControl/>
              <w:numPr>
                <w:ilvl w:val="0"/>
                <w:numId w:val="2"/>
              </w:numPr>
              <w:ind w:firstLineChars="0"/>
              <w:jc w:val="left"/>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Conveyer Belts and Knives Extension Clause传送带、刀具扩展条款</w:t>
            </w:r>
          </w:p>
          <w:p w14:paraId="5B11A0C6">
            <w:pPr>
              <w:pStyle w:val="33"/>
              <w:widowControl/>
              <w:numPr>
                <w:ilvl w:val="0"/>
                <w:numId w:val="2"/>
              </w:numPr>
              <w:ind w:firstLineChars="0"/>
              <w:jc w:val="left"/>
              <w:rPr>
                <w:color w:val="auto"/>
              </w:rPr>
            </w:pPr>
            <w:r>
              <w:rPr>
                <w:rFonts w:hint="default" w:ascii="Times New Roman" w:hAnsi="Times New Roman" w:eastAsia="宋体" w:cs="Times New Roman"/>
                <w:color w:val="auto"/>
                <w:kern w:val="0"/>
                <w:sz w:val="21"/>
                <w:szCs w:val="21"/>
              </w:rPr>
              <w:t>Sue and Labor Clause</w:t>
            </w:r>
          </w:p>
          <w:p w14:paraId="621A4AD0">
            <w:pPr>
              <w:pStyle w:val="33"/>
              <w:widowControl/>
              <w:numPr>
                <w:ilvl w:val="0"/>
                <w:numId w:val="2"/>
              </w:numPr>
              <w:ind w:firstLineChars="0"/>
              <w:jc w:val="left"/>
              <w:rPr>
                <w:color w:val="auto"/>
              </w:rPr>
            </w:pPr>
            <w:r>
              <w:rPr>
                <w:rFonts w:ascii="Arial" w:hAnsi="Arial" w:eastAsia="宋体" w:cs="Arial"/>
                <w:color w:val="auto"/>
                <w:kern w:val="0"/>
                <w:sz w:val="19"/>
                <w:szCs w:val="19"/>
                <w:lang w:val="en-US" w:eastAsia="zh-CN" w:bidi="ar"/>
              </w:rPr>
              <w:t>Strike, Riot &amp; Civil Commotion Clause</w:t>
            </w:r>
          </w:p>
          <w:p w14:paraId="4EF352F7">
            <w:pPr>
              <w:pStyle w:val="33"/>
              <w:widowControl/>
              <w:numPr>
                <w:ilvl w:val="0"/>
                <w:numId w:val="2"/>
              </w:numPr>
              <w:ind w:firstLineChars="0"/>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auto"/>
                <w:kern w:val="0"/>
                <w:sz w:val="21"/>
                <w:szCs w:val="21"/>
              </w:rPr>
              <w:t>Off Premises Property Clause场外维修及改造条款</w:t>
            </w:r>
          </w:p>
        </w:tc>
      </w:tr>
      <w:tr w14:paraId="40C764DE">
        <w:trPr>
          <w:gridBefore w:val="1"/>
          <w:gridAfter w:val="1"/>
          <w:wBefore w:w="7" w:type="dxa"/>
          <w:wAfter w:w="8" w:type="dxa"/>
          <w:trHeight w:val="240" w:hRule="atLeast"/>
        </w:trPr>
        <w:tc>
          <w:tcPr>
            <w:tcW w:w="2201" w:type="dxa"/>
            <w:tcBorders>
              <w:right w:val="single" w:color="auto" w:sz="8" w:space="0"/>
            </w:tcBorders>
            <w:noWrap/>
            <w:vAlign w:val="top"/>
          </w:tcPr>
          <w:p w14:paraId="4DA04449">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p>
        </w:tc>
        <w:tc>
          <w:tcPr>
            <w:tcW w:w="7084" w:type="dxa"/>
            <w:tcBorders>
              <w:left w:val="single" w:color="auto" w:sz="8" w:space="0"/>
            </w:tcBorders>
            <w:noWrap/>
            <w:vAlign w:val="top"/>
          </w:tcPr>
          <w:p w14:paraId="63DB5BAB">
            <w:pPr>
              <w:autoSpaceDE w:val="0"/>
              <w:autoSpaceDN w:val="0"/>
              <w:adjustRightInd w:val="0"/>
              <w:spacing w:line="240" w:lineRule="atLeast"/>
              <w:ind w:right="360"/>
              <w:jc w:val="left"/>
              <w:textAlignment w:val="baseline"/>
              <w:rPr>
                <w:rFonts w:hint="default" w:ascii="Times New Roman" w:hAnsi="Times New Roman" w:eastAsia="宋体" w:cs="Times New Roman"/>
                <w:color w:val="000000"/>
                <w:kern w:val="0"/>
                <w:sz w:val="21"/>
                <w:szCs w:val="21"/>
              </w:rPr>
            </w:pPr>
          </w:p>
        </w:tc>
      </w:tr>
      <w:tr w14:paraId="56A0BF1B">
        <w:trPr>
          <w:gridBefore w:val="1"/>
          <w:gridAfter w:val="1"/>
          <w:wBefore w:w="7" w:type="dxa"/>
          <w:wAfter w:w="8" w:type="dxa"/>
          <w:trHeight w:val="240" w:hRule="atLeast"/>
        </w:trPr>
        <w:tc>
          <w:tcPr>
            <w:tcW w:w="2201" w:type="dxa"/>
            <w:tcBorders>
              <w:right w:val="single" w:color="auto" w:sz="8" w:space="0"/>
            </w:tcBorders>
            <w:noWrap/>
            <w:vAlign w:val="top"/>
          </w:tcPr>
          <w:p w14:paraId="2FCC885A">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Excess</w:t>
            </w:r>
          </w:p>
          <w:p w14:paraId="48645957">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(per occurrence)</w:t>
            </w:r>
          </w:p>
        </w:tc>
        <w:tc>
          <w:tcPr>
            <w:tcW w:w="7084" w:type="dxa"/>
            <w:tcBorders>
              <w:left w:val="single" w:color="auto" w:sz="8" w:space="0"/>
            </w:tcBorders>
            <w:noWrap/>
            <w:vAlign w:val="top"/>
          </w:tcPr>
          <w:p w14:paraId="25DD027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RMB10,000 or 10% of loss, whichever is higher</w:t>
            </w:r>
          </w:p>
        </w:tc>
      </w:tr>
      <w:tr w14:paraId="44CAA57E">
        <w:trPr>
          <w:gridBefore w:val="1"/>
          <w:gridAfter w:val="1"/>
          <w:wBefore w:w="7" w:type="dxa"/>
          <w:wAfter w:w="8" w:type="dxa"/>
          <w:trHeight w:val="240" w:hRule="atLeast"/>
        </w:trPr>
        <w:tc>
          <w:tcPr>
            <w:tcW w:w="2201" w:type="dxa"/>
            <w:tcBorders>
              <w:right w:val="single" w:color="auto" w:sz="8" w:space="0"/>
            </w:tcBorders>
            <w:noWrap/>
            <w:vAlign w:val="top"/>
          </w:tcPr>
          <w:p w14:paraId="090B3565">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p>
        </w:tc>
        <w:tc>
          <w:tcPr>
            <w:tcW w:w="7084" w:type="dxa"/>
            <w:tcBorders>
              <w:left w:val="single" w:color="auto" w:sz="8" w:space="0"/>
            </w:tcBorders>
            <w:noWrap/>
            <w:vAlign w:val="top"/>
          </w:tcPr>
          <w:p w14:paraId="5124F9EC">
            <w:pPr>
              <w:autoSpaceDE w:val="0"/>
              <w:autoSpaceDN w:val="0"/>
              <w:adjustRightInd w:val="0"/>
              <w:spacing w:line="240" w:lineRule="atLeast"/>
              <w:ind w:right="360"/>
              <w:jc w:val="left"/>
              <w:textAlignment w:val="baseline"/>
              <w:rPr>
                <w:rFonts w:hint="default" w:ascii="Times New Roman" w:hAnsi="Times New Roman" w:eastAsia="宋体" w:cs="Times New Roman"/>
                <w:color w:val="000000"/>
                <w:kern w:val="0"/>
                <w:sz w:val="21"/>
                <w:szCs w:val="21"/>
              </w:rPr>
            </w:pPr>
          </w:p>
        </w:tc>
      </w:tr>
      <w:tr w14:paraId="14DB235E">
        <w:trPr>
          <w:gridBefore w:val="1"/>
          <w:gridAfter w:val="1"/>
          <w:wBefore w:w="7" w:type="dxa"/>
          <w:wAfter w:w="8" w:type="dxa"/>
          <w:trHeight w:val="240" w:hRule="atLeast"/>
        </w:trPr>
        <w:tc>
          <w:tcPr>
            <w:tcW w:w="2201" w:type="dxa"/>
            <w:tcBorders>
              <w:right w:val="single" w:color="auto" w:sz="8" w:space="0"/>
            </w:tcBorders>
            <w:noWrap/>
            <w:vAlign w:val="top"/>
          </w:tcPr>
          <w:p w14:paraId="63EAB0EC">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Rate (incl. VAT)</w:t>
            </w:r>
          </w:p>
        </w:tc>
        <w:tc>
          <w:tcPr>
            <w:tcW w:w="7084" w:type="dxa"/>
            <w:tcBorders>
              <w:left w:val="single" w:color="auto" w:sz="8" w:space="0"/>
            </w:tcBorders>
            <w:noWrap/>
            <w:vAlign w:val="center"/>
          </w:tcPr>
          <w:p w14:paraId="36EC527B">
            <w:pPr>
              <w:keepNext w:val="0"/>
              <w:keepLines w:val="0"/>
              <w:widowControl/>
              <w:suppressLineNumbers w:val="0"/>
              <w:jc w:val="both"/>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w:t>
            </w:r>
            <w:r>
              <w:rPr>
                <w:rFonts w:hint="eastAsia" w:ascii="Times New Roman" w:hAnsi="Times New Roman" w:cs="Times New Roman"/>
                <w:i w:val="0"/>
                <w:iCs w:val="0"/>
                <w:color w:val="000000"/>
                <w:kern w:val="0"/>
                <w:sz w:val="21"/>
                <w:szCs w:val="21"/>
                <w:u w:val="none"/>
                <w:lang w:val="en-US" w:eastAsia="zh-CN" w:bidi="ar"/>
              </w:rPr>
              <w:t>65</w:t>
            </w:r>
            <w:r>
              <w:rPr>
                <w:rFonts w:hint="default" w:ascii="Times New Roman" w:hAnsi="Times New Roman" w:eastAsia="宋体" w:cs="Times New Roman"/>
                <w:i w:val="0"/>
                <w:iCs w:val="0"/>
                <w:color w:val="000000"/>
                <w:kern w:val="0"/>
                <w:sz w:val="21"/>
                <w:szCs w:val="21"/>
                <w:u w:val="none"/>
                <w:lang w:val="en-US" w:eastAsia="zh-CN" w:bidi="ar"/>
              </w:rPr>
              <w:t>%</w:t>
            </w:r>
          </w:p>
          <w:p w14:paraId="46BE5A1B">
            <w:pPr>
              <w:keepNext w:val="0"/>
              <w:keepLines w:val="0"/>
              <w:widowControl/>
              <w:suppressLineNumbers w:val="0"/>
              <w:jc w:val="both"/>
              <w:textAlignment w:val="center"/>
              <w:rPr>
                <w:rFonts w:hint="default" w:ascii="Times New Roman" w:hAnsi="Times New Roman" w:eastAsia="宋体" w:cs="Times New Roman"/>
                <w:i w:val="0"/>
                <w:iCs w:val="0"/>
                <w:color w:val="000000"/>
                <w:kern w:val="0"/>
                <w:sz w:val="21"/>
                <w:szCs w:val="21"/>
                <w:u w:val="none"/>
                <w:lang w:val="en-US" w:eastAsia="zh-CN" w:bidi="ar"/>
              </w:rPr>
            </w:pPr>
          </w:p>
        </w:tc>
      </w:tr>
      <w:tr w14:paraId="1AA3C21D">
        <w:trPr>
          <w:gridBefore w:val="1"/>
          <w:gridAfter w:val="1"/>
          <w:wBefore w:w="7" w:type="dxa"/>
          <w:wAfter w:w="8" w:type="dxa"/>
          <w:trHeight w:val="240" w:hRule="atLeast"/>
        </w:trPr>
        <w:tc>
          <w:tcPr>
            <w:tcW w:w="2201" w:type="dxa"/>
            <w:tcBorders>
              <w:right w:val="single" w:color="auto" w:sz="8" w:space="0"/>
            </w:tcBorders>
            <w:noWrap/>
            <w:vAlign w:val="top"/>
          </w:tcPr>
          <w:p w14:paraId="118EA0B7">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000000"/>
                <w:kern w:val="0"/>
                <w:szCs w:val="21"/>
              </w:rPr>
            </w:pPr>
            <w:r>
              <w:rPr>
                <w:rFonts w:hint="default" w:ascii="Times New Roman" w:hAnsi="Times New Roman" w:cs="Times New Roman" w:eastAsiaTheme="minorEastAsia"/>
                <w:b/>
                <w:color w:val="000000"/>
                <w:kern w:val="0"/>
                <w:szCs w:val="21"/>
              </w:rPr>
              <w:t>Premium (</w:t>
            </w:r>
            <w:r>
              <w:rPr>
                <w:rFonts w:hint="eastAsia" w:ascii="Times New Roman" w:hAnsi="Times New Roman" w:cs="Times New Roman" w:eastAsiaTheme="minorEastAsia"/>
                <w:b/>
                <w:color w:val="000000"/>
                <w:kern w:val="0"/>
                <w:szCs w:val="21"/>
                <w:lang w:val="en-US" w:eastAsia="zh-CN"/>
              </w:rPr>
              <w:t>RMB，</w:t>
            </w:r>
            <w:r>
              <w:rPr>
                <w:rFonts w:hint="default" w:ascii="Times New Roman" w:hAnsi="Times New Roman" w:cs="Times New Roman" w:eastAsiaTheme="minorEastAsia"/>
                <w:b/>
                <w:color w:val="000000"/>
                <w:kern w:val="0"/>
                <w:szCs w:val="21"/>
              </w:rPr>
              <w:t>incl. VAT)</w:t>
            </w:r>
          </w:p>
          <w:p w14:paraId="652B08B4">
            <w:pPr>
              <w:autoSpaceDE w:val="0"/>
              <w:autoSpaceDN w:val="0"/>
              <w:adjustRightInd w:val="0"/>
              <w:spacing w:line="240" w:lineRule="atLeast"/>
              <w:ind w:right="360"/>
              <w:jc w:val="left"/>
              <w:textAlignment w:val="baseline"/>
              <w:rPr>
                <w:rFonts w:hint="default" w:ascii="Times New Roman" w:hAnsi="Times New Roman" w:cs="Times New Roman" w:eastAsiaTheme="minorEastAsia"/>
                <w:b/>
                <w:color w:val="000000"/>
                <w:kern w:val="0"/>
                <w:szCs w:val="21"/>
              </w:rPr>
            </w:pPr>
          </w:p>
        </w:tc>
        <w:tc>
          <w:tcPr>
            <w:tcW w:w="7084" w:type="dxa"/>
            <w:tcBorders>
              <w:left w:val="single" w:color="auto" w:sz="8" w:space="0"/>
            </w:tcBorders>
            <w:noWrap/>
            <w:vAlign w:val="top"/>
          </w:tcPr>
          <w:p w14:paraId="56366FD0">
            <w:pPr>
              <w:keepNext w:val="0"/>
              <w:keepLines w:val="0"/>
              <w:widowControl/>
              <w:suppressLineNumbers w:val="0"/>
              <w:jc w:val="left"/>
              <w:textAlignment w:val="top"/>
              <w:rPr>
                <w:rFonts w:hint="default" w:ascii="Times New Roman" w:hAnsi="Times New Roman" w:eastAsia="等线" w:cs="Times New Roman"/>
                <w:i w:val="0"/>
                <w:iCs w:val="0"/>
                <w:color w:val="000000"/>
                <w:kern w:val="2"/>
                <w:sz w:val="21"/>
                <w:szCs w:val="21"/>
                <w:u w:val="none"/>
                <w:lang w:val="en-US" w:eastAsia="zh-CN" w:bidi="ar-SA"/>
              </w:rPr>
            </w:pPr>
            <w:r>
              <w:rPr>
                <w:rFonts w:hint="eastAsia"/>
              </w:rPr>
              <w:t>{</w:t>
            </w:r>
            <w:r>
              <w:rPr>
                <w:rFonts w:hint="eastAsia"/>
                <w:b/>
                <w:bCs/>
                <w:color w:val="auto"/>
                <w:sz w:val="21"/>
                <w:szCs w:val="21"/>
                <w:highlight w:val="none"/>
                <w:lang w:val="en-US" w:eastAsia="zh-CN"/>
              </w:rPr>
              <w:t>MB</w:t>
            </w:r>
            <w:r>
              <w:rPr>
                <w:rFonts w:hint="eastAsia"/>
              </w:rPr>
              <w:t>}</w:t>
            </w:r>
          </w:p>
        </w:tc>
      </w:tr>
      <w:tr w14:paraId="445FB9F9">
        <w:trPr>
          <w:gridBefore w:val="1"/>
          <w:gridAfter w:val="1"/>
          <w:wBefore w:w="7" w:type="dxa"/>
          <w:wAfter w:w="8" w:type="dxa"/>
          <w:trHeight w:val="240" w:hRule="atLeast"/>
        </w:trPr>
        <w:tc>
          <w:tcPr>
            <w:tcW w:w="2201" w:type="dxa"/>
            <w:tcBorders>
              <w:right w:val="single" w:color="auto" w:sz="8" w:space="0"/>
            </w:tcBorders>
            <w:noWrap/>
            <w:vAlign w:val="top"/>
          </w:tcPr>
          <w:p w14:paraId="17C187F1">
            <w:pPr>
              <w:autoSpaceDE w:val="0"/>
              <w:autoSpaceDN w:val="0"/>
              <w:adjustRightInd w:val="0"/>
              <w:spacing w:line="240" w:lineRule="atLeast"/>
              <w:ind w:right="360"/>
              <w:jc w:val="left"/>
              <w:textAlignment w:val="baseline"/>
              <w:rPr>
                <w:rFonts w:hint="default" w:ascii="Times New Roman" w:hAnsi="Times New Roman" w:eastAsia="宋体" w:cs="Times New Roman"/>
                <w:b/>
                <w:color w:val="000000"/>
                <w:kern w:val="0"/>
                <w:sz w:val="21"/>
                <w:szCs w:val="21"/>
              </w:rPr>
            </w:pPr>
            <w:r>
              <w:rPr>
                <w:rFonts w:hint="default" w:ascii="Times New Roman" w:hAnsi="Times New Roman" w:eastAsia="宋体" w:cs="Times New Roman"/>
                <w:b/>
                <w:color w:val="000000"/>
                <w:kern w:val="0"/>
                <w:sz w:val="21"/>
                <w:szCs w:val="21"/>
              </w:rPr>
              <w:t>Remarks</w:t>
            </w:r>
          </w:p>
        </w:tc>
        <w:tc>
          <w:tcPr>
            <w:tcW w:w="7084" w:type="dxa"/>
            <w:tcBorders>
              <w:left w:val="single" w:color="auto" w:sz="8" w:space="0"/>
            </w:tcBorders>
            <w:noWrap/>
            <w:vAlign w:val="top"/>
          </w:tcPr>
          <w:p w14:paraId="7921D3CE">
            <w:pPr>
              <w:pStyle w:val="33"/>
              <w:widowControl/>
              <w:numPr>
                <w:ilvl w:val="0"/>
                <w:numId w:val="3"/>
              </w:numPr>
              <w:ind w:firstLineChars="0"/>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spacing w:val="-2"/>
                <w:kern w:val="0"/>
                <w:sz w:val="21"/>
                <w:szCs w:val="21"/>
              </w:rPr>
              <w:t>Other terms and conditions are subject to standard policy wording</w:t>
            </w:r>
          </w:p>
          <w:p w14:paraId="6D4FA2BE">
            <w:pPr>
              <w:pStyle w:val="33"/>
              <w:widowControl/>
              <w:numPr>
                <w:ilvl w:val="0"/>
                <w:numId w:val="3"/>
              </w:numPr>
              <w:ind w:firstLineChars="0"/>
              <w:jc w:val="left"/>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 xml:space="preserve">鉴于10年以上的，或净值低于账面原值的10%的机器及附属设备仍在使用，且已包含在投保数据中，本保单扩展承保以下保险标的： </w:t>
            </w:r>
          </w:p>
          <w:p w14:paraId="078757FB">
            <w:pPr>
              <w:ind w:firstLine="420" w:firstLineChars="200"/>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 xml:space="preserve">（一）使用年限达到10年以上（含）的机器及附属设备； </w:t>
            </w:r>
          </w:p>
          <w:p w14:paraId="0775909F">
            <w:pPr>
              <w:ind w:firstLine="420" w:firstLineChars="200"/>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（二）账面净值低于账面原值的10%的机器及附属设备。</w:t>
            </w:r>
          </w:p>
          <w:p w14:paraId="3D7F6078">
            <w:pPr>
              <w:pStyle w:val="33"/>
              <w:widowControl/>
              <w:numPr>
                <w:ilvl w:val="0"/>
                <w:numId w:val="3"/>
              </w:numPr>
              <w:ind w:firstLineChars="0"/>
              <w:jc w:val="left"/>
              <w:rPr>
                <w:rFonts w:hint="default" w:ascii="Times New Roman" w:hAnsi="Times New Roman" w:eastAsia="宋体" w:cs="Times New Roman"/>
                <w:color w:val="000000"/>
                <w:spacing w:val="-2"/>
                <w:kern w:val="0"/>
                <w:sz w:val="21"/>
                <w:szCs w:val="21"/>
              </w:rPr>
            </w:pPr>
            <w:r>
              <w:rPr>
                <w:rFonts w:hint="default" w:ascii="Times New Roman" w:hAnsi="Times New Roman" w:eastAsia="宋体" w:cs="Times New Roman"/>
                <w:color w:val="000000"/>
                <w:spacing w:val="-2"/>
                <w:kern w:val="0"/>
                <w:sz w:val="21"/>
                <w:szCs w:val="21"/>
                <w:lang w:val="en-US" w:eastAsia="zh-CN"/>
              </w:rPr>
              <w:t>If there is any conflict between the Chinese wording and the English wording, the Chinese wording shall prevail. 如中英文措辞有任何冲突，以中文</w:t>
            </w:r>
            <w:r>
              <w:rPr>
                <w:rFonts w:hint="eastAsia" w:ascii="Times New Roman" w:hAnsi="Times New Roman" w:eastAsia="宋体" w:cs="Times New Roman"/>
                <w:color w:val="000000"/>
                <w:spacing w:val="-2"/>
                <w:kern w:val="0"/>
                <w:sz w:val="21"/>
                <w:szCs w:val="21"/>
                <w:lang w:val="en-US" w:eastAsia="zh-CN"/>
              </w:rPr>
              <w:t>措辞为准。</w:t>
            </w:r>
          </w:p>
          <w:p w14:paraId="1988EF37">
            <w:pPr>
              <w:pStyle w:val="33"/>
              <w:widowControl/>
              <w:ind w:firstLineChars="0"/>
              <w:jc w:val="left"/>
              <w:rPr>
                <w:rFonts w:hint="default" w:ascii="Times New Roman" w:hAnsi="Times New Roman" w:eastAsia="宋体" w:cs="Times New Roman"/>
                <w:color w:val="FF0000"/>
                <w:kern w:val="0"/>
                <w:sz w:val="21"/>
                <w:szCs w:val="21"/>
              </w:rPr>
            </w:pPr>
          </w:p>
          <w:p w14:paraId="65D1BFD4">
            <w:pPr>
              <w:pStyle w:val="33"/>
              <w:widowControl/>
              <w:ind w:firstLineChars="0"/>
              <w:jc w:val="left"/>
              <w:rPr>
                <w:rFonts w:hint="default" w:ascii="Times New Roman" w:hAnsi="Times New Roman" w:eastAsia="宋体" w:cs="Times New Roman"/>
                <w:color w:val="000000"/>
                <w:kern w:val="0"/>
                <w:sz w:val="21"/>
                <w:szCs w:val="21"/>
              </w:rPr>
            </w:pPr>
          </w:p>
        </w:tc>
      </w:tr>
    </w:tbl>
    <w:p w14:paraId="2569C9F3">
      <w:pPr>
        <w:rPr>
          <w:rFonts w:ascii="Times New Roman" w:hAnsi="Times New Roman" w:eastAsiaTheme="minorEastAsia"/>
          <w:b/>
          <w:kern w:val="0"/>
          <w:szCs w:val="21"/>
        </w:rPr>
      </w:pPr>
      <w:r>
        <w:rPr>
          <w:rFonts w:ascii="Times New Roman" w:hAnsi="Times New Roman" w:eastAsiaTheme="minorEastAsia"/>
          <w:b/>
          <w:kern w:val="0"/>
          <w:szCs w:val="21"/>
        </w:rPr>
        <w:br w:type="page"/>
      </w:r>
    </w:p>
    <w:p w14:paraId="4B80193D">
      <w:pPr>
        <w:autoSpaceDE w:val="0"/>
        <w:autoSpaceDN w:val="0"/>
        <w:adjustRightInd w:val="0"/>
        <w:spacing w:line="240" w:lineRule="atLeast"/>
        <w:ind w:right="360"/>
        <w:textAlignment w:val="baseline"/>
        <w:rPr>
          <w:rFonts w:ascii="Times New Roman" w:hAnsi="Times New Roman" w:eastAsiaTheme="minorEastAsia"/>
          <w:b/>
          <w:kern w:val="0"/>
          <w:szCs w:val="21"/>
        </w:rPr>
        <w:sectPr>
          <w:footerReference r:id="rId5" w:type="default"/>
          <w:pgSz w:w="11906" w:h="16838"/>
          <w:pgMar w:top="1440" w:right="1466" w:bottom="1440" w:left="1170" w:header="851" w:footer="992" w:gutter="0"/>
          <w:pgNumType w:fmt="decimal" w:start="1"/>
          <w:cols w:space="425" w:num="1"/>
        </w:sectPr>
      </w:pPr>
    </w:p>
    <w:p w14:paraId="34D9EC2D">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szCs w:val="21"/>
          <w:lang w:val="en-GB"/>
        </w:rPr>
        <w:t>CHINA PACIFIC PROPERTY INSURANCE COMPANY LIMITED</w:t>
      </w:r>
      <w:r>
        <w:rPr>
          <w:rFonts w:ascii="Times New Roman" w:hAnsi="Times New Roman" w:eastAsiaTheme="minorEastAsia"/>
          <w:b/>
          <w:bCs/>
          <w:szCs w:val="21"/>
        </w:rPr>
        <w:t xml:space="preserve"> </w:t>
      </w:r>
    </w:p>
    <w:p w14:paraId="564E6632">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MACHINERY BREAKDOWN INSURANCE CLAUSES</w:t>
      </w:r>
    </w:p>
    <w:p w14:paraId="6C3F6183">
      <w:pPr>
        <w:snapToGrid w:val="0"/>
        <w:spacing w:after="50"/>
        <w:jc w:val="center"/>
        <w:rPr>
          <w:rFonts w:ascii="Times New Roman" w:hAnsi="Times New Roman" w:eastAsiaTheme="minorEastAsia"/>
          <w:b/>
          <w:bCs/>
          <w:szCs w:val="21"/>
        </w:rPr>
      </w:pPr>
    </w:p>
    <w:p w14:paraId="68E0C63F">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GENERAL PROVISION</w:t>
      </w:r>
    </w:p>
    <w:p w14:paraId="4D795AF0">
      <w:pPr>
        <w:snapToGrid w:val="0"/>
        <w:spacing w:after="50"/>
        <w:rPr>
          <w:rFonts w:ascii="Times New Roman" w:hAnsi="Times New Roman" w:eastAsiaTheme="minorEastAsia"/>
          <w:bCs/>
          <w:szCs w:val="21"/>
        </w:rPr>
      </w:pPr>
      <w:r>
        <w:rPr>
          <w:rFonts w:ascii="Times New Roman" w:hAnsi="Times New Roman" w:eastAsiaTheme="minorEastAsia"/>
          <w:b/>
          <w:bCs/>
          <w:szCs w:val="21"/>
        </w:rPr>
        <w:t>Article 1</w:t>
      </w:r>
      <w:r>
        <w:rPr>
          <w:rFonts w:ascii="Times New Roman" w:hAnsi="Times New Roman" w:eastAsiaTheme="minorEastAsia"/>
          <w:bCs/>
          <w:szCs w:val="21"/>
        </w:rPr>
        <w:t xml:space="preserve"> The Insurance Contract incorporates the Insurance Clauses, Proposal Form, Policy or Certificate, Endorsements (if any). Any agreement related to the Insurance Contract shall be in written form.</w:t>
      </w:r>
    </w:p>
    <w:p w14:paraId="45C87B95">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PROPERTY INSURED</w:t>
      </w:r>
    </w:p>
    <w:p w14:paraId="2425B265">
      <w:pPr>
        <w:snapToGrid w:val="0"/>
        <w:spacing w:after="50"/>
        <w:jc w:val="left"/>
        <w:rPr>
          <w:rFonts w:ascii="Times New Roman" w:hAnsi="Times New Roman" w:eastAsiaTheme="minorEastAsia"/>
          <w:bCs/>
          <w:szCs w:val="21"/>
        </w:rPr>
      </w:pPr>
      <w:r>
        <w:rPr>
          <w:rFonts w:ascii="Times New Roman" w:hAnsi="Times New Roman" w:eastAsiaTheme="minorEastAsia"/>
          <w:b/>
          <w:bCs/>
          <w:szCs w:val="21"/>
        </w:rPr>
        <w:t>Article 2</w:t>
      </w:r>
      <w:r>
        <w:rPr>
          <w:rFonts w:ascii="Times New Roman" w:hAnsi="Times New Roman" w:eastAsiaTheme="minorEastAsia"/>
          <w:bCs/>
          <w:szCs w:val="21"/>
        </w:rPr>
        <w:t xml:space="preserve"> The plants, machinery, equipments and associated parts thereof (hereinafter called Machinery) specified in this Policy shall be the property insured.</w:t>
      </w:r>
    </w:p>
    <w:p w14:paraId="61D1C1A7">
      <w:pPr>
        <w:snapToGrid w:val="0"/>
        <w:spacing w:after="50"/>
        <w:jc w:val="left"/>
        <w:rPr>
          <w:rFonts w:ascii="Times New Roman" w:hAnsi="Times New Roman" w:eastAsiaTheme="minorEastAsia"/>
          <w:bCs/>
          <w:szCs w:val="21"/>
        </w:rPr>
      </w:pPr>
    </w:p>
    <w:p w14:paraId="4E1FE962">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SCOPE OF COVER</w:t>
      </w:r>
    </w:p>
    <w:p w14:paraId="29123AE4">
      <w:pPr>
        <w:widowControl/>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3 </w:t>
      </w:r>
      <w:r>
        <w:rPr>
          <w:rFonts w:ascii="Times New Roman" w:hAnsi="Times New Roman" w:eastAsiaTheme="minorEastAsia"/>
          <w:bCs/>
          <w:szCs w:val="21"/>
        </w:rPr>
        <w:t>Subject to the terms, exclusions, conditions and provisions contained in the Policy or endorsed thereon, the</w:t>
      </w:r>
      <w:r>
        <w:rPr>
          <w:rFonts w:ascii="Times New Roman" w:hAnsi="Times New Roman" w:eastAsiaTheme="minorEastAsia"/>
          <w:b/>
          <w:bCs/>
          <w:szCs w:val="21"/>
        </w:rPr>
        <w:t xml:space="preserve"> </w:t>
      </w:r>
      <w:r>
        <w:rPr>
          <w:rFonts w:ascii="Times New Roman" w:hAnsi="Times New Roman" w:eastAsiaTheme="minorEastAsia"/>
          <w:bCs/>
          <w:szCs w:val="21"/>
        </w:rPr>
        <w:t>insurer shall indemnify the Inured in respect of the physical loss of or damage to the property insured (physical loss or damage being hereinafter called Damage) during the period of insurance arising from any sudden and unforeseen accident caused by:</w:t>
      </w:r>
    </w:p>
    <w:p w14:paraId="3497095D">
      <w:pPr>
        <w:snapToGrid w:val="0"/>
        <w:spacing w:after="120" w:afterLines="50"/>
        <w:ind w:left="315" w:hanging="315" w:hangingChars="150"/>
        <w:rPr>
          <w:rFonts w:ascii="Times New Roman" w:hAnsi="Times New Roman" w:eastAsiaTheme="minorEastAsia"/>
          <w:bCs/>
          <w:szCs w:val="21"/>
        </w:rPr>
      </w:pPr>
      <w:r>
        <w:rPr>
          <w:rFonts w:ascii="Times New Roman" w:hAnsi="Times New Roman" w:eastAsiaTheme="minorEastAsia"/>
          <w:bCs/>
          <w:szCs w:val="21"/>
        </w:rPr>
        <w:t>3.1 faulty design, faults at workshop or in erection, defects in casting and material;</w:t>
      </w:r>
    </w:p>
    <w:p w14:paraId="155A880B">
      <w:pPr>
        <w:snapToGrid w:val="0"/>
        <w:spacing w:after="120" w:afterLines="50"/>
        <w:ind w:left="315" w:hanging="315" w:hangingChars="150"/>
        <w:rPr>
          <w:rFonts w:ascii="Times New Roman" w:hAnsi="Times New Roman" w:eastAsiaTheme="minorEastAsia"/>
          <w:szCs w:val="21"/>
        </w:rPr>
      </w:pPr>
      <w:r>
        <w:rPr>
          <w:rFonts w:ascii="Times New Roman" w:hAnsi="Times New Roman" w:eastAsiaTheme="minorEastAsia"/>
          <w:szCs w:val="21"/>
        </w:rPr>
        <w:t>3.</w:t>
      </w:r>
      <w:r>
        <w:rPr>
          <w:rFonts w:ascii="Times New Roman" w:hAnsi="Times New Roman" w:eastAsiaTheme="minorEastAsia"/>
          <w:bCs/>
          <w:szCs w:val="21"/>
        </w:rPr>
        <w:t>2 faulty operation, lack of skills, bad workmanship, negligence, faults and malicious acts on the part of workers or technicians;</w:t>
      </w:r>
    </w:p>
    <w:p w14:paraId="4CDE5584">
      <w:pPr>
        <w:snapToGrid w:val="0"/>
        <w:spacing w:after="120" w:afterLines="50"/>
        <w:ind w:left="315" w:hanging="315" w:hangingChars="150"/>
        <w:rPr>
          <w:rFonts w:ascii="Times New Roman" w:hAnsi="Times New Roman" w:eastAsiaTheme="minorEastAsia"/>
          <w:bCs/>
          <w:szCs w:val="21"/>
        </w:rPr>
      </w:pPr>
      <w:r>
        <w:rPr>
          <w:rFonts w:ascii="Times New Roman" w:hAnsi="Times New Roman" w:eastAsiaTheme="minorEastAsia"/>
          <w:szCs w:val="21"/>
        </w:rPr>
        <w:t>3.3</w:t>
      </w:r>
      <w:r>
        <w:rPr>
          <w:rFonts w:ascii="Times New Roman" w:hAnsi="Times New Roman" w:eastAsiaTheme="minorEastAsia"/>
          <w:bCs/>
          <w:szCs w:val="21"/>
        </w:rPr>
        <w:t xml:space="preserve"> tearing apart on account of centrifugal force;</w:t>
      </w:r>
    </w:p>
    <w:p w14:paraId="7A1D651D">
      <w:pPr>
        <w:snapToGrid w:val="0"/>
        <w:spacing w:after="120" w:afterLines="50"/>
        <w:ind w:left="315" w:hanging="315" w:hangingChars="150"/>
        <w:rPr>
          <w:rFonts w:ascii="Times New Roman" w:hAnsi="Times New Roman" w:eastAsiaTheme="minorEastAsia"/>
          <w:szCs w:val="21"/>
        </w:rPr>
      </w:pPr>
      <w:r>
        <w:rPr>
          <w:rFonts w:ascii="Times New Roman" w:hAnsi="Times New Roman" w:eastAsiaTheme="minorEastAsia"/>
          <w:szCs w:val="21"/>
        </w:rPr>
        <w:t>3.</w:t>
      </w:r>
      <w:r>
        <w:rPr>
          <w:rFonts w:ascii="Times New Roman" w:hAnsi="Times New Roman" w:eastAsiaTheme="minorEastAsia"/>
          <w:bCs/>
          <w:szCs w:val="21"/>
        </w:rPr>
        <w:t>4 overloading, over voltage, electric arc , electrical faults , short-circuit, atmospheric discharge,  inductive electricity and other electric phenomena;</w:t>
      </w:r>
    </w:p>
    <w:p w14:paraId="26338FDA">
      <w:pPr>
        <w:autoSpaceDE w:val="0"/>
        <w:autoSpaceDN w:val="0"/>
        <w:adjustRightInd w:val="0"/>
        <w:snapToGrid w:val="0"/>
        <w:spacing w:after="120" w:afterLines="50"/>
        <w:ind w:left="315" w:hanging="315" w:hangingChars="150"/>
        <w:rPr>
          <w:rFonts w:ascii="Times New Roman" w:hAnsi="Times New Roman" w:eastAsiaTheme="minorEastAsia"/>
          <w:bCs/>
          <w:szCs w:val="21"/>
        </w:rPr>
      </w:pPr>
      <w:r>
        <w:rPr>
          <w:rFonts w:ascii="Times New Roman" w:hAnsi="Times New Roman" w:eastAsiaTheme="minorEastAsia"/>
          <w:szCs w:val="21"/>
        </w:rPr>
        <w:t>3.</w:t>
      </w:r>
      <w:r>
        <w:rPr>
          <w:rFonts w:ascii="Times New Roman" w:hAnsi="Times New Roman" w:eastAsiaTheme="minorEastAsia"/>
          <w:bCs/>
          <w:szCs w:val="21"/>
        </w:rPr>
        <w:t>5 any other events than those enumerated in Exclusions hereinafter.</w:t>
      </w:r>
    </w:p>
    <w:p w14:paraId="3F0B3E7B">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 xml:space="preserve">Article 4 </w:t>
      </w:r>
      <w:r>
        <w:rPr>
          <w:rFonts w:ascii="Times New Roman" w:hAnsi="Times New Roman" w:eastAsiaTheme="minorEastAsia"/>
          <w:bCs/>
          <w:szCs w:val="21"/>
        </w:rPr>
        <w:t>Subject to the terms, conditions and exclusions contained herein or endorsed hereon, the Insurer shall also indemnify the Insured in respect of costs and expenses necessarily and reasonably incurred for the purpose of preventing or mitigating the loss of or damage to the property insured after the occurrence of an insured event.</w:t>
      </w:r>
    </w:p>
    <w:p w14:paraId="43DE4243">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EXCLUSIONS</w:t>
      </w:r>
    </w:p>
    <w:p w14:paraId="61D57F5F">
      <w:pPr>
        <w:snapToGrid w:val="0"/>
        <w:spacing w:after="120" w:afterLines="50"/>
        <w:rPr>
          <w:rFonts w:ascii="Times New Roman" w:hAnsi="Times New Roman" w:eastAsiaTheme="minorEastAsia"/>
          <w:b/>
          <w:szCs w:val="21"/>
        </w:rPr>
      </w:pPr>
      <w:r>
        <w:rPr>
          <w:rFonts w:ascii="Times New Roman" w:hAnsi="Times New Roman" w:eastAsiaTheme="minorEastAsia"/>
          <w:b/>
          <w:szCs w:val="21"/>
        </w:rPr>
        <w:t xml:space="preserve">Article 5 </w:t>
      </w:r>
      <w:r>
        <w:rPr>
          <w:rFonts w:ascii="Times New Roman" w:hAnsi="Times New Roman" w:eastAsiaTheme="minorEastAsia"/>
          <w:b/>
          <w:vanish/>
          <w:szCs w:val="21"/>
        </w:rPr>
        <w:cr/>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t>itigating the loss of the property insured.incurred after the occurrence of the insured event for the purpose of preventing or m</w:t>
      </w:r>
      <w:r>
        <w:rPr>
          <w:rFonts w:ascii="Times New Roman" w:hAnsi="Times New Roman" w:eastAsiaTheme="minorEastAsia"/>
          <w:b/>
          <w:vanish/>
          <w:szCs w:val="21"/>
        </w:rPr>
        <w:cr/>
      </w:r>
      <w:r>
        <w:rPr>
          <w:rFonts w:ascii="Times New Roman" w:hAnsi="Times New Roman" w:eastAsiaTheme="minorEastAsia"/>
          <w:b/>
          <w:vanish/>
          <w:szCs w:val="21"/>
        </w:rPr>
        <w:t>rticle its;</w:t>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vanish/>
          <w:szCs w:val="21"/>
        </w:rPr>
        <w:pgNum/>
      </w:r>
      <w:r>
        <w:rPr>
          <w:rFonts w:ascii="Times New Roman" w:hAnsi="Times New Roman" w:eastAsiaTheme="minorEastAsia"/>
          <w:b/>
          <w:szCs w:val="21"/>
        </w:rPr>
        <w:t>The Insurer shall not be liable for any loss or expense caused by or arising from:</w:t>
      </w:r>
    </w:p>
    <w:p w14:paraId="2E700EF8">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1 willful act or gross negligence of the Insured or his representative;</w:t>
      </w:r>
    </w:p>
    <w:p w14:paraId="25F19889">
      <w:pPr>
        <w:snapToGrid w:val="0"/>
        <w:spacing w:after="120" w:afterLines="50"/>
        <w:ind w:left="358" w:hanging="357" w:hangingChars="170"/>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2 faults or defects existing in the machinery and equipments and thereof associated parts at the commencement of the insurance which ought to have been known or were known to the Insured or his representative;</w:t>
      </w:r>
    </w:p>
    <w:p w14:paraId="2E7CA593">
      <w:pPr>
        <w:snapToGrid w:val="0"/>
        <w:spacing w:after="120" w:afterLines="50"/>
        <w:ind w:left="390" w:hanging="389" w:hangingChars="185"/>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3 war, warlike operation, hostilities, armed conflicts, terrorism, conspiracy insurrection, coup d'etat, strike, riot and civil commotion;</w:t>
      </w:r>
    </w:p>
    <w:p w14:paraId="090BBD21">
      <w:pPr>
        <w:snapToGrid w:val="0"/>
        <w:spacing w:after="120" w:afterLines="50"/>
        <w:ind w:left="373" w:hanging="372" w:hangingChars="177"/>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4 confiscations, requisition, destruction or damage by any action or order of any government de jure or de facto or by any public authorities;</w:t>
      </w:r>
    </w:p>
    <w:p w14:paraId="240F0222">
      <w:pPr>
        <w:snapToGrid w:val="0"/>
        <w:spacing w:after="120" w:afterLines="50"/>
        <w:ind w:left="407" w:hanging="406" w:hangingChars="193"/>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5 nuclear fission, nuclear fusion, nuclear weapon, nuclear material, nuclear radiation and radioactive contamination;</w:t>
      </w:r>
    </w:p>
    <w:p w14:paraId="6ED9817F">
      <w:pPr>
        <w:snapToGrid w:val="0"/>
        <w:spacing w:after="120" w:afterLines="50"/>
        <w:ind w:left="373" w:hanging="372" w:hangingChars="177"/>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6 physical or chemical reaction such as wear and tear, oxidation, erosion, corrosion, rust or boiler scale as a direct consequence of ordinary use or operation;</w:t>
      </w:r>
    </w:p>
    <w:p w14:paraId="6531BDD8">
      <w:pPr>
        <w:snapToGrid w:val="0"/>
        <w:spacing w:after="120" w:afterLines="50"/>
        <w:ind w:left="358" w:hanging="357" w:hangingChars="170"/>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7 failure of supply of electricity, gas, water caused by restriction or willful act of public utilities or by other non-accidental events;</w:t>
      </w:r>
    </w:p>
    <w:p w14:paraId="333826B7">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8 fire and explosion;</w:t>
      </w:r>
    </w:p>
    <w:p w14:paraId="73A0EC73">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9 earthquake, tsunami and secondary disasters so caused;</w:t>
      </w:r>
    </w:p>
    <w:p w14:paraId="306AC3CD">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10 thunder and lightning, hurricane, typhoon, tornado, storm, tempest, flood, hailstorm, landslide, rockslide, avalanche, volcanic explosion, subsidence of ground and other natural hazards;</w:t>
      </w:r>
    </w:p>
    <w:p w14:paraId="6C4169EB">
      <w:pPr>
        <w:snapToGrid w:val="0"/>
        <w:spacing w:after="120" w:afterLines="50"/>
        <w:ind w:left="472" w:hanging="471" w:hangingChars="224"/>
        <w:rPr>
          <w:rFonts w:ascii="Times New Roman" w:hAnsi="Times New Roman" w:eastAsiaTheme="minorEastAsia"/>
          <w:b/>
          <w:szCs w:val="21"/>
        </w:rPr>
      </w:pPr>
      <w:r>
        <w:rPr>
          <w:rFonts w:ascii="Times New Roman" w:hAnsi="Times New Roman" w:eastAsiaTheme="minorEastAsia"/>
          <w:b/>
          <w:szCs w:val="21"/>
        </w:rPr>
        <w:t>5.</w:t>
      </w:r>
      <w:r>
        <w:rPr>
          <w:rFonts w:ascii="Times New Roman" w:hAnsi="Times New Roman" w:eastAsiaTheme="minorEastAsia"/>
          <w:b/>
          <w:bCs/>
          <w:szCs w:val="21"/>
        </w:rPr>
        <w:t>11 crashing aircraft and parts or articles falling from aircraft and other flying objects;</w:t>
      </w:r>
    </w:p>
    <w:p w14:paraId="2915B034">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12 impact by the motor vehicle;</w:t>
      </w:r>
    </w:p>
    <w:p w14:paraId="1A92E363">
      <w:pPr>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5.</w:t>
      </w:r>
      <w:r>
        <w:rPr>
          <w:rFonts w:ascii="Times New Roman" w:hAnsi="Times New Roman" w:eastAsiaTheme="minorEastAsia"/>
          <w:b/>
          <w:bCs/>
          <w:szCs w:val="21"/>
        </w:rPr>
        <w:t>13 bursting of water tank or pipe;</w:t>
      </w:r>
    </w:p>
    <w:p w14:paraId="3012885B">
      <w:pPr>
        <w:autoSpaceDE w:val="0"/>
        <w:autoSpaceDN w:val="0"/>
        <w:adjustRightInd w:val="0"/>
        <w:snapToGrid w:val="0"/>
        <w:spacing w:after="120" w:afterLines="50"/>
        <w:rPr>
          <w:rFonts w:ascii="Times New Roman" w:hAnsi="Times New Roman" w:eastAsiaTheme="minorEastAsia"/>
          <w:b/>
          <w:bCs/>
          <w:szCs w:val="21"/>
        </w:rPr>
      </w:pPr>
      <w:r>
        <w:rPr>
          <w:rFonts w:ascii="Times New Roman" w:hAnsi="Times New Roman" w:eastAsiaTheme="minorEastAsia"/>
          <w:b/>
          <w:szCs w:val="21"/>
        </w:rPr>
        <w:t xml:space="preserve">Article 6 </w:t>
      </w:r>
      <w:r>
        <w:rPr>
          <w:rFonts w:ascii="Times New Roman" w:hAnsi="Times New Roman" w:eastAsiaTheme="minorEastAsia"/>
          <w:b/>
          <w:bCs/>
          <w:szCs w:val="21"/>
        </w:rPr>
        <w:t>The Insurer shall not be liable for:</w:t>
      </w:r>
    </w:p>
    <w:p w14:paraId="1A21E1B7">
      <w:pPr>
        <w:autoSpaceDE w:val="0"/>
        <w:autoSpaceDN w:val="0"/>
        <w:adjustRightInd w:val="0"/>
        <w:snapToGrid w:val="0"/>
        <w:spacing w:after="120" w:afterLines="50"/>
        <w:ind w:left="472" w:hanging="471" w:hangingChars="224"/>
        <w:rPr>
          <w:rFonts w:ascii="Times New Roman" w:hAnsi="Times New Roman" w:eastAsiaTheme="minorEastAsia"/>
          <w:b/>
          <w:bCs/>
          <w:szCs w:val="21"/>
        </w:rPr>
      </w:pPr>
      <w:r>
        <w:rPr>
          <w:rFonts w:ascii="Times New Roman" w:hAnsi="Times New Roman" w:eastAsiaTheme="minorEastAsia"/>
          <w:b/>
          <w:szCs w:val="21"/>
        </w:rPr>
        <w:t>6.</w:t>
      </w:r>
      <w:r>
        <w:rPr>
          <w:rFonts w:ascii="Times New Roman" w:hAnsi="Times New Roman" w:eastAsiaTheme="minorEastAsia"/>
          <w:b/>
          <w:bCs/>
          <w:szCs w:val="21"/>
        </w:rPr>
        <w:t>1 consequential loss or damage or liability of any description arising out of an insured accident;</w:t>
      </w:r>
    </w:p>
    <w:p w14:paraId="62C3C175">
      <w:pPr>
        <w:autoSpaceDE w:val="0"/>
        <w:autoSpaceDN w:val="0"/>
        <w:adjustRightInd w:val="0"/>
        <w:snapToGrid w:val="0"/>
        <w:spacing w:after="120" w:afterLines="50"/>
        <w:ind w:left="373" w:hanging="372" w:hangingChars="177"/>
        <w:rPr>
          <w:rFonts w:ascii="Times New Roman" w:hAnsi="Times New Roman" w:eastAsiaTheme="minorEastAsia"/>
          <w:b/>
          <w:bCs/>
          <w:szCs w:val="21"/>
        </w:rPr>
      </w:pPr>
      <w:r>
        <w:rPr>
          <w:rFonts w:ascii="Times New Roman" w:hAnsi="Times New Roman" w:eastAsiaTheme="minorEastAsia"/>
          <w:b/>
          <w:szCs w:val="21"/>
        </w:rPr>
        <w:t>6.</w:t>
      </w:r>
      <w:r>
        <w:rPr>
          <w:rFonts w:ascii="Times New Roman" w:hAnsi="Times New Roman" w:eastAsiaTheme="minorEastAsia"/>
          <w:b/>
          <w:bCs/>
          <w:szCs w:val="21"/>
        </w:rPr>
        <w:t>2 loss of or damage to belts, ropes, wires, chains, rubber tyres, exchangeable dies, rods, tools, engraved cylinders, sleeve, moving pipes, objects made of glass, porcelain, ceramics, felts, sieves or fabrics, all operating media (e.g. lubricating oil, fuel, catalysts) and other vulnerable and consumable parts;</w:t>
      </w:r>
    </w:p>
    <w:p w14:paraId="191BBC51">
      <w:pPr>
        <w:autoSpaceDE w:val="0"/>
        <w:autoSpaceDN w:val="0"/>
        <w:adjustRightInd w:val="0"/>
        <w:snapToGrid w:val="0"/>
        <w:spacing w:after="120" w:afterLines="50"/>
        <w:ind w:left="390" w:hanging="389" w:hangingChars="185"/>
        <w:rPr>
          <w:rFonts w:ascii="Times New Roman" w:hAnsi="Times New Roman" w:eastAsiaTheme="minorEastAsia"/>
          <w:b/>
          <w:bCs/>
          <w:szCs w:val="21"/>
        </w:rPr>
      </w:pPr>
      <w:r>
        <w:rPr>
          <w:rFonts w:ascii="Times New Roman" w:hAnsi="Times New Roman" w:eastAsiaTheme="minorEastAsia"/>
          <w:b/>
          <w:szCs w:val="21"/>
        </w:rPr>
        <w:t>6.</w:t>
      </w:r>
      <w:r>
        <w:rPr>
          <w:rFonts w:ascii="Times New Roman" w:hAnsi="Times New Roman" w:eastAsiaTheme="minorEastAsia"/>
          <w:b/>
          <w:bCs/>
          <w:szCs w:val="21"/>
        </w:rPr>
        <w:t>3 loss or damage or expenses for which the supplier or manufacturer or installer or repairer is responsible either by law or under contract;</w:t>
      </w:r>
    </w:p>
    <w:p w14:paraId="34021029">
      <w:pPr>
        <w:autoSpaceDE w:val="0"/>
        <w:autoSpaceDN w:val="0"/>
        <w:adjustRightInd w:val="0"/>
        <w:snapToGrid w:val="0"/>
        <w:spacing w:after="120" w:afterLines="50"/>
        <w:ind w:left="407" w:hanging="406" w:hangingChars="193"/>
        <w:rPr>
          <w:rFonts w:ascii="Times New Roman" w:hAnsi="Times New Roman" w:eastAsiaTheme="minorEastAsia"/>
          <w:b/>
          <w:bCs/>
          <w:szCs w:val="21"/>
        </w:rPr>
      </w:pPr>
      <w:r>
        <w:rPr>
          <w:rFonts w:ascii="Times New Roman" w:hAnsi="Times New Roman" w:eastAsiaTheme="minorEastAsia"/>
          <w:b/>
          <w:szCs w:val="21"/>
        </w:rPr>
        <w:t>6.</w:t>
      </w:r>
      <w:r>
        <w:rPr>
          <w:rFonts w:ascii="Times New Roman" w:hAnsi="Times New Roman" w:eastAsiaTheme="minorEastAsia"/>
          <w:b/>
          <w:bCs/>
          <w:szCs w:val="21"/>
        </w:rPr>
        <w:t>4 any extra expenses incurred due to the alternation, improvement or betterment to the damaged machinery insured during the repair or replacement.</w:t>
      </w:r>
    </w:p>
    <w:p w14:paraId="5E3839C3">
      <w:pPr>
        <w:autoSpaceDE w:val="0"/>
        <w:autoSpaceDN w:val="0"/>
        <w:adjustRightInd w:val="0"/>
        <w:snapToGrid w:val="0"/>
        <w:spacing w:after="120" w:afterLines="50"/>
        <w:ind w:left="424" w:hanging="423" w:hangingChars="201"/>
        <w:rPr>
          <w:rFonts w:ascii="Times New Roman" w:hAnsi="Times New Roman" w:eastAsiaTheme="minorEastAsia"/>
          <w:b/>
          <w:bCs/>
          <w:szCs w:val="21"/>
        </w:rPr>
      </w:pPr>
      <w:r>
        <w:rPr>
          <w:rFonts w:ascii="Times New Roman" w:hAnsi="Times New Roman" w:eastAsiaTheme="minorEastAsia"/>
          <w:b/>
          <w:szCs w:val="21"/>
        </w:rPr>
        <w:t>6.</w:t>
      </w:r>
      <w:r>
        <w:rPr>
          <w:rFonts w:ascii="Times New Roman" w:hAnsi="Times New Roman" w:eastAsiaTheme="minorEastAsia"/>
          <w:b/>
          <w:bCs/>
          <w:szCs w:val="21"/>
        </w:rPr>
        <w:t>5 the deductible stated in this Policy to be borne by the Insured.</w:t>
      </w:r>
    </w:p>
    <w:p w14:paraId="075B099D">
      <w:pPr>
        <w:autoSpaceDE w:val="0"/>
        <w:autoSpaceDN w:val="0"/>
        <w:adjustRightInd w:val="0"/>
        <w:snapToGrid w:val="0"/>
        <w:spacing w:after="120" w:afterLines="50"/>
        <w:ind w:left="472" w:hanging="471" w:hangingChars="224"/>
        <w:rPr>
          <w:rFonts w:ascii="Times New Roman" w:hAnsi="Times New Roman" w:eastAsiaTheme="minorEastAsia"/>
          <w:b/>
          <w:bCs/>
          <w:szCs w:val="21"/>
        </w:rPr>
      </w:pPr>
    </w:p>
    <w:p w14:paraId="6D93D737">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 xml:space="preserve">SUM INSURED AND DEDUCTIBLE(S)  </w:t>
      </w:r>
    </w:p>
    <w:p w14:paraId="55CBAA82">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b/>
          <w:bCs/>
          <w:szCs w:val="21"/>
        </w:rPr>
        <w:t>Article 7</w:t>
      </w:r>
      <w:r>
        <w:rPr>
          <w:rFonts w:ascii="Times New Roman" w:hAnsi="Times New Roman" w:eastAsiaTheme="minorEastAsia"/>
          <w:szCs w:val="21"/>
        </w:rPr>
        <w:t xml:space="preserve"> It is a requirement of this Policy that the sum insured shall be equivalent l to the cost of replacement of the insured machinery by new machinery of the same kind and same capacity, which shall mean its replacement costs including its cost, freight, premium, dues and customs duties, if any, and erection costs.</w:t>
      </w:r>
    </w:p>
    <w:p w14:paraId="4494B99A">
      <w:pPr>
        <w:snapToGrid w:val="0"/>
        <w:spacing w:after="120" w:afterLines="50"/>
        <w:rPr>
          <w:rFonts w:ascii="Times New Roman" w:hAnsi="Times New Roman" w:eastAsiaTheme="minorEastAsia"/>
          <w:szCs w:val="21"/>
        </w:rPr>
      </w:pPr>
      <w:r>
        <w:rPr>
          <w:rFonts w:ascii="Times New Roman" w:hAnsi="Times New Roman" w:eastAsiaTheme="minorEastAsia"/>
          <w:b/>
          <w:szCs w:val="21"/>
        </w:rPr>
        <w:t xml:space="preserve">Article 8 </w:t>
      </w:r>
      <w:r>
        <w:rPr>
          <w:rFonts w:ascii="Times New Roman" w:hAnsi="Times New Roman" w:eastAsiaTheme="minorEastAsia"/>
          <w:szCs w:val="21"/>
        </w:rPr>
        <w:t>The deductible shall be agreed upon between the Applicant and the Insurer when entering into the insurance contract and be specified in this Policy.</w:t>
      </w:r>
    </w:p>
    <w:p w14:paraId="30E7C6ED">
      <w:pPr>
        <w:snapToGrid w:val="0"/>
        <w:spacing w:after="50"/>
        <w:rPr>
          <w:rFonts w:ascii="Times New Roman" w:hAnsi="Times New Roman" w:eastAsiaTheme="minorEastAsia"/>
          <w:szCs w:val="21"/>
        </w:rPr>
      </w:pPr>
    </w:p>
    <w:p w14:paraId="78C4CA97">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PERIOD OF INSURANCE</w:t>
      </w:r>
    </w:p>
    <w:p w14:paraId="02494273">
      <w:pPr>
        <w:snapToGrid w:val="0"/>
        <w:spacing w:after="120" w:afterLines="50"/>
        <w:rPr>
          <w:rFonts w:ascii="Times New Roman" w:hAnsi="Times New Roman" w:eastAsiaTheme="minorEastAsia"/>
          <w:szCs w:val="21"/>
        </w:rPr>
      </w:pPr>
      <w:r>
        <w:rPr>
          <w:rFonts w:ascii="Times New Roman" w:hAnsi="Times New Roman" w:eastAsiaTheme="minorEastAsia"/>
          <w:b/>
          <w:szCs w:val="21"/>
        </w:rPr>
        <w:t xml:space="preserve">Article 9 </w:t>
      </w:r>
      <w:r>
        <w:rPr>
          <w:rFonts w:ascii="Times New Roman" w:hAnsi="Times New Roman" w:eastAsiaTheme="minorEastAsia"/>
          <w:szCs w:val="21"/>
        </w:rPr>
        <w:t>Unless otherwise agreed, the period of insurance shall be one year subject to the inception and expiration date as stipulated in this Policy.</w:t>
      </w:r>
    </w:p>
    <w:p w14:paraId="22D63F11">
      <w:pPr>
        <w:snapToGrid w:val="0"/>
        <w:spacing w:after="120" w:afterLines="50"/>
        <w:rPr>
          <w:rFonts w:ascii="Times New Roman" w:hAnsi="Times New Roman" w:eastAsiaTheme="minorEastAsia"/>
          <w:szCs w:val="21"/>
        </w:rPr>
      </w:pPr>
    </w:p>
    <w:p w14:paraId="44375840">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OBLIGATIONS OF THE INSURER</w:t>
      </w:r>
    </w:p>
    <w:p w14:paraId="3CF5547F">
      <w:pPr>
        <w:snapToGrid w:val="0"/>
        <w:spacing w:after="120" w:afterLines="50"/>
        <w:ind w:left="2"/>
        <w:rPr>
          <w:rFonts w:ascii="Times New Roman" w:hAnsi="Times New Roman" w:eastAsiaTheme="minorEastAsia"/>
          <w:szCs w:val="21"/>
        </w:rPr>
      </w:pPr>
      <w:r>
        <w:rPr>
          <w:rFonts w:ascii="Times New Roman" w:hAnsi="Times New Roman" w:eastAsiaTheme="minorEastAsia"/>
          <w:b/>
          <w:szCs w:val="21"/>
        </w:rPr>
        <w:t>Article 10</w:t>
      </w:r>
      <w:r>
        <w:rPr>
          <w:rFonts w:ascii="Times New Roman" w:hAnsi="Times New Roman" w:eastAsiaTheme="minorEastAsia"/>
          <w:szCs w:val="21"/>
        </w:rPr>
        <w:t xml:space="preserve"> Before entering into an insurance contract, the Insurer shall explain the contents of the insurance contract to the Applicant. For the clauses exempting the Insurer’s liability, the Insurer shall make remarkable notice in the Proposal Form, Policy or other certificates to draw the Applicant’s attention, and explain them clearly in written or oral form when entering into the contract. Otherwise, such clauses shall be void. </w:t>
      </w:r>
    </w:p>
    <w:p w14:paraId="54BFB721">
      <w:pPr>
        <w:snapToGrid w:val="0"/>
        <w:spacing w:after="120" w:afterLines="50"/>
        <w:ind w:left="2"/>
        <w:rPr>
          <w:rFonts w:ascii="Times New Roman" w:hAnsi="Times New Roman" w:eastAsiaTheme="minorEastAsia"/>
          <w:szCs w:val="21"/>
        </w:rPr>
      </w:pPr>
      <w:r>
        <w:rPr>
          <w:rFonts w:ascii="Times New Roman" w:hAnsi="Times New Roman" w:eastAsiaTheme="minorEastAsia"/>
          <w:b/>
          <w:szCs w:val="21"/>
        </w:rPr>
        <w:t xml:space="preserve">Article 11 </w:t>
      </w:r>
      <w:r>
        <w:rPr>
          <w:rFonts w:ascii="Times New Roman" w:hAnsi="Times New Roman" w:eastAsiaTheme="minorEastAsia"/>
          <w:szCs w:val="21"/>
        </w:rPr>
        <w:t xml:space="preserve">The Insurer shall issue the Policy or other certificates in a timely manner after the establishment of an insurance contract </w:t>
      </w:r>
    </w:p>
    <w:p w14:paraId="7DE7D6F4">
      <w:pPr>
        <w:snapToGrid w:val="0"/>
        <w:spacing w:after="120" w:afterLines="50"/>
        <w:rPr>
          <w:rStyle w:val="25"/>
          <w:rFonts w:ascii="Times New Roman" w:hAnsi="Times New Roman" w:eastAsiaTheme="minorEastAsia"/>
          <w:szCs w:val="21"/>
        </w:rPr>
      </w:pPr>
      <w:r>
        <w:rPr>
          <w:rFonts w:ascii="Times New Roman" w:hAnsi="Times New Roman" w:eastAsiaTheme="minorEastAsia"/>
          <w:b/>
          <w:szCs w:val="21"/>
        </w:rPr>
        <w:t xml:space="preserve">Article </w:t>
      </w:r>
      <w:r>
        <w:rPr>
          <w:rStyle w:val="25"/>
          <w:rFonts w:ascii="Times New Roman" w:hAnsi="Times New Roman" w:eastAsiaTheme="minorEastAsia"/>
          <w:b/>
          <w:szCs w:val="21"/>
        </w:rPr>
        <w:t xml:space="preserve">12 </w:t>
      </w:r>
      <w:r>
        <w:rPr>
          <w:rStyle w:val="25"/>
          <w:rFonts w:ascii="Times New Roman" w:hAnsi="Times New Roman" w:eastAsiaTheme="minorEastAsia"/>
          <w:szCs w:val="21"/>
        </w:rPr>
        <w:t>The Insurer’s right to cancel the Policy as stated in Article 16 is void if not exercised by the Insurer within thirty days after his acknowledgement of any causes for cancellation of this Policy. After two years from the establishment of the insurance contract, such right to cancel the Policy is also void and the Insurer shall be liable for Damage insured by this Policy.</w:t>
      </w:r>
    </w:p>
    <w:p w14:paraId="28E45A84">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szCs w:val="21"/>
        </w:rPr>
        <w:t>If before the establishment of the insurance contract, the Insurer is aware of the Applicant’s misrepresentation or non-disclosure, the Insurer cannot cancel the Policy, and still shall be liable for Damage insured by this Policy.</w:t>
      </w:r>
    </w:p>
    <w:p w14:paraId="6556E966">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b/>
          <w:szCs w:val="21"/>
        </w:rPr>
        <w:t xml:space="preserve">Article 13 </w:t>
      </w:r>
      <w:r>
        <w:rPr>
          <w:rStyle w:val="25"/>
          <w:rFonts w:ascii="Times New Roman" w:hAnsi="Times New Roman" w:eastAsiaTheme="minorEastAsia"/>
          <w:szCs w:val="21"/>
        </w:rPr>
        <w:t>If the Insurer believes that the proofs and documents provided by the Insured, as required in Article 22, are not sufficient, the Insurer shall request the Applicant and/or the Insured to provide additional materials in time and once for all.</w:t>
      </w:r>
    </w:p>
    <w:p w14:paraId="69E94B62">
      <w:pPr>
        <w:snapToGrid w:val="0"/>
        <w:spacing w:after="120" w:afterLines="50"/>
        <w:ind w:left="2"/>
        <w:rPr>
          <w:rFonts w:ascii="Times New Roman" w:hAnsi="Times New Roman" w:eastAsiaTheme="minorEastAsia"/>
          <w:szCs w:val="21"/>
        </w:rPr>
      </w:pPr>
      <w:r>
        <w:rPr>
          <w:rFonts w:ascii="Times New Roman" w:hAnsi="Times New Roman" w:eastAsiaTheme="minorEastAsia"/>
          <w:b/>
          <w:szCs w:val="21"/>
        </w:rPr>
        <w:t xml:space="preserve">Article 14 </w:t>
      </w:r>
      <w:r>
        <w:rPr>
          <w:rFonts w:ascii="Times New Roman" w:hAnsi="Times New Roman" w:eastAsiaTheme="minorEastAsia"/>
          <w:szCs w:val="21"/>
        </w:rPr>
        <w:t>Upon receipt of a claim, the Insurer shall confirm whether the Damage is covered by this Policy or not in a timely manner.  For complicated cases, the Insurer shall make decision within thirty days, unless otherwise stipulated in the insurance contact.</w:t>
      </w:r>
    </w:p>
    <w:p w14:paraId="62E26297">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The Insurer shall notify the Insured of the decision in a timely manner. If the Damage is covered by this Policy, the Insurer shall make payment within ten days after reaching agreement with the Insured. If the time limit for indemnity is specifically stipulated in the insurance contact, the Insurer shall make payment within such time limit. If the Damage is not covered by this Policy, within three days after the decision, the Insurer shall issue a declination letter and explain the reasons to the Insured. </w:t>
      </w:r>
    </w:p>
    <w:p w14:paraId="06394468">
      <w:pPr>
        <w:snapToGrid w:val="0"/>
        <w:spacing w:after="120" w:afterLines="50"/>
        <w:rPr>
          <w:rFonts w:ascii="Times New Roman" w:hAnsi="Times New Roman" w:eastAsiaTheme="minorEastAsia"/>
          <w:szCs w:val="21"/>
        </w:rPr>
      </w:pPr>
      <w:r>
        <w:rPr>
          <w:rFonts w:ascii="Times New Roman" w:hAnsi="Times New Roman" w:eastAsiaTheme="minorEastAsia"/>
          <w:b/>
          <w:szCs w:val="21"/>
        </w:rPr>
        <w:t xml:space="preserve">Article 15 </w:t>
      </w:r>
      <w:r>
        <w:rPr>
          <w:rFonts w:ascii="Times New Roman" w:hAnsi="Times New Roman" w:eastAsiaTheme="minorEastAsia"/>
          <w:szCs w:val="21"/>
        </w:rPr>
        <w:t>The Insurer shall allow an advance payment that can be determined by the available proofs or documents if the final settlement amount cannot be determined within sixty days after receipt of such claim and relevant documents, and pay the balance to the Insured after the final amount of indemnity is adjusted.</w:t>
      </w:r>
    </w:p>
    <w:p w14:paraId="28253B10">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OBLIGATIONS OF THE APPLICANT AND/OR INSURED</w:t>
      </w:r>
    </w:p>
    <w:p w14:paraId="38D06FB3">
      <w:pPr>
        <w:snapToGrid w:val="0"/>
        <w:spacing w:after="120" w:afterLines="50"/>
        <w:rPr>
          <w:rFonts w:ascii="Times New Roman" w:hAnsi="Times New Roman" w:eastAsiaTheme="minorEastAsia"/>
          <w:szCs w:val="21"/>
        </w:rPr>
      </w:pPr>
      <w:r>
        <w:rPr>
          <w:rFonts w:ascii="Times New Roman" w:hAnsi="Times New Roman" w:eastAsiaTheme="minorEastAsia"/>
          <w:b/>
          <w:szCs w:val="21"/>
        </w:rPr>
        <w:t>Article 16</w:t>
      </w:r>
      <w:r>
        <w:rPr>
          <w:rFonts w:ascii="Times New Roman" w:hAnsi="Times New Roman" w:eastAsiaTheme="minorEastAsia"/>
          <w:szCs w:val="21"/>
        </w:rPr>
        <w:t xml:space="preserve"> Before entering into an insurance contract, the Applicant shall make full and accurate representation and disclosure at the request of the Insurer in respect of the property insured and the Insured himself and complete the Proposal Form faithfully.</w:t>
      </w:r>
    </w:p>
    <w:p w14:paraId="4B8BEE40">
      <w:pPr>
        <w:pStyle w:val="7"/>
        <w:snapToGrid w:val="0"/>
        <w:spacing w:afterLines="50"/>
        <w:rPr>
          <w:rFonts w:eastAsiaTheme="minorEastAsia"/>
          <w:sz w:val="21"/>
          <w:szCs w:val="21"/>
        </w:rPr>
      </w:pPr>
      <w:r>
        <w:rPr>
          <w:rFonts w:eastAsiaTheme="minorEastAsia"/>
          <w:sz w:val="21"/>
          <w:szCs w:val="21"/>
        </w:rPr>
        <w:t>If the Applicant fails to fulfill the obligation of making full and accurate representation and disclosure as aforementioned due to his willful act and/or gross negligence, which may affect the Insurer’s decision whether to accept the risk of the insurance and, if so, whether to raise the premium rate, the Insurer is entitled to cancel the Policy.</w:t>
      </w:r>
    </w:p>
    <w:p w14:paraId="68B08876">
      <w:pPr>
        <w:tabs>
          <w:tab w:val="left" w:pos="1620"/>
        </w:tabs>
        <w:snapToGrid w:val="0"/>
        <w:spacing w:after="120" w:afterLines="50"/>
        <w:rPr>
          <w:rFonts w:ascii="Times New Roman" w:hAnsi="Times New Roman" w:eastAsiaTheme="minorEastAsia"/>
          <w:b/>
          <w:szCs w:val="21"/>
        </w:rPr>
      </w:pPr>
      <w:r>
        <w:rPr>
          <w:rFonts w:ascii="Times New Roman" w:hAnsi="Times New Roman" w:eastAsiaTheme="minorEastAsia"/>
          <w:b/>
          <w:szCs w:val="21"/>
        </w:rPr>
        <w:t xml:space="preserve">If the Applicant willfully fails to comply with the obligation of </w:t>
      </w:r>
      <w:r>
        <w:rPr>
          <w:rFonts w:ascii="Times New Roman" w:hAnsi="Times New Roman" w:eastAsiaTheme="minorEastAsia"/>
          <w:b/>
          <w:kern w:val="0"/>
          <w:szCs w:val="21"/>
        </w:rPr>
        <w:t>making full and accurate representation and disclosure</w:t>
      </w:r>
      <w:r>
        <w:rPr>
          <w:rFonts w:ascii="Times New Roman" w:hAnsi="Times New Roman" w:eastAsiaTheme="minorEastAsia"/>
          <w:b/>
          <w:szCs w:val="21"/>
        </w:rPr>
        <w:t>, the Insurer shall not be liable for any loss or damage happening prior to the cancellation of the Policy while no premium shall be refunded.</w:t>
      </w:r>
    </w:p>
    <w:p w14:paraId="3895EF1C">
      <w:pPr>
        <w:tabs>
          <w:tab w:val="left" w:pos="1620"/>
        </w:tabs>
        <w:snapToGrid w:val="0"/>
        <w:spacing w:after="120" w:afterLines="50"/>
        <w:ind w:left="1"/>
        <w:rPr>
          <w:rFonts w:ascii="Times New Roman" w:hAnsi="Times New Roman" w:eastAsiaTheme="minorEastAsia"/>
          <w:b/>
          <w:szCs w:val="21"/>
        </w:rPr>
      </w:pPr>
      <w:r>
        <w:rPr>
          <w:rFonts w:ascii="Times New Roman" w:hAnsi="Times New Roman" w:eastAsiaTheme="minorEastAsia"/>
          <w:b/>
          <w:szCs w:val="21"/>
        </w:rPr>
        <w:t xml:space="preserve">If the Applicant, due to gross negligence, fails to disclose in truth material particular(s) which has significant contribution to the occurrence of the event insured hereby, the Insurer shall not indemnify the Insured for any loss or damage happening prior to the cancellation of this Policy, but shall return premium collected. </w:t>
      </w:r>
    </w:p>
    <w:p w14:paraId="1FD16F24">
      <w:pPr>
        <w:pStyle w:val="9"/>
        <w:snapToGrid w:val="0"/>
        <w:spacing w:afterLines="50"/>
        <w:rPr>
          <w:rFonts w:ascii="Times New Roman" w:hAnsi="Times New Roman" w:eastAsiaTheme="minorEastAsia"/>
          <w:bCs/>
          <w:szCs w:val="21"/>
        </w:rPr>
      </w:pPr>
      <w:r>
        <w:rPr>
          <w:rFonts w:ascii="Times New Roman" w:hAnsi="Times New Roman" w:eastAsiaTheme="minorEastAsia"/>
          <w:b/>
          <w:bCs/>
          <w:szCs w:val="21"/>
        </w:rPr>
        <w:t xml:space="preserve">Article 17 </w:t>
      </w:r>
      <w:r>
        <w:rPr>
          <w:rFonts w:ascii="Times New Roman" w:hAnsi="Times New Roman" w:eastAsiaTheme="minorEastAsia"/>
          <w:bCs/>
          <w:szCs w:val="21"/>
        </w:rPr>
        <w:t xml:space="preserve">Unless otherwise agreed, The Applicant shall pay off the premium when this Policy establishes. </w:t>
      </w:r>
      <w:r>
        <w:rPr>
          <w:rFonts w:ascii="Times New Roman" w:hAnsi="Times New Roman" w:eastAsiaTheme="minorEastAsia"/>
          <w:b/>
          <w:bCs/>
          <w:szCs w:val="21"/>
        </w:rPr>
        <w:t>The Insurer shall not be liable for any loss or damage which occurs</w:t>
      </w:r>
      <w:r>
        <w:rPr>
          <w:rFonts w:ascii="Times New Roman" w:hAnsi="Times New Roman" w:eastAsiaTheme="minorEastAsia"/>
          <w:b/>
          <w:szCs w:val="21"/>
        </w:rPr>
        <w:t xml:space="preserve"> prior to premium payment.</w:t>
      </w:r>
    </w:p>
    <w:p w14:paraId="254EDBC8">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18 </w:t>
      </w:r>
      <w:r>
        <w:rPr>
          <w:rFonts w:ascii="Times New Roman" w:hAnsi="Times New Roman" w:eastAsiaTheme="minorEastAsia"/>
          <w:szCs w:val="21"/>
        </w:rPr>
        <w:t xml:space="preserve">The insured shall observe and fulfill relevant laws, regulations and requirements on fire, safety, production operations </w:t>
      </w:r>
      <w:r>
        <w:rPr>
          <w:rFonts w:ascii="Times New Roman" w:hAnsi="Times New Roman" w:eastAsiaTheme="minorEastAsia"/>
          <w:bCs/>
          <w:szCs w:val="21"/>
        </w:rPr>
        <w:t>and labor protection</w:t>
      </w:r>
      <w:r>
        <w:rPr>
          <w:rFonts w:ascii="Times New Roman" w:hAnsi="Times New Roman" w:eastAsiaTheme="minorEastAsia"/>
          <w:szCs w:val="21"/>
        </w:rPr>
        <w:t xml:space="preserve">, </w:t>
      </w:r>
      <w:r>
        <w:rPr>
          <w:rFonts w:ascii="Times New Roman" w:hAnsi="Times New Roman" w:eastAsiaTheme="minorEastAsia"/>
          <w:bCs/>
          <w:szCs w:val="21"/>
        </w:rPr>
        <w:t>improve management, take all reasonable precautions to protect</w:t>
      </w:r>
      <w:r>
        <w:rPr>
          <w:rFonts w:ascii="Times New Roman" w:hAnsi="Times New Roman" w:eastAsiaTheme="minorEastAsia"/>
          <w:szCs w:val="21"/>
        </w:rPr>
        <w:t xml:space="preserve"> the security</w:t>
      </w:r>
      <w:r>
        <w:rPr>
          <w:rFonts w:ascii="Times New Roman" w:hAnsi="Times New Roman" w:eastAsiaTheme="minorEastAsia"/>
          <w:bCs/>
          <w:szCs w:val="21"/>
        </w:rPr>
        <w:t xml:space="preserve"> of the property and prevent and/or minimize Damage thereto. The Insurer is entitled to inspect whether or not the Insured has fulfilled the aforementioned obligation of reasonable precautions, and make recommendations in writing to the Applicant or the Insured on eliminating risks and dangers, which shall be implemented by the Applicant and/or the Insured </w:t>
      </w:r>
      <w:r>
        <w:rPr>
          <w:rFonts w:ascii="Times New Roman" w:hAnsi="Times New Roman" w:eastAsiaTheme="minorEastAsia"/>
          <w:szCs w:val="21"/>
        </w:rPr>
        <w:t xml:space="preserve">in a serious manner </w:t>
      </w:r>
      <w:r>
        <w:rPr>
          <w:rFonts w:ascii="Times New Roman" w:hAnsi="Times New Roman" w:eastAsiaTheme="minorEastAsia"/>
          <w:bCs/>
          <w:szCs w:val="21"/>
        </w:rPr>
        <w:t>accordingly.</w:t>
      </w:r>
    </w:p>
    <w:p w14:paraId="1F4EF1A3">
      <w:pPr>
        <w:snapToGrid w:val="0"/>
        <w:spacing w:after="120" w:afterLines="50"/>
        <w:rPr>
          <w:rFonts w:ascii="Times New Roman" w:hAnsi="Times New Roman" w:eastAsiaTheme="minorEastAsia"/>
          <w:bCs/>
          <w:szCs w:val="21"/>
        </w:rPr>
      </w:pPr>
      <w:r>
        <w:rPr>
          <w:rFonts w:ascii="Times New Roman" w:hAnsi="Times New Roman" w:eastAsiaTheme="minorEastAsia"/>
          <w:bCs/>
          <w:szCs w:val="21"/>
        </w:rPr>
        <w:t xml:space="preserve">If the Applicant or the Insured fails to comply with due obligation of reasonable precautions, the Insurer is entitled to charge additional premium or cancel the Policy. </w:t>
      </w:r>
    </w:p>
    <w:p w14:paraId="09847EC7">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19 </w:t>
      </w:r>
      <w:r>
        <w:rPr>
          <w:rFonts w:ascii="Times New Roman" w:hAnsi="Times New Roman" w:eastAsiaTheme="minorEastAsia"/>
          <w:bCs/>
          <w:szCs w:val="21"/>
        </w:rPr>
        <w:t>Once any property insured is transferred, the Insured or the Assignee shall notify the Insurer in time.</w:t>
      </w:r>
    </w:p>
    <w:p w14:paraId="0E1971B1">
      <w:pPr>
        <w:snapToGrid w:val="0"/>
        <w:spacing w:after="120" w:afterLines="50"/>
        <w:rPr>
          <w:rFonts w:ascii="Times New Roman" w:hAnsi="Times New Roman" w:eastAsiaTheme="minorEastAsia"/>
          <w:bCs/>
          <w:szCs w:val="21"/>
        </w:rPr>
      </w:pPr>
      <w:r>
        <w:rPr>
          <w:rFonts w:ascii="Times New Roman" w:hAnsi="Times New Roman" w:eastAsiaTheme="minorEastAsia"/>
          <w:bCs/>
          <w:szCs w:val="21"/>
        </w:rPr>
        <w:t>If the risk increases materially due to that transfer, the Insurer may charge additional premium or cancel the Policy subject to the terms and conditions of the Policy within thirty days after the Insurer’s receipt of such notice, in which case, the Insurer shall retain the premium due for the period from the date of inception to the date of cancellation, and refund the remainder of the charged premium to the Applicant</w:t>
      </w:r>
    </w:p>
    <w:p w14:paraId="381247D2">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If the Insured or Assignee fails to comply with the aforementioned obligation of notification, the Insurer shall not be liable for any Damage due to the material increase of risks resulted from such transfer of the property insured.</w:t>
      </w:r>
    </w:p>
    <w:p w14:paraId="4AC52B48">
      <w:pPr>
        <w:snapToGrid w:val="0"/>
        <w:spacing w:after="120" w:afterLines="50"/>
        <w:rPr>
          <w:rFonts w:ascii="Times New Roman" w:hAnsi="Times New Roman" w:eastAsiaTheme="minorEastAsia"/>
          <w:b/>
          <w:szCs w:val="21"/>
        </w:rPr>
      </w:pPr>
      <w:r>
        <w:rPr>
          <w:rFonts w:ascii="Times New Roman" w:hAnsi="Times New Roman" w:eastAsiaTheme="minorEastAsia"/>
          <w:b/>
          <w:bCs/>
          <w:szCs w:val="21"/>
        </w:rPr>
        <w:t xml:space="preserve">Article 20 </w:t>
      </w:r>
      <w:r>
        <w:rPr>
          <w:rFonts w:ascii="Times New Roman" w:hAnsi="Times New Roman" w:eastAsiaTheme="minorEastAsia"/>
          <w:bCs/>
          <w:szCs w:val="21"/>
        </w:rPr>
        <w:t xml:space="preserve">During the period of insurance, the Insured shall give the Insurer timely written notice of any alteration of the occupation and/or usage and/or location of the property insured and/or other material facts which may increase the risks materially and affect the Insurer’s decision whether to continue writing the risk of insurance and, if so, whether to increase the premium, and the Insurer is entitled to charge additional premium or cancel the Policy. </w:t>
      </w:r>
    </w:p>
    <w:p w14:paraId="373EFC0C">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 xml:space="preserve">If the Insured fails to comply with the obligation of notification aforementioned, the Insurer shall not be liable for any Damage due to the </w:t>
      </w:r>
      <w:r>
        <w:rPr>
          <w:rFonts w:ascii="Times New Roman" w:hAnsi="Times New Roman" w:eastAsiaTheme="minorEastAsia"/>
          <w:b/>
          <w:szCs w:val="21"/>
        </w:rPr>
        <w:t>material change of the risks</w:t>
      </w:r>
      <w:r>
        <w:rPr>
          <w:rFonts w:ascii="Times New Roman" w:hAnsi="Times New Roman" w:eastAsiaTheme="minorEastAsia"/>
          <w:b/>
          <w:bCs/>
          <w:szCs w:val="21"/>
        </w:rPr>
        <w:t>.</w:t>
      </w:r>
    </w:p>
    <w:p w14:paraId="43288810">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21 </w:t>
      </w:r>
      <w:r>
        <w:rPr>
          <w:rFonts w:ascii="Times New Roman" w:hAnsi="Times New Roman" w:eastAsiaTheme="minorEastAsia"/>
          <w:bCs/>
          <w:szCs w:val="21"/>
        </w:rPr>
        <w:t>If any event giving rise to or likely to give rise to a claim under this Policy comes to his knowledge, the Insured shall:</w:t>
      </w:r>
    </w:p>
    <w:p w14:paraId="2A703D85">
      <w:pPr>
        <w:pStyle w:val="7"/>
        <w:snapToGrid w:val="0"/>
        <w:spacing w:afterLines="50"/>
        <w:ind w:left="893" w:hanging="472" w:hangingChars="225"/>
        <w:rPr>
          <w:rFonts w:eastAsiaTheme="minorEastAsia"/>
          <w:bCs/>
          <w:sz w:val="21"/>
          <w:szCs w:val="21"/>
        </w:rPr>
      </w:pPr>
      <w:r>
        <w:rPr>
          <w:rFonts w:eastAsiaTheme="minorEastAsia"/>
          <w:bCs/>
          <w:sz w:val="21"/>
          <w:szCs w:val="21"/>
        </w:rPr>
        <w:t xml:space="preserve">21.1 take all necessary and reasonable measures to prevent or minimize the Damage; otherwise </w:t>
      </w:r>
      <w:r>
        <w:rPr>
          <w:rFonts w:eastAsiaTheme="minorEastAsia"/>
          <w:b/>
          <w:bCs/>
          <w:sz w:val="21"/>
          <w:szCs w:val="21"/>
        </w:rPr>
        <w:t>the Insurer shall not be liable for any extended or aggravated loss or damage caused hereby;</w:t>
      </w:r>
      <w:r>
        <w:rPr>
          <w:rFonts w:eastAsiaTheme="minorEastAsia"/>
          <w:bCs/>
          <w:sz w:val="21"/>
          <w:szCs w:val="21"/>
        </w:rPr>
        <w:t xml:space="preserve">  </w:t>
      </w:r>
    </w:p>
    <w:p w14:paraId="10A2EB4A">
      <w:pPr>
        <w:snapToGrid w:val="0"/>
        <w:spacing w:after="120" w:afterLines="50"/>
        <w:ind w:left="473" w:hanging="472" w:hangingChars="225"/>
        <w:rPr>
          <w:rFonts w:ascii="Times New Roman" w:hAnsi="Times New Roman" w:eastAsiaTheme="minorEastAsia"/>
          <w:b/>
          <w:bCs/>
          <w:szCs w:val="21"/>
        </w:rPr>
      </w:pPr>
      <w:r>
        <w:rPr>
          <w:rFonts w:ascii="Times New Roman" w:hAnsi="Times New Roman" w:eastAsiaTheme="minorEastAsia"/>
          <w:bCs/>
          <w:szCs w:val="21"/>
        </w:rPr>
        <w:t xml:space="preserve">21.2 give notice to the Insurer immediately and submit a written report on the cause, course and extent of the loss or damage. </w:t>
      </w:r>
      <w:r>
        <w:rPr>
          <w:rFonts w:ascii="Times New Roman" w:hAnsi="Times New Roman" w:eastAsiaTheme="minorEastAsia"/>
          <w:b/>
          <w:bCs/>
          <w:szCs w:val="21"/>
        </w:rPr>
        <w:t>If the Applicant and/or Insured fail to notify the Insurer in time due to his willful act or gross negligence, which makes the Insurer not able to ascertain the nature, cause and extent of the loss, the Insurer shall not indemnify the Insured in respect of such uncertain part of Damage, except that the Insurer is aware or ought to be aware of the occurrence timely by other means.</w:t>
      </w:r>
    </w:p>
    <w:p w14:paraId="360F1391">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 xml:space="preserve">21.3 preserve the spot, permit and assist the Insurer in investigation of the Damage. </w:t>
      </w:r>
      <w:r>
        <w:rPr>
          <w:rFonts w:ascii="Times New Roman" w:hAnsi="Times New Roman" w:eastAsiaTheme="minorEastAsia"/>
          <w:b/>
          <w:bCs/>
          <w:szCs w:val="21"/>
        </w:rPr>
        <w:t>If the cause of the occurrence cannot be ascertained or the severity of the damage cannot be verified due to the refusal of or disturbance by the Insured, the Insurer shall not be liable for such uncertain part of Damage.</w:t>
      </w:r>
    </w:p>
    <w:p w14:paraId="34BE1884">
      <w:pPr>
        <w:snapToGrid w:val="0"/>
        <w:spacing w:after="120" w:afterLines="50"/>
        <w:rPr>
          <w:rFonts w:ascii="Times New Roman" w:hAnsi="Times New Roman" w:eastAsiaTheme="minorEastAsia"/>
          <w:szCs w:val="21"/>
        </w:rPr>
      </w:pPr>
      <w:r>
        <w:rPr>
          <w:rFonts w:ascii="Times New Roman" w:hAnsi="Times New Roman" w:eastAsiaTheme="minorEastAsia"/>
          <w:b/>
          <w:bCs/>
          <w:szCs w:val="21"/>
        </w:rPr>
        <w:t xml:space="preserve">Article 22 </w:t>
      </w:r>
      <w:r>
        <w:rPr>
          <w:rFonts w:ascii="Times New Roman" w:hAnsi="Times New Roman" w:eastAsiaTheme="minorEastAsia"/>
          <w:szCs w:val="21"/>
        </w:rPr>
        <w:t>To lodge a claim,</w:t>
      </w:r>
      <w:r>
        <w:rPr>
          <w:rFonts w:ascii="Times New Roman" w:hAnsi="Times New Roman" w:eastAsiaTheme="minorEastAsia"/>
          <w:bCs/>
          <w:szCs w:val="21"/>
        </w:rPr>
        <w:t xml:space="preserve"> the Insured shall submit the following proofs and documents:</w:t>
      </w:r>
    </w:p>
    <w:p w14:paraId="21D7CB6D">
      <w:pPr>
        <w:snapToGrid w:val="0"/>
        <w:spacing w:after="120" w:afterLines="50"/>
        <w:ind w:left="473" w:hanging="472" w:hangingChars="225"/>
        <w:rPr>
          <w:rFonts w:ascii="Times New Roman" w:hAnsi="Times New Roman" w:eastAsiaTheme="minorEastAsia"/>
          <w:szCs w:val="21"/>
        </w:rPr>
      </w:pPr>
      <w:r>
        <w:rPr>
          <w:rFonts w:ascii="Times New Roman" w:hAnsi="Times New Roman" w:eastAsiaTheme="minorEastAsia"/>
          <w:bCs/>
          <w:szCs w:val="21"/>
        </w:rPr>
        <w:t>22.1 the original policy, claims application, list of lost or damaged property, certificates of technical appraisal, report on the occurrence, invoices of rescue expenses, necessary accounting books, documents and certificates issued by relevant governmental departments or public authorities.</w:t>
      </w:r>
    </w:p>
    <w:p w14:paraId="5B05B243">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 xml:space="preserve">22.2 all other information and available documents or proofs concerning the verification of the nature, cause and extent of the Damage that can be provided by the Applicant or Insured.  </w:t>
      </w:r>
    </w:p>
    <w:p w14:paraId="62995862">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If the Applicant or Insured fails to comply with their obligation of providing the proofs and documents as aforementioned, which makes the Insurer not able to verify the Damage, the Insurer shall not indemnify the Insured in respect of the uncertain part of Damage.</w:t>
      </w:r>
    </w:p>
    <w:p w14:paraId="360E72AE">
      <w:pPr>
        <w:snapToGrid w:val="0"/>
        <w:spacing w:after="120" w:afterLines="50"/>
        <w:rPr>
          <w:rFonts w:ascii="Times New Roman" w:hAnsi="Times New Roman" w:eastAsiaTheme="minorEastAsia"/>
          <w:b/>
          <w:bCs/>
          <w:szCs w:val="21"/>
        </w:rPr>
      </w:pPr>
    </w:p>
    <w:p w14:paraId="6AE8DFA5">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LOSS SETTLEMENT</w:t>
      </w:r>
    </w:p>
    <w:p w14:paraId="120982C1">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Article 23 The Insured cannot lodge any claim against the Insurer if he has no insurable interest in the property insured at the time of the occurrence hereby insured.</w:t>
      </w:r>
    </w:p>
    <w:p w14:paraId="2B38EF8D">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24 </w:t>
      </w:r>
      <w:r>
        <w:rPr>
          <w:rFonts w:ascii="Times New Roman" w:hAnsi="Times New Roman" w:eastAsiaTheme="minorEastAsia"/>
          <w:bCs/>
          <w:szCs w:val="21"/>
        </w:rPr>
        <w:t>The Insurer may, at his option, indemnify the Insured for loss of or damage to the property insured by either:</w:t>
      </w:r>
    </w:p>
    <w:p w14:paraId="0AA179DC">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24.1 cash: the Insurer makes cash payment as indemnity; or</w:t>
      </w:r>
    </w:p>
    <w:p w14:paraId="344123D4">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24.2 replacement: the Insurer replaces the lost or damaged property with that of the same type, structure, function and capacity as the nearest condition of the property immediately prior to Loss; or</w:t>
      </w:r>
    </w:p>
    <w:p w14:paraId="713BC7FA">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24.3 repair: the Insurer repairs the damaged property.</w:t>
      </w:r>
    </w:p>
    <w:p w14:paraId="20D1800C">
      <w:pPr>
        <w:pStyle w:val="27"/>
        <w:tabs>
          <w:tab w:val="left" w:pos="210"/>
        </w:tabs>
        <w:autoSpaceDE w:val="0"/>
        <w:autoSpaceDN w:val="0"/>
        <w:snapToGrid w:val="0"/>
        <w:spacing w:after="120" w:afterLines="50" w:line="240" w:lineRule="auto"/>
        <w:ind w:right="113"/>
        <w:textAlignment w:val="bottom"/>
        <w:rPr>
          <w:rFonts w:ascii="Times New Roman" w:eastAsiaTheme="minorEastAsia"/>
          <w:sz w:val="21"/>
          <w:szCs w:val="21"/>
        </w:rPr>
      </w:pPr>
      <w:r>
        <w:rPr>
          <w:rFonts w:ascii="Times New Roman" w:eastAsiaTheme="minorEastAsia"/>
          <w:sz w:val="21"/>
          <w:szCs w:val="21"/>
        </w:rPr>
        <w:t>Nevertheless the extra costs and/or expenses of any alterations, additions or improvements occurring in the course of repair or replacement carried out by the Insured shall not be recoverable under this Policy.</w:t>
      </w:r>
    </w:p>
    <w:p w14:paraId="4E4AB1EB">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Article 25</w:t>
      </w:r>
      <w:r>
        <w:rPr>
          <w:rFonts w:ascii="Times New Roman" w:hAnsi="Times New Roman" w:eastAsiaTheme="minorEastAsia"/>
          <w:bCs/>
          <w:szCs w:val="21"/>
        </w:rPr>
        <w:t xml:space="preserve"> The property insured still carrying salvage value after Damage shall be disposed upon agreement between the Insured and the Insurer. If the salvage of the damaged property is retained by the Insured, the salvage value shall be deducted from the actual amount of indemnity</w:t>
      </w:r>
    </w:p>
    <w:p w14:paraId="4EF3C15A">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b/>
          <w:bCs/>
          <w:szCs w:val="21"/>
        </w:rPr>
        <w:t xml:space="preserve">Article 26 </w:t>
      </w:r>
      <w:r>
        <w:rPr>
          <w:rFonts w:ascii="Times New Roman" w:hAnsi="Times New Roman" w:eastAsiaTheme="minorEastAsia"/>
          <w:bCs/>
          <w:szCs w:val="21"/>
        </w:rPr>
        <w:t>In respect of loss or damage insured against hereby, the Insurer shall calculate the indemnity as follows:</w:t>
      </w:r>
      <w:r>
        <w:rPr>
          <w:rFonts w:ascii="Times New Roman" w:hAnsi="Times New Roman" w:eastAsiaTheme="minorEastAsia"/>
          <w:szCs w:val="21"/>
        </w:rPr>
        <w:t xml:space="preserve"> </w:t>
      </w:r>
    </w:p>
    <w:p w14:paraId="24BE227D">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 xml:space="preserve">26.1. In the event of partial loss, the indemnity is based upon the amount of repairing or restoring the machinery insured to its nearest condition immediately preceding the damage. If the salvage of the damaged property is retained by the Insured, the salvage value shall be agreed upon between the Insurer and Insured and deducted from the actual amount of indemnity. </w:t>
      </w:r>
    </w:p>
    <w:p w14:paraId="5B65AA23">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 xml:space="preserve">26.2. In the event of total loss or constructive total loss, the indemnity is based upon the actual value of the machinery insured preceding the damage. If the salvage of the damaged property is retained by the Insured, the salvage value shall be agreed upon between the Insurer and Insured and deducted from the actual amount of indemnity. </w:t>
      </w:r>
    </w:p>
    <w:p w14:paraId="4D67E3D6">
      <w:pPr>
        <w:widowControl/>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26.3. In the event of loss of or damage to any item or  equipment insured forming part of a pair or set, the insurer shall not be liable in respect of each of such item lost or damaged for more than its proportionate part of the sum insured on the complete pair or set.</w:t>
      </w:r>
    </w:p>
    <w:p w14:paraId="2990D0D4">
      <w:pPr>
        <w:snapToGrid w:val="0"/>
        <w:spacing w:after="120" w:afterLines="50"/>
        <w:ind w:left="473" w:hanging="472" w:hangingChars="225"/>
        <w:rPr>
          <w:rFonts w:ascii="Times New Roman" w:hAnsi="Times New Roman" w:eastAsiaTheme="minorEastAsia"/>
          <w:bCs/>
          <w:szCs w:val="21"/>
        </w:rPr>
      </w:pPr>
      <w:r>
        <w:rPr>
          <w:rFonts w:ascii="Times New Roman" w:hAnsi="Times New Roman" w:eastAsiaTheme="minorEastAsia"/>
          <w:bCs/>
          <w:szCs w:val="21"/>
        </w:rPr>
        <w:t xml:space="preserve">26.4. In respect of loss or damage insured hereby, if the Sum Insured or the Total Sum Insured of the damaged property insured is less than its reinstatement value, the difference is deemed to be the retention of the Insured, therefore the payment shall be determined on the basis of such proportion of the actual loss as the Sum Insured bears to the Reinstatement Value. In the case that there are more than one items of machinery insured stated in this Policy, the aforementioned calculation shall be applied to each item respectively. </w:t>
      </w:r>
    </w:p>
    <w:p w14:paraId="544C8BA4">
      <w:pPr>
        <w:widowControl/>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27 </w:t>
      </w:r>
      <w:r>
        <w:rPr>
          <w:rFonts w:ascii="Times New Roman" w:hAnsi="Times New Roman" w:eastAsiaTheme="minorEastAsia"/>
          <w:bCs/>
          <w:szCs w:val="21"/>
        </w:rPr>
        <w:t xml:space="preserve">The Insurer shall indemnify the Insured in respect of reasonable costs and/or expenses incurred when necessary measures taken for the purpose of minimizing the Damage after a insured accident, subject to the limit of the sum Insured of the insured machinery rescued. </w:t>
      </w:r>
    </w:p>
    <w:p w14:paraId="7E080E04">
      <w:pPr>
        <w:pStyle w:val="7"/>
        <w:snapToGrid w:val="0"/>
        <w:spacing w:afterLines="50"/>
        <w:rPr>
          <w:rFonts w:eastAsiaTheme="minorEastAsia"/>
          <w:bCs/>
          <w:sz w:val="21"/>
          <w:szCs w:val="21"/>
        </w:rPr>
      </w:pPr>
      <w:r>
        <w:rPr>
          <w:rFonts w:eastAsiaTheme="minorEastAsia"/>
          <w:sz w:val="21"/>
          <w:szCs w:val="21"/>
        </w:rPr>
        <w:t xml:space="preserve">In the case that uninsured items are included in the rescued property, the Insurer shall only pay for the proportion of the </w:t>
      </w:r>
      <w:r>
        <w:rPr>
          <w:rFonts w:eastAsiaTheme="minorEastAsia"/>
          <w:bCs/>
          <w:sz w:val="21"/>
          <w:szCs w:val="21"/>
        </w:rPr>
        <w:t>sue and labor expenses</w:t>
      </w:r>
      <w:r>
        <w:rPr>
          <w:rFonts w:eastAsiaTheme="minorEastAsia"/>
          <w:sz w:val="21"/>
          <w:szCs w:val="21"/>
        </w:rPr>
        <w:t xml:space="preserve"> as the reinstatement value of the rescued property insured bears to the total value of the rescued property.</w:t>
      </w:r>
    </w:p>
    <w:p w14:paraId="240CA074">
      <w:pPr>
        <w:pStyle w:val="7"/>
        <w:snapToGrid w:val="0"/>
        <w:spacing w:afterLines="50"/>
        <w:rPr>
          <w:rFonts w:eastAsiaTheme="minorEastAsia"/>
          <w:sz w:val="21"/>
          <w:szCs w:val="21"/>
        </w:rPr>
      </w:pPr>
      <w:r>
        <w:rPr>
          <w:rFonts w:eastAsiaTheme="minorEastAsia"/>
          <w:b/>
          <w:bCs/>
          <w:sz w:val="21"/>
          <w:szCs w:val="21"/>
        </w:rPr>
        <w:t>Article 28</w:t>
      </w:r>
      <w:r>
        <w:rPr>
          <w:rFonts w:eastAsiaTheme="minorEastAsia"/>
          <w:sz w:val="21"/>
          <w:szCs w:val="21"/>
        </w:rPr>
        <w:t xml:space="preserve"> The amount of indemnity shall be the amount as reached in </w:t>
      </w:r>
      <w:r>
        <w:rPr>
          <w:rFonts w:eastAsiaTheme="minorEastAsia"/>
          <w:bCs/>
          <w:sz w:val="21"/>
          <w:szCs w:val="21"/>
        </w:rPr>
        <w:t>Article 26 and 27</w:t>
      </w:r>
      <w:r>
        <w:rPr>
          <w:rFonts w:eastAsiaTheme="minorEastAsia"/>
          <w:sz w:val="21"/>
          <w:szCs w:val="21"/>
        </w:rPr>
        <w:t xml:space="preserve"> deducting the deductible for any one accident/occurrence.</w:t>
      </w:r>
    </w:p>
    <w:p w14:paraId="6338EDE1">
      <w:pPr>
        <w:adjustRightInd w:val="0"/>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29 </w:t>
      </w:r>
      <w:r>
        <w:rPr>
          <w:rFonts w:ascii="Times New Roman" w:hAnsi="Times New Roman" w:eastAsiaTheme="minorEastAsia"/>
          <w:bCs/>
          <w:szCs w:val="21"/>
        </w:rPr>
        <w:t xml:space="preserve">  If at the time of any loss or damage happening to any property hereby insured, there be any double insurance subsisting, the Insurer shall not pay or contribute more than his rateable proportion of loss or damage as the corresponding sum insured under this Policy bears to the corresponding total sum insured under all these policies. </w:t>
      </w:r>
    </w:p>
    <w:p w14:paraId="3A8CF51A">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 xml:space="preserve">The Insurer shall not advance the amount payable by other insurer(s). If the Insurer has paid more than his share due to the Insured’s non-disclosure, the Insurer is entitled to claim for the portion paid in excess.  </w:t>
      </w:r>
    </w:p>
    <w:p w14:paraId="2312930F">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Article 30</w:t>
      </w:r>
      <w:r>
        <w:rPr>
          <w:rFonts w:ascii="Times New Roman" w:hAnsi="Times New Roman" w:eastAsiaTheme="minorEastAsia"/>
          <w:bCs/>
          <w:szCs w:val="21"/>
        </w:rPr>
        <w:t xml:space="preserve"> </w:t>
      </w:r>
      <w:r>
        <w:rPr>
          <w:rFonts w:ascii="Times New Roman" w:hAnsi="Times New Roman" w:eastAsiaTheme="minorEastAsia"/>
          <w:szCs w:val="21"/>
        </w:rPr>
        <w:t>In the event of a partial loss, upon settlement of the claim by the Insurer, the sum insured of this Policy shall be reduced correspondingly from the date of Damage,</w:t>
      </w:r>
      <w:r>
        <w:rPr>
          <w:rFonts w:ascii="Times New Roman" w:hAnsi="Times New Roman" w:eastAsiaTheme="minorEastAsia"/>
          <w:bCs/>
          <w:szCs w:val="21"/>
        </w:rPr>
        <w:t xml:space="preserve"> and no premium shall be refunded by the Insurer for so reduced. </w:t>
      </w:r>
      <w:r>
        <w:rPr>
          <w:rFonts w:ascii="Times New Roman" w:hAnsi="Times New Roman" w:eastAsiaTheme="minorEastAsia"/>
          <w:szCs w:val="21"/>
        </w:rPr>
        <w:t>If reinstatement of the sum insured is required by the Applicant, an additional premium for the reinstated amount shall be charged on pro rata daily basis from the date of requirement by the Applicant to the expiry date of this Policy.</w:t>
      </w:r>
    </w:p>
    <w:p w14:paraId="04388ED9">
      <w:pPr>
        <w:tabs>
          <w:tab w:val="left" w:pos="2160"/>
        </w:tabs>
        <w:adjustRightInd w:val="0"/>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31 </w:t>
      </w:r>
      <w:r>
        <w:rPr>
          <w:rFonts w:ascii="Times New Roman" w:hAnsi="Times New Roman" w:eastAsiaTheme="minorEastAsia"/>
          <w:bCs/>
          <w:szCs w:val="21"/>
        </w:rPr>
        <w:t xml:space="preserve">If any third party is held liable for the Damage insured hereby, the Insurer shall be entitled by subrogation to claim for indemnity against such third party upon Insurer’s paying for the Damage subject to the limit of the payment, and the Insured shall provide the Insurer with all the necessary documents and relevant information known to him. </w:t>
      </w:r>
    </w:p>
    <w:p w14:paraId="135B8D25">
      <w:pPr>
        <w:tabs>
          <w:tab w:val="left" w:pos="2160"/>
        </w:tabs>
        <w:snapToGrid w:val="0"/>
        <w:spacing w:after="120" w:afterLines="50"/>
        <w:rPr>
          <w:rFonts w:ascii="Times New Roman" w:hAnsi="Times New Roman" w:eastAsiaTheme="minorEastAsia"/>
          <w:bCs/>
          <w:szCs w:val="21"/>
        </w:rPr>
      </w:pPr>
      <w:r>
        <w:rPr>
          <w:rFonts w:ascii="Times New Roman" w:hAnsi="Times New Roman" w:eastAsiaTheme="minorEastAsia"/>
          <w:bCs/>
          <w:szCs w:val="21"/>
        </w:rPr>
        <w:t>If the Insured has already been indemnified by the third party liable for the Damage, the Insurer shall deduct the corresponding amount when calculating the amount of indemnity.</w:t>
      </w:r>
    </w:p>
    <w:p w14:paraId="45C178E8">
      <w:pPr>
        <w:snapToGrid w:val="0"/>
        <w:spacing w:after="120" w:afterLines="50"/>
        <w:rPr>
          <w:rFonts w:ascii="Times New Roman" w:hAnsi="Times New Roman" w:eastAsiaTheme="minorEastAsia"/>
          <w:b/>
          <w:bCs/>
          <w:szCs w:val="21"/>
        </w:rPr>
      </w:pPr>
      <w:r>
        <w:rPr>
          <w:rFonts w:ascii="Times New Roman" w:hAnsi="Times New Roman" w:eastAsiaTheme="minorEastAsia"/>
          <w:b/>
          <w:bCs/>
          <w:szCs w:val="21"/>
        </w:rPr>
        <w:t xml:space="preserve">The Insurer shall not indemnify the Insured for the Damage, if the Insured waive the right to claim against the third party liable before the Insurer makes payment of indemnity. </w:t>
      </w:r>
      <w:r>
        <w:rPr>
          <w:rFonts w:ascii="Times New Roman" w:hAnsi="Times New Roman" w:eastAsiaTheme="minorEastAsia"/>
          <w:bCs/>
          <w:szCs w:val="21"/>
        </w:rPr>
        <w:t xml:space="preserve">If after receiving indemnity from the Insurer, the Insured waives the right to claim against any third party liable for the Damage without the Insurer’s consent, such waiver of right is invalid. </w:t>
      </w:r>
      <w:r>
        <w:rPr>
          <w:rFonts w:ascii="Times New Roman" w:hAnsi="Times New Roman" w:eastAsiaTheme="minorEastAsia"/>
          <w:b/>
          <w:bCs/>
          <w:szCs w:val="21"/>
        </w:rPr>
        <w:t xml:space="preserve">If due to the Insured’s willful act or gross negligence, the Insurer cannot exercise the right of subrogation, the Insurer may deduct a corresponding amount when calculating the amount of indemnity or request refund of a corresponding amount from the indemnity paid to the Insured. </w:t>
      </w:r>
    </w:p>
    <w:p w14:paraId="0177DAF9">
      <w:pPr>
        <w:snapToGrid w:val="0"/>
        <w:spacing w:after="120" w:afterLines="50"/>
        <w:rPr>
          <w:rFonts w:ascii="Times New Roman" w:hAnsi="Times New Roman" w:eastAsiaTheme="minorEastAsia"/>
          <w:bCs/>
          <w:szCs w:val="21"/>
        </w:rPr>
      </w:pPr>
      <w:r>
        <w:rPr>
          <w:rFonts w:ascii="Times New Roman" w:hAnsi="Times New Roman" w:eastAsiaTheme="minorEastAsia"/>
          <w:b/>
          <w:bCs/>
          <w:szCs w:val="21"/>
        </w:rPr>
        <w:t xml:space="preserve">Article 32 </w:t>
      </w:r>
      <w:r>
        <w:rPr>
          <w:rFonts w:ascii="Times New Roman" w:hAnsi="Times New Roman" w:eastAsiaTheme="minorEastAsia"/>
          <w:bCs/>
          <w:szCs w:val="21"/>
        </w:rPr>
        <w:t>The limitation of action to claim for indemnity under this Policy shall be two years from the date that the Insured is aware or ought to be aware of the occurrence of loss or damage insured hereby.</w:t>
      </w:r>
    </w:p>
    <w:p w14:paraId="66F32887">
      <w:pPr>
        <w:snapToGrid w:val="0"/>
        <w:spacing w:after="120" w:afterLines="50"/>
        <w:rPr>
          <w:rFonts w:ascii="Times New Roman" w:hAnsi="Times New Roman" w:eastAsiaTheme="minorEastAsia"/>
          <w:bCs/>
          <w:szCs w:val="21"/>
        </w:rPr>
      </w:pPr>
    </w:p>
    <w:p w14:paraId="5F12C8B1">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DISPUTE RESOLUTION AND JURISDICTION</w:t>
      </w:r>
    </w:p>
    <w:p w14:paraId="22834785">
      <w:pPr>
        <w:snapToGrid w:val="0"/>
        <w:spacing w:after="120" w:afterLines="50"/>
        <w:rPr>
          <w:rFonts w:ascii="Times New Roman" w:hAnsi="Times New Roman" w:eastAsiaTheme="minorEastAsia"/>
          <w:szCs w:val="21"/>
        </w:rPr>
      </w:pPr>
      <w:r>
        <w:rPr>
          <w:rFonts w:ascii="Times New Roman" w:hAnsi="Times New Roman" w:eastAsiaTheme="minorEastAsia"/>
          <w:b/>
          <w:szCs w:val="21"/>
        </w:rPr>
        <w:t>Article 33</w:t>
      </w:r>
      <w:r>
        <w:rPr>
          <w:rFonts w:ascii="Times New Roman" w:hAnsi="Times New Roman" w:eastAsiaTheme="minorEastAsia"/>
          <w:szCs w:val="21"/>
        </w:rPr>
        <w:t xml:space="preserve"> All disputes arising from implementing this Policy shall be settled through negotiations between the parties concerned. Upon failure to reach an agreement through negotiations, such dispute shall be referred to the arbitration commission specified in the policy. If there is no arbitration commission specified in the policy and no agreement reached for arbitration, legal proceeding could be initiated with the People’s Court in People’s Republic of China.</w:t>
      </w:r>
    </w:p>
    <w:p w14:paraId="454D027E">
      <w:pPr>
        <w:snapToGrid w:val="0"/>
        <w:spacing w:after="120" w:afterLines="50"/>
        <w:rPr>
          <w:rFonts w:ascii="Times New Roman" w:hAnsi="Times New Roman" w:eastAsiaTheme="minorEastAsia"/>
          <w:szCs w:val="21"/>
        </w:rPr>
      </w:pPr>
      <w:r>
        <w:rPr>
          <w:rFonts w:ascii="Times New Roman" w:hAnsi="Times New Roman" w:eastAsiaTheme="minorEastAsia"/>
          <w:b/>
          <w:szCs w:val="21"/>
        </w:rPr>
        <w:t>Article 34</w:t>
      </w:r>
      <w:r>
        <w:rPr>
          <w:rFonts w:ascii="Times New Roman" w:hAnsi="Times New Roman" w:eastAsiaTheme="minorEastAsia"/>
          <w:szCs w:val="21"/>
        </w:rPr>
        <w:t xml:space="preserve"> All disputes related to this insurance contract shall be governed by the laws of the People’s Republic of China, but except laws of Hong Kong SAR, Macau SAR, and Taiwan.</w:t>
      </w:r>
    </w:p>
    <w:p w14:paraId="4F5CF15F">
      <w:pPr>
        <w:snapToGrid w:val="0"/>
        <w:spacing w:after="120" w:afterLines="50"/>
        <w:rPr>
          <w:rFonts w:ascii="Times New Roman" w:hAnsi="Times New Roman" w:eastAsiaTheme="minorEastAsia"/>
          <w:szCs w:val="21"/>
        </w:rPr>
      </w:pPr>
    </w:p>
    <w:p w14:paraId="5387094D">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MISCELLANEOUS</w:t>
      </w:r>
    </w:p>
    <w:p w14:paraId="75ED1451">
      <w:pPr>
        <w:snapToGrid w:val="0"/>
        <w:spacing w:after="120" w:afterLines="50"/>
        <w:rPr>
          <w:rStyle w:val="26"/>
          <w:rFonts w:ascii="Times New Roman" w:hAnsi="Times New Roman" w:eastAsiaTheme="minorEastAsia"/>
          <w:szCs w:val="21"/>
        </w:rPr>
      </w:pPr>
      <w:r>
        <w:rPr>
          <w:rStyle w:val="26"/>
          <w:rFonts w:ascii="Times New Roman" w:hAnsi="Times New Roman" w:eastAsiaTheme="minorEastAsia"/>
          <w:b/>
          <w:szCs w:val="21"/>
        </w:rPr>
        <w:t>Article 35</w:t>
      </w:r>
      <w:r>
        <w:rPr>
          <w:rStyle w:val="26"/>
          <w:rFonts w:ascii="Times New Roman" w:hAnsi="Times New Roman" w:eastAsiaTheme="minorEastAsia"/>
          <w:szCs w:val="21"/>
        </w:rPr>
        <w:t xml:space="preserve"> In respect of partial loss of the property insured, the Applicant may cancel the Policy within thirty days from the date that the Insurer makes payment of indemnity. This insurance may also be terminated at the option of the Insurer by sending fifteen days’ notice to the effect being given to the Applicant, unless otherwise agreed and stipulated in this Policy.</w:t>
      </w:r>
    </w:p>
    <w:p w14:paraId="4F958FDA">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szCs w:val="21"/>
        </w:rPr>
        <w:t xml:space="preserve">If this insurance is terminated as aforementioned, the Insurer shall refund to the Applicant the premium of the undamaged proportion of the property insured after deducting the premium that shall be charged from the date of inception to the date of cancellation. </w:t>
      </w:r>
    </w:p>
    <w:p w14:paraId="4BB05AE0">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b/>
          <w:szCs w:val="21"/>
        </w:rPr>
        <w:t>Article 36</w:t>
      </w:r>
      <w:r>
        <w:rPr>
          <w:rStyle w:val="25"/>
          <w:rFonts w:ascii="Times New Roman" w:hAnsi="Times New Roman" w:eastAsiaTheme="minorEastAsia"/>
          <w:szCs w:val="21"/>
        </w:rPr>
        <w:t xml:space="preserve"> At the Applicant’s request for cancellation of this Policy before the inception of insurance, the Insurer shall charge the Applicant a commission for cancellation as stipulated in the Policy, but shall return the balance of the premium to the Applicant.</w:t>
      </w:r>
    </w:p>
    <w:p w14:paraId="3708935E">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szCs w:val="21"/>
        </w:rPr>
        <w:t>At the Applicant’s request for cancellation of the Policy after inception of insurance, the insurance shall be terminated from the date of notification, in which case, the Insurer shall retain the premium calculated according to the Short-Term Premium Rate Table for the period from the date of inception to the date of cancellation, and refund the balance of the charged premium to the Applicant.</w:t>
      </w:r>
    </w:p>
    <w:p w14:paraId="5C81E9D6">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szCs w:val="21"/>
        </w:rPr>
        <w:t xml:space="preserve">This insurance may also be cancelled at the request of the Insurer after inception of insurance </w:t>
      </w:r>
      <w:r>
        <w:rPr>
          <w:rStyle w:val="26"/>
          <w:rFonts w:ascii="Times New Roman" w:hAnsi="Times New Roman" w:eastAsiaTheme="minorEastAsia"/>
          <w:szCs w:val="21"/>
        </w:rPr>
        <w:t>by sending fifteen days’ notice to the effect being given to the Applicant</w:t>
      </w:r>
      <w:r>
        <w:rPr>
          <w:rStyle w:val="25"/>
          <w:rFonts w:ascii="Times New Roman" w:hAnsi="Times New Roman" w:eastAsiaTheme="minorEastAsia"/>
          <w:szCs w:val="21"/>
        </w:rPr>
        <w:t xml:space="preserve">, in which case the Insurer shall calculate the premium on pro rata daily basis from the inception date of insurance to the date of cancellation, and refund the balance of premium to the Applicant.  </w:t>
      </w:r>
    </w:p>
    <w:p w14:paraId="0B4AB873">
      <w:pPr>
        <w:snapToGrid w:val="0"/>
        <w:spacing w:after="120" w:afterLines="50"/>
        <w:rPr>
          <w:rStyle w:val="25"/>
          <w:rFonts w:ascii="Times New Roman" w:hAnsi="Times New Roman" w:eastAsiaTheme="minorEastAsia"/>
          <w:szCs w:val="21"/>
        </w:rPr>
      </w:pPr>
      <w:r>
        <w:rPr>
          <w:rStyle w:val="25"/>
          <w:rFonts w:ascii="Times New Roman" w:hAnsi="Times New Roman" w:eastAsiaTheme="minorEastAsia"/>
          <w:b/>
          <w:szCs w:val="21"/>
        </w:rPr>
        <w:t xml:space="preserve">Article 37 </w:t>
      </w:r>
      <w:r>
        <w:rPr>
          <w:rStyle w:val="25"/>
          <w:rFonts w:ascii="Times New Roman" w:hAnsi="Times New Roman" w:eastAsiaTheme="minorEastAsia"/>
          <w:szCs w:val="21"/>
        </w:rPr>
        <w:t xml:space="preserve">In the case that the property insured suffers total loss insured against hereby, this insurance shall terminate upon the Insurer’s fulfillment of indemnity obligation. If the loss is not covered hereby, this insurance shall terminate, but the Insurer shall refund to the Applicant the charged premium after deducting the short-term premium as calculated pro rata daily from the date of inception to the date of total loss. </w:t>
      </w:r>
    </w:p>
    <w:p w14:paraId="2E969117">
      <w:pPr>
        <w:snapToGrid w:val="0"/>
        <w:spacing w:after="120" w:afterLines="50"/>
        <w:rPr>
          <w:rStyle w:val="25"/>
          <w:rFonts w:ascii="Times New Roman" w:hAnsi="Times New Roman" w:eastAsiaTheme="minorEastAsia"/>
          <w:szCs w:val="21"/>
        </w:rPr>
      </w:pPr>
    </w:p>
    <w:p w14:paraId="601AA2F0">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LANGUAGE</w:t>
      </w:r>
    </w:p>
    <w:p w14:paraId="780457BF">
      <w:pPr>
        <w:snapToGrid w:val="0"/>
        <w:spacing w:after="120" w:afterLines="50"/>
        <w:rPr>
          <w:rStyle w:val="25"/>
          <w:rFonts w:ascii="Times New Roman" w:hAnsi="Times New Roman" w:eastAsiaTheme="minorEastAsia"/>
          <w:b/>
          <w:szCs w:val="21"/>
        </w:rPr>
      </w:pPr>
      <w:r>
        <w:rPr>
          <w:rStyle w:val="25"/>
          <w:rFonts w:ascii="Times New Roman" w:hAnsi="Times New Roman" w:eastAsiaTheme="minorEastAsia"/>
          <w:b/>
          <w:szCs w:val="21"/>
        </w:rPr>
        <w:t xml:space="preserve">Article 38 In the event of a discrepancy between the Chinese version and its English translation, the Chinese version shall prevail. </w:t>
      </w:r>
    </w:p>
    <w:p w14:paraId="57944A48">
      <w:pPr>
        <w:snapToGrid w:val="0"/>
        <w:spacing w:after="120" w:afterLines="50"/>
        <w:jc w:val="center"/>
        <w:rPr>
          <w:rFonts w:ascii="Times New Roman" w:hAnsi="Times New Roman" w:eastAsiaTheme="minorEastAsia"/>
          <w:szCs w:val="21"/>
        </w:rPr>
      </w:pPr>
    </w:p>
    <w:p w14:paraId="0C69E12D">
      <w:pPr>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DEFINITIONS</w:t>
      </w:r>
    </w:p>
    <w:p w14:paraId="21A17937">
      <w:pPr>
        <w:snapToGrid w:val="0"/>
        <w:spacing w:after="120" w:afterLines="50"/>
        <w:jc w:val="left"/>
        <w:rPr>
          <w:rStyle w:val="25"/>
          <w:rFonts w:ascii="Times New Roman" w:hAnsi="Times New Roman" w:eastAsiaTheme="minorEastAsia"/>
          <w:szCs w:val="21"/>
        </w:rPr>
      </w:pPr>
      <w:r>
        <w:rPr>
          <w:rStyle w:val="25"/>
          <w:rFonts w:ascii="Times New Roman" w:hAnsi="Times New Roman" w:eastAsiaTheme="minorEastAsia"/>
          <w:b/>
          <w:vanish/>
          <w:szCs w:val="21"/>
        </w:rPr>
        <w:t>25.icle 40  and</w:t>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vanish/>
          <w:szCs w:val="21"/>
        </w:rPr>
        <w:pgNum/>
      </w:r>
      <w:r>
        <w:rPr>
          <w:rStyle w:val="25"/>
          <w:rFonts w:ascii="Times New Roman" w:hAnsi="Times New Roman" w:eastAsiaTheme="minorEastAsia"/>
          <w:b/>
          <w:szCs w:val="21"/>
        </w:rPr>
        <w:t>Article 39</w:t>
      </w:r>
      <w:r>
        <w:rPr>
          <w:rStyle w:val="25"/>
          <w:rFonts w:ascii="Times New Roman" w:hAnsi="Times New Roman" w:eastAsiaTheme="minorEastAsia"/>
          <w:szCs w:val="21"/>
        </w:rPr>
        <w:t xml:space="preserve"> The following definitions shall apply to the terms concerned in the policy：</w:t>
      </w:r>
    </w:p>
    <w:p w14:paraId="22182A8F">
      <w:pPr>
        <w:snapToGrid w:val="0"/>
        <w:spacing w:after="120" w:afterLines="50"/>
        <w:jc w:val="left"/>
        <w:rPr>
          <w:rStyle w:val="25"/>
          <w:rFonts w:ascii="Times New Roman" w:hAnsi="Times New Roman" w:eastAsiaTheme="minorEastAsia"/>
          <w:szCs w:val="21"/>
        </w:rPr>
      </w:pPr>
      <w:r>
        <w:rPr>
          <w:rStyle w:val="25"/>
          <w:rFonts w:ascii="Times New Roman" w:hAnsi="Times New Roman" w:eastAsiaTheme="minorEastAsia"/>
          <w:szCs w:val="21"/>
        </w:rPr>
        <w:t>1. Fire: a disaster caused by combustion out of control in time or space. The Insurer shall not be liable for the peril of fire unless the following three conditions have been satisfied simultaneously:</w:t>
      </w:r>
    </w:p>
    <w:p w14:paraId="4E7DBDDC">
      <w:pPr>
        <w:snapToGrid w:val="0"/>
        <w:spacing w:after="120" w:afterLines="50"/>
        <w:rPr>
          <w:rFonts w:ascii="Times New Roman" w:hAnsi="Times New Roman" w:eastAsiaTheme="minorEastAsia"/>
          <w:szCs w:val="21"/>
        </w:rPr>
      </w:pPr>
      <w:r>
        <w:rPr>
          <w:rFonts w:ascii="Times New Roman" w:hAnsi="Times New Roman" w:eastAsiaTheme="minorEastAsia"/>
          <w:szCs w:val="21"/>
        </w:rPr>
        <w:t>1.1 Combustion produces heat, light and flame;</w:t>
      </w:r>
    </w:p>
    <w:p w14:paraId="0C1FB9B2">
      <w:pPr>
        <w:snapToGrid w:val="0"/>
        <w:spacing w:after="120" w:afterLines="50"/>
        <w:rPr>
          <w:rFonts w:ascii="Times New Roman" w:hAnsi="Times New Roman" w:eastAsiaTheme="minorEastAsia"/>
          <w:szCs w:val="21"/>
        </w:rPr>
      </w:pPr>
      <w:r>
        <w:rPr>
          <w:rFonts w:ascii="Times New Roman" w:hAnsi="Times New Roman" w:eastAsiaTheme="minorEastAsia"/>
          <w:szCs w:val="21"/>
        </w:rPr>
        <w:t>1.2 Combustion is occasional and unexpected;</w:t>
      </w:r>
    </w:p>
    <w:p w14:paraId="35BC1612">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1.3 Combustion goes beyond control and tends to spread and expand. </w:t>
      </w:r>
    </w:p>
    <w:p w14:paraId="7077A590">
      <w:pPr>
        <w:snapToGrid w:val="0"/>
        <w:spacing w:after="120" w:afterLines="50"/>
        <w:rPr>
          <w:rFonts w:ascii="Times New Roman" w:hAnsi="Times New Roman" w:eastAsiaTheme="minorEastAsia"/>
          <w:szCs w:val="21"/>
        </w:rPr>
      </w:pPr>
      <w:r>
        <w:rPr>
          <w:rFonts w:ascii="Times New Roman" w:hAnsi="Times New Roman" w:eastAsiaTheme="minorEastAsia"/>
          <w:szCs w:val="21"/>
        </w:rPr>
        <w:t>Therefore only combustion phenomena shall not constitute the “fire” insured against in the policy. Purposive burnings in production and life, for example, burning contaminated clothes for epidemic prevention or burning the grass on waste land by fire, etc, is not the fire insured hereby but normal combustion.</w:t>
      </w:r>
    </w:p>
    <w:p w14:paraId="70070C18">
      <w:pPr>
        <w:snapToGrid w:val="0"/>
        <w:spacing w:after="120" w:afterLines="50"/>
        <w:rPr>
          <w:rFonts w:ascii="Times New Roman" w:hAnsi="Times New Roman" w:eastAsiaTheme="minorEastAsia"/>
          <w:szCs w:val="21"/>
        </w:rPr>
      </w:pPr>
      <w:r>
        <w:rPr>
          <w:rFonts w:ascii="Times New Roman" w:hAnsi="Times New Roman" w:eastAsiaTheme="minorEastAsia"/>
          <w:szCs w:val="21"/>
        </w:rPr>
        <w:t>In addition, the losses caused by baking, roasting or ironing shall not be insured hereby because of no combustion phenomena and tend of spreading and expanding.</w:t>
      </w:r>
    </w:p>
    <w:p w14:paraId="5668B949">
      <w:pPr>
        <w:snapToGrid w:val="0"/>
        <w:spacing w:after="120" w:afterLines="50"/>
        <w:rPr>
          <w:rFonts w:ascii="Times New Roman" w:hAnsi="Times New Roman" w:eastAsiaTheme="minorEastAsia"/>
          <w:szCs w:val="21"/>
        </w:rPr>
      </w:pPr>
      <w:r>
        <w:rPr>
          <w:rFonts w:ascii="Times New Roman" w:hAnsi="Times New Roman" w:eastAsiaTheme="minorEastAsia"/>
          <w:szCs w:val="21"/>
        </w:rPr>
        <w:t>The damage of electric motors, appliances and equipment caused by overuse, overvoltage, swinging cross, flash, leakage and self-heating shall not belong to fire risk insured. However, if combustion happens, goes beyond control and spreads, it constitutes peril of fire insured and the Insurer shall be responsible for compensation for the losses of electric motors, appliances and equipment.</w:t>
      </w:r>
    </w:p>
    <w:p w14:paraId="5CB3FFF4">
      <w:pPr>
        <w:snapToGrid w:val="0"/>
        <w:spacing w:after="120" w:afterLines="50"/>
        <w:rPr>
          <w:rFonts w:ascii="Times New Roman" w:hAnsi="Times New Roman" w:eastAsiaTheme="minorEastAsia"/>
          <w:szCs w:val="21"/>
        </w:rPr>
      </w:pPr>
      <w:r>
        <w:rPr>
          <w:rFonts w:ascii="Times New Roman" w:hAnsi="Times New Roman" w:eastAsiaTheme="minorEastAsia"/>
          <w:szCs w:val="21"/>
        </w:rPr>
        <w:t>2. Explosion:</w:t>
      </w:r>
      <w:r>
        <w:rPr>
          <w:rFonts w:ascii="Times New Roman" w:hAnsi="Times New Roman" w:eastAsiaTheme="minorEastAsia"/>
          <w:b/>
          <w:szCs w:val="21"/>
        </w:rPr>
        <w:t xml:space="preserve"> </w:t>
      </w:r>
      <w:r>
        <w:rPr>
          <w:rFonts w:ascii="Times New Roman" w:hAnsi="Times New Roman" w:eastAsiaTheme="minorEastAsia"/>
          <w:szCs w:val="21"/>
        </w:rPr>
        <w:t xml:space="preserve">explosion includes physical explosion and chemical explosion. </w:t>
      </w:r>
    </w:p>
    <w:p w14:paraId="6FB75C44">
      <w:pPr>
        <w:snapToGrid w:val="0"/>
        <w:spacing w:after="120" w:afterLines="50"/>
        <w:rPr>
          <w:rFonts w:ascii="Times New Roman" w:hAnsi="Times New Roman" w:eastAsiaTheme="minorEastAsia"/>
          <w:szCs w:val="21"/>
        </w:rPr>
      </w:pPr>
      <w:r>
        <w:rPr>
          <w:rFonts w:ascii="Times New Roman" w:hAnsi="Times New Roman" w:eastAsiaTheme="minorEastAsia"/>
          <w:szCs w:val="21"/>
        </w:rPr>
        <w:t>Physical explosion: when liquid is changed into steam or gas expands, its pressure rises sharply and greatly exceeds the ultimate pressure that container can bear, explosion happens, such as boiler explosion, air compressor explosion, compressed gas cylinder explosion and liquid gas storage tank explosion, etc. Boiler and pressure vessel explosion is defined as follows: a boiler or pressure vessel bursts during use or pressure test to make its pressure instantaneously drop to external atmospheric pressure, which is called “explosion accident”.</w:t>
      </w:r>
    </w:p>
    <w:p w14:paraId="47457D63">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Chemical explosion refers to a phenomenon that an object gives off plenty of heat and gases when decomposing or burning momentarily and spreads all around at a great pressure, such as gunpowder explosion, flammable dust and fiber explosion, flammable gas explosion and various chemicals explosion, etc. </w:t>
      </w:r>
    </w:p>
    <w:p w14:paraId="4FCD4AE3">
      <w:pPr>
        <w:snapToGrid w:val="0"/>
        <w:spacing w:after="120" w:afterLines="50"/>
        <w:rPr>
          <w:rFonts w:ascii="Times New Roman" w:hAnsi="Times New Roman" w:eastAsiaTheme="minorEastAsia"/>
          <w:szCs w:val="21"/>
        </w:rPr>
      </w:pPr>
      <w:r>
        <w:rPr>
          <w:rFonts w:ascii="Times New Roman" w:hAnsi="Times New Roman" w:eastAsiaTheme="minorEastAsia"/>
          <w:szCs w:val="21"/>
        </w:rPr>
        <w:t>Losses caused by inherent vice, latent defect, wear and tear, inferior quality of the property or negative pressure shall not be explosion insured against hereby.</w:t>
      </w:r>
    </w:p>
    <w:p w14:paraId="34BADE4F">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3. Lightning stroke: a disaster caused by lightning. Lightning refers to an electric discharge phenomenon happening in cumulonimbus clouds, between clouds or between clouds and ground. The destructive forms of lightning stroke are divided into direct lightning stroke and inductive lightning stroke.   </w:t>
      </w:r>
    </w:p>
    <w:p w14:paraId="341725EC">
      <w:pPr>
        <w:snapToGrid w:val="0"/>
        <w:spacing w:after="120" w:afterLines="50"/>
        <w:rPr>
          <w:rFonts w:ascii="Times New Roman" w:hAnsi="Times New Roman" w:eastAsiaTheme="minorEastAsia"/>
          <w:szCs w:val="21"/>
        </w:rPr>
      </w:pPr>
      <w:r>
        <w:rPr>
          <w:rFonts w:ascii="Times New Roman" w:hAnsi="Times New Roman" w:eastAsiaTheme="minorEastAsia"/>
          <w:szCs w:val="21"/>
        </w:rPr>
        <w:t>3.1. Direct lightning stroke: loss caused as lightning hits property insured directly, which is covered hereby as direct lightning stroke liability.</w:t>
      </w:r>
    </w:p>
    <w:p w14:paraId="6F80EF41">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3.2. Inductive lightning stroke: static induction or electromagnetic induction caused by lightning stroke makes indoor metal objects which insulate against ground produce high potential and sparks, thereby leading to fire and damage of electric appliance, or high voltage induction of lightning results in damage of electric appliance, which is insured hereby as inductive lightning stroke liability.  </w:t>
      </w:r>
    </w:p>
    <w:p w14:paraId="0223374D">
      <w:pPr>
        <w:snapToGrid w:val="0"/>
        <w:spacing w:after="120" w:afterLines="50"/>
        <w:rPr>
          <w:rFonts w:ascii="Times New Roman" w:hAnsi="Times New Roman" w:eastAsiaTheme="minorEastAsia"/>
          <w:szCs w:val="21"/>
        </w:rPr>
      </w:pPr>
      <w:r>
        <w:rPr>
          <w:rFonts w:ascii="Times New Roman" w:hAnsi="Times New Roman" w:eastAsiaTheme="minorEastAsia"/>
          <w:szCs w:val="21"/>
        </w:rPr>
        <w:t>4. Rainstorm: a rain when the rainfall is more than 16mm per hour, or more than 30mm per 12 hours, or more than 50mm per 24 hours.</w:t>
      </w:r>
    </w:p>
    <w:p w14:paraId="19AC55CB">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5. Flood: flash flood, flooding of rivers, landing of tide and back flow. But regular rising tide, water leakage of automatic sprinkler system, underground water seepage and water pipe burst shall not belong to flood liability hereby insured.   </w:t>
      </w:r>
    </w:p>
    <w:p w14:paraId="7EB90B6B">
      <w:pPr>
        <w:snapToGrid w:val="0"/>
        <w:spacing w:after="120" w:afterLines="50"/>
        <w:rPr>
          <w:rFonts w:ascii="Times New Roman" w:hAnsi="Times New Roman" w:eastAsiaTheme="minorEastAsia"/>
          <w:szCs w:val="21"/>
        </w:rPr>
      </w:pPr>
      <w:r>
        <w:rPr>
          <w:rFonts w:ascii="Times New Roman" w:hAnsi="Times New Roman" w:eastAsiaTheme="minorEastAsia"/>
          <w:szCs w:val="21"/>
        </w:rPr>
        <w:t>6. Tempest: a natural wind whose force reaches Beaufort Force 8 and speed is more than 17.2 m/s.</w:t>
      </w:r>
    </w:p>
    <w:p w14:paraId="05F3583E">
      <w:pPr>
        <w:snapToGrid w:val="0"/>
        <w:spacing w:after="120" w:afterLines="50"/>
        <w:rPr>
          <w:rFonts w:ascii="Times New Roman" w:hAnsi="Times New Roman" w:eastAsiaTheme="minorEastAsia"/>
          <w:szCs w:val="21"/>
        </w:rPr>
      </w:pPr>
      <w:r>
        <w:rPr>
          <w:rFonts w:ascii="Times New Roman" w:hAnsi="Times New Roman" w:eastAsiaTheme="minorEastAsia"/>
          <w:szCs w:val="21"/>
        </w:rPr>
        <w:t>7. Tornado: a violent whirlwind of small range and short time whose maximum speed on land is 79m/s to 103m/s and maximum extreme speed is more than 100m/s.</w:t>
      </w:r>
    </w:p>
    <w:p w14:paraId="5DAB9E00">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8. Hailstone: ice block or ice ball falling to the ground from severe convective cumulonimbus clouds, whose diameter is greater than 5mm and core is hard.     </w:t>
      </w:r>
    </w:p>
    <w:p w14:paraId="2FEDA874">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9. Typhoon and hurricane: typhoon refers to a tropical cyclone whose maximum average force near the center reaches or exceeds Beaufort Force 12, which means wind speed is more than 32.6m/s; hurricane refers to a tropical cyclone which has the same nature with typhoon but different appearance position and area from typhoon. Typhoon forms in the northwestern Pacific Ocean, while hurricane forms in the Indian Ocean and the Atlantic Ocean.  </w:t>
      </w:r>
    </w:p>
    <w:p w14:paraId="6375572C">
      <w:pPr>
        <w:snapToGrid w:val="0"/>
        <w:spacing w:after="120" w:afterLines="50"/>
        <w:rPr>
          <w:rFonts w:ascii="Times New Roman" w:hAnsi="Times New Roman" w:eastAsiaTheme="minorEastAsia"/>
          <w:szCs w:val="21"/>
        </w:rPr>
      </w:pPr>
      <w:r>
        <w:rPr>
          <w:rFonts w:ascii="Times New Roman" w:hAnsi="Times New Roman" w:eastAsiaTheme="minorEastAsia"/>
          <w:szCs w:val="21"/>
        </w:rPr>
        <w:t>10. Sand storm: a weather phenomenon that strong wind blows up large quantities of dust and sand on the ground to make air dirty and horizontal visibility less than one kilometer.</w:t>
      </w:r>
    </w:p>
    <w:p w14:paraId="553BC3A6">
      <w:pPr>
        <w:snapToGrid w:val="0"/>
        <w:spacing w:after="120" w:afterLines="50"/>
        <w:rPr>
          <w:rFonts w:ascii="Times New Roman" w:hAnsi="Times New Roman" w:eastAsiaTheme="minorEastAsia"/>
          <w:szCs w:val="21"/>
        </w:rPr>
      </w:pPr>
      <w:r>
        <w:rPr>
          <w:rFonts w:ascii="Times New Roman" w:hAnsi="Times New Roman" w:eastAsiaTheme="minorEastAsia"/>
          <w:szCs w:val="21"/>
        </w:rPr>
        <w:t>11. Snowstorm: a snowfall phenomenon whose snowfall in 12 consecutive hours is equal to or greater than 10mm.</w:t>
      </w:r>
    </w:p>
    <w:p w14:paraId="37790C3C">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12. Ice slush: a phenomenon that during spring break, the floating of ice blocks is obstructed and ice blocks accumulate, thereby resulting in river channel blockage and sharp rise of water level, so that river water overflows from river channel and spreads all around to cause damage. </w:t>
      </w:r>
    </w:p>
    <w:p w14:paraId="2926F0F8">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In some areas on land, for example, mountain and valley wind gap, bitter cold makes rain and snow get iced up, these ice blocks droop and become thicker and thicker, drooping pull makes objects destroyed, which also belongs to ice slush liability  insured.  </w:t>
      </w:r>
    </w:p>
    <w:p w14:paraId="09569E2D">
      <w:pPr>
        <w:snapToGrid w:val="0"/>
        <w:spacing w:after="120" w:afterLines="50"/>
        <w:rPr>
          <w:rFonts w:ascii="Times New Roman" w:hAnsi="Times New Roman" w:eastAsiaTheme="minorEastAsia"/>
          <w:szCs w:val="21"/>
        </w:rPr>
      </w:pPr>
      <w:r>
        <w:rPr>
          <w:rFonts w:ascii="Times New Roman" w:hAnsi="Times New Roman" w:eastAsiaTheme="minorEastAsia"/>
          <w:szCs w:val="21"/>
        </w:rPr>
        <w:t>13. Sudden landslide: a phenomenon that unstable soil bodies or man made deposits on slopes slide down suddenly and integrally under the action of gravity.</w:t>
      </w:r>
    </w:p>
    <w:p w14:paraId="2CFF3C39">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14. Avalanche: a phenomenon that rock cliffs, soil cliffs and rocks crumble and collapse due to natural weathering and rain erosion and a great deal snow collapses and tumbles down from on high suddenly under the action of gravity.  </w:t>
      </w:r>
    </w:p>
    <w:p w14:paraId="46C901C7">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15. Mud-rock flow: a special torrent containing large quantities of sand and stones, excited by rainwater and water produced by ice and snow melting.   </w:t>
      </w:r>
    </w:p>
    <w:p w14:paraId="648B5E0F">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16. Sudden subsidence of ground: the earth's crust subsides suddenly because of natural variation and stratigraphic contraction.  The ground subsides suddenly due to tide, river and heavy rain erosion or don’t have a grasp of stratigraphic conditions before building a house and there are cavities or pockets, which also belongs to sudden submergence of ground. However, building foundation settlement, crack and collapse, etc, caused by not being in accord with construction requirements don’t belong to sudden submergence of ground.    </w:t>
      </w:r>
    </w:p>
    <w:p w14:paraId="59BBD2E0">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17. Falling of flying objects or other objects moving in air：falling of air flying machine, man-made satellite and cloud stone, object falling when a crane or a car is moving, shooting and collapse  of stonework, stone blocks and earthworks caused by manual excavation and explosion, collapse of buildings and falling of other air moving objects.          </w:t>
      </w:r>
    </w:p>
    <w:p w14:paraId="0762980A">
      <w:pPr>
        <w:snapToGrid w:val="0"/>
        <w:spacing w:after="120" w:afterLines="50"/>
        <w:rPr>
          <w:rFonts w:ascii="Times New Roman" w:hAnsi="Times New Roman" w:eastAsiaTheme="minorEastAsia"/>
          <w:szCs w:val="21"/>
        </w:rPr>
      </w:pPr>
      <w:r>
        <w:rPr>
          <w:rFonts w:ascii="Times New Roman" w:hAnsi="Times New Roman" w:eastAsiaTheme="minorEastAsia"/>
          <w:szCs w:val="21"/>
        </w:rPr>
        <w:t>18. Natural hazards: lightning, rainstorm, flood, tempest, cyclone, hailstorm, typhoon, hurricane, sandstorm, snowstorm, ice slush, sudden landslide, avalanche, mud-rock flow, sudden subsidence of ground and any other phenomena of nature with strong destructive power and beyond human control.</w:t>
      </w:r>
    </w:p>
    <w:p w14:paraId="6D7B17C6">
      <w:pPr>
        <w:snapToGrid w:val="0"/>
        <w:spacing w:after="120" w:afterLines="50"/>
        <w:rPr>
          <w:rFonts w:ascii="Times New Roman" w:hAnsi="Times New Roman" w:eastAsiaTheme="minorEastAsia"/>
          <w:szCs w:val="21"/>
        </w:rPr>
      </w:pPr>
      <w:r>
        <w:rPr>
          <w:rFonts w:ascii="Times New Roman" w:hAnsi="Times New Roman" w:eastAsiaTheme="minorEastAsia"/>
          <w:szCs w:val="21"/>
        </w:rPr>
        <w:t>19. Accident: unforeseen, uncontrollable and sudden event which leads to material damage, which includes fire and explosion.</w:t>
      </w:r>
    </w:p>
    <w:p w14:paraId="6EA7964A">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20. Gross negligence: an act that the doer not only fails to comply with higher requirements of legal norms, but also cannot reach the general standards a reasonable person should have paid attention to.   </w:t>
      </w:r>
    </w:p>
    <w:p w14:paraId="1EFC4CA8">
      <w:pPr>
        <w:snapToGrid w:val="0"/>
        <w:spacing w:after="120" w:afterLines="50"/>
        <w:rPr>
          <w:rFonts w:ascii="Times New Roman" w:hAnsi="Times New Roman" w:eastAsiaTheme="minorEastAsia"/>
          <w:szCs w:val="21"/>
        </w:rPr>
      </w:pPr>
      <w:r>
        <w:rPr>
          <w:rFonts w:ascii="Times New Roman" w:hAnsi="Times New Roman" w:eastAsiaTheme="minorEastAsia"/>
          <w:szCs w:val="21"/>
        </w:rPr>
        <w:t>21. Terrorism: an act of any person acting on behalf of or in connection with any organization with activities directed towards the overthrowing or influencing of any government de jure or de facto by force or violence.</w:t>
      </w:r>
    </w:p>
    <w:p w14:paraId="26295AC7">
      <w:pPr>
        <w:snapToGrid w:val="0"/>
        <w:spacing w:after="120" w:afterLines="50"/>
        <w:rPr>
          <w:rFonts w:ascii="Times New Roman" w:hAnsi="Times New Roman" w:eastAsiaTheme="minorEastAsia"/>
          <w:szCs w:val="21"/>
        </w:rPr>
      </w:pPr>
      <w:r>
        <w:rPr>
          <w:rFonts w:ascii="Times New Roman" w:hAnsi="Times New Roman" w:eastAsiaTheme="minorEastAsia"/>
          <w:szCs w:val="21"/>
        </w:rPr>
        <w:t>22. Earthquake: the shake the earth's crust makes.</w:t>
      </w:r>
    </w:p>
    <w:p w14:paraId="293DD49D">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23. Tsunami: huge ocean waves caused by submarine earthquake, volcanic eruption, underwater landslide or collapse.  </w:t>
      </w:r>
    </w:p>
    <w:p w14:paraId="5B252420">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24. Governmental or judicial actions: the acts of government departments and law enforcement agencies at all levels or institutions exercising public administration and social management functions according to law to destroy, expropriate or confiscate the object insured.          </w:t>
      </w:r>
    </w:p>
    <w:p w14:paraId="61E69FC3">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25. Simple Building: building which is constructed either: </w:t>
      </w:r>
    </w:p>
    <w:p w14:paraId="64D4C877">
      <w:pPr>
        <w:snapToGrid w:val="0"/>
        <w:spacing w:after="120" w:afterLines="50"/>
        <w:rPr>
          <w:rFonts w:ascii="Times New Roman" w:hAnsi="Times New Roman" w:eastAsiaTheme="minorEastAsia"/>
          <w:szCs w:val="21"/>
        </w:rPr>
      </w:pPr>
      <w:r>
        <w:rPr>
          <w:rFonts w:ascii="Times New Roman" w:hAnsi="Times New Roman" w:eastAsiaTheme="minorEastAsia"/>
          <w:szCs w:val="21"/>
        </w:rPr>
        <w:t>25.1. with roof or wall made of bamboo, wood, reed mat, tarpaulin, couch grass, asphalt felt, plastic film, nylon cloth, glass fiber reinforced plastic and the like; or</w:t>
      </w:r>
    </w:p>
    <w:p w14:paraId="7BDA8422">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25.2. with close roof, but the non-close vertical area exceeds 10% of total vertical area; or </w:t>
      </w:r>
    </w:p>
    <w:p w14:paraId="7C0B3C75">
      <w:pPr>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25.3. at the maximum distance over one meter between roof and walls. </w:t>
      </w:r>
    </w:p>
    <w:p w14:paraId="62595DB5">
      <w:pPr>
        <w:snapToGrid w:val="0"/>
        <w:spacing w:after="120" w:afterLines="50"/>
        <w:rPr>
          <w:rFonts w:ascii="Times New Roman" w:hAnsi="Times New Roman" w:eastAsiaTheme="minorEastAsia"/>
          <w:szCs w:val="21"/>
        </w:rPr>
      </w:pPr>
      <w:r>
        <w:rPr>
          <w:rFonts w:ascii="Times New Roman" w:hAnsi="Times New Roman" w:eastAsiaTheme="minorEastAsia"/>
          <w:vanish/>
          <w:szCs w:val="21"/>
        </w:rPr>
        <w:t xml:space="preserve">1.27.   : </w:t>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vanish/>
          <w:szCs w:val="21"/>
        </w:rPr>
        <w:pgNum/>
      </w:r>
      <w:r>
        <w:rPr>
          <w:rFonts w:ascii="Times New Roman" w:hAnsi="Times New Roman" w:eastAsiaTheme="minorEastAsia"/>
          <w:szCs w:val="21"/>
        </w:rPr>
        <w:t>26. Spontaneous combustion: a phenomenon that under the condition of no direct action of external heat sources, an inflammable matter emits heat because of its internal physical action (such as adsorption and radiation, etc), chemical action (such as oxidation, decomposition and aggregation, etc) or biological action (such as fermentation and bacterial putrefaction, etc), heat accumulation leads to temperature rise, when the temperature of the inflammable matter reaches a certain value, the inflammable matter burns without direct contact with open flames.</w:t>
      </w:r>
    </w:p>
    <w:p w14:paraId="66BD54A1">
      <w:pPr>
        <w:snapToGrid w:val="0"/>
        <w:spacing w:after="120" w:afterLines="50"/>
        <w:rPr>
          <w:rFonts w:ascii="Times New Roman" w:hAnsi="Times New Roman" w:eastAsiaTheme="minorEastAsia"/>
          <w:szCs w:val="21"/>
        </w:rPr>
      </w:pPr>
      <w:r>
        <w:rPr>
          <w:rFonts w:ascii="Times New Roman" w:hAnsi="Times New Roman" w:eastAsiaTheme="minorEastAsia"/>
          <w:szCs w:val="21"/>
        </w:rPr>
        <w:t>27. Water tank and pipe burst: it includes frost crack and accidental burst. Water tank and pipe burst is generally caused by flaw or service wear or icing of water tank and pipe.</w:t>
      </w:r>
    </w:p>
    <w:p w14:paraId="08686938">
      <w:pPr>
        <w:pStyle w:val="27"/>
        <w:autoSpaceDE w:val="0"/>
        <w:autoSpaceDN w:val="0"/>
        <w:snapToGrid w:val="0"/>
        <w:spacing w:after="120" w:afterLines="50" w:line="240" w:lineRule="auto"/>
        <w:ind w:right="113"/>
        <w:textAlignment w:val="bottom"/>
        <w:rPr>
          <w:rFonts w:ascii="Times New Roman" w:eastAsiaTheme="minorEastAsia"/>
          <w:kern w:val="2"/>
          <w:sz w:val="21"/>
          <w:szCs w:val="21"/>
        </w:rPr>
      </w:pPr>
      <w:r>
        <w:rPr>
          <w:rFonts w:ascii="Times New Roman" w:eastAsiaTheme="minorEastAsia"/>
          <w:kern w:val="2"/>
          <w:sz w:val="21"/>
          <w:szCs w:val="21"/>
        </w:rPr>
        <w:t>28. Default: failure to follow the laws, regulations, rules, codes, principles and other requirements.</w:t>
      </w:r>
    </w:p>
    <w:p w14:paraId="2D15B0F2">
      <w:pPr>
        <w:pStyle w:val="27"/>
        <w:autoSpaceDE w:val="0"/>
        <w:autoSpaceDN w:val="0"/>
        <w:snapToGrid w:val="0"/>
        <w:spacing w:after="120" w:afterLines="50" w:line="240" w:lineRule="auto"/>
        <w:ind w:right="113"/>
        <w:textAlignment w:val="bottom"/>
        <w:rPr>
          <w:rFonts w:ascii="Times New Roman" w:eastAsiaTheme="minorEastAsia"/>
          <w:kern w:val="2"/>
          <w:sz w:val="21"/>
          <w:szCs w:val="21"/>
        </w:rPr>
      </w:pPr>
      <w:r>
        <w:rPr>
          <w:rFonts w:ascii="Times New Roman" w:eastAsiaTheme="minorEastAsia"/>
          <w:kern w:val="2"/>
          <w:sz w:val="21"/>
          <w:szCs w:val="21"/>
        </w:rPr>
        <w:t>29. Defect: the quality or workmanship of material or equipment inferior than the standards stipulated by the state and/or associations of industry.</w:t>
      </w:r>
    </w:p>
    <w:p w14:paraId="4132602F">
      <w:pPr>
        <w:snapToGrid w:val="0"/>
        <w:spacing w:after="120" w:afterLines="50"/>
        <w:rPr>
          <w:rFonts w:ascii="Times New Roman" w:hAnsi="Times New Roman" w:eastAsiaTheme="minorEastAsia"/>
          <w:szCs w:val="21"/>
        </w:rPr>
      </w:pPr>
      <w:r>
        <w:rPr>
          <w:rFonts w:ascii="Times New Roman" w:hAnsi="Times New Roman" w:eastAsiaTheme="minorEastAsia"/>
          <w:szCs w:val="21"/>
        </w:rPr>
        <w:t>30. Centrifugal force: the counterforce of centripetal force, also called “inertial centrifugal force”.</w:t>
      </w:r>
    </w:p>
    <w:p w14:paraId="51E7AA2E">
      <w:pPr>
        <w:pStyle w:val="27"/>
        <w:autoSpaceDE w:val="0"/>
        <w:autoSpaceDN w:val="0"/>
        <w:snapToGrid w:val="0"/>
        <w:spacing w:after="120" w:afterLines="50" w:line="240" w:lineRule="auto"/>
        <w:ind w:right="113"/>
        <w:textAlignment w:val="bottom"/>
        <w:rPr>
          <w:rFonts w:ascii="Times New Roman" w:eastAsiaTheme="minorEastAsia"/>
          <w:kern w:val="2"/>
          <w:sz w:val="21"/>
          <w:szCs w:val="21"/>
        </w:rPr>
      </w:pPr>
      <w:r>
        <w:rPr>
          <w:rFonts w:ascii="Times New Roman" w:eastAsiaTheme="minorEastAsia"/>
          <w:kern w:val="2"/>
          <w:sz w:val="21"/>
          <w:szCs w:val="21"/>
        </w:rPr>
        <w:t>31. Overload: electric current exceeds rated value and the load current of electric appliance is overhigh, which makes electric appliance exceed the rated volume or power.</w:t>
      </w:r>
    </w:p>
    <w:p w14:paraId="6E6E8E20">
      <w:pPr>
        <w:pStyle w:val="27"/>
        <w:autoSpaceDE w:val="0"/>
        <w:autoSpaceDN w:val="0"/>
        <w:snapToGrid w:val="0"/>
        <w:spacing w:after="120" w:afterLines="50" w:line="240" w:lineRule="auto"/>
        <w:ind w:right="113"/>
        <w:textAlignment w:val="bottom"/>
        <w:rPr>
          <w:rFonts w:ascii="Times New Roman" w:eastAsiaTheme="minorEastAsia"/>
          <w:kern w:val="2"/>
          <w:sz w:val="21"/>
          <w:szCs w:val="21"/>
        </w:rPr>
      </w:pPr>
      <w:r>
        <w:rPr>
          <w:rFonts w:ascii="Times New Roman" w:eastAsiaTheme="minorEastAsia"/>
          <w:kern w:val="2"/>
          <w:sz w:val="21"/>
          <w:szCs w:val="21"/>
        </w:rPr>
        <w:t>32. Electric arc: discharge phenomenon produced between two conductors</w:t>
      </w:r>
    </w:p>
    <w:p w14:paraId="0DAA8F45">
      <w:pPr>
        <w:pStyle w:val="27"/>
        <w:autoSpaceDE w:val="0"/>
        <w:autoSpaceDN w:val="0"/>
        <w:snapToGrid w:val="0"/>
        <w:spacing w:after="120" w:afterLines="50" w:line="240" w:lineRule="auto"/>
        <w:ind w:right="113"/>
        <w:textAlignment w:val="bottom"/>
        <w:rPr>
          <w:rFonts w:ascii="Times New Roman" w:eastAsiaTheme="minorEastAsia"/>
          <w:kern w:val="2"/>
          <w:sz w:val="21"/>
          <w:szCs w:val="21"/>
        </w:rPr>
      </w:pPr>
      <w:r>
        <w:rPr>
          <w:rFonts w:ascii="Times New Roman" w:eastAsiaTheme="minorEastAsia"/>
          <w:kern w:val="2"/>
          <w:sz w:val="21"/>
          <w:szCs w:val="21"/>
        </w:rPr>
        <w:t>33. Induced electricity: magnetic field produced by energized conductors makes other conductors be electrified.</w:t>
      </w:r>
    </w:p>
    <w:p w14:paraId="1CAFDE3C">
      <w:pPr>
        <w:pStyle w:val="27"/>
        <w:autoSpaceDE w:val="0"/>
        <w:autoSpaceDN w:val="0"/>
        <w:snapToGrid w:val="0"/>
        <w:spacing w:after="50" w:line="240" w:lineRule="auto"/>
        <w:ind w:left="113" w:leftChars="54" w:right="113" w:firstLine="472" w:firstLineChars="225"/>
        <w:textAlignment w:val="bottom"/>
        <w:rPr>
          <w:rFonts w:ascii="Times New Roman" w:eastAsiaTheme="minorEastAsia"/>
          <w:sz w:val="21"/>
          <w:szCs w:val="21"/>
        </w:rPr>
      </w:pPr>
    </w:p>
    <w:p w14:paraId="7263EB92">
      <w:pPr>
        <w:pStyle w:val="27"/>
        <w:autoSpaceDE w:val="0"/>
        <w:autoSpaceDN w:val="0"/>
        <w:snapToGrid w:val="0"/>
        <w:spacing w:after="50" w:line="240" w:lineRule="auto"/>
        <w:ind w:left="113" w:leftChars="54" w:right="113" w:firstLine="472" w:firstLineChars="225"/>
        <w:textAlignment w:val="bottom"/>
        <w:rPr>
          <w:rFonts w:ascii="Times New Roman" w:eastAsiaTheme="minorEastAsia"/>
          <w:sz w:val="21"/>
          <w:szCs w:val="21"/>
        </w:rPr>
      </w:pPr>
    </w:p>
    <w:p w14:paraId="4E160C87">
      <w:pPr>
        <w:pStyle w:val="27"/>
        <w:autoSpaceDE w:val="0"/>
        <w:autoSpaceDN w:val="0"/>
        <w:snapToGrid w:val="0"/>
        <w:spacing w:after="50" w:line="240" w:lineRule="auto"/>
        <w:ind w:left="113" w:leftChars="54" w:right="113" w:firstLine="472" w:firstLineChars="225"/>
        <w:textAlignment w:val="bottom"/>
        <w:rPr>
          <w:rFonts w:ascii="Times New Roman" w:eastAsiaTheme="minorEastAsia"/>
          <w:sz w:val="21"/>
          <w:szCs w:val="21"/>
        </w:rPr>
      </w:pPr>
    </w:p>
    <w:p w14:paraId="7092854B">
      <w:pPr>
        <w:snapToGrid w:val="0"/>
        <w:spacing w:after="50"/>
        <w:jc w:val="center"/>
        <w:rPr>
          <w:rFonts w:ascii="Times New Roman" w:hAnsi="Times New Roman" w:eastAsiaTheme="minorEastAsia"/>
          <w:szCs w:val="21"/>
        </w:rPr>
      </w:pPr>
    </w:p>
    <w:p w14:paraId="4BDB6AAA">
      <w:pPr>
        <w:snapToGrid w:val="0"/>
        <w:spacing w:after="120" w:afterLines="50"/>
        <w:jc w:val="center"/>
        <w:rPr>
          <w:rFonts w:ascii="Times New Roman" w:hAnsi="Times New Roman" w:eastAsiaTheme="minorEastAsia"/>
          <w:b/>
          <w:szCs w:val="21"/>
        </w:rPr>
      </w:pPr>
      <w:r>
        <w:rPr>
          <w:rFonts w:ascii="Times New Roman" w:hAnsi="Times New Roman" w:eastAsiaTheme="minorEastAsia"/>
          <w:b/>
          <w:szCs w:val="21"/>
        </w:rPr>
        <w:t>APPENDIX</w:t>
      </w:r>
    </w:p>
    <w:p w14:paraId="314DFD17">
      <w:pPr>
        <w:snapToGrid w:val="0"/>
        <w:spacing w:after="50"/>
        <w:rPr>
          <w:rFonts w:ascii="Times New Roman" w:hAnsi="Times New Roman" w:eastAsiaTheme="minorEastAsia"/>
          <w:szCs w:val="21"/>
        </w:rPr>
      </w:pPr>
      <w:r>
        <w:rPr>
          <w:rFonts w:ascii="Times New Roman" w:hAnsi="Times New Roman" w:eastAsiaTheme="minorEastAsia"/>
          <w:szCs w:val="21"/>
        </w:rPr>
        <w:t>Short Term Premium Rate Table</w:t>
      </w:r>
    </w:p>
    <w:tbl>
      <w:tblPr>
        <w:tblStyle w:val="14"/>
        <w:tblW w:w="60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800"/>
        <w:gridCol w:w="2700"/>
      </w:tblGrid>
      <w:tr w14:paraId="2B553071">
        <w:trPr>
          <w:jc w:val="center"/>
        </w:trPr>
        <w:tc>
          <w:tcPr>
            <w:tcW w:w="3348" w:type="dxa"/>
            <w:gridSpan w:val="2"/>
            <w:vAlign w:val="center"/>
          </w:tcPr>
          <w:p w14:paraId="51D644F9">
            <w:pPr>
              <w:spacing w:after="50"/>
              <w:jc w:val="center"/>
              <w:rPr>
                <w:rFonts w:ascii="Times New Roman" w:hAnsi="Times New Roman" w:eastAsiaTheme="minorEastAsia"/>
                <w:szCs w:val="21"/>
              </w:rPr>
            </w:pPr>
            <w:r>
              <w:rPr>
                <w:rFonts w:ascii="Times New Roman" w:hAnsi="Times New Roman" w:eastAsiaTheme="minorEastAsia"/>
                <w:szCs w:val="21"/>
              </w:rPr>
              <w:t>Period insured</w:t>
            </w:r>
          </w:p>
        </w:tc>
        <w:tc>
          <w:tcPr>
            <w:tcW w:w="2700" w:type="dxa"/>
            <w:vMerge w:val="restart"/>
            <w:vAlign w:val="center"/>
          </w:tcPr>
          <w:p w14:paraId="6BA9D46F">
            <w:pPr>
              <w:spacing w:after="50"/>
              <w:jc w:val="center"/>
              <w:rPr>
                <w:rFonts w:ascii="Times New Roman" w:hAnsi="Times New Roman" w:eastAsiaTheme="minorEastAsia"/>
                <w:szCs w:val="21"/>
              </w:rPr>
            </w:pPr>
            <w:r>
              <w:rPr>
                <w:rFonts w:ascii="Times New Roman" w:hAnsi="Times New Roman" w:eastAsiaTheme="minorEastAsia"/>
                <w:szCs w:val="21"/>
              </w:rPr>
              <w:t>Annual rate %</w:t>
            </w:r>
          </w:p>
        </w:tc>
      </w:tr>
      <w:tr w14:paraId="15ACB394">
        <w:trPr>
          <w:jc w:val="center"/>
        </w:trPr>
        <w:tc>
          <w:tcPr>
            <w:tcW w:w="1548" w:type="dxa"/>
            <w:vAlign w:val="center"/>
          </w:tcPr>
          <w:p w14:paraId="29C1272B">
            <w:pPr>
              <w:spacing w:after="50"/>
              <w:jc w:val="center"/>
              <w:rPr>
                <w:rFonts w:ascii="Times New Roman" w:hAnsi="Times New Roman" w:eastAsiaTheme="minorEastAsia"/>
                <w:szCs w:val="21"/>
              </w:rPr>
            </w:pPr>
            <w:r>
              <w:rPr>
                <w:rFonts w:ascii="Times New Roman" w:hAnsi="Times New Roman" w:eastAsiaTheme="minorEastAsia"/>
                <w:szCs w:val="21"/>
              </w:rPr>
              <w:t>Exceeding</w:t>
            </w:r>
          </w:p>
        </w:tc>
        <w:tc>
          <w:tcPr>
            <w:tcW w:w="1800" w:type="dxa"/>
            <w:vAlign w:val="center"/>
          </w:tcPr>
          <w:p w14:paraId="6880A43A">
            <w:pPr>
              <w:spacing w:after="50"/>
              <w:jc w:val="center"/>
              <w:rPr>
                <w:rFonts w:ascii="Times New Roman" w:hAnsi="Times New Roman" w:eastAsiaTheme="minorEastAsia"/>
                <w:szCs w:val="21"/>
              </w:rPr>
            </w:pPr>
            <w:r>
              <w:rPr>
                <w:rFonts w:ascii="Times New Roman" w:hAnsi="Times New Roman" w:eastAsiaTheme="minorEastAsia"/>
                <w:szCs w:val="21"/>
              </w:rPr>
              <w:t>Not exceeding</w:t>
            </w:r>
          </w:p>
        </w:tc>
        <w:tc>
          <w:tcPr>
            <w:tcW w:w="2700" w:type="dxa"/>
            <w:vMerge w:val="continue"/>
            <w:vAlign w:val="center"/>
          </w:tcPr>
          <w:p w14:paraId="2D492D56">
            <w:pPr>
              <w:spacing w:after="50"/>
              <w:jc w:val="center"/>
              <w:rPr>
                <w:rFonts w:ascii="Times New Roman" w:hAnsi="Times New Roman" w:eastAsiaTheme="minorEastAsia"/>
                <w:szCs w:val="21"/>
              </w:rPr>
            </w:pPr>
          </w:p>
        </w:tc>
      </w:tr>
      <w:tr w14:paraId="3302FAD6">
        <w:trPr>
          <w:jc w:val="center"/>
        </w:trPr>
        <w:tc>
          <w:tcPr>
            <w:tcW w:w="1548" w:type="dxa"/>
            <w:vAlign w:val="center"/>
          </w:tcPr>
          <w:p w14:paraId="0E055B14">
            <w:pPr>
              <w:spacing w:after="50"/>
              <w:jc w:val="center"/>
              <w:rPr>
                <w:rFonts w:ascii="Times New Roman" w:hAnsi="Times New Roman" w:eastAsiaTheme="minorEastAsia"/>
                <w:szCs w:val="21"/>
              </w:rPr>
            </w:pPr>
            <w:r>
              <w:rPr>
                <w:rFonts w:ascii="Times New Roman" w:hAnsi="Times New Roman" w:eastAsiaTheme="minorEastAsia"/>
                <w:szCs w:val="21"/>
              </w:rPr>
              <w:t>---</w:t>
            </w:r>
          </w:p>
        </w:tc>
        <w:tc>
          <w:tcPr>
            <w:tcW w:w="1800" w:type="dxa"/>
            <w:vAlign w:val="center"/>
          </w:tcPr>
          <w:p w14:paraId="0D9F4165">
            <w:pPr>
              <w:spacing w:after="50"/>
              <w:jc w:val="center"/>
              <w:rPr>
                <w:rFonts w:ascii="Times New Roman" w:hAnsi="Times New Roman" w:eastAsiaTheme="minorEastAsia"/>
                <w:szCs w:val="21"/>
              </w:rPr>
            </w:pPr>
            <w:r>
              <w:rPr>
                <w:rFonts w:ascii="Times New Roman" w:hAnsi="Times New Roman" w:eastAsiaTheme="minorEastAsia"/>
                <w:szCs w:val="21"/>
              </w:rPr>
              <w:t>1 month</w:t>
            </w:r>
          </w:p>
        </w:tc>
        <w:tc>
          <w:tcPr>
            <w:tcW w:w="2700" w:type="dxa"/>
            <w:vAlign w:val="center"/>
          </w:tcPr>
          <w:p w14:paraId="2DCEEA56">
            <w:pPr>
              <w:spacing w:after="50"/>
              <w:jc w:val="center"/>
              <w:rPr>
                <w:rFonts w:ascii="Times New Roman" w:hAnsi="Times New Roman" w:eastAsiaTheme="minorEastAsia"/>
                <w:szCs w:val="21"/>
              </w:rPr>
            </w:pPr>
            <w:r>
              <w:rPr>
                <w:rFonts w:ascii="Times New Roman" w:hAnsi="Times New Roman" w:eastAsiaTheme="minorEastAsia"/>
                <w:szCs w:val="21"/>
              </w:rPr>
              <w:t>10% of the annual rate</w:t>
            </w:r>
          </w:p>
        </w:tc>
      </w:tr>
      <w:tr w14:paraId="3CF0F371">
        <w:trPr>
          <w:jc w:val="center"/>
        </w:trPr>
        <w:tc>
          <w:tcPr>
            <w:tcW w:w="1548" w:type="dxa"/>
            <w:vAlign w:val="center"/>
          </w:tcPr>
          <w:p w14:paraId="4AF569C7">
            <w:pPr>
              <w:spacing w:after="50"/>
              <w:jc w:val="center"/>
              <w:rPr>
                <w:rFonts w:ascii="Times New Roman" w:hAnsi="Times New Roman" w:eastAsiaTheme="minorEastAsia"/>
                <w:szCs w:val="21"/>
              </w:rPr>
            </w:pPr>
            <w:r>
              <w:rPr>
                <w:rFonts w:ascii="Times New Roman" w:hAnsi="Times New Roman" w:eastAsiaTheme="minorEastAsia"/>
                <w:szCs w:val="21"/>
              </w:rPr>
              <w:t>1 month</w:t>
            </w:r>
          </w:p>
        </w:tc>
        <w:tc>
          <w:tcPr>
            <w:tcW w:w="1800" w:type="dxa"/>
            <w:vAlign w:val="center"/>
          </w:tcPr>
          <w:p w14:paraId="430BC648">
            <w:pPr>
              <w:spacing w:after="50"/>
              <w:jc w:val="center"/>
              <w:rPr>
                <w:rFonts w:ascii="Times New Roman" w:hAnsi="Times New Roman" w:eastAsiaTheme="minorEastAsia"/>
                <w:szCs w:val="21"/>
              </w:rPr>
            </w:pPr>
            <w:r>
              <w:rPr>
                <w:rFonts w:ascii="Times New Roman" w:hAnsi="Times New Roman" w:eastAsiaTheme="minorEastAsia"/>
                <w:szCs w:val="21"/>
              </w:rPr>
              <w:t>2 months</w:t>
            </w:r>
          </w:p>
        </w:tc>
        <w:tc>
          <w:tcPr>
            <w:tcW w:w="2700" w:type="dxa"/>
            <w:vAlign w:val="center"/>
          </w:tcPr>
          <w:p w14:paraId="6107DA07">
            <w:pPr>
              <w:spacing w:after="50"/>
              <w:jc w:val="center"/>
              <w:rPr>
                <w:rFonts w:ascii="Times New Roman" w:hAnsi="Times New Roman" w:eastAsiaTheme="minorEastAsia"/>
                <w:szCs w:val="21"/>
              </w:rPr>
            </w:pPr>
            <w:r>
              <w:rPr>
                <w:rFonts w:ascii="Times New Roman" w:hAnsi="Times New Roman" w:eastAsiaTheme="minorEastAsia"/>
                <w:szCs w:val="21"/>
              </w:rPr>
              <w:t>20% of the annual rate</w:t>
            </w:r>
          </w:p>
        </w:tc>
      </w:tr>
      <w:tr w14:paraId="4B4BC99B">
        <w:trPr>
          <w:jc w:val="center"/>
        </w:trPr>
        <w:tc>
          <w:tcPr>
            <w:tcW w:w="1548" w:type="dxa"/>
            <w:vAlign w:val="center"/>
          </w:tcPr>
          <w:p w14:paraId="2EC93D93">
            <w:pPr>
              <w:spacing w:after="50"/>
              <w:jc w:val="center"/>
              <w:rPr>
                <w:rFonts w:ascii="Times New Roman" w:hAnsi="Times New Roman" w:eastAsiaTheme="minorEastAsia"/>
                <w:szCs w:val="21"/>
              </w:rPr>
            </w:pPr>
            <w:r>
              <w:rPr>
                <w:rFonts w:ascii="Times New Roman" w:hAnsi="Times New Roman" w:eastAsiaTheme="minorEastAsia"/>
                <w:szCs w:val="21"/>
              </w:rPr>
              <w:t>2 months</w:t>
            </w:r>
          </w:p>
        </w:tc>
        <w:tc>
          <w:tcPr>
            <w:tcW w:w="1800" w:type="dxa"/>
            <w:vAlign w:val="center"/>
          </w:tcPr>
          <w:p w14:paraId="133336CB">
            <w:pPr>
              <w:spacing w:after="50"/>
              <w:jc w:val="center"/>
              <w:rPr>
                <w:rFonts w:ascii="Times New Roman" w:hAnsi="Times New Roman" w:eastAsiaTheme="minorEastAsia"/>
                <w:szCs w:val="21"/>
              </w:rPr>
            </w:pPr>
            <w:r>
              <w:rPr>
                <w:rFonts w:ascii="Times New Roman" w:hAnsi="Times New Roman" w:eastAsiaTheme="minorEastAsia"/>
                <w:szCs w:val="21"/>
              </w:rPr>
              <w:t>3 months</w:t>
            </w:r>
          </w:p>
        </w:tc>
        <w:tc>
          <w:tcPr>
            <w:tcW w:w="2700" w:type="dxa"/>
            <w:vAlign w:val="center"/>
          </w:tcPr>
          <w:p w14:paraId="1FB20954">
            <w:pPr>
              <w:spacing w:after="50"/>
              <w:jc w:val="center"/>
              <w:rPr>
                <w:rFonts w:ascii="Times New Roman" w:hAnsi="Times New Roman" w:eastAsiaTheme="minorEastAsia"/>
                <w:szCs w:val="21"/>
              </w:rPr>
            </w:pPr>
            <w:r>
              <w:rPr>
                <w:rFonts w:ascii="Times New Roman" w:hAnsi="Times New Roman" w:eastAsiaTheme="minorEastAsia"/>
                <w:szCs w:val="21"/>
              </w:rPr>
              <w:t>30% of the annual rate</w:t>
            </w:r>
          </w:p>
        </w:tc>
      </w:tr>
      <w:tr w14:paraId="06AA9519">
        <w:trPr>
          <w:jc w:val="center"/>
        </w:trPr>
        <w:tc>
          <w:tcPr>
            <w:tcW w:w="1548" w:type="dxa"/>
            <w:vAlign w:val="center"/>
          </w:tcPr>
          <w:p w14:paraId="39468A88">
            <w:pPr>
              <w:spacing w:after="50"/>
              <w:jc w:val="center"/>
              <w:rPr>
                <w:rFonts w:ascii="Times New Roman" w:hAnsi="Times New Roman" w:eastAsiaTheme="minorEastAsia"/>
                <w:szCs w:val="21"/>
              </w:rPr>
            </w:pPr>
            <w:r>
              <w:rPr>
                <w:rFonts w:ascii="Times New Roman" w:hAnsi="Times New Roman" w:eastAsiaTheme="minorEastAsia"/>
                <w:szCs w:val="21"/>
              </w:rPr>
              <w:t>3 months</w:t>
            </w:r>
          </w:p>
        </w:tc>
        <w:tc>
          <w:tcPr>
            <w:tcW w:w="1800" w:type="dxa"/>
            <w:vAlign w:val="center"/>
          </w:tcPr>
          <w:p w14:paraId="279D6724">
            <w:pPr>
              <w:spacing w:after="50"/>
              <w:jc w:val="center"/>
              <w:rPr>
                <w:rFonts w:ascii="Times New Roman" w:hAnsi="Times New Roman" w:eastAsiaTheme="minorEastAsia"/>
                <w:szCs w:val="21"/>
              </w:rPr>
            </w:pPr>
            <w:r>
              <w:rPr>
                <w:rFonts w:ascii="Times New Roman" w:hAnsi="Times New Roman" w:eastAsiaTheme="minorEastAsia"/>
                <w:szCs w:val="21"/>
              </w:rPr>
              <w:t>4 months</w:t>
            </w:r>
          </w:p>
        </w:tc>
        <w:tc>
          <w:tcPr>
            <w:tcW w:w="2700" w:type="dxa"/>
            <w:vAlign w:val="center"/>
          </w:tcPr>
          <w:p w14:paraId="2321A3DD">
            <w:pPr>
              <w:spacing w:after="50"/>
              <w:jc w:val="center"/>
              <w:rPr>
                <w:rFonts w:ascii="Times New Roman" w:hAnsi="Times New Roman" w:eastAsiaTheme="minorEastAsia"/>
                <w:szCs w:val="21"/>
              </w:rPr>
            </w:pPr>
            <w:r>
              <w:rPr>
                <w:rFonts w:ascii="Times New Roman" w:hAnsi="Times New Roman" w:eastAsiaTheme="minorEastAsia"/>
                <w:szCs w:val="21"/>
              </w:rPr>
              <w:t>40% of the annual rate</w:t>
            </w:r>
          </w:p>
        </w:tc>
      </w:tr>
      <w:tr w14:paraId="023BF0DE">
        <w:trPr>
          <w:jc w:val="center"/>
        </w:trPr>
        <w:tc>
          <w:tcPr>
            <w:tcW w:w="1548" w:type="dxa"/>
            <w:vAlign w:val="center"/>
          </w:tcPr>
          <w:p w14:paraId="5404E5D5">
            <w:pPr>
              <w:spacing w:after="50"/>
              <w:jc w:val="center"/>
              <w:rPr>
                <w:rFonts w:ascii="Times New Roman" w:hAnsi="Times New Roman" w:eastAsiaTheme="minorEastAsia"/>
                <w:szCs w:val="21"/>
              </w:rPr>
            </w:pPr>
            <w:r>
              <w:rPr>
                <w:rFonts w:ascii="Times New Roman" w:hAnsi="Times New Roman" w:eastAsiaTheme="minorEastAsia"/>
                <w:szCs w:val="21"/>
              </w:rPr>
              <w:t>4 months</w:t>
            </w:r>
          </w:p>
        </w:tc>
        <w:tc>
          <w:tcPr>
            <w:tcW w:w="1800" w:type="dxa"/>
            <w:vAlign w:val="center"/>
          </w:tcPr>
          <w:p w14:paraId="1D466920">
            <w:pPr>
              <w:spacing w:after="50"/>
              <w:jc w:val="center"/>
              <w:rPr>
                <w:rFonts w:ascii="Times New Roman" w:hAnsi="Times New Roman" w:eastAsiaTheme="minorEastAsia"/>
                <w:szCs w:val="21"/>
              </w:rPr>
            </w:pPr>
            <w:r>
              <w:rPr>
                <w:rFonts w:ascii="Times New Roman" w:hAnsi="Times New Roman" w:eastAsiaTheme="minorEastAsia"/>
                <w:szCs w:val="21"/>
              </w:rPr>
              <w:t>5 months</w:t>
            </w:r>
          </w:p>
        </w:tc>
        <w:tc>
          <w:tcPr>
            <w:tcW w:w="2700" w:type="dxa"/>
            <w:vAlign w:val="center"/>
          </w:tcPr>
          <w:p w14:paraId="059E1AF7">
            <w:pPr>
              <w:spacing w:after="50"/>
              <w:jc w:val="center"/>
              <w:rPr>
                <w:rFonts w:ascii="Times New Roman" w:hAnsi="Times New Roman" w:eastAsiaTheme="minorEastAsia"/>
                <w:szCs w:val="21"/>
              </w:rPr>
            </w:pPr>
            <w:r>
              <w:rPr>
                <w:rFonts w:ascii="Times New Roman" w:hAnsi="Times New Roman" w:eastAsiaTheme="minorEastAsia"/>
                <w:szCs w:val="21"/>
              </w:rPr>
              <w:t>50% of the annual rate</w:t>
            </w:r>
          </w:p>
        </w:tc>
      </w:tr>
      <w:tr w14:paraId="32E727F9">
        <w:trPr>
          <w:jc w:val="center"/>
        </w:trPr>
        <w:tc>
          <w:tcPr>
            <w:tcW w:w="1548" w:type="dxa"/>
            <w:vAlign w:val="center"/>
          </w:tcPr>
          <w:p w14:paraId="0A205113">
            <w:pPr>
              <w:spacing w:after="50"/>
              <w:jc w:val="center"/>
              <w:rPr>
                <w:rFonts w:ascii="Times New Roman" w:hAnsi="Times New Roman" w:eastAsiaTheme="minorEastAsia"/>
                <w:szCs w:val="21"/>
              </w:rPr>
            </w:pPr>
            <w:r>
              <w:rPr>
                <w:rFonts w:ascii="Times New Roman" w:hAnsi="Times New Roman" w:eastAsiaTheme="minorEastAsia"/>
                <w:szCs w:val="21"/>
              </w:rPr>
              <w:t>5 months</w:t>
            </w:r>
          </w:p>
        </w:tc>
        <w:tc>
          <w:tcPr>
            <w:tcW w:w="1800" w:type="dxa"/>
            <w:vAlign w:val="center"/>
          </w:tcPr>
          <w:p w14:paraId="3B271761">
            <w:pPr>
              <w:spacing w:after="50"/>
              <w:jc w:val="center"/>
              <w:rPr>
                <w:rFonts w:ascii="Times New Roman" w:hAnsi="Times New Roman" w:eastAsiaTheme="minorEastAsia"/>
                <w:szCs w:val="21"/>
              </w:rPr>
            </w:pPr>
            <w:r>
              <w:rPr>
                <w:rFonts w:ascii="Times New Roman" w:hAnsi="Times New Roman" w:eastAsiaTheme="minorEastAsia"/>
                <w:szCs w:val="21"/>
              </w:rPr>
              <w:t>6 months</w:t>
            </w:r>
          </w:p>
        </w:tc>
        <w:tc>
          <w:tcPr>
            <w:tcW w:w="2700" w:type="dxa"/>
            <w:vAlign w:val="center"/>
          </w:tcPr>
          <w:p w14:paraId="3C7B3321">
            <w:pPr>
              <w:spacing w:after="50"/>
              <w:jc w:val="center"/>
              <w:rPr>
                <w:rFonts w:ascii="Times New Roman" w:hAnsi="Times New Roman" w:eastAsiaTheme="minorEastAsia"/>
                <w:szCs w:val="21"/>
              </w:rPr>
            </w:pPr>
            <w:r>
              <w:rPr>
                <w:rFonts w:ascii="Times New Roman" w:hAnsi="Times New Roman" w:eastAsiaTheme="minorEastAsia"/>
                <w:szCs w:val="21"/>
              </w:rPr>
              <w:t>60% of the annual rate</w:t>
            </w:r>
          </w:p>
        </w:tc>
      </w:tr>
      <w:tr w14:paraId="6FE2650D">
        <w:trPr>
          <w:jc w:val="center"/>
        </w:trPr>
        <w:tc>
          <w:tcPr>
            <w:tcW w:w="1548" w:type="dxa"/>
            <w:vAlign w:val="center"/>
          </w:tcPr>
          <w:p w14:paraId="32741090">
            <w:pPr>
              <w:spacing w:after="50"/>
              <w:jc w:val="center"/>
              <w:rPr>
                <w:rFonts w:ascii="Times New Roman" w:hAnsi="Times New Roman" w:eastAsiaTheme="minorEastAsia"/>
                <w:szCs w:val="21"/>
              </w:rPr>
            </w:pPr>
            <w:r>
              <w:rPr>
                <w:rFonts w:ascii="Times New Roman" w:hAnsi="Times New Roman" w:eastAsiaTheme="minorEastAsia"/>
                <w:szCs w:val="21"/>
              </w:rPr>
              <w:t>6 months</w:t>
            </w:r>
          </w:p>
        </w:tc>
        <w:tc>
          <w:tcPr>
            <w:tcW w:w="1800" w:type="dxa"/>
            <w:vAlign w:val="center"/>
          </w:tcPr>
          <w:p w14:paraId="47DCDF4E">
            <w:pPr>
              <w:spacing w:after="50"/>
              <w:jc w:val="center"/>
              <w:rPr>
                <w:rFonts w:ascii="Times New Roman" w:hAnsi="Times New Roman" w:eastAsiaTheme="minorEastAsia"/>
                <w:szCs w:val="21"/>
              </w:rPr>
            </w:pPr>
            <w:r>
              <w:rPr>
                <w:rFonts w:ascii="Times New Roman" w:hAnsi="Times New Roman" w:eastAsiaTheme="minorEastAsia"/>
                <w:szCs w:val="21"/>
              </w:rPr>
              <w:t>7 months</w:t>
            </w:r>
          </w:p>
        </w:tc>
        <w:tc>
          <w:tcPr>
            <w:tcW w:w="2700" w:type="dxa"/>
            <w:vAlign w:val="center"/>
          </w:tcPr>
          <w:p w14:paraId="3F6466C7">
            <w:pPr>
              <w:spacing w:after="50"/>
              <w:jc w:val="center"/>
              <w:rPr>
                <w:rFonts w:ascii="Times New Roman" w:hAnsi="Times New Roman" w:eastAsiaTheme="minorEastAsia"/>
                <w:szCs w:val="21"/>
              </w:rPr>
            </w:pPr>
            <w:r>
              <w:rPr>
                <w:rFonts w:ascii="Times New Roman" w:hAnsi="Times New Roman" w:eastAsiaTheme="minorEastAsia"/>
                <w:szCs w:val="21"/>
              </w:rPr>
              <w:t>70% of the annual rate</w:t>
            </w:r>
          </w:p>
        </w:tc>
      </w:tr>
      <w:tr w14:paraId="646FE37F">
        <w:trPr>
          <w:jc w:val="center"/>
        </w:trPr>
        <w:tc>
          <w:tcPr>
            <w:tcW w:w="1548" w:type="dxa"/>
            <w:vAlign w:val="center"/>
          </w:tcPr>
          <w:p w14:paraId="01D2E88E">
            <w:pPr>
              <w:spacing w:after="50"/>
              <w:jc w:val="center"/>
              <w:rPr>
                <w:rFonts w:ascii="Times New Roman" w:hAnsi="Times New Roman" w:eastAsiaTheme="minorEastAsia"/>
                <w:szCs w:val="21"/>
              </w:rPr>
            </w:pPr>
            <w:r>
              <w:rPr>
                <w:rFonts w:ascii="Times New Roman" w:hAnsi="Times New Roman" w:eastAsiaTheme="minorEastAsia"/>
                <w:szCs w:val="21"/>
              </w:rPr>
              <w:t>7 months</w:t>
            </w:r>
          </w:p>
        </w:tc>
        <w:tc>
          <w:tcPr>
            <w:tcW w:w="1800" w:type="dxa"/>
            <w:vAlign w:val="center"/>
          </w:tcPr>
          <w:p w14:paraId="60F694F6">
            <w:pPr>
              <w:spacing w:after="50"/>
              <w:jc w:val="center"/>
              <w:rPr>
                <w:rFonts w:ascii="Times New Roman" w:hAnsi="Times New Roman" w:eastAsiaTheme="minorEastAsia"/>
                <w:szCs w:val="21"/>
              </w:rPr>
            </w:pPr>
            <w:r>
              <w:rPr>
                <w:rFonts w:ascii="Times New Roman" w:hAnsi="Times New Roman" w:eastAsiaTheme="minorEastAsia"/>
                <w:szCs w:val="21"/>
              </w:rPr>
              <w:t>8 months</w:t>
            </w:r>
          </w:p>
        </w:tc>
        <w:tc>
          <w:tcPr>
            <w:tcW w:w="2700" w:type="dxa"/>
            <w:vAlign w:val="center"/>
          </w:tcPr>
          <w:p w14:paraId="2C9F310B">
            <w:pPr>
              <w:spacing w:after="50"/>
              <w:jc w:val="center"/>
              <w:rPr>
                <w:rFonts w:ascii="Times New Roman" w:hAnsi="Times New Roman" w:eastAsiaTheme="minorEastAsia"/>
                <w:szCs w:val="21"/>
              </w:rPr>
            </w:pPr>
            <w:r>
              <w:rPr>
                <w:rFonts w:ascii="Times New Roman" w:hAnsi="Times New Roman" w:eastAsiaTheme="minorEastAsia"/>
                <w:szCs w:val="21"/>
              </w:rPr>
              <w:t>80% of the annual rate</w:t>
            </w:r>
          </w:p>
        </w:tc>
      </w:tr>
      <w:tr w14:paraId="13877BE8">
        <w:trPr>
          <w:jc w:val="center"/>
        </w:trPr>
        <w:tc>
          <w:tcPr>
            <w:tcW w:w="1548" w:type="dxa"/>
            <w:vAlign w:val="center"/>
          </w:tcPr>
          <w:p w14:paraId="168AE44B">
            <w:pPr>
              <w:spacing w:after="50"/>
              <w:jc w:val="center"/>
              <w:rPr>
                <w:rFonts w:ascii="Times New Roman" w:hAnsi="Times New Roman" w:eastAsiaTheme="minorEastAsia"/>
                <w:szCs w:val="21"/>
              </w:rPr>
            </w:pPr>
            <w:r>
              <w:rPr>
                <w:rFonts w:ascii="Times New Roman" w:hAnsi="Times New Roman" w:eastAsiaTheme="minorEastAsia"/>
                <w:szCs w:val="21"/>
              </w:rPr>
              <w:t>8 months</w:t>
            </w:r>
          </w:p>
        </w:tc>
        <w:tc>
          <w:tcPr>
            <w:tcW w:w="1800" w:type="dxa"/>
            <w:vAlign w:val="center"/>
          </w:tcPr>
          <w:p w14:paraId="282D6F1E">
            <w:pPr>
              <w:spacing w:after="50"/>
              <w:jc w:val="center"/>
              <w:rPr>
                <w:rFonts w:ascii="Times New Roman" w:hAnsi="Times New Roman" w:eastAsiaTheme="minorEastAsia"/>
                <w:szCs w:val="21"/>
              </w:rPr>
            </w:pPr>
            <w:r>
              <w:rPr>
                <w:rFonts w:ascii="Times New Roman" w:hAnsi="Times New Roman" w:eastAsiaTheme="minorEastAsia"/>
                <w:szCs w:val="21"/>
              </w:rPr>
              <w:t>9 months</w:t>
            </w:r>
          </w:p>
        </w:tc>
        <w:tc>
          <w:tcPr>
            <w:tcW w:w="2700" w:type="dxa"/>
            <w:vAlign w:val="center"/>
          </w:tcPr>
          <w:p w14:paraId="6298F39D">
            <w:pPr>
              <w:spacing w:after="50"/>
              <w:jc w:val="center"/>
              <w:rPr>
                <w:rFonts w:ascii="Times New Roman" w:hAnsi="Times New Roman" w:eastAsiaTheme="minorEastAsia"/>
                <w:szCs w:val="21"/>
              </w:rPr>
            </w:pPr>
            <w:r>
              <w:rPr>
                <w:rFonts w:ascii="Times New Roman" w:hAnsi="Times New Roman" w:eastAsiaTheme="minorEastAsia"/>
                <w:szCs w:val="21"/>
              </w:rPr>
              <w:t>85% of the annual rate</w:t>
            </w:r>
          </w:p>
        </w:tc>
      </w:tr>
      <w:tr w14:paraId="0B178DC0">
        <w:trPr>
          <w:jc w:val="center"/>
        </w:trPr>
        <w:tc>
          <w:tcPr>
            <w:tcW w:w="1548" w:type="dxa"/>
            <w:vAlign w:val="center"/>
          </w:tcPr>
          <w:p w14:paraId="427A6A0A">
            <w:pPr>
              <w:spacing w:after="50"/>
              <w:jc w:val="center"/>
              <w:rPr>
                <w:rFonts w:ascii="Times New Roman" w:hAnsi="Times New Roman" w:eastAsiaTheme="minorEastAsia"/>
                <w:szCs w:val="21"/>
              </w:rPr>
            </w:pPr>
            <w:r>
              <w:rPr>
                <w:rFonts w:ascii="Times New Roman" w:hAnsi="Times New Roman" w:eastAsiaTheme="minorEastAsia"/>
                <w:szCs w:val="21"/>
              </w:rPr>
              <w:t>9 months</w:t>
            </w:r>
          </w:p>
        </w:tc>
        <w:tc>
          <w:tcPr>
            <w:tcW w:w="1800" w:type="dxa"/>
            <w:vAlign w:val="center"/>
          </w:tcPr>
          <w:p w14:paraId="3ED3B775">
            <w:pPr>
              <w:spacing w:after="50"/>
              <w:jc w:val="center"/>
              <w:rPr>
                <w:rFonts w:ascii="Times New Roman" w:hAnsi="Times New Roman" w:eastAsiaTheme="minorEastAsia"/>
                <w:szCs w:val="21"/>
              </w:rPr>
            </w:pPr>
            <w:r>
              <w:rPr>
                <w:rFonts w:ascii="Times New Roman" w:hAnsi="Times New Roman" w:eastAsiaTheme="minorEastAsia"/>
                <w:szCs w:val="21"/>
              </w:rPr>
              <w:t>10 months</w:t>
            </w:r>
          </w:p>
        </w:tc>
        <w:tc>
          <w:tcPr>
            <w:tcW w:w="2700" w:type="dxa"/>
            <w:vAlign w:val="center"/>
          </w:tcPr>
          <w:p w14:paraId="0671F557">
            <w:pPr>
              <w:spacing w:after="50"/>
              <w:jc w:val="center"/>
              <w:rPr>
                <w:rFonts w:ascii="Times New Roman" w:hAnsi="Times New Roman" w:eastAsiaTheme="minorEastAsia"/>
                <w:szCs w:val="21"/>
              </w:rPr>
            </w:pPr>
            <w:r>
              <w:rPr>
                <w:rFonts w:ascii="Times New Roman" w:hAnsi="Times New Roman" w:eastAsiaTheme="minorEastAsia"/>
                <w:szCs w:val="21"/>
              </w:rPr>
              <w:t>90% of the annual rate</w:t>
            </w:r>
          </w:p>
        </w:tc>
      </w:tr>
      <w:tr w14:paraId="72D9089B">
        <w:trPr>
          <w:jc w:val="center"/>
        </w:trPr>
        <w:tc>
          <w:tcPr>
            <w:tcW w:w="1548" w:type="dxa"/>
            <w:vAlign w:val="center"/>
          </w:tcPr>
          <w:p w14:paraId="734C81F2">
            <w:pPr>
              <w:spacing w:after="50"/>
              <w:jc w:val="center"/>
              <w:rPr>
                <w:rFonts w:ascii="Times New Roman" w:hAnsi="Times New Roman" w:eastAsiaTheme="minorEastAsia"/>
                <w:szCs w:val="21"/>
              </w:rPr>
            </w:pPr>
            <w:r>
              <w:rPr>
                <w:rFonts w:ascii="Times New Roman" w:hAnsi="Times New Roman" w:eastAsiaTheme="minorEastAsia"/>
                <w:szCs w:val="21"/>
              </w:rPr>
              <w:t>10 months</w:t>
            </w:r>
          </w:p>
        </w:tc>
        <w:tc>
          <w:tcPr>
            <w:tcW w:w="1800" w:type="dxa"/>
            <w:vAlign w:val="center"/>
          </w:tcPr>
          <w:p w14:paraId="7CA8E645">
            <w:pPr>
              <w:spacing w:after="50"/>
              <w:jc w:val="center"/>
              <w:rPr>
                <w:rFonts w:ascii="Times New Roman" w:hAnsi="Times New Roman" w:eastAsiaTheme="minorEastAsia"/>
                <w:szCs w:val="21"/>
              </w:rPr>
            </w:pPr>
            <w:r>
              <w:rPr>
                <w:rFonts w:ascii="Times New Roman" w:hAnsi="Times New Roman" w:eastAsiaTheme="minorEastAsia"/>
                <w:szCs w:val="21"/>
              </w:rPr>
              <w:t>11 months</w:t>
            </w:r>
          </w:p>
        </w:tc>
        <w:tc>
          <w:tcPr>
            <w:tcW w:w="2700" w:type="dxa"/>
            <w:vAlign w:val="center"/>
          </w:tcPr>
          <w:p w14:paraId="6D208359">
            <w:pPr>
              <w:spacing w:after="50"/>
              <w:jc w:val="center"/>
              <w:rPr>
                <w:rFonts w:ascii="Times New Roman" w:hAnsi="Times New Roman" w:eastAsiaTheme="minorEastAsia"/>
                <w:szCs w:val="21"/>
              </w:rPr>
            </w:pPr>
            <w:r>
              <w:rPr>
                <w:rFonts w:ascii="Times New Roman" w:hAnsi="Times New Roman" w:eastAsiaTheme="minorEastAsia"/>
                <w:szCs w:val="21"/>
              </w:rPr>
              <w:t>95% of the annual rate</w:t>
            </w:r>
          </w:p>
        </w:tc>
      </w:tr>
      <w:tr w14:paraId="140EF1CE">
        <w:trPr>
          <w:jc w:val="center"/>
        </w:trPr>
        <w:tc>
          <w:tcPr>
            <w:tcW w:w="1548" w:type="dxa"/>
            <w:vAlign w:val="center"/>
          </w:tcPr>
          <w:p w14:paraId="19AD315C">
            <w:pPr>
              <w:spacing w:after="50"/>
              <w:jc w:val="center"/>
              <w:rPr>
                <w:rFonts w:ascii="Times New Roman" w:hAnsi="Times New Roman" w:eastAsiaTheme="minorEastAsia"/>
                <w:szCs w:val="21"/>
              </w:rPr>
            </w:pPr>
            <w:r>
              <w:rPr>
                <w:rFonts w:ascii="Times New Roman" w:hAnsi="Times New Roman" w:eastAsiaTheme="minorEastAsia"/>
                <w:szCs w:val="21"/>
              </w:rPr>
              <w:t>11 months</w:t>
            </w:r>
          </w:p>
        </w:tc>
        <w:tc>
          <w:tcPr>
            <w:tcW w:w="1800" w:type="dxa"/>
            <w:vAlign w:val="center"/>
          </w:tcPr>
          <w:p w14:paraId="3A8DA7F6">
            <w:pPr>
              <w:spacing w:after="50"/>
              <w:jc w:val="center"/>
              <w:rPr>
                <w:rFonts w:ascii="Times New Roman" w:hAnsi="Times New Roman" w:eastAsiaTheme="minorEastAsia"/>
                <w:szCs w:val="21"/>
              </w:rPr>
            </w:pPr>
            <w:r>
              <w:rPr>
                <w:rFonts w:ascii="Times New Roman" w:hAnsi="Times New Roman" w:eastAsiaTheme="minorEastAsia"/>
                <w:szCs w:val="21"/>
              </w:rPr>
              <w:t>12 months</w:t>
            </w:r>
          </w:p>
        </w:tc>
        <w:tc>
          <w:tcPr>
            <w:tcW w:w="2700" w:type="dxa"/>
            <w:vAlign w:val="center"/>
          </w:tcPr>
          <w:p w14:paraId="47E6C85B">
            <w:pPr>
              <w:spacing w:after="50"/>
              <w:jc w:val="center"/>
              <w:rPr>
                <w:rFonts w:ascii="Times New Roman" w:hAnsi="Times New Roman" w:eastAsiaTheme="minorEastAsia"/>
                <w:szCs w:val="21"/>
              </w:rPr>
            </w:pPr>
            <w:r>
              <w:rPr>
                <w:rFonts w:ascii="Times New Roman" w:hAnsi="Times New Roman" w:eastAsiaTheme="minorEastAsia"/>
                <w:szCs w:val="21"/>
              </w:rPr>
              <w:t>100% of the annual rate</w:t>
            </w:r>
          </w:p>
        </w:tc>
      </w:tr>
    </w:tbl>
    <w:p w14:paraId="3701990A">
      <w:pPr>
        <w:snapToGrid w:val="0"/>
        <w:spacing w:after="120" w:afterLines="50"/>
        <w:rPr>
          <w:rFonts w:ascii="Times New Roman" w:hAnsi="Times New Roman" w:eastAsiaTheme="minorEastAsia"/>
          <w:szCs w:val="21"/>
        </w:rPr>
      </w:pPr>
    </w:p>
    <w:p w14:paraId="08643C35">
      <w:pPr>
        <w:snapToGrid w:val="0"/>
        <w:spacing w:after="120" w:afterLines="50"/>
        <w:rPr>
          <w:rStyle w:val="32"/>
          <w:rFonts w:ascii="Times New Roman" w:hAnsi="Times New Roman" w:eastAsiaTheme="minorEastAsia"/>
          <w:szCs w:val="21"/>
        </w:rPr>
      </w:pPr>
    </w:p>
    <w:p w14:paraId="3B94B214">
      <w:pPr>
        <w:snapToGrid w:val="0"/>
        <w:spacing w:after="120" w:afterLines="50"/>
        <w:rPr>
          <w:rFonts w:ascii="Times New Roman" w:hAnsi="Times New Roman" w:eastAsiaTheme="minorEastAsia"/>
          <w:szCs w:val="21"/>
        </w:rPr>
      </w:pPr>
    </w:p>
    <w:p w14:paraId="4F3D6C03">
      <w:pPr>
        <w:adjustRightInd w:val="0"/>
        <w:snapToGrid w:val="0"/>
        <w:spacing w:after="120" w:afterLines="50" w:line="360" w:lineRule="atLeast"/>
        <w:textAlignment w:val="baseline"/>
        <w:rPr>
          <w:rFonts w:ascii="Times New Roman" w:hAnsi="Times New Roman" w:eastAsiaTheme="minorEastAsia"/>
          <w:kern w:val="0"/>
          <w:szCs w:val="21"/>
        </w:rPr>
      </w:pPr>
    </w:p>
    <w:p w14:paraId="14F8CABE">
      <w:pPr>
        <w:widowControl/>
        <w:tabs>
          <w:tab w:val="left" w:pos="7200"/>
        </w:tabs>
        <w:adjustRightInd w:val="0"/>
        <w:snapToGrid w:val="0"/>
        <w:spacing w:after="120" w:afterLines="50"/>
        <w:jc w:val="center"/>
        <w:rPr>
          <w:rFonts w:ascii="Times New Roman" w:hAnsi="Times New Roman" w:eastAsiaTheme="minorEastAsia"/>
          <w:b/>
          <w:kern w:val="0"/>
          <w:szCs w:val="21"/>
        </w:rPr>
      </w:pPr>
      <w:r>
        <w:rPr>
          <w:rFonts w:ascii="Times New Roman" w:hAnsi="Times New Roman" w:eastAsiaTheme="minorEastAsia"/>
          <w:b/>
          <w:kern w:val="0"/>
          <w:szCs w:val="21"/>
        </w:rPr>
        <w:br w:type="page"/>
      </w:r>
      <w:r>
        <w:rPr>
          <w:rFonts w:ascii="Times New Roman" w:hAnsi="Times New Roman" w:eastAsiaTheme="minorEastAsia"/>
          <w:b/>
          <w:kern w:val="0"/>
          <w:szCs w:val="21"/>
        </w:rPr>
        <w:t>中国太平洋财产保险股份有限公司</w:t>
      </w:r>
    </w:p>
    <w:p w14:paraId="3E94441B">
      <w:pPr>
        <w:pStyle w:val="3"/>
        <w:snapToGrid w:val="0"/>
        <w:spacing w:after="120" w:afterLines="50" w:line="240" w:lineRule="auto"/>
        <w:jc w:val="center"/>
        <w:rPr>
          <w:rFonts w:eastAsiaTheme="minorEastAsia"/>
          <w:bCs/>
          <w:color w:val="auto"/>
          <w:sz w:val="21"/>
          <w:szCs w:val="21"/>
        </w:rPr>
      </w:pPr>
      <w:r>
        <w:rPr>
          <w:rFonts w:eastAsiaTheme="minorEastAsia"/>
          <w:bCs/>
          <w:color w:val="auto"/>
          <w:sz w:val="21"/>
          <w:szCs w:val="21"/>
        </w:rPr>
        <w:t>机器损坏保险条款</w:t>
      </w:r>
    </w:p>
    <w:p w14:paraId="00627CF3">
      <w:pPr>
        <w:pStyle w:val="6"/>
        <w:snapToGrid w:val="0"/>
        <w:spacing w:after="120" w:afterLines="50"/>
        <w:ind w:firstLine="480"/>
        <w:rPr>
          <w:rFonts w:eastAsiaTheme="minorEastAsia"/>
          <w:b/>
          <w:color w:val="auto"/>
          <w:sz w:val="21"/>
          <w:szCs w:val="21"/>
        </w:rPr>
      </w:pPr>
    </w:p>
    <w:p w14:paraId="2E57B5CD">
      <w:pPr>
        <w:adjustRightInd w:val="0"/>
        <w:snapToGrid w:val="0"/>
        <w:spacing w:after="120" w:afterLines="50"/>
        <w:jc w:val="center"/>
        <w:rPr>
          <w:rFonts w:ascii="Times New Roman" w:hAnsi="Times New Roman" w:eastAsiaTheme="minorEastAsia"/>
          <w:b/>
          <w:bCs/>
          <w:szCs w:val="21"/>
        </w:rPr>
      </w:pPr>
      <w:bookmarkStart w:id="1" w:name="总则"/>
      <w:r>
        <w:rPr>
          <w:rFonts w:ascii="Times New Roman" w:hAnsi="Times New Roman" w:eastAsiaTheme="minorEastAsia"/>
          <w:b/>
          <w:bCs/>
          <w:szCs w:val="21"/>
        </w:rPr>
        <w:t>总则</w:t>
      </w:r>
      <w:bookmarkEnd w:id="1"/>
    </w:p>
    <w:p w14:paraId="62B2D4B1">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第一条</w:t>
      </w:r>
      <w:r>
        <w:rPr>
          <w:rFonts w:ascii="Times New Roman" w:hAnsi="Times New Roman" w:eastAsiaTheme="minorEastAsia"/>
          <w:szCs w:val="21"/>
        </w:rPr>
        <w:t xml:space="preserve">  本保险合同由保险条款、投保单、保险单或其他保险凭证以及批单组成。凡涉及本保险合同的约定，均应采用书面形式。</w:t>
      </w:r>
    </w:p>
    <w:p w14:paraId="0DADE3A8">
      <w:pPr>
        <w:adjustRightInd w:val="0"/>
        <w:snapToGrid w:val="0"/>
        <w:spacing w:after="120" w:afterLines="50"/>
        <w:jc w:val="center"/>
        <w:rPr>
          <w:rFonts w:ascii="Times New Roman" w:hAnsi="Times New Roman" w:eastAsiaTheme="minorEastAsia"/>
          <w:b/>
          <w:bCs/>
          <w:szCs w:val="21"/>
        </w:rPr>
      </w:pPr>
    </w:p>
    <w:p w14:paraId="3A897D13">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保险标的</w:t>
      </w:r>
    </w:p>
    <w:p w14:paraId="532F4381">
      <w:pPr>
        <w:adjustRightInd w:val="0"/>
        <w:snapToGrid w:val="0"/>
        <w:spacing w:after="120" w:afterLines="50"/>
        <w:ind w:firstLine="412" w:firstLineChars="196"/>
        <w:jc w:val="left"/>
        <w:rPr>
          <w:rFonts w:ascii="Times New Roman" w:hAnsi="Times New Roman" w:eastAsiaTheme="minorEastAsia"/>
          <w:i/>
          <w:iCs/>
          <w:szCs w:val="21"/>
        </w:rPr>
      </w:pPr>
      <w:r>
        <w:rPr>
          <w:rFonts w:ascii="Times New Roman" w:hAnsi="Times New Roman" w:eastAsiaTheme="minorEastAsia"/>
          <w:b/>
          <w:szCs w:val="21"/>
        </w:rPr>
        <w:t>第二条</w:t>
      </w:r>
      <w:r>
        <w:rPr>
          <w:rFonts w:ascii="Times New Roman" w:hAnsi="Times New Roman" w:eastAsiaTheme="minorEastAsia"/>
          <w:szCs w:val="21"/>
        </w:rPr>
        <w:t xml:space="preserve">  本保险合同载明的机器及附属设备，均可作为保险标的。</w:t>
      </w:r>
    </w:p>
    <w:p w14:paraId="0DD930E2">
      <w:pPr>
        <w:adjustRightInd w:val="0"/>
        <w:snapToGrid w:val="0"/>
        <w:spacing w:after="120" w:afterLines="50"/>
        <w:jc w:val="center"/>
        <w:rPr>
          <w:rFonts w:ascii="Times New Roman" w:hAnsi="Times New Roman" w:eastAsiaTheme="minorEastAsia"/>
          <w:b/>
          <w:bCs/>
          <w:szCs w:val="21"/>
        </w:rPr>
      </w:pPr>
    </w:p>
    <w:p w14:paraId="0C134E63">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保险责任</w:t>
      </w:r>
    </w:p>
    <w:p w14:paraId="6A763DDA">
      <w:pPr>
        <w:autoSpaceDE w:val="0"/>
        <w:autoSpaceDN w:val="0"/>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szCs w:val="21"/>
        </w:rPr>
        <w:t>第三条</w:t>
      </w:r>
      <w:r>
        <w:rPr>
          <w:rFonts w:ascii="Times New Roman" w:hAnsi="Times New Roman" w:eastAsiaTheme="minorEastAsia"/>
          <w:szCs w:val="21"/>
        </w:rPr>
        <w:t xml:space="preserve">  在保险期间内，因下列原因引起或构成突然的、不可预料的意外事故造成的物质损坏或灭失(以下简称“损失”)，保险人按照本保险合同的约定负责赔偿：</w:t>
      </w:r>
    </w:p>
    <w:p w14:paraId="0E5DE273">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(一) 设计、制造或安装错误、铸造和原材料缺陷；</w:t>
      </w:r>
    </w:p>
    <w:p w14:paraId="384DC217">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 工人、技术人员操作错误、缺乏经验、技术不善、疏忽、过失、恶意行为；</w:t>
      </w:r>
    </w:p>
    <w:p w14:paraId="2CA3DBF3">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(三) 离心力引起的断裂；</w:t>
      </w:r>
    </w:p>
    <w:p w14:paraId="2F1A32F3">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(四) 超负荷、超电压、碰线、电弧、漏电、短路、大气放电、感应电及其他电气原因；</w:t>
      </w:r>
    </w:p>
    <w:p w14:paraId="3F163342">
      <w:pPr>
        <w:autoSpaceDE w:val="0"/>
        <w:autoSpaceDN w:val="0"/>
        <w:adjustRightInd w:val="0"/>
        <w:snapToGrid w:val="0"/>
        <w:spacing w:after="120" w:afterLines="50"/>
        <w:ind w:firstLine="315" w:firstLineChars="150"/>
        <w:rPr>
          <w:rFonts w:ascii="Times New Roman" w:hAnsi="Times New Roman" w:eastAsiaTheme="minorEastAsia"/>
          <w:szCs w:val="21"/>
        </w:rPr>
      </w:pPr>
      <w:r>
        <w:rPr>
          <w:rFonts w:ascii="Times New Roman" w:hAnsi="Times New Roman" w:eastAsiaTheme="minorEastAsia"/>
          <w:szCs w:val="21"/>
        </w:rPr>
        <w:t>（五）除本条款中“责任免除”规定以外的其他原因。</w:t>
      </w:r>
    </w:p>
    <w:p w14:paraId="76C2E5DB">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b/>
          <w:szCs w:val="21"/>
        </w:rPr>
        <w:t>第四条</w:t>
      </w:r>
      <w:r>
        <w:rPr>
          <w:rFonts w:ascii="Times New Roman" w:hAnsi="Times New Roman" w:eastAsiaTheme="minorEastAsia"/>
          <w:szCs w:val="21"/>
        </w:rPr>
        <w:t xml:space="preserve">  保险事故发生后，被保险人为防止或减少保险标的的损失所支付的必要的、合理的费用，保险人按照本保险合同的约定也负责赔偿。</w:t>
      </w:r>
    </w:p>
    <w:p w14:paraId="4035DCB5">
      <w:pPr>
        <w:adjustRightInd w:val="0"/>
        <w:snapToGrid w:val="0"/>
        <w:spacing w:after="120" w:afterLines="50"/>
        <w:jc w:val="center"/>
        <w:rPr>
          <w:rFonts w:ascii="Times New Roman" w:hAnsi="Times New Roman" w:eastAsiaTheme="minorEastAsia"/>
          <w:b/>
          <w:bCs/>
          <w:szCs w:val="21"/>
        </w:rPr>
      </w:pPr>
    </w:p>
    <w:p w14:paraId="7D32707E">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责任免除</w:t>
      </w:r>
    </w:p>
    <w:p w14:paraId="5328ADAE">
      <w:pPr>
        <w:adjustRightInd w:val="0"/>
        <w:snapToGrid w:val="0"/>
        <w:spacing w:after="120" w:afterLines="50"/>
        <w:ind w:firstLine="412" w:firstLineChars="196"/>
        <w:rPr>
          <w:rFonts w:ascii="Times New Roman" w:hAnsi="Times New Roman" w:eastAsiaTheme="minorEastAsia"/>
          <w:b/>
          <w:szCs w:val="21"/>
        </w:rPr>
      </w:pPr>
      <w:r>
        <w:rPr>
          <w:rFonts w:ascii="Times New Roman" w:hAnsi="Times New Roman" w:eastAsiaTheme="minorEastAsia"/>
          <w:b/>
          <w:szCs w:val="21"/>
        </w:rPr>
        <w:t>第五条</w:t>
      </w:r>
      <w:r>
        <w:rPr>
          <w:rFonts w:ascii="Times New Roman" w:hAnsi="Times New Roman" w:eastAsiaTheme="minorEastAsia"/>
          <w:szCs w:val="21"/>
        </w:rPr>
        <w:t xml:space="preserve"> </w:t>
      </w:r>
      <w:r>
        <w:rPr>
          <w:rFonts w:ascii="Times New Roman" w:hAnsi="Times New Roman" w:eastAsiaTheme="minorEastAsia"/>
          <w:b/>
          <w:szCs w:val="21"/>
        </w:rPr>
        <w:t xml:space="preserve"> 下列原因造成的损失、费用，保险人不负责赔偿：</w:t>
      </w:r>
    </w:p>
    <w:p w14:paraId="5D73AB8E">
      <w:pPr>
        <w:adjustRightInd w:val="0"/>
        <w:snapToGrid w:val="0"/>
        <w:spacing w:after="120" w:afterLines="50"/>
        <w:ind w:firstLine="412" w:firstLineChars="196"/>
        <w:rPr>
          <w:rFonts w:ascii="Times New Roman" w:hAnsi="Times New Roman" w:eastAsiaTheme="minorEastAsia"/>
          <w:b/>
          <w:szCs w:val="21"/>
        </w:rPr>
      </w:pPr>
      <w:r>
        <w:rPr>
          <w:rFonts w:ascii="Times New Roman" w:hAnsi="Times New Roman" w:eastAsiaTheme="minorEastAsia"/>
          <w:b/>
          <w:szCs w:val="21"/>
        </w:rPr>
        <w:t>（一）被保险人及其代表的故意或重大过失行为；</w:t>
      </w:r>
    </w:p>
    <w:p w14:paraId="34BFAE33">
      <w:pPr>
        <w:adjustRightInd w:val="0"/>
        <w:snapToGrid w:val="0"/>
        <w:spacing w:after="120" w:afterLines="50"/>
        <w:ind w:firstLine="412" w:firstLineChars="196"/>
        <w:rPr>
          <w:rFonts w:ascii="Times New Roman" w:hAnsi="Times New Roman" w:eastAsiaTheme="minorEastAsia"/>
          <w:b/>
          <w:szCs w:val="21"/>
        </w:rPr>
      </w:pPr>
      <w:r>
        <w:rPr>
          <w:rFonts w:ascii="Times New Roman" w:hAnsi="Times New Roman" w:eastAsiaTheme="minorEastAsia"/>
          <w:b/>
          <w:szCs w:val="21"/>
        </w:rPr>
        <w:t>（二）被保险人及其代表已经知道或应该知道的保险机器及其附属设备在本保险开始前已经存在的缺点或缺陷；</w:t>
      </w:r>
    </w:p>
    <w:p w14:paraId="00D64660">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（三）战争、类似战争行为、敌对行为、武装冲突、恐怖活动、谋反、政变、罢工、暴动、民众骚乱；</w:t>
      </w:r>
    </w:p>
    <w:p w14:paraId="15536213">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（四）政府命令或任何公共当局没收、征用、销毁或毁坏；</w:t>
      </w:r>
    </w:p>
    <w:p w14:paraId="684EC9F5">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（五）核裂变、核聚变、核武器、核材料、核辐射及放射性污染；</w:t>
      </w:r>
    </w:p>
    <w:p w14:paraId="21731B77">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（六）机器设备运行必然引起的后果，如自然磨损、氧化、腐蚀、锈蚀、孔蚀、锅垢等物理性变化或化学反应；</w:t>
      </w:r>
    </w:p>
    <w:p w14:paraId="66CACDBE">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（七）由于公共设施部门的限制性供应及故意行为或非意外事故引起的停电、停气、停水；</w:t>
      </w:r>
    </w:p>
    <w:p w14:paraId="019C6372">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（八）火灾、爆炸；</w:t>
      </w:r>
    </w:p>
    <w:p w14:paraId="39D9EF7E">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（九）地震、海啸及其次生灾害</w:t>
      </w:r>
    </w:p>
    <w:p w14:paraId="2AED151C">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（十）雷击、飓风、台风、龙卷风、暴风、暴雨、洪水、冰雹、地崩、山崩、雪崩、火山爆发、地面下陷下沉及其他自然灾害；</w:t>
      </w:r>
    </w:p>
    <w:p w14:paraId="5956F857">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（十一）飞机坠毁、飞机部件或飞机物体坠落；</w:t>
      </w:r>
    </w:p>
    <w:p w14:paraId="150D0DF0">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（十二）机动车碰撞；</w:t>
      </w:r>
    </w:p>
    <w:p w14:paraId="1B8E4A35">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（十三）水箱、水管爆裂。</w:t>
      </w:r>
    </w:p>
    <w:p w14:paraId="2FA80C5F">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第六条  下列损失、费用，保险人也不负责赔偿：</w:t>
      </w:r>
    </w:p>
    <w:p w14:paraId="707A2566">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（一）保险事故发生后引起的各种间接损失或费用；</w:t>
      </w:r>
    </w:p>
    <w:p w14:paraId="11D7F814">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（二）各种传送带、缆绳、金属线、链条、轮胎、可调换或替代的钻头、钻杆、刀具、印刷滚筒、套筒、活动管道、玻璃、磁、陶及钢筛、网筛、毛毡制品、一切操作中的媒介物(如润滑油、燃料、催化剂等) 及其他各种易损、易耗品；</w:t>
      </w:r>
    </w:p>
    <w:p w14:paraId="5FE7895B">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（三）根据法律或契约应由供货方、制造人、安装人或修理人负责的损失或费用；</w:t>
      </w:r>
    </w:p>
    <w:p w14:paraId="117FAEC4">
      <w:pPr>
        <w:autoSpaceDE w:val="0"/>
        <w:autoSpaceDN w:val="0"/>
        <w:adjustRightInd w:val="0"/>
        <w:snapToGrid w:val="0"/>
        <w:spacing w:after="120" w:afterLines="50"/>
        <w:ind w:firstLine="420" w:firstLineChars="200"/>
        <w:rPr>
          <w:rFonts w:ascii="Times New Roman" w:hAnsi="Times New Roman" w:eastAsiaTheme="minorEastAsia"/>
          <w:b/>
          <w:szCs w:val="21"/>
        </w:rPr>
      </w:pPr>
      <w:r>
        <w:rPr>
          <w:rFonts w:ascii="Times New Roman" w:hAnsi="Times New Roman" w:eastAsiaTheme="minorEastAsia"/>
          <w:b/>
          <w:szCs w:val="21"/>
        </w:rPr>
        <w:t>（四）保险机器设备在修复或重置过程中发生的任何变更、性能增加或改进所产生的额外费用；</w:t>
      </w:r>
    </w:p>
    <w:p w14:paraId="02E468CC">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b/>
          <w:szCs w:val="21"/>
        </w:rPr>
        <w:t>（五） 本保险合同中载明的免赔额或按本保险合同中载明的免赔率计算的免赔额。</w:t>
      </w:r>
    </w:p>
    <w:p w14:paraId="3114D176">
      <w:pPr>
        <w:adjustRightInd w:val="0"/>
        <w:snapToGrid w:val="0"/>
        <w:spacing w:after="120" w:afterLines="50"/>
        <w:jc w:val="center"/>
        <w:rPr>
          <w:rFonts w:ascii="Times New Roman" w:hAnsi="Times New Roman" w:eastAsiaTheme="minorEastAsia"/>
          <w:b/>
          <w:bCs/>
          <w:szCs w:val="21"/>
        </w:rPr>
      </w:pPr>
    </w:p>
    <w:p w14:paraId="2CE89635">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保险金额与免赔额（率）</w:t>
      </w:r>
    </w:p>
    <w:p w14:paraId="4DFA860C">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b/>
          <w:szCs w:val="21"/>
        </w:rPr>
        <w:t xml:space="preserve">    第七条  </w:t>
      </w:r>
      <w:r>
        <w:rPr>
          <w:rFonts w:ascii="Times New Roman" w:hAnsi="Times New Roman" w:eastAsiaTheme="minorEastAsia"/>
          <w:szCs w:val="21"/>
        </w:rPr>
        <w:t>本保险合同承保的机器设备的保险金额应为该机器设备的重置价值，即重新换置同一厂牌或相类似的型号、规格、性能的新机器设备的价格，包括出厂价格、运保费、税款、可能支付的关税以及安装费用等。</w:t>
      </w:r>
    </w:p>
    <w:p w14:paraId="184A2ED5">
      <w:pPr>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szCs w:val="21"/>
        </w:rPr>
        <w:t>第八条</w:t>
      </w:r>
      <w:r>
        <w:rPr>
          <w:rFonts w:ascii="Times New Roman" w:hAnsi="Times New Roman" w:eastAsiaTheme="minorEastAsia"/>
          <w:szCs w:val="21"/>
        </w:rPr>
        <w:t xml:space="preserve">  免赔额（率）由投保人与保险人在订立保险合同时协商确定，并在保险合同中载明。</w:t>
      </w:r>
    </w:p>
    <w:p w14:paraId="125A628A">
      <w:pPr>
        <w:adjustRightInd w:val="0"/>
        <w:snapToGrid w:val="0"/>
        <w:spacing w:after="120" w:afterLines="50"/>
        <w:jc w:val="center"/>
        <w:rPr>
          <w:rFonts w:ascii="Times New Roman" w:hAnsi="Times New Roman" w:eastAsiaTheme="minorEastAsia"/>
          <w:b/>
          <w:bCs/>
          <w:szCs w:val="21"/>
        </w:rPr>
      </w:pPr>
    </w:p>
    <w:p w14:paraId="41C96895">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保险期间</w:t>
      </w:r>
    </w:p>
    <w:p w14:paraId="000C1939">
      <w:pPr>
        <w:adjustRightInd w:val="0"/>
        <w:snapToGrid w:val="0"/>
        <w:spacing w:after="120" w:afterLines="50"/>
        <w:ind w:firstLine="418" w:firstLineChars="199"/>
        <w:rPr>
          <w:rFonts w:ascii="Times New Roman" w:hAnsi="Times New Roman" w:eastAsiaTheme="minorEastAsia"/>
          <w:b/>
          <w:szCs w:val="21"/>
        </w:rPr>
      </w:pPr>
      <w:r>
        <w:rPr>
          <w:rFonts w:ascii="Times New Roman" w:hAnsi="Times New Roman" w:eastAsiaTheme="minorEastAsia"/>
          <w:b/>
          <w:szCs w:val="21"/>
        </w:rPr>
        <w:t xml:space="preserve">第九条  </w:t>
      </w:r>
      <w:r>
        <w:rPr>
          <w:rFonts w:ascii="Times New Roman" w:hAnsi="Times New Roman" w:eastAsiaTheme="minorEastAsia"/>
          <w:szCs w:val="21"/>
        </w:rPr>
        <w:t>除另有约定外，保险期间为一年，以保险单载明的起讫时间为准。</w:t>
      </w:r>
    </w:p>
    <w:p w14:paraId="340C0CB2">
      <w:pPr>
        <w:adjustRightInd w:val="0"/>
        <w:snapToGrid w:val="0"/>
        <w:spacing w:after="120" w:afterLines="50"/>
        <w:jc w:val="center"/>
        <w:rPr>
          <w:rFonts w:ascii="Times New Roman" w:hAnsi="Times New Roman" w:eastAsiaTheme="minorEastAsia"/>
          <w:b/>
          <w:bCs/>
          <w:szCs w:val="21"/>
        </w:rPr>
      </w:pPr>
    </w:p>
    <w:p w14:paraId="208AE88E">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保险人义务</w:t>
      </w:r>
    </w:p>
    <w:p w14:paraId="01DF232C">
      <w:pPr>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bCs/>
          <w:szCs w:val="21"/>
        </w:rPr>
        <w:t xml:space="preserve">第十条 </w:t>
      </w:r>
      <w:r>
        <w:rPr>
          <w:rFonts w:ascii="Times New Roman" w:hAnsi="Times New Roman" w:eastAsiaTheme="minorEastAsia"/>
          <w:szCs w:val="21"/>
        </w:rPr>
        <w:t xml:space="preserve"> </w:t>
      </w:r>
      <w:r>
        <w:rPr>
          <w:rStyle w:val="25"/>
          <w:rFonts w:ascii="Times New Roman" w:hAnsi="Times New Roman" w:eastAsiaTheme="minorEastAsia"/>
          <w:szCs w:val="21"/>
        </w:rPr>
        <w:t>订立本保险合同时，保险人应向投保人说明本合同的条款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4CB72DAD">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b/>
          <w:bCs/>
          <w:szCs w:val="21"/>
        </w:rPr>
        <w:t xml:space="preserve">第十一条 </w:t>
      </w:r>
      <w:r>
        <w:rPr>
          <w:rFonts w:ascii="Times New Roman" w:hAnsi="Times New Roman" w:eastAsiaTheme="minorEastAsia"/>
          <w:szCs w:val="21"/>
        </w:rPr>
        <w:t xml:space="preserve"> 本保险合同成立后，保险人应当及时向投保人签发保险单或其他保险凭证。</w:t>
      </w:r>
    </w:p>
    <w:p w14:paraId="5F72613C">
      <w:pPr>
        <w:adjustRightInd w:val="0"/>
        <w:snapToGrid w:val="0"/>
        <w:spacing w:after="120" w:afterLines="50"/>
        <w:ind w:firstLine="378" w:firstLineChars="180"/>
        <w:rPr>
          <w:rStyle w:val="25"/>
          <w:rFonts w:ascii="Times New Roman" w:hAnsi="Times New Roman" w:eastAsiaTheme="minorEastAsia"/>
          <w:szCs w:val="21"/>
        </w:rPr>
      </w:pPr>
      <w:r>
        <w:rPr>
          <w:rFonts w:ascii="Times New Roman" w:hAnsi="Times New Roman" w:eastAsiaTheme="minorEastAsia"/>
          <w:b/>
          <w:bCs/>
          <w:szCs w:val="21"/>
        </w:rPr>
        <w:t xml:space="preserve">第十二条 </w:t>
      </w:r>
      <w:r>
        <w:rPr>
          <w:rFonts w:ascii="Times New Roman" w:hAnsi="Times New Roman" w:eastAsiaTheme="minorEastAsia"/>
          <w:szCs w:val="21"/>
        </w:rPr>
        <w:t xml:space="preserve"> 保险人依据第十六条所取得的保险合同解除权，</w:t>
      </w:r>
      <w:r>
        <w:rPr>
          <w:rStyle w:val="25"/>
          <w:rFonts w:ascii="Times New Roman" w:hAnsi="Times New Roman" w:eastAsiaTheme="minorEastAsia"/>
          <w:szCs w:val="21"/>
        </w:rPr>
        <w:t>自保险人知道有解除事由之日起，超过三十日不行使而消灭。自保险合同成立之日起超过二年的，保险人不得解除合同；发生保险事故的，保险人承担赔偿责任。</w:t>
      </w:r>
    </w:p>
    <w:p w14:paraId="7AE01C3D">
      <w:pPr>
        <w:adjustRightInd w:val="0"/>
        <w:snapToGrid w:val="0"/>
        <w:spacing w:after="120" w:afterLines="50"/>
        <w:ind w:firstLine="420" w:firstLineChars="200"/>
        <w:rPr>
          <w:rStyle w:val="25"/>
          <w:rFonts w:ascii="Times New Roman" w:hAnsi="Times New Roman" w:eastAsiaTheme="minorEastAsia"/>
          <w:szCs w:val="21"/>
        </w:rPr>
      </w:pPr>
      <w:r>
        <w:rPr>
          <w:rStyle w:val="25"/>
          <w:rFonts w:ascii="Times New Roman" w:hAnsi="Times New Roman" w:eastAsiaTheme="minorEastAsia"/>
          <w:szCs w:val="21"/>
        </w:rPr>
        <w:t>保险人在合同订立时已经知道投保人未如实告知的情况的，保险人不得解除合同；发生保险事故的，保险人应当承担赔偿责任。</w:t>
      </w:r>
    </w:p>
    <w:p w14:paraId="1E964CB9">
      <w:pPr>
        <w:adjustRightInd w:val="0"/>
        <w:snapToGrid w:val="0"/>
        <w:spacing w:after="120" w:afterLines="50"/>
        <w:ind w:firstLine="420" w:firstLineChars="200"/>
        <w:rPr>
          <w:rStyle w:val="25"/>
          <w:rFonts w:ascii="Times New Roman" w:hAnsi="Times New Roman" w:eastAsiaTheme="minorEastAsia"/>
          <w:szCs w:val="21"/>
        </w:rPr>
      </w:pPr>
      <w:r>
        <w:rPr>
          <w:rFonts w:ascii="Times New Roman" w:hAnsi="Times New Roman" w:eastAsiaTheme="minorEastAsia"/>
          <w:b/>
          <w:bCs/>
          <w:szCs w:val="21"/>
        </w:rPr>
        <w:t xml:space="preserve">第十三条 </w:t>
      </w:r>
      <w:r>
        <w:rPr>
          <w:rFonts w:ascii="Times New Roman" w:hAnsi="Times New Roman" w:eastAsiaTheme="minorEastAsia"/>
          <w:szCs w:val="21"/>
        </w:rPr>
        <w:t xml:space="preserve"> </w:t>
      </w:r>
      <w:r>
        <w:rPr>
          <w:rStyle w:val="25"/>
          <w:rFonts w:ascii="Times New Roman" w:hAnsi="Times New Roman" w:eastAsiaTheme="minorEastAsia"/>
          <w:szCs w:val="21"/>
        </w:rPr>
        <w:t>保险人按照第二十二条的约定，认为被保险人提供的有关索赔的证明和资料不完整的，应当及时一次性通知投保人、被保险人补充提供。</w:t>
      </w:r>
    </w:p>
    <w:p w14:paraId="47E9D445">
      <w:pPr>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bCs/>
          <w:szCs w:val="21"/>
        </w:rPr>
        <w:t xml:space="preserve">第十四条 </w:t>
      </w:r>
      <w:r>
        <w:rPr>
          <w:rFonts w:ascii="Times New Roman" w:hAnsi="Times New Roman" w:eastAsiaTheme="minorEastAsia"/>
          <w:szCs w:val="21"/>
        </w:rPr>
        <w:t xml:space="preserve"> 保险人收到被保险人的赔偿保险金的请求后，应当及时作出是否属于保险责任的核定；情形复杂的，应当在三十日内作出核定，但保险合同另有约定的除外。</w:t>
      </w:r>
    </w:p>
    <w:p w14:paraId="092596A9">
      <w:pPr>
        <w:adjustRightInd w:val="0"/>
        <w:snapToGrid w:val="0"/>
        <w:spacing w:after="120" w:afterLines="50"/>
        <w:ind w:firstLine="411" w:firstLineChars="196"/>
        <w:rPr>
          <w:rStyle w:val="25"/>
          <w:rFonts w:ascii="Times New Roman" w:hAnsi="Times New Roman" w:eastAsiaTheme="minorEastAsia"/>
          <w:szCs w:val="21"/>
        </w:rPr>
      </w:pPr>
      <w:r>
        <w:rPr>
          <w:rFonts w:ascii="Times New Roman" w:hAnsi="Times New Roman" w:eastAsiaTheme="minorEastAsia"/>
          <w:szCs w:val="21"/>
        </w:rPr>
        <w:t>保险人应当将核定结果通知被保险人；对属于保险责任的，在与被保险人达成赔偿保险金的协议后十日内，履行赔偿保险金义务。保险合同对赔偿保险金的期限有约定的，保险人应当按照约定履行赔偿保险金的义务。保险人依照前款约定作出核定后，</w:t>
      </w:r>
      <w:r>
        <w:rPr>
          <w:rStyle w:val="25"/>
          <w:rFonts w:ascii="Times New Roman" w:hAnsi="Times New Roman" w:eastAsiaTheme="minorEastAsia"/>
          <w:szCs w:val="21"/>
        </w:rPr>
        <w:t>对不属于保险责任的，应当自作出核定之日起三日内向被保险人发出拒绝赔偿保险金通知书，并说明理由</w:t>
      </w:r>
      <w:r>
        <w:rPr>
          <w:rFonts w:ascii="Times New Roman" w:hAnsi="Times New Roman" w:eastAsiaTheme="minorEastAsia"/>
          <w:szCs w:val="21"/>
        </w:rPr>
        <w:t>。</w:t>
      </w:r>
    </w:p>
    <w:p w14:paraId="052888F4">
      <w:pPr>
        <w:adjustRightInd w:val="0"/>
        <w:snapToGrid w:val="0"/>
        <w:spacing w:after="120" w:afterLines="50"/>
        <w:ind w:firstLine="420" w:firstLineChars="200"/>
        <w:rPr>
          <w:rFonts w:ascii="Times New Roman" w:hAnsi="Times New Roman" w:eastAsiaTheme="minorEastAsia"/>
          <w:i/>
          <w:iCs/>
          <w:szCs w:val="21"/>
        </w:rPr>
      </w:pPr>
      <w:r>
        <w:rPr>
          <w:rFonts w:ascii="Times New Roman" w:hAnsi="Times New Roman" w:eastAsiaTheme="minorEastAsia"/>
          <w:b/>
          <w:bCs/>
          <w:szCs w:val="21"/>
        </w:rPr>
        <w:t xml:space="preserve">第十五条 </w:t>
      </w:r>
      <w:r>
        <w:rPr>
          <w:rFonts w:ascii="Times New Roman" w:hAnsi="Times New Roman" w:eastAsiaTheme="minorEastAsia"/>
          <w:szCs w:val="21"/>
        </w:rPr>
        <w:t xml:space="preserve"> </w:t>
      </w:r>
      <w:r>
        <w:rPr>
          <w:rStyle w:val="25"/>
          <w:rFonts w:ascii="Times New Roman" w:hAnsi="Times New Roman" w:eastAsiaTheme="minorEastAsia"/>
          <w:szCs w:val="21"/>
        </w:rPr>
        <w:t>保险人自收到赔偿的请求和有关证明、资料之日起六十日内，对其赔偿保险金的数额不能确定的，应当根据已有证明和资料可以确定的数额先予支付；保险人最终确定赔偿的数额后，应当支付相应的差额。</w:t>
      </w:r>
      <w:r>
        <w:rPr>
          <w:rStyle w:val="26"/>
          <w:rFonts w:ascii="Times New Roman" w:hAnsi="Times New Roman" w:eastAsiaTheme="minorEastAsia"/>
          <w:szCs w:val="21"/>
        </w:rPr>
        <w:t> </w:t>
      </w:r>
    </w:p>
    <w:p w14:paraId="7B04A85C">
      <w:pPr>
        <w:adjustRightInd w:val="0"/>
        <w:snapToGrid w:val="0"/>
        <w:spacing w:after="120" w:afterLines="50"/>
        <w:jc w:val="center"/>
        <w:rPr>
          <w:rFonts w:ascii="Times New Roman" w:hAnsi="Times New Roman" w:eastAsiaTheme="minorEastAsia"/>
          <w:b/>
          <w:bCs/>
          <w:szCs w:val="21"/>
        </w:rPr>
      </w:pPr>
    </w:p>
    <w:p w14:paraId="4AF6713A">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投保人、被保险人义务</w:t>
      </w:r>
    </w:p>
    <w:p w14:paraId="02FC7D05">
      <w:pPr>
        <w:pStyle w:val="9"/>
        <w:adjustRightInd w:val="0"/>
        <w:snapToGrid w:val="0"/>
        <w:spacing w:afterLines="50"/>
        <w:ind w:firstLine="412" w:firstLineChars="196"/>
        <w:rPr>
          <w:rFonts w:ascii="Times New Roman" w:hAnsi="Times New Roman" w:eastAsiaTheme="minorEastAsia"/>
          <w:szCs w:val="21"/>
        </w:rPr>
      </w:pPr>
      <w:r>
        <w:rPr>
          <w:rFonts w:ascii="Times New Roman" w:hAnsi="Times New Roman" w:eastAsiaTheme="minorEastAsia"/>
          <w:b/>
          <w:szCs w:val="21"/>
        </w:rPr>
        <w:t>第十六条</w:t>
      </w:r>
      <w:r>
        <w:rPr>
          <w:rFonts w:ascii="Times New Roman" w:hAnsi="Times New Roman" w:eastAsiaTheme="minorEastAsia"/>
          <w:szCs w:val="21"/>
        </w:rPr>
        <w:t xml:space="preserve">  订立保险合同，保险人就保险标的或者被保险人的有关情况提出询问的，投保人应当如实告知，并如实填写投保单。</w:t>
      </w:r>
    </w:p>
    <w:p w14:paraId="6FEA27AE">
      <w:pPr>
        <w:pStyle w:val="7"/>
        <w:snapToGrid w:val="0"/>
        <w:spacing w:afterLines="50"/>
        <w:rPr>
          <w:rFonts w:eastAsiaTheme="minorEastAsia"/>
          <w:sz w:val="21"/>
          <w:szCs w:val="21"/>
        </w:rPr>
      </w:pPr>
      <w:r>
        <w:rPr>
          <w:rFonts w:eastAsiaTheme="minorEastAsia"/>
          <w:sz w:val="21"/>
          <w:szCs w:val="21"/>
        </w:rPr>
        <w:t>投保人故意或者因重大过失未履行前款规定的如实告知义务，足以影响保险人决定是否同意承保或者提高保险费率的，保险人有权解除合同。</w:t>
      </w:r>
    </w:p>
    <w:p w14:paraId="263BC0DB">
      <w:pPr>
        <w:pStyle w:val="7"/>
        <w:snapToGrid w:val="0"/>
        <w:spacing w:afterLines="50"/>
        <w:ind w:firstLine="420"/>
        <w:rPr>
          <w:rFonts w:eastAsiaTheme="minorEastAsia"/>
          <w:sz w:val="21"/>
          <w:szCs w:val="21"/>
        </w:rPr>
      </w:pPr>
      <w:r>
        <w:rPr>
          <w:rFonts w:eastAsiaTheme="minorEastAsia"/>
          <w:b/>
          <w:sz w:val="21"/>
          <w:szCs w:val="21"/>
        </w:rPr>
        <w:t>投保人故意不履行如实告知义务的，保险人对于合同解除前发生的保险事故，不承担赔偿责任，并不退还保险费。</w:t>
      </w:r>
    </w:p>
    <w:p w14:paraId="77FADDCD">
      <w:pPr>
        <w:pStyle w:val="7"/>
        <w:snapToGrid w:val="0"/>
        <w:spacing w:afterLines="50"/>
        <w:ind w:firstLine="420"/>
        <w:rPr>
          <w:rFonts w:eastAsiaTheme="minorEastAsia"/>
          <w:bCs/>
          <w:sz w:val="21"/>
          <w:szCs w:val="21"/>
        </w:rPr>
      </w:pPr>
      <w:r>
        <w:rPr>
          <w:rFonts w:eastAsiaTheme="minorEastAsia"/>
          <w:b/>
          <w:sz w:val="21"/>
          <w:szCs w:val="21"/>
        </w:rPr>
        <w:t>投保人因重大过失未履行如实告知义务，对保险事故的发生有严重影响的，保险人对于合同解除前发生的保险事故，不承担赔偿责任，</w:t>
      </w:r>
      <w:r>
        <w:rPr>
          <w:rFonts w:eastAsiaTheme="minorEastAsia"/>
          <w:b/>
          <w:bCs/>
          <w:sz w:val="21"/>
          <w:szCs w:val="21"/>
        </w:rPr>
        <w:t>但应当退还保险费。</w:t>
      </w:r>
    </w:p>
    <w:p w14:paraId="2A177EB7">
      <w:pPr>
        <w:pStyle w:val="7"/>
        <w:snapToGrid w:val="0"/>
        <w:spacing w:afterLines="50"/>
        <w:ind w:firstLine="420"/>
        <w:rPr>
          <w:rFonts w:eastAsiaTheme="minorEastAsia"/>
          <w:b/>
          <w:sz w:val="21"/>
          <w:szCs w:val="21"/>
        </w:rPr>
      </w:pPr>
      <w:r>
        <w:rPr>
          <w:rFonts w:eastAsiaTheme="minorEastAsia"/>
          <w:b/>
          <w:sz w:val="21"/>
          <w:szCs w:val="21"/>
        </w:rPr>
        <w:t xml:space="preserve">第十七条  </w:t>
      </w:r>
      <w:r>
        <w:rPr>
          <w:rFonts w:eastAsiaTheme="minorEastAsia"/>
          <w:sz w:val="21"/>
          <w:szCs w:val="21"/>
        </w:rPr>
        <w:t>除另有约定外，投保人应在保险合同成立时交清保险费。</w:t>
      </w:r>
      <w:r>
        <w:rPr>
          <w:rFonts w:eastAsiaTheme="minorEastAsia"/>
          <w:b/>
          <w:sz w:val="21"/>
          <w:szCs w:val="21"/>
        </w:rPr>
        <w:t>保险费交清前发生的保险事故，保险人不承担赔偿责任。</w:t>
      </w:r>
    </w:p>
    <w:p w14:paraId="74338930">
      <w:pPr>
        <w:pStyle w:val="9"/>
        <w:adjustRightInd w:val="0"/>
        <w:snapToGrid w:val="0"/>
        <w:spacing w:afterLines="50"/>
        <w:ind w:firstLine="420" w:firstLineChars="200"/>
        <w:rPr>
          <w:rFonts w:ascii="Times New Roman" w:hAnsi="Times New Roman" w:eastAsiaTheme="minorEastAsia"/>
          <w:szCs w:val="21"/>
        </w:rPr>
      </w:pPr>
      <w:r>
        <w:rPr>
          <w:rFonts w:ascii="Times New Roman" w:hAnsi="Times New Roman" w:eastAsiaTheme="minorEastAsia"/>
          <w:b/>
          <w:szCs w:val="21"/>
        </w:rPr>
        <w:t>第十八条</w:t>
      </w:r>
      <w:r>
        <w:rPr>
          <w:rFonts w:ascii="Times New Roman" w:hAnsi="Times New Roman" w:eastAsiaTheme="minorEastAsia"/>
          <w:szCs w:val="21"/>
        </w:rPr>
        <w:t xml:space="preserve">  被保险人应当遵守国家有关消防、安全、生产操作、劳动保护等方面的相关法律、法规及规定，加强管理，采取合理的预防措施，尽力避免或减少责任事故的发生，维护保险标的的安全。保险人可以对被保险人遵守前款约定的情况进行检查，向投保人、被保险人提出消除不安全因素和隐患的书面建议，投保人、被保险人应该认真付诸实施。</w:t>
      </w:r>
    </w:p>
    <w:p w14:paraId="4DFCEF40">
      <w:pPr>
        <w:pStyle w:val="9"/>
        <w:adjustRightInd w:val="0"/>
        <w:snapToGrid w:val="0"/>
        <w:spacing w:afterLines="50"/>
        <w:ind w:firstLine="420" w:firstLineChars="200"/>
        <w:rPr>
          <w:rFonts w:ascii="Times New Roman" w:hAnsi="Times New Roman" w:eastAsiaTheme="minorEastAsia"/>
          <w:b/>
          <w:szCs w:val="21"/>
        </w:rPr>
      </w:pPr>
      <w:r>
        <w:rPr>
          <w:rFonts w:ascii="Times New Roman" w:hAnsi="Times New Roman" w:eastAsiaTheme="minorEastAsia"/>
          <w:szCs w:val="21"/>
        </w:rPr>
        <w:t>投保人、被保险人未按照约定履行其对保险标的的安全应尽责任的，保险人有权要求增加保险费或者解除合同。</w:t>
      </w:r>
    </w:p>
    <w:p w14:paraId="6602C821">
      <w:pPr>
        <w:pStyle w:val="9"/>
        <w:adjustRightInd w:val="0"/>
        <w:snapToGrid w:val="0"/>
        <w:spacing w:afterLines="50"/>
        <w:ind w:firstLine="420" w:firstLineChars="200"/>
        <w:rPr>
          <w:rStyle w:val="25"/>
          <w:rFonts w:ascii="Times New Roman" w:hAnsi="Times New Roman" w:eastAsiaTheme="minorEastAsia"/>
          <w:bCs/>
          <w:szCs w:val="21"/>
        </w:rPr>
      </w:pPr>
      <w:r>
        <w:rPr>
          <w:rFonts w:ascii="Times New Roman" w:hAnsi="Times New Roman" w:eastAsiaTheme="minorEastAsia"/>
          <w:b/>
          <w:bCs/>
          <w:szCs w:val="21"/>
        </w:rPr>
        <w:t>第十九条</w:t>
      </w:r>
      <w:r>
        <w:rPr>
          <w:rFonts w:ascii="Times New Roman" w:hAnsi="Times New Roman" w:eastAsiaTheme="minorEastAsia"/>
          <w:szCs w:val="21"/>
        </w:rPr>
        <w:t xml:space="preserve">  </w:t>
      </w:r>
      <w:r>
        <w:rPr>
          <w:rStyle w:val="25"/>
          <w:rFonts w:ascii="Times New Roman" w:hAnsi="Times New Roman" w:eastAsiaTheme="minorEastAsia"/>
          <w:szCs w:val="21"/>
        </w:rPr>
        <w:t>保险标的转让的，被保险人或者受让人应当及时通知保险人。</w:t>
      </w:r>
    </w:p>
    <w:p w14:paraId="40B00986">
      <w:pPr>
        <w:pStyle w:val="9"/>
        <w:adjustRightInd w:val="0"/>
        <w:snapToGrid w:val="0"/>
        <w:spacing w:afterLines="50"/>
        <w:ind w:firstLine="420" w:firstLineChars="200"/>
        <w:rPr>
          <w:rFonts w:ascii="Times New Roman" w:hAnsi="Times New Roman" w:eastAsiaTheme="minorEastAsia"/>
          <w:szCs w:val="21"/>
        </w:rPr>
      </w:pPr>
      <w:r>
        <w:rPr>
          <w:rFonts w:ascii="Times New Roman" w:hAnsi="Times New Roman" w:eastAsiaTheme="minorEastAsia"/>
          <w:szCs w:val="21"/>
        </w:rPr>
        <w:t>因保险标的转让导致危险程度显著增加的，保险人自收到前款规定的通知之日起三十日内，可以按照合同约定增加保险费或者解除合同。保险人解除合同的，应当将已收取的保险费，按照合同约定扣除自保险责任开始之日起至合同解除之日止应收的部分后，退还投保人。</w:t>
      </w:r>
    </w:p>
    <w:p w14:paraId="167B2C94">
      <w:pPr>
        <w:pStyle w:val="9"/>
        <w:adjustRightInd w:val="0"/>
        <w:snapToGrid w:val="0"/>
        <w:spacing w:afterLines="50"/>
        <w:ind w:firstLine="420" w:firstLineChars="200"/>
        <w:rPr>
          <w:rFonts w:ascii="Times New Roman" w:hAnsi="Times New Roman" w:eastAsiaTheme="minorEastAsia"/>
          <w:b/>
          <w:szCs w:val="21"/>
        </w:rPr>
      </w:pPr>
      <w:r>
        <w:rPr>
          <w:rStyle w:val="25"/>
          <w:rFonts w:ascii="Times New Roman" w:hAnsi="Times New Roman" w:eastAsiaTheme="minorEastAsia"/>
          <w:b/>
          <w:szCs w:val="21"/>
        </w:rPr>
        <w:t>被保险人、受让人未履行本条规定的通知义务的，因转让导致保险标的危险程度显著增加而发生的保险事故，保险人不承担赔偿责任。</w:t>
      </w:r>
    </w:p>
    <w:p w14:paraId="30C25ED6">
      <w:pPr>
        <w:pStyle w:val="9"/>
        <w:adjustRightInd w:val="0"/>
        <w:snapToGrid w:val="0"/>
        <w:spacing w:afterLines="50"/>
        <w:ind w:firstLine="420" w:firstLineChars="200"/>
        <w:rPr>
          <w:rFonts w:ascii="Times New Roman" w:hAnsi="Times New Roman" w:eastAsiaTheme="minorEastAsia"/>
          <w:bCs/>
          <w:szCs w:val="21"/>
        </w:rPr>
      </w:pPr>
      <w:r>
        <w:rPr>
          <w:rFonts w:ascii="Times New Roman" w:hAnsi="Times New Roman" w:eastAsiaTheme="minorEastAsia"/>
          <w:b/>
          <w:bCs/>
          <w:szCs w:val="21"/>
        </w:rPr>
        <w:t>第二十条</w:t>
      </w:r>
      <w:r>
        <w:rPr>
          <w:rFonts w:ascii="Times New Roman" w:hAnsi="Times New Roman" w:eastAsiaTheme="minorEastAsia"/>
          <w:szCs w:val="21"/>
        </w:rPr>
        <w:t xml:space="preserve">  在合同有效期内，如保险标的占用与使用性质、保险标的地址及其他可能导致保险标的危险程度显著增加的、或其他足以影响保险人决定是否继续承保或是否增加保险费的保险合同重要事项变更，被保险人应及时书面通知保险人，保险人有权要求增加保险费或者解除合同。</w:t>
      </w:r>
    </w:p>
    <w:p w14:paraId="5AAC146D">
      <w:pPr>
        <w:adjustRightInd w:val="0"/>
        <w:snapToGrid w:val="0"/>
        <w:spacing w:after="120" w:afterLines="50"/>
        <w:ind w:firstLine="418" w:firstLineChars="199"/>
        <w:rPr>
          <w:rFonts w:ascii="Times New Roman" w:hAnsi="Times New Roman" w:eastAsiaTheme="minorEastAsia"/>
          <w:b/>
          <w:szCs w:val="21"/>
        </w:rPr>
      </w:pPr>
      <w:r>
        <w:rPr>
          <w:rFonts w:ascii="Times New Roman" w:hAnsi="Times New Roman" w:eastAsiaTheme="minorEastAsia"/>
          <w:b/>
          <w:szCs w:val="21"/>
        </w:rPr>
        <w:t>被保险人未履行前款约定的通知义务的，因保险标的的危险程度显著增加而发生的保险事故，保险人不承担赔偿责任。</w:t>
      </w:r>
    </w:p>
    <w:p w14:paraId="16477BF7">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第二十一条</w:t>
      </w:r>
      <w:r>
        <w:rPr>
          <w:rFonts w:ascii="Times New Roman" w:hAnsi="Times New Roman" w:eastAsiaTheme="minorEastAsia"/>
          <w:szCs w:val="21"/>
        </w:rPr>
        <w:t xml:space="preserve">  知道保险事故发生后，被保险人应该：</w:t>
      </w:r>
    </w:p>
    <w:p w14:paraId="27425E7F">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（一）尽力采取必要、合理的措施，防止或减少损失，否则，</w:t>
      </w:r>
      <w:r>
        <w:rPr>
          <w:rFonts w:ascii="Times New Roman" w:hAnsi="Times New Roman" w:eastAsiaTheme="minorEastAsia"/>
          <w:b/>
          <w:szCs w:val="21"/>
        </w:rPr>
        <w:t>对因此扩大的损失，保险人不承担赔偿责任；</w:t>
      </w:r>
    </w:p>
    <w:p w14:paraId="7A0F0744">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（二）立即通知保险人，并书面说明事故发生的原因、经过和损失情况；</w:t>
      </w:r>
      <w:r>
        <w:rPr>
          <w:rStyle w:val="25"/>
          <w:rFonts w:ascii="Times New Roman" w:hAnsi="Times New Roman" w:eastAsiaTheme="minorEastAsia"/>
          <w:b/>
          <w:szCs w:val="21"/>
        </w:rPr>
        <w:t>故意或者因重大过失未及时通知，致使保险事故的性质、原因、损失程度等难以确定的，保险人对无法确定的部分，不承担赔偿责任，但保险人通过其他途径已经及时知道或者应当及时知道保险事故发生的除外；</w:t>
      </w:r>
    </w:p>
    <w:p w14:paraId="260D9B7B">
      <w:pPr>
        <w:adjustRightInd w:val="0"/>
        <w:snapToGrid w:val="0"/>
        <w:spacing w:after="120" w:afterLines="50"/>
        <w:ind w:firstLine="420" w:firstLineChars="200"/>
        <w:rPr>
          <w:rFonts w:ascii="Times New Roman" w:hAnsi="Times New Roman" w:eastAsiaTheme="minorEastAsia"/>
          <w:bCs/>
          <w:szCs w:val="21"/>
        </w:rPr>
      </w:pPr>
      <w:r>
        <w:rPr>
          <w:rFonts w:ascii="Times New Roman" w:hAnsi="Times New Roman" w:eastAsiaTheme="minorEastAsia"/>
          <w:bCs/>
          <w:szCs w:val="21"/>
        </w:rPr>
        <w:t>（三）保护事故现场，允许并且协助保险人进行事故调查；</w:t>
      </w:r>
      <w:r>
        <w:rPr>
          <w:rFonts w:ascii="Times New Roman" w:hAnsi="Times New Roman" w:eastAsiaTheme="minorEastAsia"/>
          <w:b/>
          <w:bCs/>
          <w:szCs w:val="21"/>
        </w:rPr>
        <w:t>对于拒绝或者妨碍保险人进行事故调查导致无法确定事故原因或核实损失情况的，</w:t>
      </w:r>
      <w:r>
        <w:rPr>
          <w:rFonts w:ascii="Times New Roman" w:hAnsi="Times New Roman" w:eastAsiaTheme="minorEastAsia"/>
          <w:b/>
          <w:szCs w:val="21"/>
        </w:rPr>
        <w:t>保险人对无法确定或核实的部分不承担赔偿责任</w:t>
      </w:r>
      <w:r>
        <w:rPr>
          <w:rFonts w:ascii="Times New Roman" w:hAnsi="Times New Roman" w:eastAsiaTheme="minorEastAsia"/>
          <w:b/>
          <w:bCs/>
          <w:szCs w:val="21"/>
        </w:rPr>
        <w:t>。</w:t>
      </w:r>
    </w:p>
    <w:p w14:paraId="080807A0">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 xml:space="preserve">第二十二条  </w:t>
      </w:r>
      <w:r>
        <w:rPr>
          <w:rFonts w:ascii="Times New Roman" w:hAnsi="Times New Roman" w:eastAsiaTheme="minorEastAsia"/>
          <w:szCs w:val="21"/>
        </w:rPr>
        <w:t>被保险人请求赔偿时，应向保险人提供下列证明和资料：</w:t>
      </w:r>
    </w:p>
    <w:p w14:paraId="3A8CBD8C">
      <w:pPr>
        <w:adjustRightInd w:val="0"/>
        <w:snapToGrid w:val="0"/>
        <w:spacing w:after="120" w:afterLines="50"/>
        <w:ind w:firstLine="417" w:firstLineChars="199"/>
        <w:rPr>
          <w:rFonts w:ascii="Times New Roman" w:hAnsi="Times New Roman" w:eastAsiaTheme="minorEastAsia"/>
          <w:szCs w:val="21"/>
        </w:rPr>
      </w:pPr>
      <w:r>
        <w:rPr>
          <w:rFonts w:ascii="Times New Roman" w:hAnsi="Times New Roman" w:eastAsiaTheme="minorEastAsia"/>
          <w:szCs w:val="21"/>
        </w:rPr>
        <w:t>（一）保险单正本、索赔申请、财产损失清单、技术鉴定证明、事故报告书、救护费用发票、必要的账簿、单据和有关部门的证明；</w:t>
      </w:r>
    </w:p>
    <w:p w14:paraId="345E8812">
      <w:pPr>
        <w:adjustRightInd w:val="0"/>
        <w:snapToGrid w:val="0"/>
        <w:spacing w:after="120" w:afterLines="50"/>
        <w:ind w:firstLine="417" w:firstLineChars="199"/>
        <w:rPr>
          <w:rFonts w:ascii="Times New Roman" w:hAnsi="Times New Roman" w:eastAsiaTheme="minorEastAsia"/>
          <w:szCs w:val="21"/>
        </w:rPr>
      </w:pPr>
      <w:r>
        <w:rPr>
          <w:rFonts w:ascii="Times New Roman" w:hAnsi="Times New Roman" w:eastAsiaTheme="minorEastAsia"/>
          <w:szCs w:val="21"/>
        </w:rPr>
        <w:t>（二）投保人、被保险人所能提供的与确认保险事故的性质、原因、损失程度等有关的其他证明和资料。</w:t>
      </w:r>
    </w:p>
    <w:p w14:paraId="0C477185">
      <w:pPr>
        <w:adjustRightInd w:val="0"/>
        <w:snapToGrid w:val="0"/>
        <w:spacing w:after="120" w:afterLines="50"/>
        <w:ind w:firstLine="418" w:firstLineChars="199"/>
        <w:rPr>
          <w:rFonts w:ascii="Times New Roman" w:hAnsi="Times New Roman" w:eastAsiaTheme="minorEastAsia"/>
          <w:b/>
          <w:bCs/>
          <w:szCs w:val="21"/>
        </w:rPr>
      </w:pPr>
      <w:r>
        <w:rPr>
          <w:rFonts w:ascii="Times New Roman" w:hAnsi="Times New Roman" w:eastAsiaTheme="minorEastAsia"/>
          <w:b/>
          <w:szCs w:val="21"/>
        </w:rPr>
        <w:t>投保人、被保险人未履行前款约定的单证提供义务，导致保险人无法核实损失情况的，保险人对无法核实的部分不承担赔偿责任。</w:t>
      </w:r>
    </w:p>
    <w:p w14:paraId="5C5B4528">
      <w:pPr>
        <w:adjustRightInd w:val="0"/>
        <w:snapToGrid w:val="0"/>
        <w:spacing w:after="120" w:afterLines="50"/>
        <w:jc w:val="center"/>
        <w:rPr>
          <w:rFonts w:ascii="Times New Roman" w:hAnsi="Times New Roman" w:eastAsiaTheme="minorEastAsia"/>
          <w:b/>
          <w:bCs/>
          <w:szCs w:val="21"/>
        </w:rPr>
      </w:pPr>
    </w:p>
    <w:p w14:paraId="6F8FDAA9">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赔偿处理</w:t>
      </w:r>
    </w:p>
    <w:p w14:paraId="37D3D227">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b/>
          <w:szCs w:val="21"/>
        </w:rPr>
        <w:t>第二十三条</w:t>
      </w:r>
      <w:r>
        <w:rPr>
          <w:rFonts w:ascii="Times New Roman" w:hAnsi="Times New Roman" w:eastAsiaTheme="minorEastAsia"/>
          <w:szCs w:val="21"/>
        </w:rPr>
        <w:t xml:space="preserve">  </w:t>
      </w:r>
      <w:r>
        <w:rPr>
          <w:rStyle w:val="25"/>
          <w:rFonts w:ascii="Times New Roman" w:hAnsi="Times New Roman" w:eastAsiaTheme="minorEastAsia"/>
          <w:b/>
          <w:szCs w:val="21"/>
        </w:rPr>
        <w:t>保险事故发生时，被保险人对保险标的不具有保险利益的，不得向保险人请求赔偿保险金。</w:t>
      </w:r>
    </w:p>
    <w:p w14:paraId="31EB7832">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b/>
          <w:szCs w:val="21"/>
        </w:rPr>
        <w:t>第二十四条</w:t>
      </w:r>
      <w:r>
        <w:rPr>
          <w:rFonts w:ascii="Times New Roman" w:hAnsi="Times New Roman" w:eastAsiaTheme="minorEastAsia"/>
          <w:szCs w:val="21"/>
        </w:rPr>
        <w:t xml:space="preserve">  保险标的发生保险责任范围内的损失，保险人有权选择下列方式赔偿：</w:t>
      </w:r>
    </w:p>
    <w:p w14:paraId="1A7BFF6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（一）货币赔偿：保险人以支付保险金的方式赔偿；</w:t>
      </w:r>
    </w:p>
    <w:p w14:paraId="25E3AAD2">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（二）实物赔偿：保险人以实物替换受损标的，该实物应具有保险标的出险前同等的类型、结构、状态和性能；</w:t>
      </w:r>
    </w:p>
    <w:p w14:paraId="6EB1FE3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（三）实际修复：保险人自行或委托他人修理修复受损标的。</w:t>
      </w:r>
    </w:p>
    <w:p w14:paraId="5CB7A801">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对保险标的在修复或替换过程中，被保险人进行的任何变更、性能增加或改进所产生的额外费用，保险人不负责赔偿。</w:t>
      </w:r>
    </w:p>
    <w:p w14:paraId="0FB95DB1">
      <w:pPr>
        <w:pStyle w:val="7"/>
        <w:snapToGrid w:val="0"/>
        <w:spacing w:afterLines="50"/>
        <w:ind w:firstLine="420"/>
        <w:rPr>
          <w:rFonts w:eastAsiaTheme="minorEastAsia"/>
          <w:sz w:val="21"/>
          <w:szCs w:val="21"/>
        </w:rPr>
      </w:pPr>
      <w:r>
        <w:rPr>
          <w:rFonts w:eastAsiaTheme="minorEastAsia"/>
          <w:b/>
          <w:sz w:val="21"/>
          <w:szCs w:val="21"/>
        </w:rPr>
        <w:t>第二十五条</w:t>
      </w:r>
      <w:r>
        <w:rPr>
          <w:rFonts w:eastAsiaTheme="minorEastAsia"/>
          <w:sz w:val="21"/>
          <w:szCs w:val="21"/>
        </w:rPr>
        <w:t xml:space="preserve">  保险标的遭受损失后，如果有残余价值，应由双方协商处理。如折归被保险人，由双方协商确定其价值，并在保险赔款中扣除。</w:t>
      </w:r>
    </w:p>
    <w:p w14:paraId="280E357A">
      <w:pPr>
        <w:autoSpaceDE w:val="0"/>
        <w:autoSpaceDN w:val="0"/>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szCs w:val="21"/>
        </w:rPr>
        <w:t>第二十六条</w:t>
      </w:r>
      <w:r>
        <w:rPr>
          <w:rFonts w:ascii="Times New Roman" w:hAnsi="Times New Roman" w:eastAsiaTheme="minorEastAsia"/>
          <w:szCs w:val="21"/>
        </w:rPr>
        <w:t xml:space="preserve">  保险标的发生保险责任范围内的损失，保险人按以下方式计算赔偿： </w:t>
      </w:r>
    </w:p>
    <w:p w14:paraId="6D9380B8">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    （一）部分损失以将被保险机器设备修复至其基本恢复受损前状态的费用金额为准，如残值</w:t>
      </w:r>
      <w:r>
        <w:rPr>
          <w:rFonts w:ascii="Times New Roman" w:hAnsi="Times New Roman" w:eastAsiaTheme="minorEastAsia"/>
          <w:kern w:val="0"/>
          <w:szCs w:val="21"/>
        </w:rPr>
        <w:t>折归被保险人，则按双方协商确定的价值，在上述费用金额中扣除；</w:t>
      </w:r>
    </w:p>
    <w:p w14:paraId="0ED9E594">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    （二）全部损失或推定全损以保险机器设备损失前的实际价值为准，如残值</w:t>
      </w:r>
      <w:r>
        <w:rPr>
          <w:rFonts w:ascii="Times New Roman" w:hAnsi="Times New Roman" w:eastAsiaTheme="minorEastAsia"/>
          <w:kern w:val="0"/>
          <w:szCs w:val="21"/>
        </w:rPr>
        <w:t>折归被保险人，则按双方协商确定的价值，在上述费用金额中扣除；</w:t>
      </w:r>
    </w:p>
    <w:p w14:paraId="3DE78A84">
      <w:pPr>
        <w:autoSpaceDE w:val="0"/>
        <w:autoSpaceDN w:val="0"/>
        <w:adjustRightInd w:val="0"/>
        <w:snapToGrid w:val="0"/>
        <w:spacing w:after="120" w:afterLines="50"/>
        <w:rPr>
          <w:rFonts w:ascii="Times New Roman" w:hAnsi="Times New Roman" w:eastAsiaTheme="minorEastAsia"/>
          <w:szCs w:val="21"/>
        </w:rPr>
      </w:pPr>
      <w:r>
        <w:rPr>
          <w:rFonts w:ascii="Times New Roman" w:hAnsi="Times New Roman" w:eastAsiaTheme="minorEastAsia"/>
          <w:szCs w:val="21"/>
        </w:rPr>
        <w:t xml:space="preserve">    （三）任何属于成对或成套的设备项目，若发生损失，保险人的赔偿责任不超过该受损项目在所属整对或整套设备项目的保险金额中所占的比例；</w:t>
      </w:r>
    </w:p>
    <w:p w14:paraId="6B506BD7">
      <w:pPr>
        <w:autoSpaceDE w:val="0"/>
        <w:autoSpaceDN w:val="0"/>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四）发生保险事故时，若受损保险标的的分项或总保险金额低于重置价值时，其差额部分视为被保险人所自保，保险人则按本保险合同中列明的保险金额与对应的重置价值的比例负责赔偿。如保险机器多于一项时，每一项将按照本保险合同规定的分项保险金额单独计算比例赔偿的责任。</w:t>
      </w:r>
    </w:p>
    <w:p w14:paraId="2187EE35">
      <w:pPr>
        <w:autoSpaceDE w:val="0"/>
        <w:autoSpaceDN w:val="0"/>
        <w:adjustRightInd w:val="0"/>
        <w:snapToGrid w:val="0"/>
        <w:spacing w:after="120" w:afterLines="50"/>
        <w:ind w:firstLine="412" w:firstLineChars="196"/>
        <w:rPr>
          <w:rFonts w:ascii="Times New Roman" w:hAnsi="Times New Roman" w:eastAsiaTheme="minorEastAsia"/>
          <w:szCs w:val="21"/>
        </w:rPr>
      </w:pPr>
      <w:r>
        <w:rPr>
          <w:rFonts w:ascii="Times New Roman" w:hAnsi="Times New Roman" w:eastAsiaTheme="minorEastAsia"/>
          <w:b/>
          <w:szCs w:val="21"/>
        </w:rPr>
        <w:t xml:space="preserve">第二十七条 </w:t>
      </w:r>
      <w:r>
        <w:rPr>
          <w:rFonts w:ascii="Times New Roman" w:hAnsi="Times New Roman" w:eastAsiaTheme="minorEastAsia"/>
          <w:szCs w:val="21"/>
        </w:rPr>
        <w:t xml:space="preserve"> 发生保险事故后，被保险人为减少损失而采取必要措施所产生的合理费用，保险人也予以赔偿，但本项费用以被施救保险机器设备的保险金额为限。</w:t>
      </w:r>
    </w:p>
    <w:p w14:paraId="4BDF0A06">
      <w:pPr>
        <w:pStyle w:val="7"/>
        <w:snapToGrid w:val="0"/>
        <w:spacing w:afterLines="50"/>
        <w:rPr>
          <w:rFonts w:eastAsiaTheme="minorEastAsia"/>
          <w:sz w:val="21"/>
          <w:szCs w:val="21"/>
        </w:rPr>
      </w:pPr>
      <w:r>
        <w:rPr>
          <w:rFonts w:eastAsiaTheme="minorEastAsia"/>
          <w:sz w:val="21"/>
          <w:szCs w:val="21"/>
        </w:rPr>
        <w:t>被施救的财产中，含有本保险合同未承保财产的，按被施救保险标的的重置价值与全部被施救财产价值的比例分摊施救费用。</w:t>
      </w:r>
    </w:p>
    <w:p w14:paraId="275DBBE2">
      <w:pPr>
        <w:pStyle w:val="7"/>
        <w:snapToGrid w:val="0"/>
        <w:spacing w:afterLines="50"/>
        <w:ind w:firstLine="420"/>
        <w:rPr>
          <w:rFonts w:eastAsiaTheme="minorEastAsia"/>
          <w:sz w:val="21"/>
          <w:szCs w:val="21"/>
        </w:rPr>
      </w:pPr>
      <w:r>
        <w:rPr>
          <w:rFonts w:eastAsiaTheme="minorEastAsia"/>
          <w:b/>
          <w:sz w:val="21"/>
          <w:szCs w:val="21"/>
        </w:rPr>
        <w:t xml:space="preserve">第二十八条  </w:t>
      </w:r>
      <w:r>
        <w:rPr>
          <w:rFonts w:eastAsiaTheme="minorEastAsia"/>
          <w:sz w:val="21"/>
          <w:szCs w:val="21"/>
        </w:rPr>
        <w:t>每次事故保险人的赔偿金额为根据第二十六条、第二十七条约定计算的金额扣除每次事故免赔额后的金额，或者为根据第二十六条、第二十七条约定计算的金额扣除该金额与免赔率乘积后的金额。</w:t>
      </w:r>
    </w:p>
    <w:p w14:paraId="2327375E">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第二十九条</w:t>
      </w:r>
      <w:r>
        <w:rPr>
          <w:rFonts w:ascii="Times New Roman" w:hAnsi="Times New Roman" w:eastAsiaTheme="minorEastAsia"/>
          <w:szCs w:val="21"/>
        </w:rPr>
        <w:t xml:space="preserve">  保险事故发生时，如果存在重复保险，保险人按照本保险合同的相应保险金额与其他保险合同及本保险合同相应保险金额总和的比例承担赔偿责任。</w:t>
      </w:r>
    </w:p>
    <w:p w14:paraId="610766CF">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其他保险人应承担的赔偿金额，本保险人不负责垫付。若被保险人未如实告知导致保险人多支付赔偿金的，保险人有权向被保险人追回多支付的部分。</w:t>
      </w:r>
    </w:p>
    <w:p w14:paraId="2FF92014">
      <w:pPr>
        <w:autoSpaceDE w:val="0"/>
        <w:autoSpaceDN w:val="0"/>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第三十条</w:t>
      </w:r>
      <w:r>
        <w:rPr>
          <w:rFonts w:ascii="Times New Roman" w:hAnsi="Times New Roman" w:eastAsiaTheme="minorEastAsia"/>
          <w:szCs w:val="21"/>
        </w:rPr>
        <w:t xml:space="preserve">  保险标的发生部分损失，保险人履行赔偿义务后，本保险合同的保险金额自损失发生之日起按保险人的赔偿金额相应减少，保险人不退还保险金额减少部分的保险费。如投保人请求恢复至原保险金额，应按原约定的保险费率另行支付恢复部分从投保人请求的恢复日期起至保险期间届满之日止按日比例计算的保险费。</w:t>
      </w:r>
    </w:p>
    <w:p w14:paraId="2EE41152">
      <w:pPr>
        <w:tabs>
          <w:tab w:val="left" w:pos="2160"/>
        </w:tabs>
        <w:adjustRightInd w:val="0"/>
        <w:snapToGrid w:val="0"/>
        <w:spacing w:after="120" w:afterLines="50"/>
        <w:ind w:firstLine="420" w:firstLineChars="200"/>
        <w:rPr>
          <w:rStyle w:val="25"/>
          <w:rFonts w:ascii="Times New Roman" w:hAnsi="Times New Roman" w:eastAsiaTheme="minorEastAsia"/>
          <w:szCs w:val="21"/>
        </w:rPr>
      </w:pPr>
      <w:r>
        <w:rPr>
          <w:rFonts w:ascii="Times New Roman" w:hAnsi="Times New Roman" w:eastAsiaTheme="minorEastAsia"/>
          <w:b/>
          <w:szCs w:val="21"/>
        </w:rPr>
        <w:t>第三十一条</w:t>
      </w:r>
      <w:r>
        <w:rPr>
          <w:rFonts w:ascii="Times New Roman" w:hAnsi="Times New Roman" w:eastAsiaTheme="minorEastAsia"/>
          <w:szCs w:val="21"/>
        </w:rPr>
        <w:t xml:space="preserve">  发</w:t>
      </w:r>
      <w:r>
        <w:rPr>
          <w:rStyle w:val="25"/>
          <w:rFonts w:ascii="Times New Roman" w:hAnsi="Times New Roman" w:eastAsiaTheme="minorEastAsia"/>
          <w:szCs w:val="21"/>
        </w:rPr>
        <w:t>生保险责任范围内的损失，应由有关责任方负责赔偿的，保险人自向被保险人赔偿保险金之日起，在赔偿金额范围内代位行使被保险人对有关责任方请求赔偿的权利，被保险人应当向保险人提供必要的文件和所知道的有关情况。</w:t>
      </w:r>
    </w:p>
    <w:p w14:paraId="42629DBC">
      <w:pPr>
        <w:tabs>
          <w:tab w:val="left" w:pos="2160"/>
        </w:tabs>
        <w:adjustRightInd w:val="0"/>
        <w:snapToGrid w:val="0"/>
        <w:spacing w:after="120" w:afterLines="50"/>
        <w:ind w:firstLine="420" w:firstLineChars="200"/>
        <w:rPr>
          <w:rStyle w:val="25"/>
          <w:rFonts w:ascii="Times New Roman" w:hAnsi="Times New Roman" w:eastAsiaTheme="minorEastAsia"/>
          <w:szCs w:val="21"/>
        </w:rPr>
      </w:pPr>
      <w:r>
        <w:rPr>
          <w:rStyle w:val="25"/>
          <w:rFonts w:ascii="Times New Roman" w:hAnsi="Times New Roman" w:eastAsiaTheme="minorEastAsia"/>
          <w:szCs w:val="21"/>
        </w:rPr>
        <w:t>被保险人已经从有关责任方取得赔偿的，保险人赔偿保险金时，可以相应扣减被保险人已从有关责任方取得的赔偿金额。</w:t>
      </w:r>
    </w:p>
    <w:p w14:paraId="50F63A05">
      <w:pPr>
        <w:adjustRightInd w:val="0"/>
        <w:snapToGrid w:val="0"/>
        <w:spacing w:after="120" w:afterLines="50"/>
        <w:ind w:firstLine="418" w:firstLineChars="199"/>
        <w:rPr>
          <w:rStyle w:val="25"/>
          <w:rFonts w:ascii="Times New Roman" w:hAnsi="Times New Roman" w:eastAsiaTheme="minorEastAsia"/>
          <w:b/>
          <w:szCs w:val="21"/>
        </w:rPr>
      </w:pPr>
      <w:r>
        <w:rPr>
          <w:rStyle w:val="25"/>
          <w:rFonts w:ascii="Times New Roman" w:hAnsi="Times New Roman" w:eastAsiaTheme="minorEastAsia"/>
          <w:b/>
          <w:szCs w:val="21"/>
        </w:rPr>
        <w:t>保险事故发生后，在保险人未赔偿保险金之前，被保险人放弃对有关责任方请求赔偿权利的，保险人不承担赔偿责任；</w:t>
      </w:r>
      <w:r>
        <w:rPr>
          <w:rStyle w:val="25"/>
          <w:rFonts w:ascii="Times New Roman" w:hAnsi="Times New Roman" w:eastAsiaTheme="minorEastAsia"/>
          <w:szCs w:val="21"/>
        </w:rPr>
        <w:t>保险人向被保险人赔偿保险金后，被保险人未经保险人同意放弃对有关责任方请求赔偿权利的，该行为无效；</w:t>
      </w:r>
      <w:r>
        <w:rPr>
          <w:rStyle w:val="25"/>
          <w:rFonts w:ascii="Times New Roman" w:hAnsi="Times New Roman" w:eastAsiaTheme="minorEastAsia"/>
          <w:b/>
          <w:szCs w:val="21"/>
        </w:rPr>
        <w:t>由于被保险人故意或者因重大过失致使保险人不能行使代位请求赔偿的权利的，保险人可以扣减或者要求返还相应的保险金。</w:t>
      </w:r>
    </w:p>
    <w:p w14:paraId="5A5E21DF">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第三十二条</w:t>
      </w:r>
      <w:r>
        <w:rPr>
          <w:rFonts w:ascii="Times New Roman" w:hAnsi="Times New Roman" w:eastAsiaTheme="minorEastAsia"/>
          <w:szCs w:val="21"/>
        </w:rPr>
        <w:t xml:space="preserve">  </w:t>
      </w:r>
      <w:r>
        <w:rPr>
          <w:rStyle w:val="25"/>
          <w:rFonts w:ascii="Times New Roman" w:hAnsi="Times New Roman" w:eastAsiaTheme="minorEastAsia"/>
          <w:szCs w:val="21"/>
        </w:rPr>
        <w:t>被保险人向保险人请求赔偿保险金的诉讼时效期间为二年，自其知道或者应当知道保险事故发生之日起计算。</w:t>
      </w:r>
      <w:r>
        <w:rPr>
          <w:rStyle w:val="26"/>
          <w:rFonts w:ascii="Times New Roman" w:hAnsi="Times New Roman" w:eastAsiaTheme="minorEastAsia"/>
          <w:szCs w:val="21"/>
        </w:rPr>
        <w:t> </w:t>
      </w:r>
    </w:p>
    <w:p w14:paraId="72F68228">
      <w:pPr>
        <w:adjustRightInd w:val="0"/>
        <w:snapToGrid w:val="0"/>
        <w:spacing w:after="120" w:afterLines="50"/>
        <w:jc w:val="center"/>
        <w:rPr>
          <w:rFonts w:ascii="Times New Roman" w:hAnsi="Times New Roman" w:eastAsiaTheme="minorEastAsia"/>
          <w:b/>
          <w:bCs/>
          <w:szCs w:val="21"/>
        </w:rPr>
      </w:pPr>
    </w:p>
    <w:p w14:paraId="635DBFEC">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争议处理和法律适用</w:t>
      </w:r>
    </w:p>
    <w:p w14:paraId="31687DA0">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第三十三条</w:t>
      </w:r>
      <w:r>
        <w:rPr>
          <w:rFonts w:ascii="Times New Roman" w:hAnsi="Times New Roman" w:eastAsiaTheme="minorEastAsia"/>
          <w:szCs w:val="21"/>
        </w:rPr>
        <w:t xml:space="preserve">  因履行本保险合同发生的争议，由当事人协商解决。协商不成的，提交保险单载明的仲裁机构仲裁；保险单未载明仲裁机构且争议发生后未达成仲裁协议的，依法向人民法院起诉。</w:t>
      </w:r>
    </w:p>
    <w:p w14:paraId="11B66E99">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第三十四条</w:t>
      </w:r>
      <w:r>
        <w:rPr>
          <w:rFonts w:ascii="Times New Roman" w:hAnsi="Times New Roman" w:eastAsiaTheme="minorEastAsia"/>
          <w:szCs w:val="21"/>
        </w:rPr>
        <w:t xml:space="preserve">  与本保险合同有关的以及履行本保险合同产生的一切争议，适用中华人民共和国法律（不包括港澳台地区法律）。</w:t>
      </w:r>
    </w:p>
    <w:p w14:paraId="52CDE426">
      <w:pPr>
        <w:adjustRightInd w:val="0"/>
        <w:snapToGrid w:val="0"/>
        <w:spacing w:after="120" w:afterLines="50"/>
        <w:rPr>
          <w:rFonts w:ascii="Times New Roman" w:hAnsi="Times New Roman" w:eastAsiaTheme="minorEastAsia"/>
          <w:b/>
          <w:bCs/>
          <w:szCs w:val="21"/>
        </w:rPr>
      </w:pPr>
    </w:p>
    <w:p w14:paraId="0EF91AFE">
      <w:pPr>
        <w:adjustRightInd w:val="0"/>
        <w:snapToGrid w:val="0"/>
        <w:spacing w:after="120" w:afterLines="50"/>
        <w:jc w:val="center"/>
        <w:rPr>
          <w:rFonts w:ascii="Times New Roman" w:hAnsi="Times New Roman" w:eastAsiaTheme="minorEastAsia"/>
          <w:b/>
          <w:bCs/>
          <w:szCs w:val="21"/>
        </w:rPr>
      </w:pPr>
      <w:r>
        <w:rPr>
          <w:rFonts w:ascii="Times New Roman" w:hAnsi="Times New Roman" w:eastAsiaTheme="minorEastAsia"/>
          <w:b/>
          <w:bCs/>
          <w:szCs w:val="21"/>
        </w:rPr>
        <w:t>其他事项</w:t>
      </w:r>
    </w:p>
    <w:p w14:paraId="28B1488F">
      <w:pPr>
        <w:adjustRightInd w:val="0"/>
        <w:snapToGrid w:val="0"/>
        <w:spacing w:after="120" w:afterLines="50"/>
        <w:ind w:firstLine="418" w:firstLineChars="199"/>
        <w:rPr>
          <w:rStyle w:val="25"/>
          <w:rFonts w:ascii="Times New Roman" w:hAnsi="Times New Roman" w:eastAsiaTheme="minorEastAsia"/>
          <w:szCs w:val="21"/>
        </w:rPr>
      </w:pPr>
      <w:r>
        <w:rPr>
          <w:rFonts w:ascii="Times New Roman" w:hAnsi="Times New Roman" w:eastAsiaTheme="minorEastAsia"/>
          <w:b/>
          <w:szCs w:val="21"/>
        </w:rPr>
        <w:t>第三十五条</w:t>
      </w:r>
      <w:r>
        <w:rPr>
          <w:rFonts w:ascii="Times New Roman" w:hAnsi="Times New Roman" w:eastAsiaTheme="minorEastAsia"/>
          <w:szCs w:val="21"/>
        </w:rPr>
        <w:t xml:space="preserve">  </w:t>
      </w:r>
      <w:r>
        <w:rPr>
          <w:rStyle w:val="25"/>
          <w:rFonts w:ascii="Times New Roman" w:hAnsi="Times New Roman" w:eastAsiaTheme="minorEastAsia"/>
          <w:szCs w:val="21"/>
        </w:rPr>
        <w:t>保险标的发生部分损失的，自保险人赔偿之日起三十日内，投保人可以解除合同；除合同另有约定外，保险人也可以解除合同，但应当提前十五日通知投保人。</w:t>
      </w:r>
      <w:r>
        <w:rPr>
          <w:rStyle w:val="26"/>
          <w:rFonts w:ascii="Times New Roman" w:hAnsi="Times New Roman" w:eastAsiaTheme="minorEastAsia"/>
          <w:szCs w:val="21"/>
        </w:rPr>
        <w:t> </w:t>
      </w:r>
      <w:r>
        <w:rPr>
          <w:rFonts w:ascii="Times New Roman" w:hAnsi="Times New Roman" w:eastAsiaTheme="minorEastAsia"/>
          <w:szCs w:val="21"/>
        </w:rPr>
        <w:br w:type="textWrapping"/>
      </w:r>
      <w:r>
        <w:rPr>
          <w:rFonts w:ascii="Times New Roman" w:hAnsi="Times New Roman" w:eastAsiaTheme="minorEastAsia"/>
          <w:szCs w:val="21"/>
        </w:rPr>
        <w:t xml:space="preserve">    保险合同依据前款规定</w:t>
      </w:r>
      <w:r>
        <w:rPr>
          <w:rStyle w:val="25"/>
          <w:rFonts w:ascii="Times New Roman" w:hAnsi="Times New Roman" w:eastAsiaTheme="minorEastAsia"/>
          <w:szCs w:val="21"/>
        </w:rPr>
        <w:t>解除的，保险人应当将保险标的未受损失部分的保险费，按照合同约定扣除自保险责任开始之日起至合同解除之日止应收的部分后，退还投保人。</w:t>
      </w:r>
    </w:p>
    <w:p w14:paraId="58192BB6">
      <w:pPr>
        <w:adjustRightInd w:val="0"/>
        <w:snapToGrid w:val="0"/>
        <w:spacing w:after="120" w:afterLines="50"/>
        <w:ind w:firstLine="420" w:firstLineChars="200"/>
        <w:rPr>
          <w:rStyle w:val="25"/>
          <w:rFonts w:ascii="Times New Roman" w:hAnsi="Times New Roman" w:eastAsiaTheme="minorEastAsia"/>
          <w:szCs w:val="21"/>
        </w:rPr>
      </w:pPr>
      <w:r>
        <w:rPr>
          <w:rFonts w:ascii="Times New Roman" w:hAnsi="Times New Roman" w:eastAsiaTheme="minorEastAsia"/>
          <w:b/>
          <w:szCs w:val="21"/>
        </w:rPr>
        <w:t>第三十六条</w:t>
      </w:r>
      <w:r>
        <w:rPr>
          <w:rFonts w:ascii="Times New Roman" w:hAnsi="Times New Roman" w:eastAsiaTheme="minorEastAsia"/>
          <w:szCs w:val="21"/>
        </w:rPr>
        <w:t xml:space="preserve">  </w:t>
      </w:r>
      <w:r>
        <w:rPr>
          <w:rStyle w:val="25"/>
          <w:rFonts w:ascii="Times New Roman" w:hAnsi="Times New Roman" w:eastAsiaTheme="minorEastAsia"/>
          <w:szCs w:val="21"/>
        </w:rPr>
        <w:t>保险责任开始前，投保人要求解除保险合同的，应当按本保险合同的约定向保险人支付退保手续费，保险人应当退还剩余部分保险费。</w:t>
      </w:r>
    </w:p>
    <w:p w14:paraId="3F30ACAB">
      <w:pPr>
        <w:adjustRightInd w:val="0"/>
        <w:snapToGrid w:val="0"/>
        <w:spacing w:after="120" w:afterLines="50"/>
        <w:ind w:firstLine="420" w:firstLineChars="200"/>
        <w:rPr>
          <w:rStyle w:val="25"/>
          <w:rFonts w:ascii="Times New Roman" w:hAnsi="Times New Roman" w:eastAsiaTheme="minorEastAsia"/>
          <w:szCs w:val="21"/>
        </w:rPr>
      </w:pPr>
      <w:r>
        <w:rPr>
          <w:rStyle w:val="25"/>
          <w:rFonts w:ascii="Times New Roman" w:hAnsi="Times New Roman" w:eastAsiaTheme="minorEastAsia"/>
          <w:szCs w:val="21"/>
        </w:rPr>
        <w:t>保险责任开始后，投保人要求解除保险合同的，自通知保险人之日起，保险合同解除，保险人按短期费率计收保险责任开始之日起至合同解除之日止期间的保险费，并退还剩余部分保险费。</w:t>
      </w:r>
    </w:p>
    <w:p w14:paraId="74F651F7">
      <w:pPr>
        <w:adjustRightInd w:val="0"/>
        <w:snapToGrid w:val="0"/>
        <w:spacing w:after="120" w:afterLines="50"/>
        <w:ind w:firstLine="420" w:firstLineChars="200"/>
        <w:rPr>
          <w:rFonts w:ascii="Times New Roman" w:hAnsi="Times New Roman" w:eastAsiaTheme="minorEastAsia"/>
          <w:szCs w:val="21"/>
        </w:rPr>
      </w:pPr>
      <w:r>
        <w:rPr>
          <w:rStyle w:val="25"/>
          <w:rFonts w:ascii="Times New Roman" w:hAnsi="Times New Roman" w:eastAsiaTheme="minorEastAsia"/>
          <w:szCs w:val="21"/>
        </w:rPr>
        <w:t>保险责任开始后，保险人要求解除保险合同的，可提前十五日向投保人发出解约通知书解除本保险合同，保险人按照保险责任开始之日起至合同解除之日止期间与保险期间的日比例计收保险费，并退还剩余部分保险费。</w:t>
      </w:r>
    </w:p>
    <w:p w14:paraId="602371C3">
      <w:pPr>
        <w:adjustRightInd w:val="0"/>
        <w:snapToGrid w:val="0"/>
        <w:spacing w:after="120" w:afterLines="50"/>
        <w:ind w:firstLine="418" w:firstLineChars="199"/>
        <w:rPr>
          <w:rFonts w:ascii="Times New Roman" w:hAnsi="Times New Roman" w:eastAsiaTheme="minorEastAsia"/>
          <w:szCs w:val="21"/>
        </w:rPr>
      </w:pPr>
      <w:r>
        <w:rPr>
          <w:rFonts w:ascii="Times New Roman" w:hAnsi="Times New Roman" w:eastAsiaTheme="minorEastAsia"/>
          <w:b/>
          <w:szCs w:val="21"/>
        </w:rPr>
        <w:t>第三十七条</w:t>
      </w:r>
      <w:r>
        <w:rPr>
          <w:rFonts w:ascii="Times New Roman" w:hAnsi="Times New Roman" w:eastAsiaTheme="minorEastAsia"/>
          <w:szCs w:val="21"/>
        </w:rPr>
        <w:t xml:space="preserve">  保险标的发生全部损失，属于保险责任的，保险人在履行赔偿义务后，本保险合同终止；不属于保险责任的，本保险合同终止，保险人按短期费率计收自保险责任开始之日起至损失发生之日止期间的保险费，并退还剩余部分保险费。    </w:t>
      </w:r>
    </w:p>
    <w:p w14:paraId="2256F451">
      <w:pPr>
        <w:adjustRightInd w:val="0"/>
        <w:snapToGrid w:val="0"/>
        <w:spacing w:after="120" w:afterLines="50"/>
        <w:ind w:firstLine="523" w:firstLineChars="249"/>
        <w:jc w:val="center"/>
        <w:rPr>
          <w:rFonts w:ascii="Times New Roman" w:hAnsi="Times New Roman" w:eastAsiaTheme="minorEastAsia"/>
          <w:b/>
          <w:szCs w:val="21"/>
        </w:rPr>
      </w:pPr>
      <w:r>
        <w:rPr>
          <w:rFonts w:ascii="Times New Roman" w:hAnsi="Times New Roman" w:eastAsiaTheme="minorEastAsia"/>
          <w:b/>
          <w:szCs w:val="21"/>
        </w:rPr>
        <w:t>释义</w:t>
      </w:r>
    </w:p>
    <w:p w14:paraId="2D56C06F">
      <w:pPr>
        <w:pStyle w:val="6"/>
        <w:snapToGrid w:val="0"/>
        <w:spacing w:after="120" w:afterLines="50"/>
        <w:ind w:firstLine="420" w:firstLineChars="200"/>
        <w:rPr>
          <w:rFonts w:eastAsiaTheme="minorEastAsia"/>
          <w:b/>
          <w:color w:val="auto"/>
          <w:sz w:val="21"/>
          <w:szCs w:val="21"/>
        </w:rPr>
      </w:pPr>
      <w:r>
        <w:rPr>
          <w:rFonts w:eastAsiaTheme="minorEastAsia"/>
          <w:color w:val="auto"/>
          <w:sz w:val="21"/>
          <w:szCs w:val="21"/>
        </w:rPr>
        <w:t xml:space="preserve">第三十八条  </w:t>
      </w:r>
      <w:r>
        <w:rPr>
          <w:rFonts w:eastAsiaTheme="minorEastAsia"/>
          <w:b/>
          <w:color w:val="auto"/>
          <w:sz w:val="21"/>
          <w:szCs w:val="21"/>
        </w:rPr>
        <w:t>本保险合同涉及下列术语时，适用下列释义：</w:t>
      </w:r>
    </w:p>
    <w:p w14:paraId="7A8BCB23">
      <w:pPr>
        <w:adjustRightInd w:val="0"/>
        <w:snapToGrid w:val="0"/>
        <w:spacing w:after="120" w:afterLines="50"/>
        <w:ind w:firstLine="380" w:firstLineChars="181"/>
        <w:rPr>
          <w:rFonts w:ascii="Times New Roman" w:hAnsi="Times New Roman" w:eastAsiaTheme="minorEastAsia"/>
          <w:szCs w:val="21"/>
        </w:rPr>
      </w:pPr>
      <w:r>
        <w:rPr>
          <w:rFonts w:ascii="Times New Roman" w:hAnsi="Times New Roman" w:eastAsiaTheme="minorEastAsia"/>
          <w:szCs w:val="21"/>
        </w:rPr>
        <w:t>（一）火灾</w:t>
      </w:r>
    </w:p>
    <w:p w14:paraId="124AB3A8">
      <w:pPr>
        <w:adjustRightInd w:val="0"/>
        <w:snapToGrid w:val="0"/>
        <w:spacing w:after="120" w:afterLines="50"/>
        <w:ind w:firstLine="420"/>
        <w:rPr>
          <w:rFonts w:ascii="Times New Roman" w:hAnsi="Times New Roman" w:eastAsiaTheme="minorEastAsia"/>
          <w:szCs w:val="21"/>
        </w:rPr>
      </w:pPr>
      <w:r>
        <w:rPr>
          <w:rFonts w:ascii="Times New Roman" w:hAnsi="Times New Roman" w:eastAsiaTheme="minorEastAsia"/>
          <w:szCs w:val="21"/>
        </w:rPr>
        <w:t xml:space="preserve"> 在时间或空间上失去控制的燃烧所造成的灾害。构成本保险的火灾责任必须同时具备以下三个条件：</w:t>
      </w:r>
    </w:p>
    <w:p w14:paraId="155A8704">
      <w:pPr>
        <w:adjustRightInd w:val="0"/>
        <w:snapToGrid w:val="0"/>
        <w:spacing w:after="120" w:afterLines="50"/>
        <w:ind w:firstLine="420"/>
        <w:rPr>
          <w:rFonts w:ascii="Times New Roman" w:hAnsi="Times New Roman" w:eastAsiaTheme="minorEastAsia"/>
          <w:szCs w:val="21"/>
        </w:rPr>
      </w:pPr>
      <w:r>
        <w:rPr>
          <w:rFonts w:ascii="Times New Roman" w:hAnsi="Times New Roman" w:eastAsiaTheme="minorEastAsia"/>
          <w:szCs w:val="21"/>
        </w:rPr>
        <w:t xml:space="preserve"> 1、有燃烧现象，即有热有光有火焰；</w:t>
      </w:r>
    </w:p>
    <w:p w14:paraId="765069AD">
      <w:pPr>
        <w:adjustRightInd w:val="0"/>
        <w:snapToGrid w:val="0"/>
        <w:spacing w:after="120" w:afterLines="50"/>
        <w:ind w:firstLine="420"/>
        <w:rPr>
          <w:rFonts w:ascii="Times New Roman" w:hAnsi="Times New Roman" w:eastAsiaTheme="minorEastAsia"/>
          <w:szCs w:val="21"/>
        </w:rPr>
      </w:pPr>
      <w:r>
        <w:rPr>
          <w:rFonts w:ascii="Times New Roman" w:hAnsi="Times New Roman" w:eastAsiaTheme="minorEastAsia"/>
          <w:szCs w:val="21"/>
        </w:rPr>
        <w:t xml:space="preserve"> 2、偶然、意外发生的燃烧；</w:t>
      </w:r>
    </w:p>
    <w:p w14:paraId="243425C3">
      <w:pPr>
        <w:adjustRightInd w:val="0"/>
        <w:snapToGrid w:val="0"/>
        <w:spacing w:after="120" w:afterLines="50"/>
        <w:ind w:firstLine="420"/>
        <w:rPr>
          <w:rFonts w:ascii="Times New Roman" w:hAnsi="Times New Roman" w:eastAsiaTheme="minorEastAsia"/>
          <w:szCs w:val="21"/>
        </w:rPr>
      </w:pPr>
      <w:r>
        <w:rPr>
          <w:rFonts w:ascii="Times New Roman" w:hAnsi="Times New Roman" w:eastAsiaTheme="minorEastAsia"/>
          <w:szCs w:val="21"/>
        </w:rPr>
        <w:t xml:space="preserve"> 3、燃烧失去控制并有蔓延扩大的趋势。</w:t>
      </w:r>
    </w:p>
    <w:p w14:paraId="0B8C3F4B">
      <w:pPr>
        <w:adjustRightInd w:val="0"/>
        <w:snapToGrid w:val="0"/>
        <w:spacing w:after="120" w:afterLines="50"/>
        <w:ind w:firstLine="359" w:firstLineChars="171"/>
        <w:rPr>
          <w:rFonts w:ascii="Times New Roman" w:hAnsi="Times New Roman" w:eastAsiaTheme="minorEastAsia"/>
          <w:szCs w:val="21"/>
        </w:rPr>
      </w:pPr>
      <w:r>
        <w:rPr>
          <w:rFonts w:ascii="Times New Roman" w:hAnsi="Times New Roman" w:eastAsiaTheme="minorEastAsia"/>
          <w:szCs w:val="21"/>
        </w:rPr>
        <w:t xml:space="preserve"> 因此，仅有燃烧现象并不等于构成本保险中的火灾责任。在生产、生活中有目的用火，如为了防疫而焚毁玷污的衣物，点火烧荒等属正常燃烧，不同于火灾责任。</w:t>
      </w:r>
    </w:p>
    <w:p w14:paraId="69D0EFF2">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因烘、烤、烫、烙造成焦糊变质等损失，既无燃烧现象，又无蔓延扩大趋势，也不属于火灾责任。</w:t>
      </w:r>
    </w:p>
    <w:p w14:paraId="0790E563">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电机、电器、电气设备因使用过度、超电压、碰线、孤花、漏电、自身发热所造成的本身损毁，不属于火灾责任。但如果发生了燃烧并失去控制蔓延扩大，才构成火灾责任，并对电机、电器、电气设备本身的损失负责赔偿。</w:t>
      </w:r>
    </w:p>
    <w:p w14:paraId="50B085B2">
      <w:pPr>
        <w:adjustRightInd w:val="0"/>
        <w:snapToGrid w:val="0"/>
        <w:spacing w:after="120" w:afterLines="50"/>
        <w:ind w:firstLine="420"/>
        <w:rPr>
          <w:rFonts w:ascii="Times New Roman" w:hAnsi="Times New Roman" w:eastAsiaTheme="minorEastAsia"/>
          <w:szCs w:val="21"/>
        </w:rPr>
      </w:pPr>
      <w:r>
        <w:rPr>
          <w:rFonts w:ascii="Times New Roman" w:hAnsi="Times New Roman" w:eastAsiaTheme="minorEastAsia"/>
          <w:szCs w:val="21"/>
        </w:rPr>
        <w:t xml:space="preserve"> （二）爆炸</w:t>
      </w:r>
    </w:p>
    <w:p w14:paraId="4C2E2C5E">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爆炸分物理性爆炸和化学性爆炸。</w:t>
      </w:r>
    </w:p>
    <w:p w14:paraId="0F114938">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1、物理性爆炸：由于液体变为蒸汽或气体膨胀，压力急剧增加并大大超过容器所能承受的极限压力，因而发生爆炸。如锅炉、空气压缩机、压缩气体钢瓶、液化气罐爆炸等。关于锅炉、压力容器爆炸的定义是：锅炉或压力容器在使用中或试压时发生破裂，使压力瞬时降到等于外界大气压力的事故，称为“爆炸事故”。</w:t>
      </w:r>
    </w:p>
    <w:p w14:paraId="68F3EAB6">
      <w:pPr>
        <w:adjustRightInd w:val="0"/>
        <w:snapToGrid w:val="0"/>
        <w:spacing w:after="120" w:afterLines="50"/>
        <w:ind w:firstLine="380" w:firstLineChars="181"/>
        <w:rPr>
          <w:rFonts w:ascii="Times New Roman" w:hAnsi="Times New Roman" w:eastAsiaTheme="minorEastAsia"/>
          <w:szCs w:val="21"/>
        </w:rPr>
      </w:pPr>
      <w:r>
        <w:rPr>
          <w:rFonts w:ascii="Times New Roman" w:hAnsi="Times New Roman" w:eastAsiaTheme="minorEastAsia"/>
          <w:szCs w:val="21"/>
        </w:rPr>
        <w:t>2、化学性爆炸：物体在瞬息分解或燃烧时放出大量的热和气体，并以很大的压力向四周扩散的现象。如火药爆炸、可燃性粉尘纤维爆炸、可燃气体爆炸及各种化学物品的爆炸等。</w:t>
      </w:r>
    </w:p>
    <w:p w14:paraId="3D00B051">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因物体本身的瑕疵，使用损耗或产品质量低劣以及由于容器内部承受“负压’（内压比外压小）造成的损失，不属于爆炸责任。</w:t>
      </w:r>
    </w:p>
    <w:p w14:paraId="7EDDF97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（三）雷击</w:t>
      </w:r>
    </w:p>
    <w:p w14:paraId="4D77DB47">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雷击指由雷电造成的灾害。雷电为积雨云中、云间或云地之间产生的放电现象。雷击的破坏形式分直接雷击与感应雷击两种。</w:t>
      </w:r>
    </w:p>
    <w:p w14:paraId="5ACE952E">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1、直接雷击：由于雷电直接击中保险标的造成损失，属直接雷击责任。</w:t>
      </w:r>
    </w:p>
    <w:p w14:paraId="4546152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2、感应雷击：由于雷击产生的静电感应或电磁感应使屋内对地绝缘金属物体产生高电位放出火花引起的火灾，导致电器本身的损毁，或因雷电的高电压感应，致使电器部件的损毁，属感应雷击责任。</w:t>
      </w:r>
    </w:p>
    <w:p w14:paraId="4A88382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（四）暴雨：指每小时降雨量达16毫米以上，或连续12小时降雨量达30毫米以上，或连续24小时降雨量达50毫米以上的降雨。</w:t>
      </w:r>
    </w:p>
    <w:p w14:paraId="1BD1C07F">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（五）洪水：指山洪暴发、江河泛滥、潮水上岸及倒灌。但规律性的涨潮、自动灭火设施漏水以及在常年水位以下或地下渗水、水管爆裂不属于洪水责任。</w:t>
      </w:r>
    </w:p>
    <w:p w14:paraId="37E0B11D">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（六）暴风：指风力达8级、风速在17.2米/秒以上的自然风。</w:t>
      </w:r>
    </w:p>
    <w:p w14:paraId="6E129029">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（七）龙卷风：指一种范围小而时间短的猛烈旋风，陆地上平均最大风速在79米/秒-103米/秒，极端最大风速在100米/秒以上。</w:t>
      </w:r>
    </w:p>
    <w:p w14:paraId="54E696DD">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（八）冰雹：指从强烈对流的积雨云中降落到地面的冰块或冰球，直径大于5毫米，核心坚硬的固体降水。</w:t>
      </w:r>
    </w:p>
    <w:p w14:paraId="1075EABD">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九）台风、飓风：台风指中心附近最大平均风力12级或以上，即风速在32.6米/秒以上的热带气旋；飓风是一种与台风性质相同、但出现的位置区域不同的热带气旋，台风出现在西北太平洋海域，而飓风出现在印度洋、大西洋海域。</w:t>
      </w:r>
    </w:p>
    <w:p w14:paraId="7B8264C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（十）沙尘暴：指强风将地面大量尘沙吹起，使空气很混浊，水平能见度小于1公里的天气现象。</w:t>
      </w:r>
    </w:p>
    <w:p w14:paraId="5AC60018">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（十一）暴雪：指连续12小时的降雪量大于或等于10毫米的降雪现象。</w:t>
      </w:r>
    </w:p>
    <w:p w14:paraId="3AE03D86">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（十二）冰凌：指春季江河解冻期时冰块飘浮遇阻，堆积成坝，堵塞江道，造成水位急剧上升，以致江水溢出江道，漫延成灾。</w:t>
      </w:r>
    </w:p>
    <w:p w14:paraId="04F79A04">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陆上有些地区，如山谷风口或酷寒致使雨雪在物体上结成冰块，成下垂形状，越结越厚，重量增加，由于下垂的拉力致使物体毁坏，也属冰凌责任。</w:t>
      </w:r>
    </w:p>
    <w:p w14:paraId="448AC10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（十三）突发性滑坡：斜坡上不稳的岩土体或人为堆积物在重力作用下突然整体向下滑动的现象。</w:t>
      </w:r>
    </w:p>
    <w:p w14:paraId="0AA8E3D5">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（十四）崩塌：石崖、土崖、岩石受自然风化、雨蚀造成崩溃下塌，以及大量积雪在重力作用下从高处突然崩塌滚落。</w:t>
      </w:r>
    </w:p>
    <w:p w14:paraId="7F631BA2">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（十五）泥石流：由于雨水、冰雪融化等水源激发的、含有大量泥沙石块的特殊洪流。</w:t>
      </w:r>
    </w:p>
    <w:p w14:paraId="341901BD">
      <w:pPr>
        <w:adjustRightInd w:val="0"/>
        <w:snapToGrid w:val="0"/>
        <w:spacing w:after="120" w:afterLines="50"/>
        <w:ind w:firstLine="380" w:firstLineChars="181"/>
        <w:rPr>
          <w:rFonts w:ascii="Times New Roman" w:hAnsi="Times New Roman" w:eastAsiaTheme="minorEastAsia"/>
          <w:szCs w:val="21"/>
        </w:rPr>
      </w:pPr>
      <w:r>
        <w:rPr>
          <w:rFonts w:ascii="Times New Roman" w:hAnsi="Times New Roman" w:eastAsiaTheme="minorEastAsia"/>
          <w:szCs w:val="21"/>
        </w:rPr>
        <w:t>（十六）地面突然下陷下沉：地壳因为自然变异，地层收缩而发生突然塌陷。对于因海潮、河流、大雨侵蚀或在建筑房屋前没有掌握地层情况，地下有孔穴、矿穴，以致地面突然塌陷，也属地面突然下陷下沉。但未按建筑施工要求导致建筑地基下沉、裂缝、倒塌等，不在此列。</w:t>
      </w:r>
    </w:p>
    <w:p w14:paraId="15B96271">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七）飞行物体及其他空中运行物体坠落：指空中飞行器、人造卫星、陨石坠落，吊车、行车在运行时发生的物体坠落，人工开凿或爆炸而致石方、石块、土方飞射、塌下，建筑物倒塌、倒落、倾倒，以及其他空中运行物体坠落。</w:t>
      </w:r>
    </w:p>
    <w:p w14:paraId="72B12AF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（十八）自然灾害：指雷击、暴雨、洪水、暴风、龙卷风、冰雹、台风、飓风、沙尘暴、暴雪、冰凌、突发性滑坡、崩塌、泥石流、地面突然下陷下沉及其他人力不可抗拒的破坏力强大的自然现象。</w:t>
      </w:r>
    </w:p>
    <w:p w14:paraId="1F38FF43">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（十九）意外事故：指不可预料的以及被保险人无法控制并造成物质损失的突发性事件，包括火灾和爆炸。</w:t>
      </w:r>
    </w:p>
    <w:p w14:paraId="0C44DA51">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（二十）重大过失行为：指行为人不但没有遵守法律规范对其较高要求，甚至连人们都应当注意并能注意的一般标准也未达到的行为。</w:t>
      </w:r>
    </w:p>
    <w:p w14:paraId="01A53317">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（二十一）恐怖活动：指任何人以某一组织的名义或参与某一组织使用武力或暴力对任何政府进行恐吓或施加影响而采取的行动。</w:t>
      </w:r>
    </w:p>
    <w:p w14:paraId="008377B4">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（二十二）地震：地壳发生的震动。</w:t>
      </w:r>
    </w:p>
    <w:p w14:paraId="31F86F45">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（二十三）海啸：海啸是指由海底地震，火山爆发或水下滑坡、塌陷所激发的海洋巨波。</w:t>
      </w:r>
    </w:p>
    <w:p w14:paraId="5587DE0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（二十四）行政行为或司法行为：指各级政府部门、执法机关或依法履行公共管理、社会管理职能的机构下令破坏、征用、罚没保险标的的行为。</w:t>
      </w:r>
    </w:p>
    <w:p w14:paraId="57E5F0AE">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五）简易建筑：指符合下列条件之一的建筑：（1）使用竹木、芦席、蓬布、茅草、油毛毡、塑料膜、尼龙布、玻璃钢瓦等材料为顶或墙体的建筑；（2）顶部封闭，但直立面非封闭部分的面积与直立面总面积的比例超过10％的建筑；（3）屋顶与所有墙体之间的最大距离超过一米的建筑。</w:t>
      </w:r>
    </w:p>
    <w:p w14:paraId="580F701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六）自燃：指可燃物在没有外部热源直接作用的情况下，由于其内部的物理作用（如吸附、辐射等）、化学作用（如氧化、分解、聚合等）或生物作用（如发酵、细菌腐败等）而发热，热量积聚导致升温，当可燃物达到一定温度时，未与明火直接接触而发生燃烧的现象。</w:t>
      </w:r>
    </w:p>
    <w:p w14:paraId="786F4B62">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（二十七）水箱、水管爆裂：包括冻裂和意外爆裂两种情况。水箱、水管爆裂一般是由水箱、水管本身瑕疵或使用耗损或严寒结冰造成的。</w:t>
      </w:r>
    </w:p>
    <w:p w14:paraId="1EA00FE5">
      <w:pPr>
        <w:pStyle w:val="37"/>
        <w:autoSpaceDE w:val="0"/>
        <w:autoSpaceDN w:val="0"/>
        <w:snapToGrid w:val="0"/>
        <w:spacing w:after="120" w:afterLines="50" w:line="240" w:lineRule="auto"/>
        <w:ind w:right="113" w:firstLine="420" w:firstLineChars="200"/>
        <w:jc w:val="both"/>
        <w:textAlignment w:val="bottom"/>
        <w:rPr>
          <w:rFonts w:ascii="Times New Roman" w:eastAsiaTheme="minorEastAsia"/>
          <w:sz w:val="21"/>
          <w:szCs w:val="21"/>
        </w:rPr>
      </w:pPr>
      <w:r>
        <w:rPr>
          <w:rFonts w:ascii="Times New Roman" w:eastAsiaTheme="minorEastAsia"/>
          <w:sz w:val="21"/>
          <w:szCs w:val="21"/>
        </w:rPr>
        <w:t>（二十八）错误：指应该按规定做好的事情而没有做好；</w:t>
      </w:r>
    </w:p>
    <w:p w14:paraId="7DDED6CE">
      <w:pPr>
        <w:pStyle w:val="37"/>
        <w:autoSpaceDE w:val="0"/>
        <w:autoSpaceDN w:val="0"/>
        <w:snapToGrid w:val="0"/>
        <w:spacing w:after="120" w:afterLines="50" w:line="240" w:lineRule="auto"/>
        <w:ind w:right="113" w:firstLine="420" w:firstLineChars="200"/>
        <w:jc w:val="both"/>
        <w:textAlignment w:val="bottom"/>
        <w:rPr>
          <w:rFonts w:ascii="Times New Roman" w:eastAsiaTheme="minorEastAsia"/>
          <w:sz w:val="21"/>
          <w:szCs w:val="21"/>
        </w:rPr>
      </w:pPr>
      <w:r>
        <w:rPr>
          <w:rFonts w:ascii="Times New Roman" w:eastAsiaTheme="minorEastAsia"/>
          <w:sz w:val="21"/>
          <w:szCs w:val="21"/>
        </w:rPr>
        <w:t xml:space="preserve">（二十九）缺陷：指材料、设备的质量、工艺未达到国家或行业协会规定的标准。   </w:t>
      </w:r>
    </w:p>
    <w:p w14:paraId="03FE6EEA">
      <w:pPr>
        <w:adjustRightInd w:val="0"/>
        <w:snapToGrid w:val="0"/>
        <w:spacing w:after="120" w:afterLines="50"/>
        <w:ind w:firstLine="420" w:firstLineChars="200"/>
        <w:rPr>
          <w:rFonts w:ascii="Times New Roman" w:hAnsi="Times New Roman" w:eastAsiaTheme="minorEastAsia"/>
          <w:szCs w:val="21"/>
        </w:rPr>
      </w:pPr>
      <w:r>
        <w:rPr>
          <w:rFonts w:ascii="Times New Roman" w:hAnsi="Times New Roman" w:eastAsiaTheme="minorEastAsia"/>
          <w:szCs w:val="21"/>
        </w:rPr>
        <w:t>（三十）离心力：是指向心力的反作用力，也称“惯性离心力”；</w:t>
      </w:r>
    </w:p>
    <w:p w14:paraId="110F85F2">
      <w:pPr>
        <w:pStyle w:val="37"/>
        <w:autoSpaceDE w:val="0"/>
        <w:autoSpaceDN w:val="0"/>
        <w:snapToGrid w:val="0"/>
        <w:spacing w:after="120" w:afterLines="50" w:line="240" w:lineRule="auto"/>
        <w:ind w:right="113" w:firstLine="420" w:firstLineChars="200"/>
        <w:jc w:val="both"/>
        <w:textAlignment w:val="bottom"/>
        <w:rPr>
          <w:rFonts w:ascii="Times New Roman" w:eastAsiaTheme="minorEastAsia"/>
          <w:sz w:val="21"/>
          <w:szCs w:val="21"/>
        </w:rPr>
      </w:pPr>
      <w:r>
        <w:rPr>
          <w:rFonts w:ascii="Times New Roman" w:eastAsiaTheme="minorEastAsia"/>
          <w:sz w:val="21"/>
          <w:szCs w:val="21"/>
        </w:rPr>
        <w:t>（三十一）超负荷：指因电流超过额定数值，电器负荷电流过高，致使电器设备超过额定容量或额定功率。</w:t>
      </w:r>
    </w:p>
    <w:p w14:paraId="219E9706">
      <w:pPr>
        <w:pStyle w:val="37"/>
        <w:autoSpaceDE w:val="0"/>
        <w:autoSpaceDN w:val="0"/>
        <w:snapToGrid w:val="0"/>
        <w:spacing w:after="120" w:afterLines="50" w:line="240" w:lineRule="auto"/>
        <w:ind w:right="113" w:firstLine="420" w:firstLineChars="200"/>
        <w:jc w:val="both"/>
        <w:textAlignment w:val="bottom"/>
        <w:rPr>
          <w:rFonts w:ascii="Times New Roman" w:eastAsiaTheme="minorEastAsia"/>
          <w:sz w:val="21"/>
          <w:szCs w:val="21"/>
        </w:rPr>
      </w:pPr>
      <w:r>
        <w:rPr>
          <w:rFonts w:ascii="Times New Roman" w:eastAsiaTheme="minorEastAsia"/>
          <w:sz w:val="21"/>
          <w:szCs w:val="21"/>
        </w:rPr>
        <w:t>（三十二）电弧：指导体与导体之间产生的放电现象。</w:t>
      </w:r>
    </w:p>
    <w:p w14:paraId="6194C0D6">
      <w:pPr>
        <w:pStyle w:val="37"/>
        <w:autoSpaceDE w:val="0"/>
        <w:autoSpaceDN w:val="0"/>
        <w:snapToGrid w:val="0"/>
        <w:spacing w:after="120" w:afterLines="50" w:line="240" w:lineRule="auto"/>
        <w:ind w:right="113" w:firstLine="420" w:firstLineChars="200"/>
        <w:jc w:val="both"/>
        <w:textAlignment w:val="bottom"/>
        <w:rPr>
          <w:rFonts w:ascii="Times New Roman" w:eastAsiaTheme="minorEastAsia"/>
          <w:sz w:val="21"/>
          <w:szCs w:val="21"/>
        </w:rPr>
      </w:pPr>
      <w:r>
        <w:rPr>
          <w:rFonts w:ascii="Times New Roman" w:eastAsiaTheme="minorEastAsia"/>
          <w:sz w:val="21"/>
          <w:szCs w:val="21"/>
        </w:rPr>
        <w:t>（三十三）感应电：指通电导体周围造成的磁场使其他导体产生的带电现象。</w:t>
      </w:r>
    </w:p>
    <w:p w14:paraId="7628A975">
      <w:pPr>
        <w:adjustRightInd w:val="0"/>
        <w:snapToGrid w:val="0"/>
        <w:spacing w:after="120" w:afterLines="50"/>
        <w:jc w:val="center"/>
        <w:rPr>
          <w:rFonts w:ascii="Times New Roman" w:hAnsi="Times New Roman" w:eastAsiaTheme="minorEastAsia"/>
          <w:b/>
          <w:szCs w:val="21"/>
        </w:rPr>
      </w:pPr>
    </w:p>
    <w:p w14:paraId="3E420F89">
      <w:pPr>
        <w:adjustRightInd w:val="0"/>
        <w:snapToGrid w:val="0"/>
        <w:spacing w:after="120" w:afterLines="50"/>
        <w:jc w:val="center"/>
        <w:rPr>
          <w:rFonts w:ascii="Times New Roman" w:hAnsi="Times New Roman" w:eastAsiaTheme="minorEastAsia"/>
          <w:b/>
          <w:szCs w:val="21"/>
        </w:rPr>
      </w:pPr>
      <w:r>
        <w:rPr>
          <w:rFonts w:ascii="Times New Roman" w:hAnsi="Times New Roman" w:eastAsiaTheme="minorEastAsia"/>
          <w:b/>
          <w:szCs w:val="21"/>
        </w:rPr>
        <w:t>附录</w:t>
      </w:r>
    </w:p>
    <w:p w14:paraId="4C8F714F">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bCs/>
          <w:szCs w:val="21"/>
        </w:rPr>
        <w:t>短期费率表</w:t>
      </w:r>
    </w:p>
    <w:tbl>
      <w:tblPr>
        <w:tblStyle w:val="14"/>
        <w:tblW w:w="8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5"/>
        <w:gridCol w:w="540"/>
        <w:gridCol w:w="540"/>
        <w:gridCol w:w="540"/>
        <w:gridCol w:w="540"/>
        <w:gridCol w:w="540"/>
        <w:gridCol w:w="540"/>
        <w:gridCol w:w="540"/>
        <w:gridCol w:w="540"/>
        <w:gridCol w:w="540"/>
        <w:gridCol w:w="540"/>
        <w:gridCol w:w="537"/>
        <w:gridCol w:w="531"/>
      </w:tblGrid>
      <w:tr w14:paraId="65F6EA2E">
        <w:trPr>
          <w:jc w:val="center"/>
        </w:trPr>
        <w:tc>
          <w:tcPr>
            <w:tcW w:w="1695" w:type="dxa"/>
            <w:vAlign w:val="center"/>
          </w:tcPr>
          <w:p w14:paraId="02AFA4ED">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保险</w:t>
            </w:r>
          </w:p>
          <w:p w14:paraId="67DD3691">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期间</w:t>
            </w:r>
          </w:p>
        </w:tc>
        <w:tc>
          <w:tcPr>
            <w:tcW w:w="540" w:type="dxa"/>
            <w:vAlign w:val="center"/>
          </w:tcPr>
          <w:p w14:paraId="3668526E">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一</w:t>
            </w:r>
          </w:p>
          <w:p w14:paraId="53202939">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12278B09">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298A3922">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二</w:t>
            </w:r>
          </w:p>
          <w:p w14:paraId="3F6139AA">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608FC9F1">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6733EB31">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三</w:t>
            </w:r>
          </w:p>
          <w:p w14:paraId="651E26D2">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17665E4A">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22EE889A">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四</w:t>
            </w:r>
          </w:p>
          <w:p w14:paraId="12597A9B">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0422AE80">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44E36889">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五</w:t>
            </w:r>
          </w:p>
          <w:p w14:paraId="5EA60F47">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6217ABDD">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0101C2C8">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六</w:t>
            </w:r>
          </w:p>
          <w:p w14:paraId="53DE797E">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29D71630">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446AD0E4">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七</w:t>
            </w:r>
          </w:p>
          <w:p w14:paraId="56555D9A">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696F57CD">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7C8D7CC5">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八</w:t>
            </w:r>
          </w:p>
          <w:p w14:paraId="50880D2E">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77268109">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2538CEDD">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九</w:t>
            </w:r>
          </w:p>
          <w:p w14:paraId="518866B0">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4B5B1F0A">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40" w:type="dxa"/>
            <w:vAlign w:val="center"/>
          </w:tcPr>
          <w:p w14:paraId="10B6397D">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十</w:t>
            </w:r>
          </w:p>
          <w:p w14:paraId="414A3133">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7C80A9A2">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37" w:type="dxa"/>
            <w:vAlign w:val="center"/>
          </w:tcPr>
          <w:p w14:paraId="7417D455">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十</w:t>
            </w:r>
          </w:p>
          <w:p w14:paraId="5DB0C10F">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一</w:t>
            </w:r>
          </w:p>
          <w:p w14:paraId="6ABBD784">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18AED9CF">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c>
          <w:tcPr>
            <w:tcW w:w="531" w:type="dxa"/>
            <w:vAlign w:val="center"/>
          </w:tcPr>
          <w:p w14:paraId="07347560">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十</w:t>
            </w:r>
          </w:p>
          <w:p w14:paraId="1E0CE89F">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二</w:t>
            </w:r>
          </w:p>
          <w:p w14:paraId="3FF5E93F">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个</w:t>
            </w:r>
          </w:p>
          <w:p w14:paraId="2EC6CDAF">
            <w:pPr>
              <w:adjustRightInd w:val="0"/>
              <w:snapToGrid w:val="0"/>
              <w:spacing w:after="50"/>
              <w:jc w:val="center"/>
              <w:rPr>
                <w:rFonts w:ascii="Times New Roman" w:hAnsi="Times New Roman" w:eastAsiaTheme="minorEastAsia"/>
                <w:szCs w:val="21"/>
              </w:rPr>
            </w:pPr>
            <w:r>
              <w:rPr>
                <w:rFonts w:ascii="Times New Roman" w:hAnsi="Times New Roman" w:eastAsiaTheme="minorEastAsia"/>
                <w:szCs w:val="21"/>
              </w:rPr>
              <w:t>月</w:t>
            </w:r>
          </w:p>
        </w:tc>
      </w:tr>
      <w:tr w14:paraId="3F3E285D">
        <w:trPr>
          <w:jc w:val="center"/>
        </w:trPr>
        <w:tc>
          <w:tcPr>
            <w:tcW w:w="1695" w:type="dxa"/>
            <w:vAlign w:val="center"/>
          </w:tcPr>
          <w:p w14:paraId="2E4E86FA">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年费率的百分比</w:t>
            </w:r>
          </w:p>
        </w:tc>
        <w:tc>
          <w:tcPr>
            <w:tcW w:w="540" w:type="dxa"/>
            <w:vAlign w:val="center"/>
          </w:tcPr>
          <w:p w14:paraId="32190C9D">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10</w:t>
            </w:r>
          </w:p>
        </w:tc>
        <w:tc>
          <w:tcPr>
            <w:tcW w:w="540" w:type="dxa"/>
            <w:vAlign w:val="center"/>
          </w:tcPr>
          <w:p w14:paraId="035E32F0">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20</w:t>
            </w:r>
          </w:p>
        </w:tc>
        <w:tc>
          <w:tcPr>
            <w:tcW w:w="540" w:type="dxa"/>
            <w:vAlign w:val="center"/>
          </w:tcPr>
          <w:p w14:paraId="0AAA0EED">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30</w:t>
            </w:r>
          </w:p>
        </w:tc>
        <w:tc>
          <w:tcPr>
            <w:tcW w:w="540" w:type="dxa"/>
            <w:vAlign w:val="center"/>
          </w:tcPr>
          <w:p w14:paraId="4FFB3F80">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40</w:t>
            </w:r>
          </w:p>
        </w:tc>
        <w:tc>
          <w:tcPr>
            <w:tcW w:w="540" w:type="dxa"/>
            <w:vAlign w:val="center"/>
          </w:tcPr>
          <w:p w14:paraId="7731DB86">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50</w:t>
            </w:r>
          </w:p>
        </w:tc>
        <w:tc>
          <w:tcPr>
            <w:tcW w:w="540" w:type="dxa"/>
            <w:vAlign w:val="center"/>
          </w:tcPr>
          <w:p w14:paraId="46AB9248">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60</w:t>
            </w:r>
          </w:p>
        </w:tc>
        <w:tc>
          <w:tcPr>
            <w:tcW w:w="540" w:type="dxa"/>
            <w:vAlign w:val="center"/>
          </w:tcPr>
          <w:p w14:paraId="35B29B31">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70</w:t>
            </w:r>
          </w:p>
        </w:tc>
        <w:tc>
          <w:tcPr>
            <w:tcW w:w="540" w:type="dxa"/>
            <w:vAlign w:val="center"/>
          </w:tcPr>
          <w:p w14:paraId="254AAC3C">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80</w:t>
            </w:r>
          </w:p>
        </w:tc>
        <w:tc>
          <w:tcPr>
            <w:tcW w:w="540" w:type="dxa"/>
            <w:vAlign w:val="center"/>
          </w:tcPr>
          <w:p w14:paraId="387DEF0D">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85</w:t>
            </w:r>
          </w:p>
        </w:tc>
        <w:tc>
          <w:tcPr>
            <w:tcW w:w="540" w:type="dxa"/>
            <w:vAlign w:val="center"/>
          </w:tcPr>
          <w:p w14:paraId="4996E6A4">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90</w:t>
            </w:r>
          </w:p>
        </w:tc>
        <w:tc>
          <w:tcPr>
            <w:tcW w:w="537" w:type="dxa"/>
            <w:vAlign w:val="center"/>
          </w:tcPr>
          <w:p w14:paraId="428B6080">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95</w:t>
            </w:r>
          </w:p>
        </w:tc>
        <w:tc>
          <w:tcPr>
            <w:tcW w:w="531" w:type="dxa"/>
            <w:vAlign w:val="center"/>
          </w:tcPr>
          <w:p w14:paraId="354BDBC4">
            <w:pPr>
              <w:adjustRightInd w:val="0"/>
              <w:snapToGrid w:val="0"/>
              <w:spacing w:after="120" w:afterLines="50"/>
              <w:jc w:val="center"/>
              <w:rPr>
                <w:rFonts w:ascii="Times New Roman" w:hAnsi="Times New Roman" w:eastAsiaTheme="minorEastAsia"/>
                <w:szCs w:val="21"/>
              </w:rPr>
            </w:pPr>
            <w:r>
              <w:rPr>
                <w:rFonts w:ascii="Times New Roman" w:hAnsi="Times New Roman" w:eastAsiaTheme="minorEastAsia"/>
                <w:szCs w:val="21"/>
              </w:rPr>
              <w:t>100</w:t>
            </w:r>
          </w:p>
        </w:tc>
      </w:tr>
    </w:tbl>
    <w:p w14:paraId="19349C1A">
      <w:pPr>
        <w:adjustRightInd w:val="0"/>
        <w:snapToGrid w:val="0"/>
        <w:spacing w:after="120" w:afterLines="50"/>
        <w:rPr>
          <w:rFonts w:ascii="Times New Roman" w:hAnsi="Times New Roman" w:eastAsiaTheme="minorEastAsia"/>
          <w:szCs w:val="21"/>
        </w:rPr>
      </w:pPr>
      <w:r>
        <w:rPr>
          <w:rFonts w:ascii="Times New Roman" w:hAnsi="Times New Roman" w:eastAsiaTheme="minorEastAsia"/>
          <w:szCs w:val="21"/>
        </w:rPr>
        <w:t>注：不足一个月的部分按一个月计收。</w:t>
      </w:r>
    </w:p>
    <w:p w14:paraId="61F3AB5B">
      <w:pPr>
        <w:widowControl/>
        <w:jc w:val="left"/>
        <w:rPr>
          <w:rFonts w:ascii="Times New Roman" w:hAnsi="Times New Roman" w:eastAsiaTheme="minorEastAsia"/>
          <w:kern w:val="0"/>
          <w:szCs w:val="21"/>
        </w:rPr>
      </w:pPr>
      <w:r>
        <w:rPr>
          <w:rFonts w:ascii="Times New Roman" w:hAnsi="Times New Roman" w:eastAsiaTheme="minorEastAsia"/>
          <w:kern w:val="0"/>
          <w:szCs w:val="21"/>
        </w:rPr>
        <w:br w:type="page"/>
      </w:r>
    </w:p>
    <w:p w14:paraId="66A89F4E">
      <w:pPr>
        <w:adjustRightInd w:val="0"/>
        <w:spacing w:line="360" w:lineRule="atLeast"/>
        <w:jc w:val="center"/>
        <w:textAlignment w:val="baseline"/>
        <w:rPr>
          <w:rFonts w:ascii="Times New Roman" w:hAnsi="Times New Roman" w:eastAsiaTheme="minorEastAsia"/>
          <w:b/>
          <w:kern w:val="0"/>
          <w:szCs w:val="21"/>
        </w:rPr>
      </w:pPr>
      <w:r>
        <w:rPr>
          <w:rFonts w:ascii="Times New Roman" w:hAnsi="Times New Roman" w:eastAsiaTheme="minorEastAsia"/>
          <w:b/>
          <w:kern w:val="0"/>
          <w:szCs w:val="21"/>
        </w:rPr>
        <w:t>Special Provisions</w:t>
      </w:r>
    </w:p>
    <w:p w14:paraId="45E701B4">
      <w:pPr>
        <w:adjustRightInd w:val="0"/>
        <w:spacing w:line="360" w:lineRule="atLeast"/>
        <w:jc w:val="left"/>
        <w:textAlignment w:val="baseline"/>
        <w:rPr>
          <w:rFonts w:ascii="Times New Roman" w:hAnsi="Times New Roman" w:eastAsiaTheme="minorEastAsia"/>
          <w:b/>
          <w:kern w:val="0"/>
          <w:szCs w:val="21"/>
          <w:lang w:val="en-GB"/>
        </w:rPr>
      </w:pPr>
    </w:p>
    <w:p w14:paraId="24CB1C7F">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Airfreight Clause (Limit: 30% of loss)</w:t>
      </w:r>
    </w:p>
    <w:p w14:paraId="51232AEF">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this insurance shall be extended to cover extra charges for airfreight. Provided always that such extra charges shall be incurred in connection with any loss of or damage to the insured items recoverable under the Policy.</w:t>
      </w:r>
    </w:p>
    <w:p w14:paraId="0D4B1E42">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Provided further that the maximum amount payable under this Endorsement in respect of airfreight shall not exceed the amount stated below during the period of insurance.</w:t>
      </w:r>
    </w:p>
    <w:p w14:paraId="21098482">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exceptions of this Policy.</w:t>
      </w:r>
    </w:p>
    <w:p w14:paraId="1020CBEA">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Limit of Indemnity: 30% of loss.</w:t>
      </w:r>
    </w:p>
    <w:p w14:paraId="42D009B5">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6A94F1EC">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Automatic Reinstatement of Sum insured</w:t>
      </w:r>
    </w:p>
    <w:p w14:paraId="625CB918">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in the event of loss or damage to the insured property described in the Schedule of this Policy, the amount payable for such loss or damage shall be automatically reinstated from the time of the happening and the Insured shall pay an additional premium within seven days after payment of loss therefore calculated pro rata from the date of loss to the expiration of this Policy.</w:t>
      </w:r>
    </w:p>
    <w:p w14:paraId="57741A1E">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exceptions    of this Policy.</w:t>
      </w:r>
    </w:p>
    <w:p w14:paraId="0EE4C4FB">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1.REINSTATEMENT VALUE CLAUSE</w:t>
      </w:r>
    </w:p>
    <w:p w14:paraId="043C36E2">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It is hereby agreed and understood that subject to the following special conditions the basis upon which the amount payable in respect of each insured item (excluding stock of any kind) shown in the Schedule is to be calculated shall be the reinstatement of the property lost, destroyed or damaged.</w:t>
      </w:r>
    </w:p>
    <w:p w14:paraId="65AFE99F">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For the purpose of this Clause, the word "reinstatement" shall mean:</w:t>
      </w:r>
    </w:p>
    <w:p w14:paraId="734A91AD">
      <w:pPr>
        <w:pStyle w:val="6"/>
        <w:tabs>
          <w:tab w:val="left" w:pos="240"/>
        </w:tabs>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a)  the rebuilding or replacement of property damaged or destroyed, which, provided the liability of this Company is not increased, may be carried out;</w:t>
      </w:r>
    </w:p>
    <w:p w14:paraId="26B98B04">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(i)  in any manner suitable to the requirements of the Insured;</w:t>
      </w:r>
    </w:p>
    <w:p w14:paraId="0A58C3D4">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(ii)  upon another site.</w:t>
      </w:r>
    </w:p>
    <w:p w14:paraId="5C40E772">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b)  the repair or restoration of property damaged;</w:t>
      </w:r>
    </w:p>
    <w:p w14:paraId="6A2A27F2">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In either case to a condition equivalent to or substantially the same as but not better or more  extensive than its condition immediately prior to the loss occurred.</w:t>
      </w:r>
    </w:p>
    <w:p w14:paraId="5DB4ED49">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Special Conditions</w:t>
      </w:r>
    </w:p>
    <w:p w14:paraId="4B3A4C84">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1.  The liability of the Company for the repair or restoration of property damaged in part only shall not exceed the amount which would have been payable had such property been wholly  destroyed.</w:t>
      </w:r>
    </w:p>
    <w:p w14:paraId="541FB134">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2.  If at the time of reinstatement the sum representing the cost which would have been in reinstating the damaged property is greater than sum insured at the commencement of any</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damage, the liability of the company shall not exceed that proportion of the amount of 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damage which the said sum insured bears to the sum representing the cost of reinstating 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damaged property at that time, calculated as follows:</w:t>
      </w:r>
    </w:p>
    <w:p w14:paraId="4429D569">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 xml:space="preserve"> sum insured of the damaged property</w:t>
      </w:r>
    </w:p>
    <w:p w14:paraId="717EF6D1">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 xml:space="preserve"> ----------------------------------------------------X  amount of loss-deductible = amount payable </w:t>
      </w:r>
    </w:p>
    <w:p w14:paraId="5D5F0A02">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3.  No payment beyond the market value which would have been payable in the absence of</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this Clause shall be made;</w:t>
      </w:r>
    </w:p>
    <w:p w14:paraId="35E242DB">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(a)  unless reinstatement commences and proceeds without unreasonable delay;</w:t>
      </w:r>
    </w:p>
    <w:p w14:paraId="25F3C970">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(b)  until the cost of reinstatement shall have been actually incurred;</w:t>
      </w:r>
    </w:p>
    <w:p w14:paraId="4B9195F8">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(c)  if the property insured at the time of its loss destruction or damage shall be insured by any other insurance.</w:t>
      </w:r>
    </w:p>
    <w:p w14:paraId="685C4CFA">
      <w:pPr>
        <w:pStyle w:val="6"/>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This Clause is subject otherwise to the terms, conditions and exceptions of this Policy.</w:t>
      </w:r>
    </w:p>
    <w:p w14:paraId="12C99F60">
      <w:pPr>
        <w:pStyle w:val="6"/>
        <w:ind w:left="132" w:leftChars="63" w:right="132" w:rightChars="63"/>
        <w:rPr>
          <w:rFonts w:hint="default" w:ascii="Times New Roman" w:hAnsi="Times New Roman" w:cs="Times New Roman"/>
          <w:sz w:val="21"/>
          <w:szCs w:val="21"/>
        </w:rPr>
      </w:pPr>
    </w:p>
    <w:p w14:paraId="6B6ABD2D">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Automatic Cover for New Locations (Limit: RMB10, 000,000 subject to 90 days reporting period)</w:t>
      </w:r>
    </w:p>
    <w:p w14:paraId="5C1AB709">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the insurance by this Policy shall automatically cover the property at newly acquired location of the insured, subject to declaration to the Company within 90 days upon Insured acquiring such property and an additional premium shall be payable.</w:t>
      </w:r>
    </w:p>
    <w:p w14:paraId="6B72E3AB">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exceptions and conditions of this policy.</w:t>
      </w:r>
    </w:p>
    <w:p w14:paraId="6EBB72CE">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02D5A7DD">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Average Relief Clause (80%)</w:t>
      </w:r>
    </w:p>
    <w:p w14:paraId="378EE6DC">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if at the time of replacement or reinstatement the sum representing the cost which would have been incurred in replacement or reinstatement if the whole of the property covered had been destroyed, exceeds the sum insured hereon by more than 80% at the breaking out of any fire or at the commencement of any destruction of or damage to such property by any peril insured against by this Policy, then the Insured shall be considered as being his own insurer for the excess and shall bear a ratable proportion of the loss accordingly. Each item of the Policy to which this memorandum applies shall be separately subject to the foregoing provision.</w:t>
      </w:r>
    </w:p>
    <w:p w14:paraId="19177E15">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exclusions of this policy.</w:t>
      </w:r>
    </w:p>
    <w:p w14:paraId="609CBED1">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6B705381">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Capital Additions Clause(Limit:10% of sum insured)</w:t>
      </w:r>
    </w:p>
    <w:p w14:paraId="744E1D75">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this Policy shall be extended to cover additions and extensions to property insured in the People's Republic of China, but not appreciation in value, made after the commencement of this Policy for an amount not exceeding 10%of sum insured of the sum insured on similar property under the relative item, it being understood that the Insured shall declare quarterly the value of any such additions and extensions and pay an additional premium therefore calculated pro rata from inception of the additional cover..</w:t>
      </w:r>
    </w:p>
    <w:p w14:paraId="7D29E75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exceptions of this Policy.</w:t>
      </w:r>
    </w:p>
    <w:p w14:paraId="44C600B1">
      <w:pPr>
        <w:spacing w:line="240" w:lineRule="atLeast"/>
        <w:ind w:left="132" w:leftChars="63" w:right="132" w:rightChars="63"/>
        <w:rPr>
          <w:rFonts w:hint="default" w:ascii="Times New Roman" w:hAnsi="Times New Roman" w:cs="Times New Roman"/>
          <w:color w:val="000000"/>
          <w:sz w:val="21"/>
          <w:szCs w:val="21"/>
        </w:rPr>
      </w:pPr>
    </w:p>
    <w:p w14:paraId="3796565D">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Breach of Condition Clause</w:t>
      </w:r>
    </w:p>
    <w:p w14:paraId="0EB8840A">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the conditions and warranties of this Policy shall apply individually to each of the risks insured and not collectively to them. Thus a breach in any condition or warranty shall void the section only in respect of all the risks to which that breach applied and does not affect the section in respect of the other risks.</w:t>
      </w:r>
    </w:p>
    <w:p w14:paraId="221F5E7D">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exclusions of this policy.</w:t>
      </w:r>
    </w:p>
    <w:p w14:paraId="6E433DC2">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06601DB1">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Co-Insurance Clause</w:t>
      </w:r>
    </w:p>
    <w:p w14:paraId="6AD318B4">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 consideration of the Insured named in the Schedule hereto having paid or agreed to pay the premium set forth in the said Schedule to the Insurers who have subscribed their Names in the Policy (hereinafter referred to as “the Coinsurers”)</w:t>
      </w:r>
    </w:p>
    <w:p w14:paraId="2A3FE9D1">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The Coinsurers hereby severally agree each for the proportion set against its name to indemnify the Insured or the Insured’s legal personal representatives by payment or at the option of the Coinsurers by reinstatement, repair or replacement in accordance with the terms and conditions contained hereunder or endorsed hereon.</w:t>
      </w:r>
    </w:p>
    <w:p w14:paraId="128F2B70">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Provided that:</w:t>
      </w:r>
    </w:p>
    <w:p w14:paraId="07740FD8">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1.</w:t>
      </w:r>
      <w:r>
        <w:rPr>
          <w:rFonts w:hint="default" w:ascii="Times New Roman" w:hAnsi="Times New Roman" w:cs="Times New Roman"/>
          <w:color w:val="000000"/>
          <w:sz w:val="21"/>
          <w:szCs w:val="21"/>
        </w:rPr>
        <w:tab/>
      </w:r>
      <w:r>
        <w:rPr>
          <w:rFonts w:hint="default" w:ascii="Times New Roman" w:hAnsi="Times New Roman" w:cs="Times New Roman"/>
          <w:color w:val="000000"/>
          <w:sz w:val="21"/>
          <w:szCs w:val="21"/>
        </w:rPr>
        <w:t>The liability of the Coinsurers shall not exceed the limits of liability expressed below or such other limits of liability as may be substituted therefore by endorsement hereon or attached hereto signed by or on behalf of the Coinsurers.</w:t>
      </w:r>
    </w:p>
    <w:p w14:paraId="2C430D71">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2.</w:t>
      </w:r>
      <w:r>
        <w:rPr>
          <w:rFonts w:hint="default" w:ascii="Times New Roman" w:hAnsi="Times New Roman" w:cs="Times New Roman"/>
          <w:color w:val="000000"/>
          <w:sz w:val="21"/>
          <w:szCs w:val="21"/>
        </w:rPr>
        <w:tab/>
      </w:r>
      <w:r>
        <w:rPr>
          <w:rFonts w:hint="default" w:ascii="Times New Roman" w:hAnsi="Times New Roman" w:cs="Times New Roman"/>
          <w:color w:val="000000"/>
          <w:sz w:val="21"/>
          <w:szCs w:val="21"/>
        </w:rPr>
        <w:t>The liability of the Coinsurers individually in respect of such loss shall be limited to the proportion set against its name.</w:t>
      </w:r>
    </w:p>
    <w:p w14:paraId="202C1B65">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China Pacific Property Insurance Co., Ltd – Shanghai Branch as Lead Coinsurer does elect to conduct, direct, and/or control the investigation, coverage determinations, adjustment, settlement, and/or recovery proceedings with respect to any claim involving this coinsurance arrangement. Each Coinsurer to follow fully in all respects. Expenses incurred by or at the direction of China Pacific Property Insurance Co., Ltd – Shanghai Branch shall be borne pro rata by the Coinsurers in direct proportion to their respective coinsurance participation. It is further declared and agreed that any reference to China Pacific Property Insurance Co., Ltd – Shanghai Branch during the period of insurance shall be deemed to refer to the Coinsurance mentioned in the Schedule for their respective rights and interests and liabilities each for its own proportion of the risk as shown below and not one for another.</w:t>
      </w:r>
    </w:p>
    <w:p w14:paraId="3DCC31F5">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The lead Coinsurer is entitled to receive notifications and declarations of intent from the Insured for the Coinsurers.  The Coinsurers acknowledge all decisions made by the Lead Coinsurer as binding of them.  All notifications and declarations are regarded as having been received by Coinsurers upon receipt by the Lead Coinsurer.</w:t>
      </w:r>
    </w:p>
    <w:p w14:paraId="66C21AD2">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Co-insurers and participate share:</w:t>
      </w:r>
    </w:p>
    <w:p w14:paraId="32125AC1">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China Pacific Property Insurance Co., Ltd – Shanghai Branch</w:t>
      </w:r>
      <w:r>
        <w:rPr>
          <w:rFonts w:hint="default" w:ascii="Times New Roman" w:hAnsi="Times New Roman" w:cs="Times New Roman"/>
          <w:color w:val="000000"/>
          <w:sz w:val="21"/>
          <w:szCs w:val="21"/>
        </w:rPr>
        <w:tab/>
      </w:r>
      <w:r>
        <w:rPr>
          <w:rFonts w:hint="default" w:ascii="Times New Roman" w:hAnsi="Times New Roman" w:cs="Times New Roman"/>
          <w:color w:val="000000"/>
          <w:sz w:val="21"/>
          <w:szCs w:val="21"/>
        </w:rPr>
        <w:tab/>
      </w:r>
    </w:p>
    <w:p w14:paraId="1429206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PICC Property and Casualty Company Limited – Nanjing Branch</w:t>
      </w:r>
      <w:r>
        <w:rPr>
          <w:rFonts w:hint="default" w:ascii="Times New Roman" w:hAnsi="Times New Roman" w:cs="Times New Roman"/>
          <w:color w:val="000000"/>
          <w:sz w:val="21"/>
          <w:szCs w:val="21"/>
        </w:rPr>
        <w:tab/>
      </w:r>
    </w:p>
    <w:p w14:paraId="5C479233">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51360CB2">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Cost of Re-erection Clause</w:t>
      </w:r>
    </w:p>
    <w:p w14:paraId="27C3F434">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this policy extends to include the cost of re-erecting, fitting and fixing machinery and plant in consequence of destruction or damage by any of the perils hereby insured against, provided that the total amount recoverable under any item of the policy shall not exceed the amount stated below during the period of insurance.</w:t>
      </w:r>
    </w:p>
    <w:p w14:paraId="64D85B16">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and conditions of the policy.</w:t>
      </w:r>
    </w:p>
    <w:p w14:paraId="4FF7F45C">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5B012725">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Cost of compiling records and claim preparation Clause (Limit: RMB1,000, 000 per valid claim)</w:t>
      </w:r>
    </w:p>
    <w:p w14:paraId="22F13C9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Notwithstanding anything contained to the contrary contained in the within policy. It is herby declared that this policy extends to include the reasonable costs of materials and labour used or expended by the insured  with the company's consent in producing and certifying any records, information, evidence or such other proofs as may be required by the company under the terms and condition of this policy to substantiate any claim.</w:t>
      </w:r>
    </w:p>
    <w:p w14:paraId="6EB448F7">
      <w:pPr>
        <w:spacing w:line="240" w:lineRule="atLeast"/>
        <w:ind w:left="132" w:leftChars="63" w:right="132" w:rightChars="63"/>
        <w:rPr>
          <w:rFonts w:hint="default" w:ascii="Times New Roman" w:hAnsi="Times New Roman" w:cs="Times New Roman"/>
          <w:strike/>
          <w:color w:val="000000"/>
          <w:sz w:val="21"/>
          <w:szCs w:val="21"/>
        </w:rPr>
      </w:pPr>
      <w:r>
        <w:rPr>
          <w:rFonts w:hint="default" w:ascii="Times New Roman" w:hAnsi="Times New Roman" w:cs="Times New Roman"/>
          <w:strike/>
          <w:color w:val="000000"/>
          <w:sz w:val="21"/>
          <w:szCs w:val="21"/>
        </w:rPr>
        <w:t>The total liability of the company under this policy for both losses to property and such expenses shall not exceed RMB100,000.00</w:t>
      </w:r>
    </w:p>
    <w:p w14:paraId="3D902004">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09638ADB">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Designation of Property Clause</w:t>
      </w:r>
    </w:p>
    <w:p w14:paraId="242324C8">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for the purpose of determining where necessary the heading under which any property is insured the company agrees to accept the designation under which such property has been entered in the insured's books.</w:t>
      </w:r>
    </w:p>
    <w:p w14:paraId="4B4A731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and conditions of the policy.</w:t>
      </w:r>
    </w:p>
    <w:p w14:paraId="476EBB7E">
      <w:pPr>
        <w:spacing w:line="240" w:lineRule="atLeast"/>
        <w:ind w:left="132" w:leftChars="63" w:right="132" w:rightChars="63"/>
        <w:rPr>
          <w:rFonts w:hint="default" w:ascii="Times New Roman" w:hAnsi="Times New Roman" w:cs="Times New Roman"/>
          <w:b/>
          <w:color w:val="000000"/>
          <w:spacing w:val="-10"/>
          <w:kern w:val="28"/>
          <w:sz w:val="21"/>
          <w:szCs w:val="21"/>
        </w:rPr>
      </w:pPr>
    </w:p>
    <w:p w14:paraId="354455AC">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90 Days Notice Of Cancellation By Insurer </w:t>
      </w:r>
    </w:p>
    <w:p w14:paraId="17847564">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The company shall at any time by giving ninety (90) days' notice to the Insured by registered letter at the Insured's address as last known to the company, be at liberty to determine and cancel this policy, provided that the company shall in that event on demand return to the Insured a proportionate part of the premium corresponding to the unexpired period of insurance. This policy may be canceled by immediate notice of cancellation by insured. And in such event the Insured shall be entitled to a return of the premium less premium at the company's pro rata rates for the time the policy has been in force during the then current period of insurance.</w:t>
      </w:r>
    </w:p>
    <w:p w14:paraId="29CD7652">
      <w:pPr>
        <w:tabs>
          <w:tab w:val="left" w:pos="1080"/>
          <w:tab w:val="left" w:pos="924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exceptions of this policy.</w:t>
      </w:r>
    </w:p>
    <w:p w14:paraId="3F3E02AD">
      <w:pPr>
        <w:spacing w:line="240" w:lineRule="atLeast"/>
        <w:ind w:left="132" w:leftChars="63" w:right="132" w:rightChars="63"/>
        <w:rPr>
          <w:rFonts w:hint="default" w:ascii="Times New Roman" w:hAnsi="Times New Roman" w:cs="Times New Roman"/>
          <w:color w:val="000000"/>
          <w:sz w:val="21"/>
          <w:szCs w:val="21"/>
        </w:rPr>
      </w:pPr>
    </w:p>
    <w:p w14:paraId="4719E0B3">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Extra Charges Clause (Limit: 25% of loss)</w:t>
      </w:r>
    </w:p>
    <w:p w14:paraId="43A165FD">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subject to the Insured having paid or agreed to pay the required additional premium, this insurance shall be extended to cover extra premium, this insurance shall be extended to cover extra charges to overtime, night work, work on public holidays and express freight (without airfreight).</w:t>
      </w:r>
    </w:p>
    <w:p w14:paraId="01588D80">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Provided always that such extra charges shall be incurred in connection with any loss of or damage to the insured items recoverable under the Policy.</w:t>
      </w:r>
    </w:p>
    <w:p w14:paraId="3BD9F5E4">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If the sum(s) insured of the damaged item(s) is (are) less than the amount(s) required to be insured, the amount payable under this Endorsement for such extra charges shall be reduced in the same proportion.</w:t>
      </w:r>
    </w:p>
    <w:p w14:paraId="0DD090BB">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This Clause is subject otherwise to the terms, conditions and exceptions of this Policy. </w:t>
      </w:r>
    </w:p>
    <w:p w14:paraId="60BC362D">
      <w:pPr>
        <w:overflowPunct w:val="0"/>
        <w:autoSpaceDE w:val="0"/>
        <w:autoSpaceDN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Limit of indemnity: 25% of loss </w:t>
      </w:r>
    </w:p>
    <w:p w14:paraId="2B9D6AA4">
      <w:pPr>
        <w:overflowPunct w:val="0"/>
        <w:autoSpaceDE w:val="0"/>
        <w:autoSpaceDN w:val="0"/>
        <w:spacing w:line="240" w:lineRule="atLeast"/>
        <w:ind w:left="132" w:leftChars="63" w:right="132" w:rightChars="63"/>
        <w:rPr>
          <w:rFonts w:hint="default" w:ascii="Times New Roman" w:hAnsi="Times New Roman" w:eastAsia="楷体_GB2312" w:cs="Times New Roman"/>
          <w:color w:val="000000"/>
          <w:sz w:val="21"/>
          <w:szCs w:val="21"/>
        </w:rPr>
      </w:pPr>
    </w:p>
    <w:p w14:paraId="1FAD2F8B">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Escalation (Limit: 10% of Sum Insured)</w:t>
      </w:r>
    </w:p>
    <w:p w14:paraId="0718BEFD">
      <w:pPr>
        <w:pStyle w:val="6"/>
        <w:tabs>
          <w:tab w:val="left" w:pos="-720"/>
        </w:tabs>
        <w:suppressAutoHyphens/>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It is hereby noted that the sum insured by each item shall during the Period of Insurance be increased each day by an amount representing 1/365th of the specified percentage (10%) increase per annum</w:t>
      </w:r>
    </w:p>
    <w:p w14:paraId="0D81D49C">
      <w:pPr>
        <w:pStyle w:val="6"/>
        <w:tabs>
          <w:tab w:val="left" w:pos="-720"/>
        </w:tabs>
        <w:suppressAutoHyphens/>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Unless specifically agreed to the contrary the provisions of this clause shall only apply to the sum insured in force at the commencement of Period of Insurance</w:t>
      </w:r>
    </w:p>
    <w:p w14:paraId="4F5A544A">
      <w:pPr>
        <w:pStyle w:val="6"/>
        <w:tabs>
          <w:tab w:val="left" w:pos="-720"/>
        </w:tabs>
        <w:suppressAutoHyphens/>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At each renewal date the Insured shall notify the Company</w:t>
      </w:r>
    </w:p>
    <w:p w14:paraId="0654DB32">
      <w:pPr>
        <w:pStyle w:val="7"/>
        <w:numPr>
          <w:ilvl w:val="0"/>
          <w:numId w:val="5"/>
        </w:numPr>
        <w:tabs>
          <w:tab w:val="left" w:pos="-1800"/>
          <w:tab w:val="left" w:pos="720"/>
          <w:tab w:val="left" w:pos="1260"/>
        </w:tabs>
        <w:adjustRightInd/>
        <w:snapToGrid w:val="0"/>
        <w:spacing w:after="0" w:line="240" w:lineRule="atLeast"/>
        <w:ind w:left="132" w:leftChars="63" w:right="132" w:rightChars="63"/>
        <w:jc w:val="both"/>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The sum to be insured under each item but in the absence of such instructions the sum </w:t>
      </w:r>
    </w:p>
    <w:p w14:paraId="6DB78066">
      <w:pPr>
        <w:pStyle w:val="7"/>
        <w:tabs>
          <w:tab w:val="left" w:pos="-1800"/>
          <w:tab w:val="left" w:pos="720"/>
          <w:tab w:val="left" w:pos="1260"/>
        </w:tabs>
        <w:snapToGrid w:val="0"/>
        <w:spacing w:line="240" w:lineRule="atLeast"/>
        <w:ind w:left="132" w:leftChars="63"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Insured by the items shall be those stated on the Policy (as amended by any endorsements effective prior to the aforesaid renewal date) to which shall be added the increases which have accrued under this clause during the Period of Insurance up to that renewal date and</w:t>
      </w:r>
    </w:p>
    <w:p w14:paraId="7491BBA6">
      <w:pPr>
        <w:tabs>
          <w:tab w:val="left" w:pos="-1800"/>
          <w:tab w:val="left" w:pos="709"/>
        </w:tabs>
        <w:snapToGrid w:val="0"/>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(2) The specified percentage increase required for the forthcoming Period of Insurance but in the absence of instructions to the contrary prior to renewal date the existing percentage increase shall apply for the Period of Insurance from renewal</w:t>
      </w:r>
    </w:p>
    <w:p w14:paraId="7E867E6B">
      <w:pPr>
        <w:pStyle w:val="6"/>
        <w:tabs>
          <w:tab w:val="left" w:pos="-1800"/>
        </w:tabs>
        <w:ind w:left="132" w:leftChars="63" w:right="132" w:rightChars="63"/>
        <w:rPr>
          <w:rFonts w:hint="default" w:ascii="Times New Roman" w:hAnsi="Times New Roman" w:cs="Times New Roman"/>
          <w:sz w:val="21"/>
          <w:szCs w:val="21"/>
        </w:rPr>
      </w:pPr>
      <w:r>
        <w:rPr>
          <w:rFonts w:hint="default" w:ascii="Times New Roman" w:hAnsi="Times New Roman" w:cs="Times New Roman"/>
          <w:sz w:val="21"/>
          <w:szCs w:val="21"/>
        </w:rPr>
        <w:t>All the Conditions of the Policy except insofar as they may be hereby expressly varied shall apply as if they had been incorporated herein.</w:t>
      </w:r>
    </w:p>
    <w:p w14:paraId="61F20ADD">
      <w:pPr>
        <w:pStyle w:val="6"/>
        <w:tabs>
          <w:tab w:val="left" w:pos="-1800"/>
        </w:tabs>
        <w:ind w:left="132" w:leftChars="63" w:right="132" w:rightChars="63"/>
        <w:rPr>
          <w:rFonts w:hint="default" w:ascii="Times New Roman" w:hAnsi="Times New Roman" w:eastAsia="楷体_GB2312" w:cs="Times New Roman"/>
          <w:sz w:val="21"/>
          <w:szCs w:val="21"/>
        </w:rPr>
      </w:pPr>
    </w:p>
    <w:p w14:paraId="6367EA10">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rPr>
        <w:t xml:space="preserve">Fire Extinguishing Expenses Clause (Limit: 15% of total sum insured) </w:t>
      </w:r>
    </w:p>
    <w:p w14:paraId="6C5DD6CC">
      <w:pPr>
        <w:spacing w:line="240" w:lineRule="atLeast"/>
        <w:ind w:left="132" w:leftChars="63"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rPr>
        <w:t xml:space="preserve">It is hereby agreed that this insurance is extended to cover: </w:t>
      </w:r>
    </w:p>
    <w:p w14:paraId="6F27776F">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 xml:space="preserve">1) Wages of the Insured’s employees engaged in fire fighting activities other than full time members of a Works Fire Brigade. </w:t>
      </w:r>
    </w:p>
    <w:p w14:paraId="07D4F944">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2) The cost of replenishment of Fire Fighting Appliances and destruction of or damage to materials</w:t>
      </w:r>
      <w:r>
        <w:rPr>
          <w:rFonts w:hint="eastAsia" w:ascii="Times New Roman" w:hAnsi="Times New Roman" w:cs="Times New Roman"/>
          <w:color w:val="000000"/>
          <w:sz w:val="21"/>
          <w:szCs w:val="21"/>
          <w:lang w:val="en-US" w:eastAsia="zh-CN"/>
        </w:rPr>
        <w:t xml:space="preserve"> </w:t>
      </w:r>
      <w:r>
        <w:rPr>
          <w:rFonts w:hint="default" w:ascii="Times New Roman" w:hAnsi="Times New Roman" w:cs="Times New Roman"/>
          <w:color w:val="000000"/>
          <w:sz w:val="21"/>
          <w:szCs w:val="21"/>
          <w:lang w:val="en-US" w:eastAsia="zh-CN"/>
        </w:rPr>
        <w:t xml:space="preserve">(including employees’ clothing and personal effects) and the cost of replacing or repairing materials or equipment used in extinguishing a fire unless otherwise specifically insured. </w:t>
      </w:r>
    </w:p>
    <w:p w14:paraId="5260D1A8">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 xml:space="preserve">3) All other costs and charges associated with the extinguishment or prevention of spread of fire or for providing temporary safety devices in consequence of damage or the threat of damage by fire or other peril hereby insured against. </w:t>
      </w:r>
    </w:p>
    <w:p w14:paraId="3EDF142C">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 xml:space="preserve">4) Other expenses </w:t>
      </w:r>
    </w:p>
    <w:p w14:paraId="2A35011E">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Provided always that the liability of the Company in respect of such wages and costs shall be limited to</w:t>
      </w:r>
      <w:r>
        <w:rPr>
          <w:rFonts w:hint="eastAsia" w:ascii="Times New Roman" w:hAnsi="Times New Roman" w:cs="Times New Roman"/>
          <w:color w:val="000000"/>
          <w:sz w:val="21"/>
          <w:szCs w:val="21"/>
          <w:lang w:val="en-US" w:eastAsia="zh-CN"/>
        </w:rPr>
        <w:t xml:space="preserve"> </w:t>
      </w:r>
      <w:r>
        <w:rPr>
          <w:rFonts w:hint="default" w:ascii="Times New Roman" w:hAnsi="Times New Roman" w:cs="Times New Roman"/>
          <w:color w:val="000000"/>
          <w:sz w:val="21"/>
          <w:szCs w:val="21"/>
          <w:lang w:val="en-US" w:eastAsia="zh-CN"/>
        </w:rPr>
        <w:t xml:space="preserve">those necessarily and reasonably incurred in extinguishing fires at or adjoining the situation of the Property Insured by this Policy or immediately threatening to involve such property. </w:t>
      </w:r>
    </w:p>
    <w:p w14:paraId="0D308E4B">
      <w:pPr>
        <w:spacing w:line="240" w:lineRule="atLeast"/>
        <w:ind w:left="132" w:leftChars="63"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rPr>
        <w:t xml:space="preserve">The limit of indemnity for any one accident: 15% of sum insured. </w:t>
      </w:r>
    </w:p>
    <w:p w14:paraId="67ABE13C">
      <w:pPr>
        <w:spacing w:line="240" w:lineRule="atLeast"/>
        <w:ind w:left="132" w:leftChars="63" w:right="132" w:rightChars="63"/>
        <w:jc w:val="both"/>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This Clause is subject otherwise to the terms, conditions and exclusions of this Policy.</w:t>
      </w:r>
    </w:p>
    <w:p w14:paraId="0830BD7F">
      <w:pPr>
        <w:spacing w:line="240" w:lineRule="atLeast"/>
        <w:ind w:left="132" w:leftChars="63" w:right="132" w:rightChars="63"/>
        <w:rPr>
          <w:rFonts w:hint="default" w:ascii="Times New Roman" w:hAnsi="Times New Roman" w:cs="Times New Roman"/>
          <w:color w:val="000000"/>
          <w:sz w:val="21"/>
          <w:szCs w:val="21"/>
          <w:lang w:val="en-US" w:eastAsia="zh-CN"/>
        </w:rPr>
      </w:pPr>
    </w:p>
    <w:p w14:paraId="68E4AC89">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Errors &amp; Omissions Clause</w:t>
      </w:r>
    </w:p>
    <w:p w14:paraId="6888EBC3">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the liability under this policy shall not be prejudiced by any unintentional delay, error or omission in reporting new locations acquired or occupied or in reporting values of property or in description of any other information provided that such delay, error or omission shall be reported to the Company as soon as practicable after knowledge thereof, and the Insured shall pay an appropriate additional premium upon request by the company, from the date of any increase in risk .</w:t>
      </w:r>
    </w:p>
    <w:p w14:paraId="1DD7ADBC">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Improper, faulty or erroneous appraisals shall not be considered to be an unintentional error or omission.</w:t>
      </w:r>
    </w:p>
    <w:p w14:paraId="3EAED06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exclusions of this policy.</w:t>
      </w:r>
    </w:p>
    <w:p w14:paraId="5FB718CE">
      <w:pPr>
        <w:pStyle w:val="6"/>
        <w:tabs>
          <w:tab w:val="left" w:pos="-1800"/>
        </w:tabs>
        <w:ind w:left="132" w:leftChars="63" w:right="132" w:rightChars="63"/>
        <w:rPr>
          <w:rFonts w:hint="default" w:ascii="Times New Roman" w:hAnsi="Times New Roman" w:eastAsia="楷体_GB2312" w:cs="Times New Roman"/>
          <w:sz w:val="21"/>
          <w:szCs w:val="21"/>
        </w:rPr>
      </w:pPr>
    </w:p>
    <w:p w14:paraId="445ED706">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Loss Notification Clause</w:t>
      </w:r>
    </w:p>
    <w:p w14:paraId="1C0DD784">
      <w:pPr>
        <w:tabs>
          <w:tab w:val="left" w:pos="1800"/>
          <w:tab w:val="left" w:pos="2160"/>
        </w:tabs>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Notwithstanding anything contained herein to the contrary, it is hereby declared and agreed that this insurance will not be prejudiced by any inadvertent delays, errors, or omission in notifying the insurers of any circumstances or event giving rise or likely to give rise to a claim inside this Policy. Subject otherwise to the Terms, Exceptions and Conditions of this Policy.</w:t>
      </w:r>
    </w:p>
    <w:p w14:paraId="132C0751">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368FEEDB">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Misdescription Clause</w:t>
      </w:r>
    </w:p>
    <w:p w14:paraId="6B73AA48">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this insurance shall not be prejudiced by any alteration or misdescription of occupancy of the properties insured provided the insured shall notify the</w:t>
      </w:r>
    </w:p>
    <w:p w14:paraId="4E1EDA5C">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company as soon as he becomes aware of the same and shall pay additional premium if required from the date of the inception of the increased hazard arising from the alteration or misdescription of the occupancy.</w:t>
      </w:r>
    </w:p>
    <w:p w14:paraId="5BDCC4A3">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exceptions and conditions of this policy.</w:t>
      </w:r>
    </w:p>
    <w:p w14:paraId="75BBD711">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3A04525A">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Non-invalidation Clause</w:t>
      </w:r>
    </w:p>
    <w:p w14:paraId="2B890EE4">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this insurance shall not be invalidated by any change of occupancy or increase of risk taking place in the property insured without the Insured's knowledge provided that they shall, immediately on the same coming to their knowledge, advise the company and pay any additional premium that may be required from the date of such increase of risk. Subject otherwise to the terms exceptions and conditions of this policy.</w:t>
      </w:r>
    </w:p>
    <w:p w14:paraId="55D3486D">
      <w:pPr>
        <w:spacing w:line="240" w:lineRule="atLeast"/>
        <w:ind w:left="132" w:leftChars="63" w:right="132" w:rightChars="63"/>
        <w:rPr>
          <w:rFonts w:hint="default" w:ascii="Times New Roman" w:hAnsi="Times New Roman" w:cs="Times New Roman"/>
          <w:color w:val="000000"/>
          <w:sz w:val="21"/>
          <w:szCs w:val="21"/>
        </w:rPr>
      </w:pPr>
    </w:p>
    <w:p w14:paraId="22FDE165">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 Control Clause</w:t>
      </w:r>
    </w:p>
    <w:p w14:paraId="6B92DCEF">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this insurance shall not be prejudiced by failure of the insured to comply with any warranty or condition contained in any form or endorsement attached to this policy with regard to any portion of the premises over which the insured has no control. Subject otherwise to the terms exceptions and conditions of this policy.</w:t>
      </w:r>
    </w:p>
    <w:p w14:paraId="118599BA">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50011B73">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Pairs &amp; Set Clause</w:t>
      </w:r>
    </w:p>
    <w:p w14:paraId="3ACE197D">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eastAsia="华文细黑" w:cs="Times New Roman"/>
          <w:color w:val="000000"/>
          <w:kern w:val="0"/>
          <w:sz w:val="21"/>
          <w:szCs w:val="21"/>
        </w:rPr>
        <w:t>Where any insured item consists of articles in a pair or set, the Company‘s liability shall not exceed the value of any particular part or parts which may be lost or damaged, without reference to any special value which such articles may have as part of such pair or set, nor more than a proportionate part of the sum Insured hereby on such pair or set.</w:t>
      </w:r>
    </w:p>
    <w:p w14:paraId="014561DF">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23A2D3A2">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Payment on Account</w:t>
      </w:r>
    </w:p>
    <w:p w14:paraId="39958E2B">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The Company shall make 100% advance payment in respect of the loss amount which can be determined by supporting documents submitted by the Insured if the total settlement amount cannot be determined within 30 days of receipt of these documents.  For the rest of loss amount which cannot be determined, the Company agrees to make 50% advance payment on account upon request of the Insured.</w:t>
      </w:r>
    </w:p>
    <w:p w14:paraId="08326C3E">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75B92489">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Premium Payment Clause</w:t>
      </w:r>
    </w:p>
    <w:p w14:paraId="4C19E83F">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Notwithstanding anything contained herein to the contrary, the Company agrees that the Insured will be covered from policy inception date stipulated in policy schedule.  In the event of any claim caused by insured risk which occurred before premium payment, the Company confirms that the Insured’s right of recovery will not be prejudiced and the Company shall indemnify the Insured after receiving the premium.</w:t>
      </w:r>
    </w:p>
    <w:p w14:paraId="4366E3CA">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4AD73052">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Public Utility Extension</w:t>
      </w:r>
    </w:p>
    <w:p w14:paraId="47269C49">
      <w:pP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declared and agreed that this policy shall not cover loss of or damage to the insured property caused by failure of public utilities, such as: electricity, gas or water supply or other energy sources except failure caused by NATURAL HAZARDS or ACCIDENT.</w:t>
      </w:r>
    </w:p>
    <w:p w14:paraId="2F6CE55A">
      <w:pPr>
        <w:rPr>
          <w:rFonts w:hint="default" w:ascii="Times New Roman" w:hAnsi="Times New Roman" w:cs="Times New Roman"/>
          <w:color w:val="000000"/>
          <w:sz w:val="21"/>
          <w:szCs w:val="21"/>
        </w:rPr>
      </w:pPr>
    </w:p>
    <w:p w14:paraId="29C13645">
      <w:pP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all the terms and conditions of this Policy.</w:t>
      </w:r>
    </w:p>
    <w:p w14:paraId="6D5DF3E9">
      <w:pPr>
        <w:rPr>
          <w:rFonts w:hint="default" w:ascii="Times New Roman" w:hAnsi="Times New Roman" w:cs="Times New Roman"/>
          <w:color w:val="000000"/>
          <w:sz w:val="21"/>
          <w:szCs w:val="21"/>
        </w:rPr>
      </w:pPr>
    </w:p>
    <w:p w14:paraId="1A136AEA">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Professional Fees Clause (Limit: 10% of sum insured)</w:t>
      </w:r>
    </w:p>
    <w:p w14:paraId="0669D87C">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Company shall indemnify the Insured for the architects', surveyors' consulting engineers' fees necessarily incurred by the Insured in the reinstatement of the property insured consequent upon its destruction or damage by peril hereby insured against but not any fees for the preparation of a claim or estimate of loss, it being understood that the amount payable for such fees shall not exceed the amount authorized under the scales of the related professional department regulating such charges prevailing at the time of the destruction or damage. Provided that the total amount recoverable shall not exceed the amount stated below during the period of insurance.</w:t>
      </w:r>
    </w:p>
    <w:p w14:paraId="0B410470">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exclusions of this Policy.</w:t>
      </w:r>
    </w:p>
    <w:p w14:paraId="3326CA0D">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47F05F5C">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Removal Of Debris (Limit: 10% of sum insured)</w:t>
      </w:r>
    </w:p>
    <w:p w14:paraId="04050134">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agreed and understood that the company shall indemnify the Insured for costs and expenses incurred in:</w:t>
      </w:r>
    </w:p>
    <w:p w14:paraId="55AD92B9">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1.  removing debris;</w:t>
      </w:r>
    </w:p>
    <w:p w14:paraId="369D5AD7">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2.  dismantling and/or demolishing;</w:t>
      </w:r>
    </w:p>
    <w:p w14:paraId="5A01D70D">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3.  shoring up or propping of the portion or portions of the properties insured under this</w:t>
      </w:r>
    </w:p>
    <w:p w14:paraId="6CB38A15">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Policy destroyed or damaged by perils insured by this Company provided that the total amount recoverable shall not exceed 10% of sum Insured .</w:t>
      </w:r>
    </w:p>
    <w:p w14:paraId="30F86AD4">
      <w:pPr>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Clause is subject otherwise to the terms, conditions and exceptions of this Policy.</w:t>
      </w:r>
    </w:p>
    <w:p w14:paraId="7AD46EA8">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b/>
          <w:color w:val="000000"/>
          <w:sz w:val="21"/>
          <w:szCs w:val="21"/>
        </w:rPr>
      </w:pPr>
    </w:p>
    <w:p w14:paraId="3F2A13C8">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Replacement Value Clause</w:t>
      </w:r>
    </w:p>
    <w:p w14:paraId="0C06C532">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Partial Loss: expenses necessarily incurred to the damaged machine to its former state of serviceability plus the cost of dismantling and re-erection incurred including freight, customs duties and dues without deduction for depreciation in respect of parts replaced, but the value of Any salvage shall be taken into account. </w:t>
      </w:r>
    </w:p>
    <w:p w14:paraId="1C2E37F2">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Total loss/Constructive total loss: the agreed replacement value of the items, but the value of any salvage shall be taken into account.</w:t>
      </w:r>
    </w:p>
    <w:p w14:paraId="4786670D">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6E91BCF5">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Temporary Protection Clause (Limit : RMB5,000,000 per occurrence)</w:t>
      </w:r>
    </w:p>
    <w:p w14:paraId="7C185700">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this policy is extended to cover the cost of temporary protection up to a limit of RMB200, 000 in the period of insurance reasonably for the safety and protection of the premises pending repairs/replacement of damage.</w:t>
      </w:r>
    </w:p>
    <w:p w14:paraId="745D4307">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exceptions and conditions of this policy.</w:t>
      </w:r>
    </w:p>
    <w:p w14:paraId="28E08722">
      <w:pPr>
        <w:pStyle w:val="2"/>
        <w:ind w:left="511" w:right="132" w:rightChars="63"/>
        <w:rPr>
          <w:rFonts w:hint="default" w:ascii="Times New Roman" w:hAnsi="Times New Roman" w:cs="Times New Roman"/>
          <w:color w:val="000000"/>
          <w:sz w:val="21"/>
          <w:szCs w:val="21"/>
        </w:rPr>
      </w:pPr>
    </w:p>
    <w:p w14:paraId="4B6FB607">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Temporary Removal Clause (Limit:10%of sum insured)</w:t>
      </w:r>
    </w:p>
    <w:p w14:paraId="3EA692F0">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to the following provisions, the property insured by this Policy (other than stock in trade or merchandise if insured hereby) is covered whilst temporarily removed for cleaning, renovation, repair or other similar purposes elsewhere on the same or to any other premises and in transit thereto and thereon by road, rail or public ferry, all in .The amount recoverable under this extension in respect of each item of the Policy shall not exceed the amount which would have been recoverable had the loss occurred in the part of the property is temporarily removed, nor, 10% of the Sum Insured by the item after deducting therefrom the value of any building (exclusive of fixtures and fittings) stock in trade or merchandise insured thereby.</w:t>
      </w:r>
    </w:p>
    <w:p w14:paraId="7E89921B">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This extension does not apply to property if and so far as it is otherwise insured, nor, as regards losses occurring elsewhere than at the premises from which the property is temporarily removed, to</w:t>
      </w:r>
    </w:p>
    <w:p w14:paraId="03A6A8F3">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(a)    Motor vehicles and motor chassis licensed for normal road use</w:t>
      </w:r>
    </w:p>
    <w:p w14:paraId="02FEF279">
      <w:pPr>
        <w:numPr>
          <w:ilvl w:val="0"/>
          <w:numId w:val="6"/>
        </w:num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Property held by the insured in trust, other than machinery and plant.</w:t>
      </w:r>
    </w:p>
    <w:p w14:paraId="46891400">
      <w:pPr>
        <w:tabs>
          <w:tab w:val="left" w:pos="1080"/>
        </w:tabs>
        <w:autoSpaceDE w:val="0"/>
        <w:autoSpaceDN w:val="0"/>
        <w:spacing w:line="240" w:lineRule="atLeast"/>
        <w:ind w:left="132" w:leftChars="63" w:right="132" w:rightChars="63"/>
        <w:textAlignment w:val="bottom"/>
        <w:rPr>
          <w:rFonts w:hint="default" w:ascii="Times New Roman" w:hAnsi="Times New Roman" w:cs="Times New Roman"/>
          <w:color w:val="000000"/>
          <w:sz w:val="21"/>
          <w:szCs w:val="21"/>
        </w:rPr>
      </w:pPr>
    </w:p>
    <w:p w14:paraId="6DBA130E">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lang w:val="en-US" w:eastAsia="zh-CN"/>
        </w:rPr>
        <w:t xml:space="preserve">Tax Clause </w:t>
      </w:r>
    </w:p>
    <w:p w14:paraId="1D48FAD4">
      <w:pPr>
        <w:spacing w:line="240" w:lineRule="atLeast"/>
        <w:ind w:left="132" w:leftChars="63" w:right="132" w:rightChars="63"/>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 xml:space="preserve">For the Property Loss within the scope of cover under this Policy which will require repair, replace or exchange of the property insured, if it requires to pay for the Customs Duties or any other Duties, this Insurer will be responsible for those Customs Duties and the Sum Insured is deemed to include Customs and other Duties, even if the original purchase or the import of the property has already abandon the Customs Duties or other expenses or the Customs are due after the effective of this policy. </w:t>
      </w:r>
    </w:p>
    <w:p w14:paraId="6F1989B5">
      <w:pPr>
        <w:keepNext w:val="0"/>
        <w:keepLines w:val="0"/>
        <w:widowControl/>
        <w:suppressLineNumbers w:val="0"/>
        <w:jc w:val="left"/>
        <w:rPr>
          <w:rFonts w:hint="default" w:ascii="Times New Roman" w:hAnsi="Times New Roman" w:eastAsia="宋体" w:cs="Times New Roman"/>
          <w:color w:val="C00000"/>
          <w:kern w:val="0"/>
          <w:sz w:val="21"/>
          <w:szCs w:val="21"/>
          <w:lang w:val="en-US" w:eastAsia="zh-CN" w:bidi="ar"/>
        </w:rPr>
      </w:pPr>
    </w:p>
    <w:p w14:paraId="2E4218D0">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Waiver of Subrogation Clause</w:t>
      </w:r>
    </w:p>
    <w:p w14:paraId="5A76E151">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the Insurer shall waive its right of subrogation against Subsidiary or Parent Company, who would in the event of a subrogation action being pursued submit a claim to and be indemnified by the Insurers provided that all Insurers of these policies will likewise waive their rights of subrogation against each party who would otherwise be indemnified hereunder, except such right of subrogation arising directly as a result of claims made in respect of any malicious, criminal, fraudulent or dishonest act.</w:t>
      </w:r>
    </w:p>
    <w:p w14:paraId="50125094">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exceptions and conditions of this policy.</w:t>
      </w:r>
    </w:p>
    <w:p w14:paraId="67E5CCA0">
      <w:pPr>
        <w:rPr>
          <w:rFonts w:hint="default" w:ascii="Times New Roman" w:hAnsi="Times New Roman" w:cs="Times New Roman"/>
          <w:color w:val="000000"/>
          <w:sz w:val="21"/>
          <w:szCs w:val="21"/>
        </w:rPr>
      </w:pPr>
    </w:p>
    <w:p w14:paraId="7665F5BB">
      <w:pPr>
        <w:numPr>
          <w:ilvl w:val="0"/>
          <w:numId w:val="4"/>
        </w:numPr>
        <w:rPr>
          <w:rFonts w:hint="default" w:ascii="Times New Roman" w:hAnsi="Times New Roman" w:cs="Times New Roman"/>
          <w:b/>
          <w:bCs/>
          <w:color w:val="000000"/>
          <w:kern w:val="0"/>
          <w:sz w:val="21"/>
          <w:szCs w:val="21"/>
        </w:rPr>
      </w:pPr>
      <w:r>
        <w:rPr>
          <w:rFonts w:hint="default" w:ascii="Times New Roman" w:hAnsi="Times New Roman" w:cs="Times New Roman"/>
          <w:b/>
          <w:color w:val="000000"/>
          <w:sz w:val="21"/>
          <w:szCs w:val="21"/>
        </w:rPr>
        <w:t>Conveyer Belts and Knives Extension Clause</w:t>
      </w:r>
      <w:r>
        <w:rPr>
          <w:rFonts w:hint="default" w:ascii="Times New Roman" w:hAnsi="Times New Roman" w:cs="Times New Roman"/>
          <w:b/>
          <w:bCs/>
          <w:color w:val="000000"/>
          <w:kern w:val="0"/>
          <w:sz w:val="21"/>
          <w:szCs w:val="21"/>
        </w:rPr>
        <w:t>传送带,刀具扩展</w:t>
      </w:r>
    </w:p>
    <w:p w14:paraId="7D9173C4">
      <w:pPr>
        <w:ind w:left="151"/>
        <w:rPr>
          <w:rFonts w:hint="default" w:ascii="Times New Roman" w:hAnsi="Times New Roman" w:cs="Times New Roman"/>
          <w:color w:val="000000"/>
          <w:kern w:val="0"/>
          <w:sz w:val="21"/>
          <w:szCs w:val="21"/>
        </w:rPr>
      </w:pPr>
      <w:r>
        <w:rPr>
          <w:rFonts w:hint="default" w:ascii="Times New Roman" w:hAnsi="Times New Roman" w:cs="Times New Roman"/>
          <w:color w:val="000000"/>
          <w:kern w:val="0"/>
          <w:sz w:val="21"/>
          <w:szCs w:val="21"/>
        </w:rPr>
        <w:t>兹经双方同意，保险人负责赔偿因承保风险造成传送带、刀具本身的损坏或损失，但保险人在该条款项下承担的最高赔偿责任不得超过传送带、刀具的保险金额，且若保险财产的保险金额不足,本条款项下的赔偿金额按比例减少。本保险单所载其他条件不变。</w:t>
      </w:r>
    </w:p>
    <w:p w14:paraId="5A336115">
      <w:pPr>
        <w:ind w:left="151"/>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It is hereby agreed and understood that the Insurer shall pay for the damage to or loss of conveyer belts and knives caused by insured risks subject to the sum insured of convey belts and knives. In case of underinsurance regarding the sum insured of the insured property, the indemnity under this extension clause shall be prorated downwards accordingly.</w:t>
      </w:r>
    </w:p>
    <w:p w14:paraId="7B026D1B">
      <w:pPr>
        <w:spacing w:line="240" w:lineRule="atLeast"/>
        <w:ind w:left="132" w:leftChars="63" w:right="132" w:rightChars="63"/>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Subject otherwise to the terms exceptions and conditions of this policy.</w:t>
      </w:r>
    </w:p>
    <w:p w14:paraId="722A34CD">
      <w:pPr>
        <w:rPr>
          <w:rFonts w:hint="default" w:ascii="Times New Roman" w:hAnsi="Times New Roman" w:cs="Times New Roman"/>
          <w:b/>
          <w:bCs/>
          <w:color w:val="000000"/>
          <w:kern w:val="0"/>
          <w:sz w:val="21"/>
          <w:szCs w:val="21"/>
        </w:rPr>
      </w:pPr>
    </w:p>
    <w:p w14:paraId="3204598A">
      <w:pPr>
        <w:pStyle w:val="2"/>
        <w:numPr>
          <w:ilvl w:val="0"/>
          <w:numId w:val="4"/>
        </w:numPr>
        <w:spacing w:line="240" w:lineRule="atLeast"/>
        <w:ind w:right="132" w:rightChars="63"/>
        <w:jc w:val="both"/>
        <w:rPr>
          <w:rFonts w:hint="default" w:ascii="Times New Roman" w:hAnsi="Times New Roman" w:cs="Times New Roman"/>
          <w:color w:val="000000"/>
          <w:sz w:val="21"/>
          <w:szCs w:val="21"/>
        </w:rPr>
      </w:pPr>
      <w:r>
        <w:rPr>
          <w:rFonts w:hint="default" w:ascii="Times New Roman" w:hAnsi="Times New Roman" w:cs="Times New Roman"/>
          <w:bCs/>
          <w:color w:val="000000"/>
          <w:sz w:val="21"/>
          <w:szCs w:val="21"/>
          <w:lang w:eastAsia="zh-CN"/>
        </w:rPr>
        <w:t xml:space="preserve"> Sue &amp; Labor Clause</w:t>
      </w:r>
    </w:p>
    <w:p w14:paraId="6C2C9191">
      <w:pPr>
        <w:spacing w:line="240" w:lineRule="atLeast"/>
        <w:ind w:left="132" w:leftChars="63" w:right="132" w:rightChars="63"/>
        <w:rPr>
          <w:rFonts w:hint="default" w:ascii="Times New Roman" w:hAnsi="Times New Roman" w:cs="Times New Roman"/>
          <w:color w:val="000000"/>
          <w:kern w:val="0"/>
          <w:sz w:val="21"/>
          <w:szCs w:val="21"/>
        </w:rPr>
      </w:pPr>
      <w:r>
        <w:rPr>
          <w:rFonts w:hint="default" w:ascii="Times New Roman" w:hAnsi="Times New Roman" w:eastAsia="华文细黑" w:cs="Times New Roman"/>
          <w:color w:val="000000"/>
          <w:kern w:val="0"/>
          <w:sz w:val="21"/>
          <w:szCs w:val="21"/>
        </w:rPr>
        <w:t>In the event of fire or any peril insured against by this policy, it shall be lawful and necessary for the insured, his or their agents, servants and assigns, to sue, labor and travel for, in and about the defense, safeguard and recovery of the property insured hereunder and part thereof without prejudice to this insurance, nor shall the acts of the insured or the company in recovering, saving and preserving the property covered in case of loss be considered a waiver or an acceptance of abandonment.</w:t>
      </w:r>
    </w:p>
    <w:p w14:paraId="510C7322">
      <w:pPr>
        <w:spacing w:line="240" w:lineRule="atLeast"/>
        <w:ind w:left="132" w:leftChars="63" w:right="132" w:rightChars="63"/>
        <w:rPr>
          <w:rFonts w:hint="default" w:ascii="Times New Roman" w:hAnsi="Times New Roman" w:cs="Times New Roman"/>
          <w:color w:val="000000"/>
          <w:kern w:val="0"/>
          <w:sz w:val="21"/>
          <w:szCs w:val="21"/>
        </w:rPr>
      </w:pPr>
    </w:p>
    <w:p w14:paraId="00F0C644">
      <w:pPr>
        <w:pStyle w:val="2"/>
        <w:numPr>
          <w:ilvl w:val="0"/>
          <w:numId w:val="4"/>
        </w:numPr>
        <w:spacing w:line="240" w:lineRule="atLeast"/>
        <w:ind w:right="132" w:rightChars="63"/>
        <w:jc w:val="both"/>
        <w:rPr>
          <w:rFonts w:hint="default" w:ascii="Times New Roman" w:hAnsi="Times New Roman" w:cs="Times New Roman"/>
          <w:bCs/>
          <w:color w:val="000000"/>
          <w:sz w:val="21"/>
          <w:szCs w:val="21"/>
          <w:lang w:eastAsia="zh-CN"/>
        </w:rPr>
      </w:pPr>
      <w:r>
        <w:rPr>
          <w:rFonts w:hint="default" w:ascii="Times New Roman" w:hAnsi="Times New Roman" w:cs="Times New Roman"/>
          <w:bCs/>
          <w:color w:val="000000"/>
          <w:sz w:val="21"/>
          <w:szCs w:val="21"/>
          <w:lang w:val="en-US" w:eastAsia="zh-CN"/>
        </w:rPr>
        <w:t xml:space="preserve">Strike, Riot &amp; Civil Commotion Clause </w:t>
      </w:r>
    </w:p>
    <w:p w14:paraId="2067028B">
      <w:pPr>
        <w:spacing w:line="240" w:lineRule="atLeast"/>
        <w:ind w:left="132" w:leftChars="63" w:right="132" w:rightChars="63"/>
        <w:jc w:val="both"/>
        <w:rPr>
          <w:rFonts w:hint="default" w:ascii="Times New Roman" w:hAnsi="Times New Roman" w:eastAsia="华文细黑" w:cs="Times New Roman"/>
          <w:color w:val="000000"/>
          <w:kern w:val="0"/>
          <w:sz w:val="21"/>
          <w:szCs w:val="21"/>
        </w:rPr>
      </w:pPr>
      <w:r>
        <w:rPr>
          <w:rFonts w:hint="default" w:ascii="Times New Roman" w:hAnsi="Times New Roman" w:eastAsia="华文细黑" w:cs="Times New Roman"/>
          <w:color w:val="000000"/>
          <w:kern w:val="0"/>
          <w:sz w:val="21"/>
          <w:szCs w:val="21"/>
          <w:lang w:val="en-US" w:eastAsia="zh-CN"/>
        </w:rPr>
        <w:t xml:space="preserve">It is agreed and understood that subject to the Insured having paid the agreed additional premium, this policy shall be extended to cover loss of or damage to the insured property described in the schedule due to strike, riot and civil commotion including the loss or damage caused by the act of any striker whilst occurring in the premises showed in the schedule and the loss or damage caused by looting occurring at the time of strike, riot and civil commotion, excluding the loss or damage arising from confiscation, commandeering or requisition or destruction by order of the government or any relative public authority or </w:t>
      </w:r>
    </w:p>
    <w:p w14:paraId="40C4CE49">
      <w:pPr>
        <w:spacing w:line="240" w:lineRule="atLeast"/>
        <w:ind w:left="132" w:leftChars="63" w:right="132" w:rightChars="63"/>
        <w:jc w:val="both"/>
        <w:rPr>
          <w:rFonts w:hint="default" w:ascii="Times New Roman" w:hAnsi="Times New Roman" w:eastAsia="华文细黑" w:cs="Times New Roman"/>
          <w:color w:val="000000"/>
          <w:kern w:val="0"/>
          <w:sz w:val="21"/>
          <w:szCs w:val="21"/>
          <w:lang w:val="en-US" w:eastAsia="zh-CN"/>
        </w:rPr>
      </w:pPr>
      <w:r>
        <w:rPr>
          <w:rFonts w:hint="default" w:ascii="Times New Roman" w:hAnsi="Times New Roman" w:eastAsia="华文细黑" w:cs="Times New Roman"/>
          <w:color w:val="000000"/>
          <w:kern w:val="0"/>
          <w:sz w:val="21"/>
          <w:szCs w:val="21"/>
          <w:lang w:val="en-US" w:eastAsia="zh-CN"/>
        </w:rPr>
        <w:t>by fire caused by strikers or malicious persons. This clause is subject otherwise to the terms, conditions</w:t>
      </w:r>
      <w:r>
        <w:rPr>
          <w:rFonts w:hint="eastAsia" w:ascii="Times New Roman" w:hAnsi="Times New Roman" w:eastAsia="华文细黑" w:cs="Times New Roman"/>
          <w:color w:val="000000"/>
          <w:kern w:val="0"/>
          <w:sz w:val="21"/>
          <w:szCs w:val="21"/>
          <w:lang w:val="en-US" w:eastAsia="zh-CN"/>
        </w:rPr>
        <w:t xml:space="preserve"> </w:t>
      </w:r>
      <w:r>
        <w:rPr>
          <w:rFonts w:hint="default" w:ascii="Times New Roman" w:hAnsi="Times New Roman" w:eastAsia="华文细黑" w:cs="Times New Roman"/>
          <w:color w:val="000000"/>
          <w:kern w:val="0"/>
          <w:sz w:val="21"/>
          <w:szCs w:val="21"/>
          <w:lang w:val="en-US" w:eastAsia="zh-CN"/>
        </w:rPr>
        <w:t>and exclusions of this Policy.</w:t>
      </w:r>
    </w:p>
    <w:p w14:paraId="6E2C9FE5">
      <w:pPr>
        <w:spacing w:line="240" w:lineRule="atLeast"/>
        <w:ind w:left="132" w:leftChars="63" w:right="132" w:rightChars="63"/>
        <w:rPr>
          <w:rFonts w:hint="default" w:ascii="Times New Roman" w:hAnsi="Times New Roman" w:cs="Times New Roman"/>
          <w:color w:val="000000"/>
          <w:kern w:val="0"/>
          <w:sz w:val="21"/>
          <w:szCs w:val="21"/>
        </w:rPr>
      </w:pPr>
    </w:p>
    <w:p w14:paraId="2DCFEFC4">
      <w:pPr>
        <w:pStyle w:val="2"/>
        <w:numPr>
          <w:ilvl w:val="0"/>
          <w:numId w:val="4"/>
        </w:numPr>
        <w:spacing w:line="240" w:lineRule="atLeast"/>
        <w:ind w:right="132" w:rightChars="63"/>
        <w:jc w:val="both"/>
        <w:rPr>
          <w:rFonts w:hint="default" w:ascii="Times New Roman" w:hAnsi="Times New Roman" w:cs="Times New Roman"/>
          <w:bCs/>
          <w:color w:val="000000"/>
          <w:sz w:val="21"/>
          <w:szCs w:val="21"/>
          <w:lang w:eastAsia="zh-CN"/>
        </w:rPr>
      </w:pPr>
      <w:r>
        <w:rPr>
          <w:rFonts w:hint="default" w:ascii="Times New Roman" w:hAnsi="Times New Roman" w:cs="Times New Roman"/>
          <w:bCs/>
          <w:color w:val="000000"/>
          <w:sz w:val="21"/>
          <w:szCs w:val="21"/>
          <w:lang w:val="en-US" w:eastAsia="zh-CN"/>
        </w:rPr>
        <w:t>Off Premises Property Clause</w:t>
      </w:r>
    </w:p>
    <w:p w14:paraId="4750C014">
      <w:pPr>
        <w:spacing w:line="240" w:lineRule="atLeast"/>
        <w:ind w:left="132" w:leftChars="63" w:right="132" w:rightChars="63"/>
        <w:jc w:val="both"/>
        <w:rPr>
          <w:rFonts w:hint="default" w:ascii="Times New Roman" w:hAnsi="Times New Roman" w:eastAsia="华文细黑" w:cs="Times New Roman"/>
          <w:color w:val="000000"/>
          <w:kern w:val="0"/>
          <w:sz w:val="21"/>
          <w:szCs w:val="21"/>
          <w:lang w:val="en-US" w:eastAsia="zh-CN"/>
        </w:rPr>
      </w:pPr>
      <w:r>
        <w:rPr>
          <w:rFonts w:hint="default" w:ascii="Times New Roman" w:hAnsi="Times New Roman" w:eastAsia="华文细黑" w:cs="Times New Roman"/>
          <w:color w:val="000000"/>
          <w:kern w:val="0"/>
          <w:sz w:val="21"/>
          <w:szCs w:val="21"/>
          <w:lang w:val="en-US" w:eastAsia="zh-CN"/>
        </w:rPr>
        <w:t xml:space="preserve">It is hereby agreed and understood that this policy is automatically extended to cover the damage to or loss of property insured caused by insured perils whilst being removed from the described premises for repair, alternation or servicing. </w:t>
      </w:r>
    </w:p>
    <w:p w14:paraId="5E199031">
      <w:pPr>
        <w:spacing w:line="240" w:lineRule="atLeast"/>
        <w:ind w:left="132" w:leftChars="63" w:right="132" w:rightChars="63"/>
        <w:jc w:val="both"/>
        <w:rPr>
          <w:rFonts w:hint="default" w:ascii="Times New Roman" w:hAnsi="Times New Roman" w:eastAsia="宋体" w:cs="Times New Roman"/>
          <w:color w:val="000000"/>
          <w:kern w:val="0"/>
          <w:sz w:val="21"/>
          <w:szCs w:val="21"/>
          <w:lang w:val="en-US" w:eastAsia="zh-CN"/>
        </w:rPr>
      </w:pPr>
      <w:r>
        <w:rPr>
          <w:rFonts w:hint="default" w:ascii="Times New Roman" w:hAnsi="Times New Roman" w:eastAsia="宋体" w:cs="Times New Roman"/>
          <w:color w:val="000000"/>
          <w:kern w:val="0"/>
          <w:sz w:val="21"/>
          <w:szCs w:val="21"/>
          <w:lang w:val="en-US" w:eastAsia="zh-CN"/>
        </w:rPr>
        <w:t xml:space="preserve">Subject otherwise to the terms, conditions and exclusions of this Policy. </w:t>
      </w:r>
    </w:p>
    <w:p w14:paraId="2439ACF5">
      <w:pPr>
        <w:spacing w:line="240" w:lineRule="atLeast"/>
        <w:ind w:left="132" w:leftChars="63" w:right="132" w:rightChars="63"/>
        <w:jc w:val="both"/>
        <w:rPr>
          <w:rFonts w:hint="default" w:ascii="Times New Roman" w:hAnsi="Times New Roman" w:eastAsia="宋体" w:cs="Times New Roman"/>
          <w:color w:val="000000"/>
          <w:kern w:val="0"/>
          <w:sz w:val="21"/>
          <w:szCs w:val="21"/>
          <w:lang w:val="en-US" w:eastAsia="zh-CN"/>
        </w:rPr>
      </w:pPr>
      <w:r>
        <w:rPr>
          <w:rFonts w:hint="default" w:ascii="Times New Roman" w:hAnsi="Times New Roman" w:eastAsia="宋体" w:cs="Times New Roman"/>
          <w:color w:val="000000"/>
          <w:kern w:val="0"/>
          <w:sz w:val="21"/>
          <w:szCs w:val="21"/>
          <w:lang w:val="en-US" w:eastAsia="zh-CN"/>
        </w:rPr>
        <w:t xml:space="preserve">场外维修及改造条款 </w:t>
      </w:r>
    </w:p>
    <w:p w14:paraId="7250E100">
      <w:pPr>
        <w:spacing w:line="240" w:lineRule="atLeast"/>
        <w:ind w:left="132" w:leftChars="63" w:right="132" w:rightChars="63"/>
        <w:jc w:val="both"/>
        <w:rPr>
          <w:rFonts w:hint="default" w:ascii="Times New Roman" w:hAnsi="Times New Roman" w:eastAsia="宋体" w:cs="Times New Roman"/>
          <w:color w:val="000000"/>
          <w:kern w:val="0"/>
          <w:sz w:val="21"/>
          <w:szCs w:val="21"/>
          <w:lang w:val="en-US" w:eastAsia="zh-CN"/>
        </w:rPr>
      </w:pPr>
      <w:r>
        <w:rPr>
          <w:rFonts w:hint="default" w:ascii="Times New Roman" w:hAnsi="Times New Roman" w:eastAsia="宋体" w:cs="Times New Roman"/>
          <w:color w:val="000000"/>
          <w:kern w:val="0"/>
          <w:sz w:val="21"/>
          <w:szCs w:val="21"/>
          <w:lang w:val="en-US" w:eastAsia="zh-CN"/>
        </w:rPr>
        <w:t xml:space="preserve">在保险期间内，若被保财产需要在投保地点以外的场地进行维修和/或改造时，本保险单自动扩展承保位于维修或改造地点的这部分被保财产。 </w:t>
      </w:r>
    </w:p>
    <w:p w14:paraId="0E24ECEE">
      <w:pPr>
        <w:spacing w:line="240" w:lineRule="atLeast"/>
        <w:ind w:left="132" w:leftChars="63" w:right="132" w:rightChars="63"/>
        <w:jc w:val="both"/>
        <w:rPr>
          <w:rFonts w:hint="default" w:ascii="Times New Roman" w:hAnsi="Times New Roman" w:eastAsia="宋体" w:cs="Times New Roman"/>
          <w:color w:val="000000"/>
          <w:kern w:val="0"/>
          <w:sz w:val="21"/>
          <w:szCs w:val="21"/>
          <w:lang w:val="en-US" w:eastAsia="zh-CN"/>
        </w:rPr>
      </w:pPr>
      <w:r>
        <w:rPr>
          <w:rFonts w:hint="default" w:ascii="Times New Roman" w:hAnsi="Times New Roman" w:eastAsia="宋体" w:cs="Times New Roman"/>
          <w:color w:val="000000"/>
          <w:kern w:val="0"/>
          <w:sz w:val="21"/>
          <w:szCs w:val="21"/>
          <w:lang w:val="en-US" w:eastAsia="zh-CN"/>
        </w:rPr>
        <w:t>本保险单所载其他条件不变。</w:t>
      </w:r>
    </w:p>
    <w:p w14:paraId="07113D1F">
      <w:pPr>
        <w:widowControl/>
        <w:tabs>
          <w:tab w:val="left" w:pos="0"/>
        </w:tabs>
        <w:adjustRightInd w:val="0"/>
        <w:spacing w:after="100" w:afterAutospacing="1" w:line="360" w:lineRule="auto"/>
        <w:ind w:right="105" w:rightChars="50"/>
        <w:rPr>
          <w:rFonts w:hint="default" w:ascii="Times New Roman" w:hAnsi="Times New Roman" w:cs="Times New Roman"/>
          <w:strike/>
          <w:color w:val="000000"/>
          <w:kern w:val="0"/>
          <w:sz w:val="21"/>
          <w:szCs w:val="21"/>
          <w:u w:val="none" w:color="FFFFFF"/>
        </w:rPr>
      </w:pPr>
    </w:p>
    <w:p w14:paraId="794A6761">
      <w:pPr>
        <w:pStyle w:val="2"/>
        <w:spacing w:line="240" w:lineRule="atLeast"/>
        <w:ind w:left="0" w:right="132" w:rightChars="63"/>
        <w:jc w:val="both"/>
        <w:rPr>
          <w:rFonts w:eastAsiaTheme="minorEastAsia"/>
          <w:color w:val="000000" w:themeColor="text1"/>
          <w:sz w:val="21"/>
          <w:szCs w:val="21"/>
          <w14:textFill>
            <w14:solidFill>
              <w14:schemeClr w14:val="tx1"/>
            </w14:solidFill>
          </w14:textFill>
        </w:rPr>
      </w:pPr>
    </w:p>
    <w:sectPr>
      <w:pgSz w:w="11906" w:h="16838"/>
      <w:pgMar w:top="1440" w:right="1466" w:bottom="1440" w:left="1170" w:header="851" w:footer="992" w:gutter="0"/>
      <w:pgNumType w:fmt="decimal"/>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BECU">
    <w:altName w:val="苹方-简"/>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ahoma">
    <w:panose1 w:val="020B0604030504040204"/>
    <w:charset w:val="00"/>
    <w:family w:val="swiss"/>
    <w:pitch w:val="default"/>
    <w:sig w:usb0="E1002AFF" w:usb1="C000605B" w:usb2="00000029" w:usb3="00000000" w:csb0="200101FF" w:csb1="2028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143DA">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72CDC">
    <w:pPr>
      <w:pStyle w:val="1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49E3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0349E38">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45F1B">
    <w:pPr>
      <w:pStyle w:val="12"/>
      <w:pBdr>
        <w:bottom w:val="none" w:color="auto" w:sz="0" w:space="0"/>
      </w:pBdr>
    </w:pPr>
    <w:r>
      <w:rPr>
        <w:rFonts w:ascii="宋体" w:hAnsi="宋体" w:cs="宋体"/>
        <w:sz w:val="24"/>
        <w:szCs w:val="24"/>
      </w:rPr>
      <w:drawing>
        <wp:anchor distT="0" distB="0" distL="114300" distR="114300" simplePos="0" relativeHeight="251659264" behindDoc="0" locked="0" layoutInCell="1" allowOverlap="1">
          <wp:simplePos x="0" y="0"/>
          <wp:positionH relativeFrom="column">
            <wp:posOffset>45085</wp:posOffset>
          </wp:positionH>
          <wp:positionV relativeFrom="paragraph">
            <wp:posOffset>-242570</wp:posOffset>
          </wp:positionV>
          <wp:extent cx="1593215" cy="480695"/>
          <wp:effectExtent l="19050" t="0" r="0" b="0"/>
          <wp:wrapNone/>
          <wp:docPr id="2" name="图片 2"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2"/>
                  <pic:cNvPicPr>
                    <a:picLocks noChangeAspect="1" noChangeArrowheads="1"/>
                  </pic:cNvPicPr>
                </pic:nvPicPr>
                <pic:blipFill>
                  <a:blip r:embed="rId1"/>
                  <a:srcRect/>
                  <a:stretch>
                    <a:fillRect/>
                  </a:stretch>
                </pic:blipFill>
                <pic:spPr>
                  <a:xfrm>
                    <a:off x="0" y="0"/>
                    <a:ext cx="1593215" cy="48069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8"/>
      <w:lvlText w:val="%1."/>
      <w:lvlJc w:val="left"/>
      <w:pPr>
        <w:tabs>
          <w:tab w:val="left" w:pos="1200"/>
        </w:tabs>
        <w:ind w:left="1200" w:leftChars="400" w:hanging="360" w:hangingChars="200"/>
      </w:pPr>
    </w:lvl>
  </w:abstractNum>
  <w:abstractNum w:abstractNumId="1">
    <w:nsid w:val="01C75559"/>
    <w:multiLevelType w:val="multilevel"/>
    <w:tmpl w:val="01C75559"/>
    <w:lvl w:ilvl="0" w:tentative="0">
      <w:start w:val="1"/>
      <w:numFmt w:val="decimal"/>
      <w:lvlText w:val="%1."/>
      <w:lvlJc w:val="left"/>
      <w:pPr>
        <w:ind w:left="511" w:hanging="360"/>
      </w:pPr>
      <w:rPr>
        <w:rFonts w:hint="default" w:eastAsia="宋体"/>
      </w:rPr>
    </w:lvl>
    <w:lvl w:ilvl="1" w:tentative="0">
      <w:start w:val="1"/>
      <w:numFmt w:val="bullet"/>
      <w:lvlText w:val="o"/>
      <w:lvlJc w:val="left"/>
      <w:pPr>
        <w:ind w:left="1231" w:hanging="360"/>
      </w:pPr>
      <w:rPr>
        <w:rFonts w:hint="default" w:ascii="Courier New" w:hAnsi="Courier New" w:cs="Courier New"/>
      </w:rPr>
    </w:lvl>
    <w:lvl w:ilvl="2" w:tentative="0">
      <w:start w:val="1"/>
      <w:numFmt w:val="bullet"/>
      <w:lvlText w:val=""/>
      <w:lvlJc w:val="left"/>
      <w:pPr>
        <w:ind w:left="1951" w:hanging="360"/>
      </w:pPr>
      <w:rPr>
        <w:rFonts w:hint="default" w:ascii="Wingdings" w:hAnsi="Wingdings"/>
      </w:rPr>
    </w:lvl>
    <w:lvl w:ilvl="3" w:tentative="0">
      <w:start w:val="1"/>
      <w:numFmt w:val="bullet"/>
      <w:lvlText w:val=""/>
      <w:lvlJc w:val="left"/>
      <w:pPr>
        <w:ind w:left="2671" w:hanging="360"/>
      </w:pPr>
      <w:rPr>
        <w:rFonts w:hint="default" w:ascii="Symbol" w:hAnsi="Symbol"/>
      </w:rPr>
    </w:lvl>
    <w:lvl w:ilvl="4" w:tentative="0">
      <w:start w:val="1"/>
      <w:numFmt w:val="bullet"/>
      <w:lvlText w:val="o"/>
      <w:lvlJc w:val="left"/>
      <w:pPr>
        <w:ind w:left="3391" w:hanging="360"/>
      </w:pPr>
      <w:rPr>
        <w:rFonts w:hint="default" w:ascii="Courier New" w:hAnsi="Courier New" w:cs="Courier New"/>
      </w:rPr>
    </w:lvl>
    <w:lvl w:ilvl="5" w:tentative="0">
      <w:start w:val="1"/>
      <w:numFmt w:val="bullet"/>
      <w:lvlText w:val=""/>
      <w:lvlJc w:val="left"/>
      <w:pPr>
        <w:ind w:left="4111" w:hanging="360"/>
      </w:pPr>
      <w:rPr>
        <w:rFonts w:hint="default" w:ascii="Wingdings" w:hAnsi="Wingdings"/>
      </w:rPr>
    </w:lvl>
    <w:lvl w:ilvl="6" w:tentative="0">
      <w:start w:val="1"/>
      <w:numFmt w:val="bullet"/>
      <w:lvlText w:val=""/>
      <w:lvlJc w:val="left"/>
      <w:pPr>
        <w:ind w:left="4831" w:hanging="360"/>
      </w:pPr>
      <w:rPr>
        <w:rFonts w:hint="default" w:ascii="Symbol" w:hAnsi="Symbol"/>
      </w:rPr>
    </w:lvl>
    <w:lvl w:ilvl="7" w:tentative="0">
      <w:start w:val="1"/>
      <w:numFmt w:val="bullet"/>
      <w:lvlText w:val="o"/>
      <w:lvlJc w:val="left"/>
      <w:pPr>
        <w:ind w:left="5551" w:hanging="360"/>
      </w:pPr>
      <w:rPr>
        <w:rFonts w:hint="default" w:ascii="Courier New" w:hAnsi="Courier New" w:cs="Courier New"/>
      </w:rPr>
    </w:lvl>
    <w:lvl w:ilvl="8" w:tentative="0">
      <w:start w:val="1"/>
      <w:numFmt w:val="bullet"/>
      <w:lvlText w:val=""/>
      <w:lvlJc w:val="left"/>
      <w:pPr>
        <w:ind w:left="6271" w:hanging="360"/>
      </w:pPr>
      <w:rPr>
        <w:rFonts w:hint="default" w:ascii="Wingdings" w:hAnsi="Wingdings"/>
      </w:rPr>
    </w:lvl>
  </w:abstractNum>
  <w:abstractNum w:abstractNumId="2">
    <w:nsid w:val="059311B6"/>
    <w:multiLevelType w:val="multilevel"/>
    <w:tmpl w:val="059311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E3A6984"/>
    <w:multiLevelType w:val="multilevel"/>
    <w:tmpl w:val="0E3A6984"/>
    <w:lvl w:ilvl="0" w:tentative="0">
      <w:start w:val="30"/>
      <w:numFmt w:val="bullet"/>
      <w:lvlText w:val="-"/>
      <w:lvlJc w:val="left"/>
      <w:pPr>
        <w:ind w:left="360" w:hanging="360"/>
      </w:pPr>
      <w:rPr>
        <w:rFonts w:hint="default"/>
        <w:b w:val="0"/>
        <w:i w:val="0"/>
        <w:sz w:val="24"/>
        <w:u w:val="no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01E79CB"/>
    <w:multiLevelType w:val="multilevel"/>
    <w:tmpl w:val="101E79CB"/>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F804592"/>
    <w:multiLevelType w:val="singleLevel"/>
    <w:tmpl w:val="3F804592"/>
    <w:lvl w:ilvl="0" w:tentative="0">
      <w:start w:val="2"/>
      <w:numFmt w:val="lowerLetter"/>
      <w:lvlText w:val="(%1)"/>
      <w:lvlJc w:val="left"/>
      <w:pPr>
        <w:tabs>
          <w:tab w:val="left" w:pos="420"/>
        </w:tabs>
        <w:ind w:left="420" w:hanging="420"/>
      </w:pPr>
      <w:rPr>
        <w:rFonts w:hint="eastAsia"/>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mNGQyZjYxOWYxNDU2MmZjNGIyY2RiNTU0ZWJhZWYifQ=="/>
  </w:docVars>
  <w:rsids>
    <w:rsidRoot w:val="003952A4"/>
    <w:rsid w:val="00077AD9"/>
    <w:rsid w:val="00081E34"/>
    <w:rsid w:val="00096FFB"/>
    <w:rsid w:val="000D424A"/>
    <w:rsid w:val="000F55B4"/>
    <w:rsid w:val="00112AEF"/>
    <w:rsid w:val="00135B39"/>
    <w:rsid w:val="00151372"/>
    <w:rsid w:val="001546A0"/>
    <w:rsid w:val="001656CC"/>
    <w:rsid w:val="001745E7"/>
    <w:rsid w:val="00176E94"/>
    <w:rsid w:val="001865D5"/>
    <w:rsid w:val="001A66A9"/>
    <w:rsid w:val="001C21FB"/>
    <w:rsid w:val="001F7913"/>
    <w:rsid w:val="002015BA"/>
    <w:rsid w:val="00212F71"/>
    <w:rsid w:val="00225573"/>
    <w:rsid w:val="002909AE"/>
    <w:rsid w:val="002B2002"/>
    <w:rsid w:val="002D1BF0"/>
    <w:rsid w:val="002D6DF7"/>
    <w:rsid w:val="00303C32"/>
    <w:rsid w:val="00361A68"/>
    <w:rsid w:val="003638F9"/>
    <w:rsid w:val="003656B3"/>
    <w:rsid w:val="003952A4"/>
    <w:rsid w:val="003E5EC0"/>
    <w:rsid w:val="004175E6"/>
    <w:rsid w:val="00433AFA"/>
    <w:rsid w:val="004375B7"/>
    <w:rsid w:val="00444C2B"/>
    <w:rsid w:val="00450C43"/>
    <w:rsid w:val="00475F92"/>
    <w:rsid w:val="00493F9C"/>
    <w:rsid w:val="004A23A2"/>
    <w:rsid w:val="004D3C4F"/>
    <w:rsid w:val="004F5AF4"/>
    <w:rsid w:val="005263B7"/>
    <w:rsid w:val="00560B5F"/>
    <w:rsid w:val="0058252D"/>
    <w:rsid w:val="005A50CA"/>
    <w:rsid w:val="005B2EBE"/>
    <w:rsid w:val="005F0908"/>
    <w:rsid w:val="0061513D"/>
    <w:rsid w:val="0064629C"/>
    <w:rsid w:val="00646BDB"/>
    <w:rsid w:val="00673A8E"/>
    <w:rsid w:val="00683123"/>
    <w:rsid w:val="006A48D7"/>
    <w:rsid w:val="006A4BC8"/>
    <w:rsid w:val="006A56BB"/>
    <w:rsid w:val="006B74DC"/>
    <w:rsid w:val="006F4265"/>
    <w:rsid w:val="007300DB"/>
    <w:rsid w:val="00735DFE"/>
    <w:rsid w:val="007955E5"/>
    <w:rsid w:val="007D5C05"/>
    <w:rsid w:val="007E4B47"/>
    <w:rsid w:val="00820C7A"/>
    <w:rsid w:val="008227A8"/>
    <w:rsid w:val="008305B1"/>
    <w:rsid w:val="00830C81"/>
    <w:rsid w:val="00831C01"/>
    <w:rsid w:val="0085603D"/>
    <w:rsid w:val="0086628A"/>
    <w:rsid w:val="008726FA"/>
    <w:rsid w:val="00872FB5"/>
    <w:rsid w:val="00891913"/>
    <w:rsid w:val="0089555C"/>
    <w:rsid w:val="008B5D6B"/>
    <w:rsid w:val="008C65D5"/>
    <w:rsid w:val="008F1ECA"/>
    <w:rsid w:val="00944085"/>
    <w:rsid w:val="00960D17"/>
    <w:rsid w:val="00981070"/>
    <w:rsid w:val="009A72C5"/>
    <w:rsid w:val="009B4232"/>
    <w:rsid w:val="009E4469"/>
    <w:rsid w:val="009E7A73"/>
    <w:rsid w:val="00A00516"/>
    <w:rsid w:val="00A04AA6"/>
    <w:rsid w:val="00A27997"/>
    <w:rsid w:val="00A47C0C"/>
    <w:rsid w:val="00A62727"/>
    <w:rsid w:val="00A64023"/>
    <w:rsid w:val="00A73C04"/>
    <w:rsid w:val="00A93B70"/>
    <w:rsid w:val="00AC0854"/>
    <w:rsid w:val="00B02995"/>
    <w:rsid w:val="00B540AA"/>
    <w:rsid w:val="00B6037B"/>
    <w:rsid w:val="00B72624"/>
    <w:rsid w:val="00BF4B44"/>
    <w:rsid w:val="00C03BE8"/>
    <w:rsid w:val="00C500A9"/>
    <w:rsid w:val="00C7797D"/>
    <w:rsid w:val="00CA2FDF"/>
    <w:rsid w:val="00CA706C"/>
    <w:rsid w:val="00CC2208"/>
    <w:rsid w:val="00CC5384"/>
    <w:rsid w:val="00CC618B"/>
    <w:rsid w:val="00CF56A7"/>
    <w:rsid w:val="00D00F97"/>
    <w:rsid w:val="00D06943"/>
    <w:rsid w:val="00D21263"/>
    <w:rsid w:val="00D27301"/>
    <w:rsid w:val="00D61A8A"/>
    <w:rsid w:val="00D8380E"/>
    <w:rsid w:val="00DA37A0"/>
    <w:rsid w:val="00DB7FE0"/>
    <w:rsid w:val="00DE32C2"/>
    <w:rsid w:val="00DF7CF6"/>
    <w:rsid w:val="00E14AAF"/>
    <w:rsid w:val="00E27570"/>
    <w:rsid w:val="00E87CEE"/>
    <w:rsid w:val="00E925E3"/>
    <w:rsid w:val="00EB1C53"/>
    <w:rsid w:val="00EC4A1C"/>
    <w:rsid w:val="00ED3235"/>
    <w:rsid w:val="00EE7D53"/>
    <w:rsid w:val="00EF2DE0"/>
    <w:rsid w:val="00F15F64"/>
    <w:rsid w:val="00F22D7C"/>
    <w:rsid w:val="00F9749B"/>
    <w:rsid w:val="00FC7318"/>
    <w:rsid w:val="061703E8"/>
    <w:rsid w:val="0906421B"/>
    <w:rsid w:val="09765A17"/>
    <w:rsid w:val="0A201220"/>
    <w:rsid w:val="0D335F29"/>
    <w:rsid w:val="117F636A"/>
    <w:rsid w:val="12D66966"/>
    <w:rsid w:val="1B263BFA"/>
    <w:rsid w:val="1C25694D"/>
    <w:rsid w:val="1D21128A"/>
    <w:rsid w:val="245050FB"/>
    <w:rsid w:val="25E17643"/>
    <w:rsid w:val="263E70B9"/>
    <w:rsid w:val="28742B57"/>
    <w:rsid w:val="2B244964"/>
    <w:rsid w:val="2E2B59E4"/>
    <w:rsid w:val="2E360F85"/>
    <w:rsid w:val="33BA7280"/>
    <w:rsid w:val="3AE82865"/>
    <w:rsid w:val="3C8809A4"/>
    <w:rsid w:val="402C3481"/>
    <w:rsid w:val="42323B76"/>
    <w:rsid w:val="44054428"/>
    <w:rsid w:val="470E5D94"/>
    <w:rsid w:val="4D7838CC"/>
    <w:rsid w:val="570361C2"/>
    <w:rsid w:val="5F8478C0"/>
    <w:rsid w:val="62A44EAF"/>
    <w:rsid w:val="65A26B50"/>
    <w:rsid w:val="66E566F4"/>
    <w:rsid w:val="68CD3AE8"/>
    <w:rsid w:val="6C5F4AA1"/>
    <w:rsid w:val="6CD97096"/>
    <w:rsid w:val="730A5C41"/>
    <w:rsid w:val="75A42FC4"/>
    <w:rsid w:val="75C20E75"/>
    <w:rsid w:val="76334E54"/>
    <w:rsid w:val="7C3FD112"/>
    <w:rsid w:val="FFBEEF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0"/>
    <w:pPr>
      <w:keepNext/>
      <w:autoSpaceDE w:val="0"/>
      <w:autoSpaceDN w:val="0"/>
      <w:adjustRightInd w:val="0"/>
      <w:spacing w:line="360" w:lineRule="atLeast"/>
      <w:ind w:left="360" w:right="720"/>
      <w:jc w:val="left"/>
      <w:textAlignment w:val="baseline"/>
      <w:outlineLvl w:val="0"/>
    </w:pPr>
    <w:rPr>
      <w:rFonts w:ascii="Times New Roman" w:hAnsi="Times New Roman" w:eastAsia="BECU"/>
      <w:b/>
      <w:color w:val="800000"/>
      <w:kern w:val="0"/>
      <w:sz w:val="24"/>
      <w:szCs w:val="20"/>
      <w:u w:val="single"/>
    </w:rPr>
  </w:style>
  <w:style w:type="paragraph" w:styleId="3">
    <w:name w:val="heading 2"/>
    <w:basedOn w:val="1"/>
    <w:next w:val="4"/>
    <w:link w:val="20"/>
    <w:qFormat/>
    <w:uiPriority w:val="0"/>
    <w:pPr>
      <w:keepNext/>
      <w:tabs>
        <w:tab w:val="left" w:pos="9360"/>
      </w:tabs>
      <w:autoSpaceDE w:val="0"/>
      <w:autoSpaceDN w:val="0"/>
      <w:adjustRightInd w:val="0"/>
      <w:spacing w:line="360" w:lineRule="atLeast"/>
      <w:ind w:left="360" w:right="866"/>
      <w:jc w:val="left"/>
      <w:textAlignment w:val="baseline"/>
      <w:outlineLvl w:val="1"/>
    </w:pPr>
    <w:rPr>
      <w:rFonts w:ascii="Times New Roman" w:hAnsi="Times New Roman" w:eastAsia="BECU"/>
      <w:b/>
      <w:color w:val="800000"/>
      <w:kern w:val="0"/>
      <w:sz w:val="24"/>
      <w:szCs w:val="20"/>
      <w:u w:val="single"/>
    </w:rPr>
  </w:style>
  <w:style w:type="paragraph" w:styleId="5">
    <w:name w:val="heading 4"/>
    <w:basedOn w:val="1"/>
    <w:next w:val="4"/>
    <w:link w:val="21"/>
    <w:qFormat/>
    <w:uiPriority w:val="0"/>
    <w:pPr>
      <w:keepNext/>
      <w:adjustRightInd w:val="0"/>
      <w:spacing w:line="360" w:lineRule="atLeast"/>
      <w:jc w:val="left"/>
      <w:textAlignment w:val="baseline"/>
      <w:outlineLvl w:val="3"/>
    </w:pPr>
    <w:rPr>
      <w:rFonts w:ascii="Times New Roman" w:hAnsi="Times New Roman"/>
      <w:kern w:val="0"/>
      <w:sz w:val="24"/>
      <w:szCs w:val="20"/>
      <w:u w:val="single"/>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60" w:lineRule="atLeast"/>
      <w:ind w:firstLine="420"/>
      <w:jc w:val="left"/>
      <w:textAlignment w:val="baseline"/>
    </w:pPr>
    <w:rPr>
      <w:rFonts w:ascii="Times New Roman" w:hAnsi="Times New Roman"/>
      <w:kern w:val="0"/>
      <w:sz w:val="24"/>
      <w:szCs w:val="20"/>
    </w:rPr>
  </w:style>
  <w:style w:type="paragraph" w:styleId="6">
    <w:name w:val="Body Text"/>
    <w:basedOn w:val="1"/>
    <w:link w:val="22"/>
    <w:qFormat/>
    <w:uiPriority w:val="0"/>
    <w:pPr>
      <w:autoSpaceDE w:val="0"/>
      <w:autoSpaceDN w:val="0"/>
      <w:adjustRightInd w:val="0"/>
      <w:spacing w:line="240" w:lineRule="atLeast"/>
      <w:ind w:right="1714"/>
      <w:textAlignment w:val="baseline"/>
    </w:pPr>
    <w:rPr>
      <w:rFonts w:ascii="Times New Roman" w:hAnsi="Times New Roman"/>
      <w:color w:val="000000"/>
      <w:kern w:val="0"/>
      <w:sz w:val="24"/>
      <w:szCs w:val="20"/>
    </w:rPr>
  </w:style>
  <w:style w:type="paragraph" w:styleId="7">
    <w:name w:val="Body Text Indent"/>
    <w:basedOn w:val="1"/>
    <w:link w:val="24"/>
    <w:qFormat/>
    <w:uiPriority w:val="0"/>
    <w:pPr>
      <w:adjustRightInd w:val="0"/>
      <w:spacing w:after="120" w:line="360" w:lineRule="atLeast"/>
      <w:ind w:left="420" w:leftChars="200"/>
      <w:jc w:val="left"/>
      <w:textAlignment w:val="baseline"/>
    </w:pPr>
    <w:rPr>
      <w:rFonts w:ascii="Times New Roman" w:hAnsi="Times New Roman"/>
      <w:kern w:val="0"/>
      <w:sz w:val="24"/>
      <w:szCs w:val="20"/>
    </w:rPr>
  </w:style>
  <w:style w:type="paragraph" w:styleId="8">
    <w:name w:val="List Number 3"/>
    <w:basedOn w:val="1"/>
    <w:qFormat/>
    <w:uiPriority w:val="0"/>
    <w:pPr>
      <w:numPr>
        <w:ilvl w:val="0"/>
        <w:numId w:val="1"/>
      </w:numPr>
    </w:pPr>
    <w:rPr>
      <w:rFonts w:ascii="Times New Roman" w:hAnsi="Times New Roman"/>
      <w:szCs w:val="24"/>
    </w:rPr>
  </w:style>
  <w:style w:type="paragraph" w:styleId="9">
    <w:name w:val="Body Text Indent 2"/>
    <w:basedOn w:val="1"/>
    <w:link w:val="31"/>
    <w:semiHidden/>
    <w:unhideWhenUsed/>
    <w:qFormat/>
    <w:uiPriority w:val="99"/>
    <w:pPr>
      <w:spacing w:after="120" w:line="480" w:lineRule="auto"/>
      <w:ind w:left="420" w:leftChars="200"/>
    </w:pPr>
  </w:style>
  <w:style w:type="paragraph" w:styleId="10">
    <w:name w:val="Balloon Text"/>
    <w:basedOn w:val="1"/>
    <w:link w:val="29"/>
    <w:semiHidden/>
    <w:unhideWhenUsed/>
    <w:qFormat/>
    <w:uiPriority w:val="99"/>
    <w:rPr>
      <w:kern w:val="0"/>
      <w:sz w:val="18"/>
      <w:szCs w:val="18"/>
    </w:rPr>
  </w:style>
  <w:style w:type="paragraph" w:styleId="11">
    <w:name w:val="footer"/>
    <w:basedOn w:val="1"/>
    <w:link w:val="35"/>
    <w:unhideWhenUsed/>
    <w:qFormat/>
    <w:uiPriority w:val="99"/>
    <w:pPr>
      <w:tabs>
        <w:tab w:val="center" w:pos="4153"/>
        <w:tab w:val="right" w:pos="8306"/>
      </w:tabs>
      <w:snapToGrid w:val="0"/>
      <w:jc w:val="left"/>
    </w:pPr>
    <w:rPr>
      <w:kern w:val="0"/>
      <w:sz w:val="18"/>
      <w:szCs w:val="18"/>
    </w:rPr>
  </w:style>
  <w:style w:type="paragraph" w:styleId="12">
    <w:name w:val="header"/>
    <w:basedOn w:val="1"/>
    <w:link w:val="34"/>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3">
    <w:name w:val="Body Text 2"/>
    <w:basedOn w:val="1"/>
    <w:link w:val="23"/>
    <w:qFormat/>
    <w:uiPriority w:val="0"/>
    <w:pPr>
      <w:adjustRightInd w:val="0"/>
      <w:spacing w:after="120" w:line="480" w:lineRule="auto"/>
      <w:jc w:val="left"/>
      <w:textAlignment w:val="baseline"/>
    </w:pPr>
    <w:rPr>
      <w:rFonts w:ascii="Times New Roman" w:hAnsi="Times New Roman"/>
      <w:kern w:val="0"/>
      <w:sz w:val="24"/>
      <w:szCs w:val="20"/>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semiHidden/>
    <w:unhideWhenUsed/>
    <w:qFormat/>
    <w:uiPriority w:val="99"/>
    <w:rPr>
      <w:rFonts w:hint="eastAsia" w:ascii="宋体" w:hAnsi="宋体" w:eastAsia="宋体" w:cs="宋体"/>
      <w:color w:val="000000"/>
      <w:sz w:val="18"/>
      <w:szCs w:val="18"/>
      <w:u w:val="none"/>
    </w:rPr>
  </w:style>
  <w:style w:type="character" w:styleId="18">
    <w:name w:val="Hyperlink"/>
    <w:basedOn w:val="16"/>
    <w:semiHidden/>
    <w:unhideWhenUsed/>
    <w:qFormat/>
    <w:uiPriority w:val="99"/>
    <w:rPr>
      <w:rFonts w:hint="eastAsia" w:ascii="宋体" w:hAnsi="宋体" w:eastAsia="宋体" w:cs="宋体"/>
      <w:color w:val="000000"/>
      <w:sz w:val="18"/>
      <w:szCs w:val="18"/>
      <w:u w:val="none"/>
    </w:rPr>
  </w:style>
  <w:style w:type="character" w:customStyle="1" w:styleId="19">
    <w:name w:val="标题 1 字符"/>
    <w:link w:val="2"/>
    <w:qFormat/>
    <w:uiPriority w:val="0"/>
    <w:rPr>
      <w:rFonts w:ascii="Times New Roman" w:hAnsi="Times New Roman" w:eastAsia="BECU" w:cs="Times New Roman"/>
      <w:b/>
      <w:color w:val="800000"/>
      <w:kern w:val="0"/>
      <w:sz w:val="24"/>
      <w:szCs w:val="20"/>
      <w:u w:val="single"/>
    </w:rPr>
  </w:style>
  <w:style w:type="character" w:customStyle="1" w:styleId="20">
    <w:name w:val="标题 2 字符"/>
    <w:link w:val="3"/>
    <w:qFormat/>
    <w:uiPriority w:val="0"/>
    <w:rPr>
      <w:rFonts w:ascii="Times New Roman" w:hAnsi="Times New Roman" w:eastAsia="BECU" w:cs="Times New Roman"/>
      <w:b/>
      <w:color w:val="800000"/>
      <w:kern w:val="0"/>
      <w:sz w:val="24"/>
      <w:szCs w:val="20"/>
      <w:u w:val="single"/>
    </w:rPr>
  </w:style>
  <w:style w:type="character" w:customStyle="1" w:styleId="21">
    <w:name w:val="标题 4 字符"/>
    <w:link w:val="5"/>
    <w:qFormat/>
    <w:uiPriority w:val="0"/>
    <w:rPr>
      <w:rFonts w:ascii="Times New Roman" w:hAnsi="Times New Roman" w:eastAsia="宋体" w:cs="Times New Roman"/>
      <w:kern w:val="0"/>
      <w:sz w:val="24"/>
      <w:szCs w:val="20"/>
      <w:u w:val="single"/>
    </w:rPr>
  </w:style>
  <w:style w:type="character" w:customStyle="1" w:styleId="22">
    <w:name w:val="正文文本 字符"/>
    <w:link w:val="6"/>
    <w:qFormat/>
    <w:uiPriority w:val="0"/>
    <w:rPr>
      <w:rFonts w:ascii="Times New Roman" w:hAnsi="Times New Roman" w:eastAsia="宋体" w:cs="Times New Roman"/>
      <w:color w:val="000000"/>
      <w:kern w:val="0"/>
      <w:sz w:val="24"/>
      <w:szCs w:val="20"/>
    </w:rPr>
  </w:style>
  <w:style w:type="character" w:customStyle="1" w:styleId="23">
    <w:name w:val="正文文本 2 字符"/>
    <w:link w:val="13"/>
    <w:qFormat/>
    <w:uiPriority w:val="0"/>
    <w:rPr>
      <w:rFonts w:ascii="Times New Roman" w:hAnsi="Times New Roman" w:eastAsia="宋体" w:cs="Times New Roman"/>
      <w:kern w:val="0"/>
      <w:sz w:val="24"/>
      <w:szCs w:val="20"/>
    </w:rPr>
  </w:style>
  <w:style w:type="character" w:customStyle="1" w:styleId="24">
    <w:name w:val="正文文本缩进 字符"/>
    <w:link w:val="7"/>
    <w:qFormat/>
    <w:uiPriority w:val="0"/>
    <w:rPr>
      <w:rFonts w:ascii="Times New Roman" w:hAnsi="Times New Roman" w:eastAsia="宋体" w:cs="Times New Roman"/>
      <w:kern w:val="0"/>
      <w:sz w:val="24"/>
      <w:szCs w:val="20"/>
    </w:rPr>
  </w:style>
  <w:style w:type="character" w:customStyle="1" w:styleId="25">
    <w:name w:val="apple-style-span"/>
    <w:basedOn w:val="16"/>
    <w:qFormat/>
    <w:uiPriority w:val="0"/>
  </w:style>
  <w:style w:type="character" w:customStyle="1" w:styleId="26">
    <w:name w:val="apple-converted-space"/>
    <w:basedOn w:val="16"/>
    <w:qFormat/>
    <w:uiPriority w:val="0"/>
  </w:style>
  <w:style w:type="paragraph" w:customStyle="1" w:styleId="27">
    <w:name w:val="Normal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28">
    <w:name w:val="trans"/>
    <w:basedOn w:val="16"/>
    <w:qFormat/>
    <w:uiPriority w:val="0"/>
  </w:style>
  <w:style w:type="character" w:customStyle="1" w:styleId="29">
    <w:name w:val="批注框文本 字符"/>
    <w:link w:val="10"/>
    <w:semiHidden/>
    <w:qFormat/>
    <w:uiPriority w:val="99"/>
    <w:rPr>
      <w:sz w:val="18"/>
      <w:szCs w:val="18"/>
    </w:rPr>
  </w:style>
  <w:style w:type="paragraph" w:customStyle="1" w:styleId="30">
    <w:name w:val="Char Char Char"/>
    <w:basedOn w:val="1"/>
    <w:qFormat/>
    <w:uiPriority w:val="0"/>
    <w:pPr>
      <w:tabs>
        <w:tab w:val="left" w:pos="1440"/>
      </w:tabs>
      <w:ind w:left="1296" w:hanging="1296"/>
    </w:pPr>
    <w:rPr>
      <w:rFonts w:ascii="Arial" w:hAnsi="Arial" w:cs="Arial"/>
      <w:sz w:val="20"/>
      <w:szCs w:val="20"/>
    </w:rPr>
  </w:style>
  <w:style w:type="character" w:customStyle="1" w:styleId="31">
    <w:name w:val="正文文本缩进 2 字符"/>
    <w:basedOn w:val="16"/>
    <w:link w:val="9"/>
    <w:semiHidden/>
    <w:qFormat/>
    <w:uiPriority w:val="99"/>
  </w:style>
  <w:style w:type="character" w:customStyle="1" w:styleId="32">
    <w:name w:val="word"/>
    <w:basedOn w:val="16"/>
    <w:qFormat/>
    <w:uiPriority w:val="0"/>
  </w:style>
  <w:style w:type="paragraph" w:styleId="33">
    <w:name w:val="List Paragraph"/>
    <w:basedOn w:val="1"/>
    <w:qFormat/>
    <w:uiPriority w:val="34"/>
    <w:pPr>
      <w:ind w:firstLine="420" w:firstLineChars="200"/>
    </w:pPr>
  </w:style>
  <w:style w:type="character" w:customStyle="1" w:styleId="34">
    <w:name w:val="页眉 字符"/>
    <w:link w:val="12"/>
    <w:qFormat/>
    <w:uiPriority w:val="99"/>
    <w:rPr>
      <w:sz w:val="18"/>
      <w:szCs w:val="18"/>
    </w:rPr>
  </w:style>
  <w:style w:type="character" w:customStyle="1" w:styleId="35">
    <w:name w:val="页脚 字符"/>
    <w:link w:val="11"/>
    <w:qFormat/>
    <w:uiPriority w:val="99"/>
    <w:rPr>
      <w:sz w:val="18"/>
      <w:szCs w:val="18"/>
    </w:rPr>
  </w:style>
  <w:style w:type="paragraph" w:customStyle="1" w:styleId="36">
    <w:name w:val="Char Char Char1"/>
    <w:basedOn w:val="1"/>
    <w:qFormat/>
    <w:uiPriority w:val="0"/>
    <w:rPr>
      <w:rFonts w:ascii="Tahoma" w:hAnsi="Tahoma" w:cs="Tahoma"/>
      <w:sz w:val="24"/>
      <w:szCs w:val="24"/>
    </w:rPr>
  </w:style>
  <w:style w:type="paragraph" w:customStyle="1" w:styleId="37">
    <w:name w:val="正文1"/>
    <w:qFormat/>
    <w:uiPriority w:val="0"/>
    <w:pPr>
      <w:widowControl w:val="0"/>
      <w:adjustRightInd w:val="0"/>
      <w:spacing w:line="0" w:lineRule="atLeast"/>
      <w:textAlignment w:val="baseline"/>
    </w:pPr>
    <w:rPr>
      <w:rFonts w:ascii="宋体" w:hAnsi="Times New Roman" w:eastAsia="宋体" w:cs="Times New Roman"/>
      <w:sz w:val="34"/>
      <w:lang w:val="en-US" w:eastAsia="zh-CN" w:bidi="ar-SA"/>
    </w:rPr>
  </w:style>
  <w:style w:type="paragraph" w:customStyle="1" w:styleId="3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9">
    <w:name w:val="font31"/>
    <w:basedOn w:val="16"/>
    <w:qFormat/>
    <w:uiPriority w:val="0"/>
    <w:rPr>
      <w:rFonts w:hint="default" w:ascii="Times New Roman" w:hAnsi="Times New Roman" w:cs="Times New Roman"/>
      <w:color w:val="000000"/>
      <w:sz w:val="21"/>
      <w:szCs w:val="21"/>
      <w:u w:val="none"/>
    </w:rPr>
  </w:style>
  <w:style w:type="character" w:customStyle="1" w:styleId="40">
    <w:name w:val="font21"/>
    <w:basedOn w:val="16"/>
    <w:qFormat/>
    <w:uiPriority w:val="0"/>
    <w:rPr>
      <w:rFonts w:hint="default" w:ascii="Times New Roman" w:hAnsi="Times New Roman" w:cs="Times New Roman"/>
      <w:color w:val="000000"/>
      <w:sz w:val="21"/>
      <w:szCs w:val="21"/>
      <w:u w:val="none"/>
    </w:rPr>
  </w:style>
  <w:style w:type="character" w:customStyle="1" w:styleId="41">
    <w:name w:val="font11"/>
    <w:basedOn w:val="16"/>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27</Pages>
  <Words>10120</Words>
  <Characters>57690</Characters>
  <Lines>480</Lines>
  <Paragraphs>135</Paragraphs>
  <TotalTime>3</TotalTime>
  <ScaleCrop>false</ScaleCrop>
  <LinksUpToDate>false</LinksUpToDate>
  <CharactersWithSpaces>67675</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2020-02-15T01:54:00Z</dcterms:created>
  <dc:creator>David</dc:creator>
  <cp:lastModifiedBy>Alex Jin</cp:lastModifiedBy>
  <cp:lastPrinted>2017-01-23T18:13:00Z</cp:lastPrinted>
  <dcterms:modified xsi:type="dcterms:W3CDTF">2026-01-24T17:41:33Z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36CEA3FE5849AC7BCD937469FA2A7098_43</vt:lpwstr>
  </property>
  <property fmtid="{D5CDD505-2E9C-101B-9397-08002B2CF9AE}" pid="4" name="KSOTemplateDocerSaveRecord">
    <vt:lpwstr>eyJoZGlkIjoiODNhNTg1YjU4MzU3NWJhZGRlMDhjMDJmMjhlODVkZmUiLCJ1c2VySWQiOiI4OTkyOTc1MjAifQ==</vt:lpwstr>
  </property>
</Properties>
</file>