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9C134">
      <w:pPr>
        <w:autoSpaceDE w:val="0"/>
        <w:autoSpaceDN w:val="0"/>
        <w:adjustRightInd w:val="0"/>
        <w:spacing w:line="240" w:lineRule="atLeast"/>
        <w:jc w:val="center"/>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bookmarkStart w:id="7" w:name="_GoBack"/>
      <w:bookmarkEnd w:id="7"/>
    </w:p>
    <w:p w14:paraId="528A8E3C">
      <w:pPr>
        <w:autoSpaceDE w:val="0"/>
        <w:autoSpaceDN w:val="0"/>
        <w:adjustRightInd w:val="0"/>
        <w:spacing w:line="240" w:lineRule="atLeast"/>
        <w:jc w:val="center"/>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p>
    <w:p w14:paraId="6C389DC8">
      <w:pPr>
        <w:tabs>
          <w:tab w:val="left" w:pos="9270"/>
          <w:tab w:val="left" w:pos="936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 w:val="30"/>
          <w:szCs w:val="30"/>
          <w14:textFill>
            <w14:solidFill>
              <w14:schemeClr w14:val="tx1"/>
            </w14:solidFill>
          </w14:textFill>
        </w:rPr>
      </w:pPr>
      <w:r>
        <w:rPr>
          <w:rFonts w:hint="default" w:ascii="Times New Roman" w:hAnsi="Times New Roman" w:cs="Times New Roman" w:eastAsiaTheme="minorEastAsia"/>
          <w:b/>
          <w:color w:val="000000" w:themeColor="text1"/>
          <w:kern w:val="0"/>
          <w:sz w:val="30"/>
          <w:szCs w:val="30"/>
          <w14:textFill>
            <w14:solidFill>
              <w14:schemeClr w14:val="tx1"/>
            </w14:solidFill>
          </w14:textFill>
        </w:rPr>
        <w:t>CHINA PACIFIC PROPERTY INSURANCE COMPANY LIMITED</w:t>
      </w:r>
    </w:p>
    <w:p w14:paraId="4E9E16DD">
      <w:pPr>
        <w:widowControl/>
        <w:autoSpaceDE w:val="0"/>
        <w:autoSpaceDN w:val="0"/>
        <w:spacing w:line="240" w:lineRule="atLeast"/>
        <w:ind w:right="360"/>
        <w:jc w:val="center"/>
        <w:textAlignment w:val="bottom"/>
        <w:rPr>
          <w:rFonts w:hint="default" w:ascii="Times New Roman" w:hAnsi="Times New Roman" w:cs="Times New Roman" w:eastAsiaTheme="minorEastAsia"/>
          <w:color w:val="000000" w:themeColor="text1"/>
          <w:sz w:val="28"/>
          <w:szCs w:val="28"/>
          <w14:textFill>
            <w14:solidFill>
              <w14:schemeClr w14:val="tx1"/>
            </w14:solidFill>
          </w14:textFill>
        </w:rPr>
      </w:pPr>
    </w:p>
    <w:p w14:paraId="404384DD">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 w:val="24"/>
          <w:szCs w:val="24"/>
          <w14:textFill>
            <w14:solidFill>
              <w14:schemeClr w14:val="tx1"/>
            </w14:solidFill>
          </w14:textFill>
        </w:rPr>
      </w:pPr>
      <w:r>
        <w:rPr>
          <w:rFonts w:hint="default" w:ascii="Times New Roman" w:hAnsi="Times New Roman" w:cs="Times New Roman" w:eastAsiaTheme="minorEastAsia"/>
          <w:b/>
          <w:color w:val="000000" w:themeColor="text1"/>
          <w:kern w:val="0"/>
          <w:sz w:val="24"/>
          <w:szCs w:val="24"/>
          <w14:textFill>
            <w14:solidFill>
              <w14:schemeClr w14:val="tx1"/>
            </w14:solidFill>
          </w14:textFill>
        </w:rPr>
        <w:t>Head Office: in Shanghai</w:t>
      </w:r>
    </w:p>
    <w:p w14:paraId="43DE004A">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 w:val="28"/>
          <w:szCs w:val="28"/>
          <w14:textFill>
            <w14:solidFill>
              <w14:schemeClr w14:val="tx1"/>
            </w14:solidFill>
          </w14:textFill>
        </w:rPr>
      </w:pPr>
    </w:p>
    <w:p w14:paraId="6230405A">
      <w:pPr>
        <w:tabs>
          <w:tab w:val="left" w:pos="9270"/>
          <w:tab w:val="left" w:pos="936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kern w:val="0"/>
          <w:sz w:val="28"/>
          <w:szCs w:val="28"/>
        </w:rPr>
      </w:pPr>
      <w:r>
        <w:rPr>
          <w:rFonts w:hint="default" w:ascii="Times New Roman" w:hAnsi="Times New Roman" w:cs="Times New Roman" w:eastAsiaTheme="minorEastAsia"/>
          <w:b/>
          <w:color w:val="000000"/>
          <w:kern w:val="0"/>
          <w:sz w:val="28"/>
          <w:szCs w:val="28"/>
        </w:rPr>
        <w:t>BUSINESS INTERRUPTION INSURANCE</w:t>
      </w:r>
    </w:p>
    <w:p w14:paraId="5DE4F321">
      <w:pPr>
        <w:tabs>
          <w:tab w:val="left" w:pos="9270"/>
          <w:tab w:val="left" w:pos="936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kern w:val="0"/>
          <w:sz w:val="28"/>
          <w:szCs w:val="28"/>
        </w:rPr>
      </w:pPr>
      <w:r>
        <w:rPr>
          <w:rFonts w:hint="default" w:ascii="Times New Roman" w:hAnsi="Times New Roman" w:cs="Times New Roman" w:eastAsiaTheme="minorEastAsia"/>
          <w:b/>
          <w:color w:val="000000"/>
          <w:kern w:val="0"/>
          <w:sz w:val="28"/>
          <w:szCs w:val="28"/>
        </w:rPr>
        <w:t>FOLLOWING PROPERTY ALL RISKS INSURANCE POLICY</w:t>
      </w:r>
    </w:p>
    <w:p w14:paraId="3D6BCE34">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 w:val="28"/>
          <w:szCs w:val="28"/>
          <w14:textFill>
            <w14:solidFill>
              <w14:schemeClr w14:val="tx1"/>
            </w14:solidFill>
          </w14:textFill>
        </w:rPr>
      </w:pPr>
    </w:p>
    <w:p w14:paraId="54C49017">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b/>
          <w:color w:val="000000" w:themeColor="text1"/>
          <w:kern w:val="0"/>
          <w:szCs w:val="21"/>
          <w14:textFill>
            <w14:solidFill>
              <w14:schemeClr w14:val="tx1"/>
            </w14:solidFill>
          </w14:textFill>
        </w:rPr>
        <w:t>Policy No.: ASHH05002125QAAAA7ME</w:t>
      </w:r>
    </w:p>
    <w:p w14:paraId="69D28988">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492A4744">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b/>
          <w:color w:val="000000" w:themeColor="text1"/>
          <w:kern w:val="0"/>
          <w:szCs w:val="21"/>
          <w14:textFill>
            <w14:solidFill>
              <w14:schemeClr w14:val="tx1"/>
            </w14:solidFill>
          </w14:textFill>
        </w:rPr>
        <w:t>（ORIGINAL）</w:t>
      </w:r>
    </w:p>
    <w:p w14:paraId="6DD351CE">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451C0BBB">
      <w:pPr>
        <w:pBdr>
          <w:top w:val="single" w:color="auto" w:sz="4" w:space="1"/>
          <w:bottom w:val="single" w:color="auto" w:sz="4" w:space="1"/>
        </w:pBdr>
        <w:tabs>
          <w:tab w:val="left" w:pos="9270"/>
        </w:tabs>
        <w:autoSpaceDE w:val="0"/>
        <w:autoSpaceDN w:val="0"/>
        <w:adjustRightInd w:val="0"/>
        <w:spacing w:line="240" w:lineRule="atLeast"/>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Please read this Policy and the Schedule and make certain that they are in accordance with your requirement.</w:t>
      </w:r>
    </w:p>
    <w:p w14:paraId="27CF61A6">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059131F6">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WHEREAS the Insured named in the Schedule hereto has made to China Pacific Property Insurance Co., Ltd Shanghai Branch (hereinafter called "the Underwriter") an application which for the purpose of this Policy is deemed to be incorporated herein.</w:t>
      </w:r>
    </w:p>
    <w:p w14:paraId="651E3BDF">
      <w:pPr>
        <w:tabs>
          <w:tab w:val="left" w:pos="1464"/>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ab/>
      </w:r>
    </w:p>
    <w:p w14:paraId="56F929CE">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NOW THIS POLICY OF INSURANCE WITNESSES that in consideration of the Insured having paid or agreed to pay the agreed premium and subject to the Schedule Gross Profit Endorsement, Exclusions, terms and conditions contained herein or endorsed hereon.</w:t>
      </w:r>
    </w:p>
    <w:p w14:paraId="40F178DE">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p>
    <w:p w14:paraId="27AF5076">
      <w:pPr>
        <w:widowControl/>
        <w:rPr>
          <w:rFonts w:hint="eastAsia" w:ascii="Times New Roman" w:hAnsi="Times New Roman" w:cs="Times New Roman" w:eastAsiaTheme="minorEastAsia"/>
          <w:b/>
          <w:kern w:val="0"/>
          <w:szCs w:val="21"/>
          <w:lang w:eastAsia="zh-CN"/>
        </w:rPr>
      </w:pPr>
      <w:r>
        <w:rPr>
          <w:rFonts w:hint="default" w:ascii="Times New Roman" w:hAnsi="Times New Roman" w:cs="Times New Roman" w:eastAsiaTheme="minorEastAsia"/>
          <w:kern w:val="0"/>
          <w:szCs w:val="21"/>
        </w:rPr>
        <w:t xml:space="preserve">THE UNDERWRITER HEREBY AGREES WITH THE INSURED that if during the Period of Insurance the business carried on by the Insured at the premises specified in the Schedule is interrupted or interfered with in consequence of Loss of or damage to the Insured Property occurring at the location named in the Policy during the currency of this insurance subject to attachment of Machinery Breakdown Insurance </w:t>
      </w:r>
      <w:r>
        <w:rPr>
          <w:rFonts w:hint="default" w:ascii="Times New Roman" w:hAnsi="Times New Roman" w:cs="Times New Roman" w:eastAsiaTheme="minorEastAsia"/>
          <w:b/>
          <w:kern w:val="0"/>
          <w:szCs w:val="21"/>
        </w:rPr>
        <w:t>Policy No.:</w:t>
      </w:r>
      <w:r>
        <w:rPr>
          <w:rFonts w:hint="eastAsia" w:ascii="Times New Roman" w:hAnsi="Times New Roman" w:cs="Times New Roman" w:eastAsiaTheme="minorEastAsia"/>
          <w:b/>
          <w:kern w:val="0"/>
          <w:szCs w:val="21"/>
          <w:lang w:val="en-US" w:eastAsia="zh-CN"/>
        </w:rPr>
        <w:t xml:space="preserve"> </w:t>
      </w:r>
      <w:r>
        <w:rPr>
          <w:rFonts w:hint="default" w:ascii="Times New Roman" w:hAnsi="Times New Roman" w:cs="Times New Roman" w:eastAsiaTheme="minorEastAsia"/>
          <w:b/>
          <w:kern w:val="0"/>
          <w:szCs w:val="21"/>
        </w:rPr>
        <w:t>ASHH05002425QAAA293C</w:t>
      </w:r>
    </w:p>
    <w:p w14:paraId="4539FE76">
      <w:pPr>
        <w:widowControl/>
        <w:rPr>
          <w:rFonts w:hint="default" w:ascii="Times New Roman" w:hAnsi="Times New Roman" w:cs="Times New Roman" w:eastAsiaTheme="minorEastAsia"/>
          <w:kern w:val="0"/>
          <w:szCs w:val="21"/>
        </w:rPr>
      </w:pPr>
    </w:p>
    <w:p w14:paraId="18DD8DDE">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r>
        <w:rPr>
          <w:rFonts w:hint="default" w:ascii="Times New Roman" w:hAnsi="Times New Roman" w:cs="Times New Roman" w:eastAsiaTheme="minorEastAsia"/>
          <w:kern w:val="0"/>
          <w:szCs w:val="21"/>
        </w:rPr>
        <w:t>THEN THE UNDERWRITER shall indemnify the Insured against the amount of loss as hereinafter defined resulting from such interruption of interference.</w:t>
      </w:r>
    </w:p>
    <w:p w14:paraId="03407D3B">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p>
    <w:p w14:paraId="3BEDC316">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PROVIDED THAT</w:t>
      </w:r>
    </w:p>
    <w:p w14:paraId="680D6EE5">
      <w:pPr>
        <w:tabs>
          <w:tab w:val="left" w:pos="9270"/>
        </w:tabs>
        <w:autoSpaceDE w:val="0"/>
        <w:autoSpaceDN w:val="0"/>
        <w:adjustRightInd w:val="0"/>
        <w:spacing w:line="240" w:lineRule="atLeast"/>
        <w:textAlignment w:val="baseline"/>
        <w:rPr>
          <w:rFonts w:hint="default" w:ascii="Times New Roman" w:hAnsi="Times New Roman" w:cs="Times New Roman" w:eastAsiaTheme="minorEastAsia"/>
          <w:kern w:val="0"/>
          <w:szCs w:val="21"/>
        </w:rPr>
      </w:pPr>
    </w:p>
    <w:p w14:paraId="05C4BDA2">
      <w:pPr>
        <w:numPr>
          <w:ilvl w:val="0"/>
          <w:numId w:val="2"/>
        </w:numPr>
        <w:bidi w:val="0"/>
        <w:rPr>
          <w:rFonts w:hint="default" w:ascii="Times New Roman" w:hAnsi="Times New Roman" w:cs="Times New Roman" w:eastAsiaTheme="minorEastAsia"/>
        </w:rPr>
      </w:pPr>
      <w:r>
        <w:rPr>
          <w:rFonts w:hint="default" w:ascii="Times New Roman" w:hAnsi="Times New Roman" w:cs="Times New Roman" w:eastAsiaTheme="minorEastAsia"/>
        </w:rPr>
        <w:t>at the time of the happening of an accident there shall be in force an insurance covering the interest of the Insured in the Property at the Premises against physical loss resulting therefrom and that payment shall  have been made or liability admitted therefor under such insurance;</w:t>
      </w:r>
    </w:p>
    <w:p w14:paraId="0784E7FE">
      <w:pPr>
        <w:numPr>
          <w:ilvl w:val="0"/>
          <w:numId w:val="0"/>
        </w:numPr>
        <w:bidi w:val="0"/>
        <w:ind w:leftChars="0"/>
        <w:rPr>
          <w:rFonts w:hint="default" w:ascii="Times New Roman" w:hAnsi="Times New Roman" w:cs="Times New Roman" w:eastAsiaTheme="minorEastAsia"/>
        </w:rPr>
      </w:pPr>
    </w:p>
    <w:p w14:paraId="23140999">
      <w:pPr>
        <w:numPr>
          <w:ilvl w:val="0"/>
          <w:numId w:val="2"/>
        </w:numPr>
        <w:bidi w:val="0"/>
        <w:rPr>
          <w:rFonts w:hint="default" w:ascii="Times New Roman" w:hAnsi="Times New Roman" w:cs="Times New Roman" w:eastAsiaTheme="minorEastAsia"/>
        </w:rPr>
      </w:pPr>
      <w:r>
        <w:rPr>
          <w:rFonts w:hint="default" w:ascii="Times New Roman" w:hAnsi="Times New Roman" w:cs="Times New Roman" w:eastAsiaTheme="minorEastAsia"/>
        </w:rPr>
        <w:t>the liability of the Underwriter shall in no case exceed in respect of each item the Sum stated in the Schedule to be insured thereon or in the whole the total sum insured hereby or such other sum or sums as may be substituted thereor by memorandum hereon or attached hereto signed by the Underwriter.</w:t>
      </w:r>
    </w:p>
    <w:p w14:paraId="574FF9A8">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kern w:val="0"/>
          <w:szCs w:val="21"/>
        </w:rPr>
      </w:pPr>
    </w:p>
    <w:p w14:paraId="4B8D1533">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4F27B042">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2AEC430A">
      <w:pPr>
        <w:tabs>
          <w:tab w:val="left" w:pos="9270"/>
        </w:tabs>
        <w:autoSpaceDE w:val="0"/>
        <w:autoSpaceDN w:val="0"/>
        <w:adjustRightInd w:val="0"/>
        <w:spacing w:line="240" w:lineRule="atLeast"/>
        <w:jc w:val="both"/>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4CC210C2">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378F4ECD">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p w14:paraId="004BC40F">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tbl>
      <w:tblPr>
        <w:tblStyle w:val="15"/>
        <w:tblW w:w="9270" w:type="dxa"/>
        <w:tblInd w:w="198" w:type="dxa"/>
        <w:tblLayout w:type="fixed"/>
        <w:tblCellMar>
          <w:top w:w="0" w:type="dxa"/>
          <w:left w:w="108" w:type="dxa"/>
          <w:bottom w:w="0" w:type="dxa"/>
          <w:right w:w="108" w:type="dxa"/>
        </w:tblCellMar>
      </w:tblPr>
      <w:tblGrid>
        <w:gridCol w:w="4446"/>
        <w:gridCol w:w="4824"/>
      </w:tblGrid>
      <w:tr w14:paraId="4A9AA149">
        <w:tc>
          <w:tcPr>
            <w:tcW w:w="4446" w:type="dxa"/>
          </w:tcPr>
          <w:p w14:paraId="15099C9D">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tc>
        <w:tc>
          <w:tcPr>
            <w:tcW w:w="4824" w:type="dxa"/>
          </w:tcPr>
          <w:p w14:paraId="72A39DC4">
            <w:pPr>
              <w:autoSpaceDE w:val="0"/>
              <w:autoSpaceDN w:val="0"/>
              <w:adjustRightInd w:val="0"/>
              <w:spacing w:line="240" w:lineRule="atLeast"/>
              <w:ind w:right="360"/>
              <w:jc w:val="center"/>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By China Pacific Insurance Company Limited</w:t>
            </w:r>
          </w:p>
        </w:tc>
      </w:tr>
      <w:tr w14:paraId="1EB8A5DB">
        <w:tc>
          <w:tcPr>
            <w:tcW w:w="4446" w:type="dxa"/>
          </w:tcPr>
          <w:p w14:paraId="0FF60416">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Address： No 400, Wusong Road Shanghai</w:t>
            </w:r>
          </w:p>
        </w:tc>
        <w:tc>
          <w:tcPr>
            <w:tcW w:w="4824" w:type="dxa"/>
          </w:tcPr>
          <w:p w14:paraId="67CA44DF">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Shanghai Branch</w:t>
            </w:r>
          </w:p>
        </w:tc>
      </w:tr>
      <w:tr w14:paraId="4EC0FD8D">
        <w:tc>
          <w:tcPr>
            <w:tcW w:w="4446" w:type="dxa"/>
          </w:tcPr>
          <w:p w14:paraId="105D81CB">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Date of Issue：</w:t>
            </w:r>
            <w:r>
              <w:rPr>
                <w:rFonts w:hint="default" w:ascii="Times New Roman" w:hAnsi="Times New Roman" w:cs="Times New Roman" w:eastAsiaTheme="minorEastAsia"/>
                <w:kern w:val="0"/>
                <w:szCs w:val="21"/>
              </w:rPr>
              <w:t>202</w:t>
            </w:r>
            <w:r>
              <w:rPr>
                <w:rFonts w:hint="eastAsia" w:ascii="Times New Roman" w:hAnsi="Times New Roman" w:cs="Times New Roman" w:eastAsiaTheme="minorEastAsia"/>
                <w:kern w:val="0"/>
                <w:szCs w:val="21"/>
                <w:lang w:val="en-US" w:eastAsia="zh-CN"/>
              </w:rPr>
              <w:t>5</w:t>
            </w:r>
            <w:r>
              <w:rPr>
                <w:rFonts w:hint="default" w:ascii="Times New Roman" w:hAnsi="Times New Roman" w:cs="Times New Roman" w:eastAsiaTheme="minorEastAsia"/>
                <w:kern w:val="0"/>
                <w:szCs w:val="21"/>
              </w:rPr>
              <w:t>-1</w:t>
            </w:r>
            <w:r>
              <w:rPr>
                <w:rFonts w:hint="eastAsia" w:ascii="Times New Roman" w:hAnsi="Times New Roman" w:cs="Times New Roman" w:eastAsiaTheme="minorEastAsia"/>
                <w:kern w:val="0"/>
                <w:szCs w:val="21"/>
                <w:lang w:val="en-US" w:eastAsia="zh-CN"/>
              </w:rPr>
              <w:t>0</w:t>
            </w:r>
            <w:r>
              <w:rPr>
                <w:rFonts w:hint="default" w:ascii="Times New Roman" w:hAnsi="Times New Roman" w:cs="Times New Roman" w:eastAsiaTheme="minorEastAsia"/>
                <w:kern w:val="0"/>
                <w:szCs w:val="21"/>
              </w:rPr>
              <w:t>-31</w:t>
            </w:r>
          </w:p>
        </w:tc>
        <w:tc>
          <w:tcPr>
            <w:tcW w:w="4824" w:type="dxa"/>
          </w:tcPr>
          <w:p w14:paraId="0DC9481F">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tc>
      </w:tr>
      <w:tr w14:paraId="0B54B491">
        <w:tc>
          <w:tcPr>
            <w:tcW w:w="4446" w:type="dxa"/>
          </w:tcPr>
          <w:p w14:paraId="331BF402">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Place of Issue： Shanghai</w:t>
            </w:r>
          </w:p>
        </w:tc>
        <w:tc>
          <w:tcPr>
            <w:tcW w:w="4824" w:type="dxa"/>
          </w:tcPr>
          <w:p w14:paraId="2147940A">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tc>
      </w:tr>
      <w:tr w14:paraId="3095A1E6">
        <w:tc>
          <w:tcPr>
            <w:tcW w:w="4446" w:type="dxa"/>
          </w:tcPr>
          <w:p w14:paraId="472B011B">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Tel： 021-66779900</w:t>
            </w:r>
          </w:p>
        </w:tc>
        <w:tc>
          <w:tcPr>
            <w:tcW w:w="4824" w:type="dxa"/>
          </w:tcPr>
          <w:p w14:paraId="2326BEA9">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_____________________________</w:t>
            </w:r>
          </w:p>
        </w:tc>
      </w:tr>
      <w:tr w14:paraId="0715DCB3">
        <w:tc>
          <w:tcPr>
            <w:tcW w:w="4446" w:type="dxa"/>
          </w:tcPr>
          <w:p w14:paraId="523A6A41">
            <w:pPr>
              <w:tabs>
                <w:tab w:val="left" w:pos="9270"/>
              </w:tabs>
              <w:autoSpaceDE w:val="0"/>
              <w:autoSpaceDN w:val="0"/>
              <w:adjustRightInd w:val="0"/>
              <w:spacing w:line="240" w:lineRule="atLeast"/>
              <w:jc w:val="left"/>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Fax： 021-66085269</w:t>
            </w:r>
          </w:p>
        </w:tc>
        <w:tc>
          <w:tcPr>
            <w:tcW w:w="4824" w:type="dxa"/>
          </w:tcPr>
          <w:p w14:paraId="58B6E142">
            <w:pPr>
              <w:tabs>
                <w:tab w:val="left" w:pos="9270"/>
              </w:tabs>
              <w:autoSpaceDE w:val="0"/>
              <w:autoSpaceDN w:val="0"/>
              <w:adjustRightInd w:val="0"/>
              <w:spacing w:line="240" w:lineRule="atLeast"/>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t>Authorized Signature</w:t>
            </w:r>
          </w:p>
        </w:tc>
      </w:tr>
    </w:tbl>
    <w:p w14:paraId="7DC377D5">
      <w:pPr>
        <w:autoSpaceDE w:val="0"/>
        <w:autoSpaceDN w:val="0"/>
        <w:adjustRightInd w:val="0"/>
        <w:spacing w:line="240" w:lineRule="atLeast"/>
        <w:ind w:right="360"/>
        <w:jc w:val="both"/>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sectPr>
          <w:headerReference r:id="rId3" w:type="default"/>
          <w:footerReference r:id="rId4" w:type="default"/>
          <w:pgSz w:w="11906" w:h="16838"/>
          <w:pgMar w:top="1440" w:right="1466" w:bottom="1440" w:left="1170" w:header="851" w:footer="850" w:gutter="0"/>
          <w:cols w:space="425" w:num="1"/>
          <w:docGrid w:linePitch="286" w:charSpace="0"/>
        </w:sectPr>
      </w:pPr>
    </w:p>
    <w:p w14:paraId="3A1BEE1E">
      <w:pPr>
        <w:autoSpaceDE w:val="0"/>
        <w:autoSpaceDN w:val="0"/>
        <w:adjustRightInd w:val="0"/>
        <w:spacing w:line="240" w:lineRule="atLeast"/>
        <w:ind w:right="360"/>
        <w:jc w:val="center"/>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r>
        <w:rPr>
          <w:rFonts w:hint="default" w:ascii="Times New Roman" w:hAnsi="Times New Roman" w:cs="Times New Roman" w:eastAsiaTheme="minorEastAsia"/>
          <w:b/>
          <w:color w:val="000000" w:themeColor="text1"/>
          <w:kern w:val="0"/>
          <w:szCs w:val="21"/>
          <w14:textFill>
            <w14:solidFill>
              <w14:schemeClr w14:val="tx1"/>
            </w14:solidFill>
          </w14:textFill>
        </w:rPr>
        <w:t>Schedule</w:t>
      </w:r>
    </w:p>
    <w:p w14:paraId="4050A725">
      <w:pPr>
        <w:autoSpaceDE w:val="0"/>
        <w:autoSpaceDN w:val="0"/>
        <w:adjustRightInd w:val="0"/>
        <w:spacing w:line="240" w:lineRule="atLeast"/>
        <w:ind w:right="360"/>
        <w:jc w:val="center"/>
        <w:textAlignment w:val="baseline"/>
        <w:rPr>
          <w:rFonts w:hint="default" w:ascii="Times New Roman" w:hAnsi="Times New Roman" w:cs="Times New Roman" w:eastAsiaTheme="minorEastAsia"/>
          <w:b/>
          <w:kern w:val="0"/>
          <w:szCs w:val="21"/>
        </w:rPr>
      </w:pPr>
    </w:p>
    <w:p w14:paraId="6C5C0B9C">
      <w:pPr>
        <w:autoSpaceDE w:val="0"/>
        <w:autoSpaceDN w:val="0"/>
        <w:adjustRightInd w:val="0"/>
        <w:spacing w:line="240" w:lineRule="atLeast"/>
        <w:ind w:right="360"/>
        <w:textAlignment w:val="baseline"/>
        <w:rPr>
          <w:rFonts w:hint="default" w:ascii="Times New Roman" w:hAnsi="Times New Roman" w:cs="Times New Roman" w:eastAsiaTheme="minorEastAsia"/>
          <w:b/>
          <w:kern w:val="0"/>
          <w:szCs w:val="21"/>
        </w:rPr>
      </w:pPr>
    </w:p>
    <w:tbl>
      <w:tblPr>
        <w:tblStyle w:val="15"/>
        <w:tblW w:w="9300" w:type="dxa"/>
        <w:tblInd w:w="91" w:type="dxa"/>
        <w:tblLayout w:type="fixed"/>
        <w:tblCellMar>
          <w:top w:w="0" w:type="dxa"/>
          <w:left w:w="108" w:type="dxa"/>
          <w:bottom w:w="0" w:type="dxa"/>
          <w:right w:w="108" w:type="dxa"/>
        </w:tblCellMar>
      </w:tblPr>
      <w:tblGrid>
        <w:gridCol w:w="7"/>
        <w:gridCol w:w="2201"/>
        <w:gridCol w:w="7084"/>
        <w:gridCol w:w="8"/>
      </w:tblGrid>
      <w:tr w14:paraId="24F0CB65">
        <w:tc>
          <w:tcPr>
            <w:tcW w:w="2208" w:type="dxa"/>
            <w:gridSpan w:val="2"/>
            <w:tcBorders>
              <w:right w:val="single" w:color="auto" w:sz="8" w:space="0"/>
            </w:tcBorders>
          </w:tcPr>
          <w:p w14:paraId="2ABBEA3A">
            <w:pPr>
              <w:autoSpaceDE w:val="0"/>
              <w:autoSpaceDN w:val="0"/>
              <w:adjustRightInd w:val="0"/>
              <w:spacing w:line="240" w:lineRule="atLeast"/>
              <w:ind w:right="360"/>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The Insured</w:t>
            </w:r>
          </w:p>
        </w:tc>
        <w:tc>
          <w:tcPr>
            <w:tcW w:w="7092" w:type="dxa"/>
            <w:gridSpan w:val="2"/>
            <w:tcBorders>
              <w:left w:val="single" w:color="auto" w:sz="8" w:space="0"/>
            </w:tcBorders>
            <w:vAlign w:val="top"/>
          </w:tcPr>
          <w:p w14:paraId="14DBD0ED">
            <w:pPr>
              <w:keepNext w:val="0"/>
              <w:keepLines w:val="0"/>
              <w:widowControl/>
              <w:suppressLineNumbers w:val="0"/>
              <w:jc w:val="left"/>
              <w:textAlignment w:val="top"/>
              <w:rPr>
                <w:rFonts w:hint="eastAsia" w:ascii="Times New Roman" w:hAnsi="Times New Roman" w:cs="Times New Roman" w:eastAsiaTheme="minorEastAsia"/>
                <w:szCs w:val="21"/>
                <w:lang w:eastAsia="zh-CN"/>
              </w:rPr>
            </w:pPr>
            <w:r>
              <w:rPr>
                <w:rFonts w:hint="eastAsia"/>
              </w:rPr>
              <w:t>{</w:t>
            </w:r>
            <w:r>
              <w:rPr>
                <w:rFonts w:hint="eastAsia"/>
                <w:b/>
                <w:bCs/>
                <w:color w:val="auto"/>
                <w:sz w:val="21"/>
                <w:szCs w:val="21"/>
                <w:highlight w:val="none"/>
                <w:lang w:val="en-US" w:eastAsia="zh-CN"/>
              </w:rPr>
              <w:t>The Insured</w:t>
            </w:r>
            <w:r>
              <w:rPr>
                <w:rFonts w:hint="eastAsia"/>
              </w:rPr>
              <w:t>}</w:t>
            </w:r>
          </w:p>
        </w:tc>
      </w:tr>
      <w:tr w14:paraId="79C4C2A9">
        <w:trPr>
          <w:gridAfter w:val="1"/>
          <w:wAfter w:w="8" w:type="dxa"/>
        </w:trPr>
        <w:tc>
          <w:tcPr>
            <w:tcW w:w="2208" w:type="dxa"/>
            <w:gridSpan w:val="2"/>
            <w:tcBorders>
              <w:right w:val="single" w:color="auto" w:sz="8" w:space="0"/>
            </w:tcBorders>
          </w:tcPr>
          <w:p w14:paraId="67D4142D">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p>
        </w:tc>
        <w:tc>
          <w:tcPr>
            <w:tcW w:w="7084" w:type="dxa"/>
            <w:tcBorders>
              <w:left w:val="single" w:color="auto" w:sz="8" w:space="0"/>
            </w:tcBorders>
            <w:vAlign w:val="top"/>
          </w:tcPr>
          <w:p w14:paraId="64802ABA">
            <w:pPr>
              <w:widowControl/>
              <w:tabs>
                <w:tab w:val="left" w:pos="-1440"/>
                <w:tab w:val="left" w:pos="-720"/>
                <w:tab w:val="left" w:pos="0"/>
                <w:tab w:val="left" w:pos="2165"/>
                <w:tab w:val="left" w:pos="2460"/>
              </w:tabs>
              <w:suppressAutoHyphens/>
              <w:rPr>
                <w:rFonts w:hint="default" w:ascii="Times New Roman" w:hAnsi="Times New Roman" w:cs="Times New Roman" w:eastAsiaTheme="minorEastAsia"/>
                <w:b w:val="0"/>
                <w:bCs w:val="0"/>
                <w:color w:val="auto"/>
                <w:spacing w:val="-2"/>
                <w:kern w:val="0"/>
                <w:szCs w:val="21"/>
              </w:rPr>
            </w:pPr>
            <w:r>
              <w:rPr>
                <w:rFonts w:hint="default" w:ascii="Times New Roman" w:hAnsi="Times New Roman" w:cs="Times New Roman" w:eastAsiaTheme="minorEastAsia"/>
                <w:b w:val="0"/>
                <w:bCs w:val="0"/>
                <w:color w:val="auto"/>
                <w:spacing w:val="-2"/>
                <w:kern w:val="0"/>
                <w:szCs w:val="21"/>
              </w:rPr>
              <w:t>&amp;/or Its Subsidiaries &amp;/or Affiliated Companies &amp;/or Associated Companies for their respective rights and interests</w:t>
            </w:r>
          </w:p>
          <w:p w14:paraId="7C172504">
            <w:pPr>
              <w:widowControl/>
              <w:tabs>
                <w:tab w:val="left" w:pos="-1440"/>
                <w:tab w:val="left" w:pos="-720"/>
                <w:tab w:val="left" w:pos="0"/>
                <w:tab w:val="left" w:pos="2165"/>
                <w:tab w:val="left" w:pos="2460"/>
              </w:tabs>
              <w:suppressAutoHyphens/>
              <w:rPr>
                <w:rFonts w:hint="default" w:ascii="Times New Roman" w:hAnsi="Times New Roman" w:cs="Times New Roman" w:eastAsiaTheme="minorEastAsia"/>
                <w:b w:val="0"/>
                <w:bCs w:val="0"/>
                <w:color w:val="auto"/>
                <w:spacing w:val="-2"/>
                <w:kern w:val="0"/>
                <w:szCs w:val="21"/>
              </w:rPr>
            </w:pPr>
          </w:p>
        </w:tc>
      </w:tr>
      <w:tr w14:paraId="10D38C21">
        <w:trPr>
          <w:gridAfter w:val="1"/>
          <w:wAfter w:w="8" w:type="dxa"/>
        </w:trPr>
        <w:tc>
          <w:tcPr>
            <w:tcW w:w="2208" w:type="dxa"/>
            <w:gridSpan w:val="2"/>
            <w:tcBorders>
              <w:right w:val="single" w:color="auto" w:sz="8" w:space="0"/>
            </w:tcBorders>
          </w:tcPr>
          <w:p w14:paraId="5C7C4CE9">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 xml:space="preserve">Locations </w:t>
            </w:r>
          </w:p>
        </w:tc>
        <w:tc>
          <w:tcPr>
            <w:tcW w:w="7084" w:type="dxa"/>
            <w:tcBorders>
              <w:left w:val="single" w:color="auto" w:sz="8" w:space="0"/>
            </w:tcBorders>
            <w:vAlign w:val="center"/>
          </w:tcPr>
          <w:p w14:paraId="358D2C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rPr>
              <w:t>{</w:t>
            </w:r>
            <w:r>
              <w:rPr>
                <w:rFonts w:hint="eastAsia"/>
                <w:b/>
                <w:bCs/>
                <w:color w:val="auto"/>
                <w:sz w:val="21"/>
                <w:szCs w:val="21"/>
                <w:highlight w:val="none"/>
                <w:lang w:val="en-US" w:eastAsia="zh-CN"/>
              </w:rPr>
              <w:t>Address</w:t>
            </w:r>
            <w:r>
              <w:rPr>
                <w:rFonts w:hint="eastAsia"/>
              </w:rPr>
              <w:t>}</w:t>
            </w:r>
          </w:p>
        </w:tc>
      </w:tr>
      <w:tr w14:paraId="74202A42">
        <w:trPr>
          <w:gridAfter w:val="1"/>
          <w:wAfter w:w="8" w:type="dxa"/>
        </w:trPr>
        <w:tc>
          <w:tcPr>
            <w:tcW w:w="2208" w:type="dxa"/>
            <w:gridSpan w:val="2"/>
            <w:tcBorders>
              <w:right w:val="single" w:color="auto" w:sz="8" w:space="0"/>
            </w:tcBorders>
          </w:tcPr>
          <w:p w14:paraId="0BB566EB">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p>
        </w:tc>
        <w:tc>
          <w:tcPr>
            <w:tcW w:w="7084" w:type="dxa"/>
            <w:tcBorders>
              <w:left w:val="single" w:color="auto" w:sz="8" w:space="0"/>
            </w:tcBorders>
            <w:vAlign w:val="top"/>
          </w:tcPr>
          <w:p w14:paraId="50AE181D">
            <w:pPr>
              <w:keepNext w:val="0"/>
              <w:keepLines w:val="0"/>
              <w:widowControl/>
              <w:suppressLineNumbers w:val="0"/>
              <w:jc w:val="left"/>
              <w:textAlignment w:val="top"/>
              <w:rPr>
                <w:rFonts w:hint="default" w:ascii="Times New Roman" w:hAnsi="Times New Roman" w:cs="Times New Roman" w:eastAsiaTheme="minorEastAsia"/>
                <w:b w:val="0"/>
                <w:bCs w:val="0"/>
                <w:i w:val="0"/>
                <w:iCs w:val="0"/>
                <w:color w:val="000000"/>
                <w:kern w:val="0"/>
                <w:sz w:val="21"/>
                <w:szCs w:val="21"/>
                <w:u w:val="none"/>
                <w:lang w:val="en-US" w:eastAsia="zh-CN" w:bidi="ar"/>
              </w:rPr>
            </w:pPr>
          </w:p>
        </w:tc>
      </w:tr>
      <w:tr w14:paraId="1EE1607E">
        <w:trPr>
          <w:gridBefore w:val="1"/>
          <w:gridAfter w:val="1"/>
          <w:wBefore w:w="7" w:type="dxa"/>
          <w:wAfter w:w="8" w:type="dxa"/>
        </w:trPr>
        <w:tc>
          <w:tcPr>
            <w:tcW w:w="2201" w:type="dxa"/>
            <w:tcBorders>
              <w:right w:val="single" w:color="auto" w:sz="8" w:space="0"/>
            </w:tcBorders>
            <w:noWrap w:val="0"/>
            <w:vAlign w:val="top"/>
          </w:tcPr>
          <w:p w14:paraId="07ADA7E5">
            <w:pPr>
              <w:tabs>
                <w:tab w:val="left" w:pos="1877"/>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kern w:val="0"/>
                <w:szCs w:val="21"/>
              </w:rPr>
            </w:pPr>
            <w:r>
              <w:rPr>
                <w:rFonts w:hint="default" w:ascii="Times New Roman" w:hAnsi="Times New Roman" w:cs="Times New Roman" w:eastAsiaTheme="minorEastAsia"/>
                <w:b/>
                <w:color w:val="000000"/>
                <w:kern w:val="0"/>
                <w:szCs w:val="21"/>
              </w:rPr>
              <w:t>Period of Insurance</w:t>
            </w:r>
          </w:p>
          <w:p w14:paraId="7D42B829">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000000"/>
                <w:kern w:val="0"/>
                <w:szCs w:val="21"/>
              </w:rPr>
            </w:pPr>
          </w:p>
        </w:tc>
        <w:tc>
          <w:tcPr>
            <w:tcW w:w="7084" w:type="dxa"/>
            <w:tcBorders>
              <w:left w:val="single" w:color="auto" w:sz="8" w:space="0"/>
            </w:tcBorders>
            <w:noWrap w:val="0"/>
            <w:vAlign w:val="top"/>
          </w:tcPr>
          <w:p w14:paraId="5177773A">
            <w:pPr>
              <w:autoSpaceDE w:val="0"/>
              <w:autoSpaceDN w:val="0"/>
              <w:adjustRightInd w:val="0"/>
              <w:spacing w:line="240" w:lineRule="atLeast"/>
              <w:ind w:right="360"/>
              <w:jc w:val="left"/>
              <w:textAlignment w:val="baseline"/>
              <w:rPr>
                <w:rFonts w:hint="default" w:ascii="Times New Roman" w:hAnsi="Times New Roman" w:cs="Times New Roman" w:eastAsiaTheme="minorEastAsia"/>
                <w:color w:val="auto"/>
                <w:kern w:val="0"/>
                <w:szCs w:val="21"/>
              </w:rPr>
            </w:pPr>
            <w:r>
              <w:rPr>
                <w:rFonts w:hint="default" w:ascii="Times New Roman" w:hAnsi="Times New Roman" w:cs="Times New Roman" w:eastAsiaTheme="minorEastAsia"/>
                <w:color w:val="auto"/>
                <w:kern w:val="0"/>
                <w:szCs w:val="21"/>
              </w:rPr>
              <w:t>From 202</w:t>
            </w:r>
            <w:r>
              <w:rPr>
                <w:rFonts w:hint="eastAsia" w:ascii="Times New Roman" w:hAnsi="Times New Roman" w:cs="Times New Roman" w:eastAsiaTheme="minorEastAsia"/>
                <w:color w:val="auto"/>
                <w:kern w:val="0"/>
                <w:szCs w:val="21"/>
                <w:lang w:val="en-US" w:eastAsia="zh-CN"/>
              </w:rPr>
              <w:t>6</w:t>
            </w:r>
            <w:r>
              <w:rPr>
                <w:rFonts w:hint="default" w:ascii="Times New Roman" w:hAnsi="Times New Roman" w:cs="Times New Roman" w:eastAsiaTheme="minorEastAsia"/>
                <w:color w:val="auto"/>
                <w:kern w:val="0"/>
                <w:szCs w:val="21"/>
              </w:rPr>
              <w:t>-01-01 at 0:00 to 202</w:t>
            </w:r>
            <w:r>
              <w:rPr>
                <w:rFonts w:hint="eastAsia" w:ascii="Times New Roman" w:hAnsi="Times New Roman" w:cs="Times New Roman" w:eastAsiaTheme="minorEastAsia"/>
                <w:color w:val="auto"/>
                <w:kern w:val="0"/>
                <w:szCs w:val="21"/>
                <w:lang w:val="en-US" w:eastAsia="zh-CN"/>
              </w:rPr>
              <w:t>6</w:t>
            </w:r>
            <w:r>
              <w:rPr>
                <w:rFonts w:hint="default" w:ascii="Times New Roman" w:hAnsi="Times New Roman" w:cs="Times New Roman" w:eastAsiaTheme="minorEastAsia"/>
                <w:color w:val="auto"/>
                <w:kern w:val="0"/>
                <w:szCs w:val="21"/>
              </w:rPr>
              <w:t>-12-31 at 24:00</w:t>
            </w:r>
          </w:p>
        </w:tc>
      </w:tr>
      <w:tr w14:paraId="61A0C1BD">
        <w:trPr>
          <w:gridBefore w:val="1"/>
          <w:gridAfter w:val="1"/>
          <w:wBefore w:w="7" w:type="dxa"/>
          <w:wAfter w:w="8" w:type="dxa"/>
        </w:trPr>
        <w:tc>
          <w:tcPr>
            <w:tcW w:w="2201" w:type="dxa"/>
            <w:tcBorders>
              <w:right w:val="single" w:color="auto" w:sz="8" w:space="0"/>
            </w:tcBorders>
            <w:noWrap w:val="0"/>
            <w:vAlign w:val="top"/>
          </w:tcPr>
          <w:p w14:paraId="69ED3FF9">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Coverage</w:t>
            </w:r>
          </w:p>
        </w:tc>
        <w:tc>
          <w:tcPr>
            <w:tcW w:w="7084" w:type="dxa"/>
            <w:tcBorders>
              <w:left w:val="single" w:color="auto" w:sz="8" w:space="0"/>
            </w:tcBorders>
            <w:noWrap w:val="0"/>
            <w:vAlign w:val="top"/>
          </w:tcPr>
          <w:p w14:paraId="512D3916">
            <w:pPr>
              <w:widowControl/>
              <w:tabs>
                <w:tab w:val="left" w:pos="-1440"/>
                <w:tab w:val="left" w:pos="-720"/>
                <w:tab w:val="left" w:pos="0"/>
                <w:tab w:val="left" w:pos="2165"/>
                <w:tab w:val="left" w:pos="2460"/>
              </w:tabs>
              <w:suppressAutoHyphens/>
              <w:rPr>
                <w:rFonts w:hint="default" w:ascii="Times New Roman" w:hAnsi="Times New Roman" w:eastAsia="宋体" w:cs="Times New Roman"/>
                <w:b w:val="0"/>
                <w:bCs w:val="0"/>
                <w:color w:val="auto"/>
                <w:spacing w:val="-2"/>
                <w:kern w:val="0"/>
                <w:sz w:val="21"/>
                <w:szCs w:val="21"/>
              </w:rPr>
            </w:pPr>
            <w:r>
              <w:rPr>
                <w:rFonts w:hint="default" w:ascii="Times New Roman" w:hAnsi="Times New Roman" w:eastAsia="宋体" w:cs="Times New Roman"/>
                <w:b w:val="0"/>
                <w:bCs w:val="0"/>
                <w:color w:val="auto"/>
                <w:spacing w:val="-2"/>
                <w:kern w:val="0"/>
                <w:sz w:val="21"/>
                <w:szCs w:val="21"/>
              </w:rPr>
              <w:t xml:space="preserve">Financial Losses resulting from any losses/damages which constitute a valid claim under the property </w:t>
            </w:r>
            <w:r>
              <w:rPr>
                <w:rFonts w:hint="default" w:ascii="Times New Roman" w:hAnsi="Times New Roman" w:eastAsia="宋体" w:cs="Times New Roman"/>
                <w:b w:val="0"/>
                <w:bCs w:val="0"/>
                <w:color w:val="auto"/>
                <w:spacing w:val="-2"/>
                <w:kern w:val="0"/>
                <w:sz w:val="21"/>
                <w:szCs w:val="21"/>
                <w:lang w:eastAsia="zh-TW"/>
              </w:rPr>
              <w:t xml:space="preserve">all risks </w:t>
            </w:r>
            <w:r>
              <w:rPr>
                <w:rFonts w:hint="default" w:ascii="Times New Roman" w:hAnsi="Times New Roman" w:eastAsia="宋体" w:cs="Times New Roman"/>
                <w:b w:val="0"/>
                <w:bCs w:val="0"/>
                <w:color w:val="auto"/>
                <w:spacing w:val="-2"/>
                <w:kern w:val="0"/>
                <w:sz w:val="21"/>
                <w:szCs w:val="21"/>
              </w:rPr>
              <w:t>insurance (including boiler explosion) insurance covering the insured’s real &amp;/or personal property and/or the property under the insured care, custody &amp; control</w:t>
            </w:r>
          </w:p>
          <w:p w14:paraId="4C89D1C5">
            <w:pPr>
              <w:widowControl/>
              <w:tabs>
                <w:tab w:val="left" w:pos="-1440"/>
                <w:tab w:val="left" w:pos="-720"/>
                <w:tab w:val="left" w:pos="0"/>
                <w:tab w:val="left" w:pos="2165"/>
                <w:tab w:val="left" w:pos="2460"/>
              </w:tabs>
              <w:suppressAutoHyphens/>
              <w:rPr>
                <w:rFonts w:hint="default" w:ascii="Times New Roman" w:hAnsi="Times New Roman" w:eastAsia="宋体" w:cs="Times New Roman"/>
                <w:b w:val="0"/>
                <w:bCs w:val="0"/>
                <w:color w:val="auto"/>
                <w:spacing w:val="-2"/>
                <w:kern w:val="0"/>
                <w:sz w:val="21"/>
                <w:szCs w:val="21"/>
              </w:rPr>
            </w:pPr>
          </w:p>
        </w:tc>
      </w:tr>
      <w:tr w14:paraId="4A67B160">
        <w:trPr>
          <w:gridBefore w:val="1"/>
          <w:gridAfter w:val="1"/>
          <w:wBefore w:w="7" w:type="dxa"/>
          <w:wAfter w:w="8" w:type="dxa"/>
          <w:trHeight w:val="486" w:hRule="atLeast"/>
        </w:trPr>
        <w:tc>
          <w:tcPr>
            <w:tcW w:w="2201" w:type="dxa"/>
            <w:tcBorders>
              <w:right w:val="single" w:color="auto" w:sz="8" w:space="0"/>
            </w:tcBorders>
            <w:noWrap w:val="0"/>
            <w:vAlign w:val="top"/>
          </w:tcPr>
          <w:p w14:paraId="45B8168A">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Sum Insured</w:t>
            </w:r>
          </w:p>
          <w:p w14:paraId="3B75C063">
            <w:pPr>
              <w:autoSpaceDE w:val="0"/>
              <w:autoSpaceDN w:val="0"/>
              <w:adjustRightInd w:val="0"/>
              <w:spacing w:line="240" w:lineRule="atLeast"/>
              <w:ind w:right="360"/>
              <w:jc w:val="left"/>
              <w:textAlignment w:val="baseline"/>
              <w:rPr>
                <w:rFonts w:hint="eastAsia" w:ascii="Times New Roman" w:hAnsi="Times New Roman" w:cs="Times New Roman" w:eastAsiaTheme="minorEastAsia"/>
                <w:b/>
                <w:color w:val="auto"/>
                <w:kern w:val="0"/>
                <w:sz w:val="21"/>
                <w:szCs w:val="21"/>
                <w:highlight w:val="none"/>
                <w:lang w:val="en-US" w:eastAsia="zh-CN"/>
              </w:rPr>
            </w:pPr>
            <w:r>
              <w:rPr>
                <w:rFonts w:hint="default" w:ascii="Times New Roman" w:hAnsi="Times New Roman" w:cs="Times New Roman" w:eastAsiaTheme="minorEastAsia"/>
                <w:b/>
                <w:color w:val="auto"/>
                <w:kern w:val="0"/>
                <w:sz w:val="21"/>
                <w:szCs w:val="21"/>
                <w:highlight w:val="none"/>
                <w:lang w:val="en-US" w:eastAsia="zh-CN"/>
              </w:rPr>
              <w:t>(</w:t>
            </w:r>
            <w:r>
              <w:rPr>
                <w:rFonts w:hint="eastAsia" w:ascii="Times New Roman" w:hAnsi="Times New Roman" w:cs="Times New Roman" w:eastAsiaTheme="minorEastAsia"/>
                <w:b/>
                <w:color w:val="auto"/>
                <w:kern w:val="0"/>
                <w:sz w:val="21"/>
                <w:szCs w:val="21"/>
                <w:highlight w:val="none"/>
                <w:lang w:val="en-US" w:eastAsia="zh-CN"/>
              </w:rPr>
              <w:t xml:space="preserve">RMB, </w:t>
            </w:r>
          </w:p>
          <w:p w14:paraId="73EB794A">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lang w:val="en-US" w:eastAsia="zh-CN"/>
              </w:rPr>
            </w:pPr>
            <w:r>
              <w:rPr>
                <w:rFonts w:hint="default" w:ascii="Times New Roman" w:hAnsi="Times New Roman" w:cs="Times New Roman" w:eastAsiaTheme="minorEastAsia"/>
                <w:b/>
                <w:color w:val="auto"/>
                <w:kern w:val="0"/>
                <w:sz w:val="21"/>
                <w:szCs w:val="21"/>
                <w:highlight w:val="none"/>
              </w:rPr>
              <w:t>Gross Profit</w:t>
            </w:r>
            <w:r>
              <w:rPr>
                <w:rFonts w:hint="default" w:ascii="Times New Roman" w:hAnsi="Times New Roman" w:cs="Times New Roman" w:eastAsiaTheme="minorEastAsia"/>
                <w:b/>
                <w:color w:val="auto"/>
                <w:kern w:val="0"/>
                <w:sz w:val="21"/>
                <w:szCs w:val="21"/>
                <w:highlight w:val="none"/>
                <w:lang w:val="en-US" w:eastAsia="zh-CN"/>
              </w:rPr>
              <w:t>:</w:t>
            </w:r>
            <w:r>
              <w:rPr>
                <w:rFonts w:hint="eastAsia" w:ascii="Times New Roman" w:hAnsi="Times New Roman" w:cs="Times New Roman" w:eastAsiaTheme="minorEastAsia"/>
                <w:b/>
                <w:color w:val="auto"/>
                <w:kern w:val="0"/>
                <w:sz w:val="21"/>
                <w:szCs w:val="21"/>
                <w:highlight w:val="none"/>
                <w:lang w:val="en-US" w:eastAsia="zh-CN"/>
              </w:rPr>
              <w:t>24</w:t>
            </w:r>
            <w:r>
              <w:rPr>
                <w:rFonts w:hint="default" w:ascii="Times New Roman" w:hAnsi="Times New Roman" w:cs="Times New Roman" w:eastAsiaTheme="minorEastAsia"/>
                <w:b/>
                <w:color w:val="auto"/>
                <w:kern w:val="0"/>
                <w:sz w:val="21"/>
                <w:szCs w:val="21"/>
                <w:highlight w:val="none"/>
                <w:lang w:val="en-US" w:eastAsia="zh-CN"/>
              </w:rPr>
              <w:t xml:space="preserve"> months）</w:t>
            </w:r>
          </w:p>
          <w:p w14:paraId="45E6A8F4">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lang w:val="en-US" w:eastAsia="zh-CN"/>
              </w:rPr>
            </w:pPr>
          </w:p>
        </w:tc>
        <w:tc>
          <w:tcPr>
            <w:tcW w:w="7084" w:type="dxa"/>
            <w:tcBorders>
              <w:left w:val="single" w:color="auto" w:sz="8" w:space="0"/>
            </w:tcBorders>
            <w:noWrap w:val="0"/>
            <w:vAlign w:val="top"/>
          </w:tcPr>
          <w:p w14:paraId="76B84D8C">
            <w:pPr>
              <w:keepNext w:val="0"/>
              <w:keepLines w:val="0"/>
              <w:widowControl/>
              <w:suppressLineNumbers w:val="0"/>
              <w:jc w:val="left"/>
              <w:textAlignment w:val="top"/>
              <w:rPr>
                <w:rFonts w:hint="default" w:ascii="Times New Roman" w:hAnsi="Times New Roman" w:eastAsia="等线" w:cs="Times New Roman"/>
                <w:i w:val="0"/>
                <w:iCs w:val="0"/>
                <w:color w:val="000000"/>
                <w:kern w:val="2"/>
                <w:sz w:val="21"/>
                <w:szCs w:val="21"/>
                <w:u w:val="none"/>
                <w:lang w:val="en-US" w:eastAsia="zh-CN" w:bidi="ar-SA"/>
              </w:rPr>
            </w:pPr>
            <w:r>
              <w:rPr>
                <w:rFonts w:hint="eastAsia"/>
              </w:rPr>
              <w:t>{</w:t>
            </w:r>
            <w:r>
              <w:rPr>
                <w:rFonts w:hint="default" w:ascii="Times New Roman" w:hAnsi="Times New Roman" w:eastAsia="等线" w:cs="Times New Roman"/>
                <w:i w:val="0"/>
                <w:iCs w:val="0"/>
                <w:color w:val="000000"/>
                <w:kern w:val="2"/>
                <w:sz w:val="21"/>
                <w:szCs w:val="21"/>
                <w:u w:val="none"/>
                <w:lang w:val="en-US" w:eastAsia="zh-CN" w:bidi="ar-SA"/>
              </w:rPr>
              <w:t>PDBI(24 Months)</w:t>
            </w:r>
            <w:r>
              <w:rPr>
                <w:rFonts w:hint="eastAsia"/>
              </w:rPr>
              <w:t>}</w:t>
            </w:r>
          </w:p>
        </w:tc>
      </w:tr>
      <w:tr w14:paraId="7064944B">
        <w:trPr>
          <w:gridBefore w:val="1"/>
          <w:gridAfter w:val="1"/>
          <w:wBefore w:w="7" w:type="dxa"/>
          <w:wAfter w:w="8" w:type="dxa"/>
        </w:trPr>
        <w:tc>
          <w:tcPr>
            <w:tcW w:w="2201" w:type="dxa"/>
            <w:tcBorders>
              <w:right w:val="single" w:color="auto" w:sz="8" w:space="0"/>
            </w:tcBorders>
            <w:noWrap w:val="0"/>
            <w:vAlign w:val="top"/>
          </w:tcPr>
          <w:p w14:paraId="74382577">
            <w:pPr>
              <w:tabs>
                <w:tab w:val="left" w:pos="1877"/>
              </w:tabs>
              <w:autoSpaceDE w:val="0"/>
              <w:autoSpaceDN w:val="0"/>
              <w:adjustRightInd w:val="0"/>
              <w:spacing w:line="240" w:lineRule="atLeast"/>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Indemnity Period</w:t>
            </w:r>
          </w:p>
        </w:tc>
        <w:tc>
          <w:tcPr>
            <w:tcW w:w="7084" w:type="dxa"/>
            <w:tcBorders>
              <w:left w:val="single" w:color="auto" w:sz="8" w:space="0"/>
            </w:tcBorders>
            <w:noWrap w:val="0"/>
            <w:vAlign w:val="top"/>
          </w:tcPr>
          <w:p w14:paraId="2F82486D">
            <w:pPr>
              <w:autoSpaceDE w:val="0"/>
              <w:autoSpaceDN w:val="0"/>
              <w:adjustRightInd w:val="0"/>
              <w:spacing w:line="240" w:lineRule="atLeast"/>
              <w:ind w:right="360"/>
              <w:jc w:val="left"/>
              <w:textAlignment w:val="baseline"/>
              <w:rPr>
                <w:rFonts w:hint="default" w:ascii="Times New Roman" w:hAnsi="Times New Roman" w:cs="Times New Roman" w:eastAsiaTheme="minorEastAsia"/>
                <w:color w:val="auto"/>
                <w:kern w:val="0"/>
                <w:sz w:val="21"/>
                <w:szCs w:val="21"/>
                <w:highlight w:val="none"/>
              </w:rPr>
            </w:pPr>
            <w:r>
              <w:rPr>
                <w:rFonts w:hint="default" w:ascii="Times New Roman" w:hAnsi="Times New Roman" w:cs="Times New Roman" w:eastAsiaTheme="minorEastAsia"/>
                <w:color w:val="auto"/>
                <w:kern w:val="0"/>
                <w:sz w:val="21"/>
                <w:szCs w:val="21"/>
                <w:highlight w:val="none"/>
              </w:rPr>
              <w:t>24 months</w:t>
            </w:r>
          </w:p>
        </w:tc>
      </w:tr>
      <w:tr w14:paraId="0D46DCBB">
        <w:trPr>
          <w:gridBefore w:val="1"/>
          <w:gridAfter w:val="1"/>
          <w:wBefore w:w="7" w:type="dxa"/>
          <w:wAfter w:w="8" w:type="dxa"/>
          <w:trHeight w:val="240" w:hRule="atLeast"/>
        </w:trPr>
        <w:tc>
          <w:tcPr>
            <w:tcW w:w="2201" w:type="dxa"/>
            <w:tcBorders>
              <w:right w:val="single" w:color="auto" w:sz="8" w:space="0"/>
            </w:tcBorders>
            <w:noWrap/>
            <w:vAlign w:val="top"/>
          </w:tcPr>
          <w:p w14:paraId="4B400CBC">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p>
        </w:tc>
        <w:tc>
          <w:tcPr>
            <w:tcW w:w="7084" w:type="dxa"/>
            <w:tcBorders>
              <w:left w:val="single" w:color="auto" w:sz="8" w:space="0"/>
            </w:tcBorders>
            <w:noWrap/>
            <w:vAlign w:val="top"/>
          </w:tcPr>
          <w:p w14:paraId="2AD21918">
            <w:pPr>
              <w:pStyle w:val="34"/>
              <w:widowControl/>
              <w:ind w:left="420" w:firstLine="0" w:firstLineChars="0"/>
              <w:jc w:val="left"/>
              <w:rPr>
                <w:rFonts w:hint="default" w:ascii="Times New Roman" w:hAnsi="Times New Roman" w:cs="Times New Roman" w:eastAsiaTheme="minorEastAsia"/>
                <w:color w:val="auto"/>
                <w:kern w:val="0"/>
                <w:sz w:val="21"/>
                <w:szCs w:val="21"/>
                <w:highlight w:val="none"/>
              </w:rPr>
            </w:pPr>
          </w:p>
        </w:tc>
      </w:tr>
      <w:tr w14:paraId="125BB2E1">
        <w:trPr>
          <w:gridBefore w:val="1"/>
          <w:gridAfter w:val="1"/>
          <w:wBefore w:w="7" w:type="dxa"/>
          <w:wAfter w:w="8" w:type="dxa"/>
        </w:trPr>
        <w:tc>
          <w:tcPr>
            <w:tcW w:w="2201" w:type="dxa"/>
            <w:tcBorders>
              <w:right w:val="single" w:color="auto" w:sz="8" w:space="0"/>
            </w:tcBorders>
            <w:noWrap w:val="0"/>
            <w:vAlign w:val="top"/>
          </w:tcPr>
          <w:p w14:paraId="46161B27">
            <w:pPr>
              <w:autoSpaceDE w:val="0"/>
              <w:autoSpaceDN w:val="0"/>
              <w:adjustRightInd w:val="0"/>
              <w:spacing w:line="240" w:lineRule="atLeast"/>
              <w:ind w:right="360"/>
              <w:jc w:val="left"/>
              <w:textAlignment w:val="baseline"/>
              <w:rPr>
                <w:rFonts w:hint="default" w:ascii="Times New Roman" w:hAnsi="Times New Roman" w:cs="Times New Roman" w:eastAsiaTheme="minorEastAsia"/>
                <w:b/>
                <w:bCs/>
                <w:color w:val="auto"/>
                <w:kern w:val="0"/>
                <w:sz w:val="21"/>
                <w:szCs w:val="21"/>
                <w:highlight w:val="none"/>
              </w:rPr>
            </w:pPr>
            <w:r>
              <w:rPr>
                <w:rFonts w:hint="default" w:ascii="Times New Roman" w:hAnsi="Times New Roman" w:cs="Times New Roman" w:eastAsiaTheme="minorEastAsia"/>
                <w:b/>
                <w:bCs/>
                <w:color w:val="auto"/>
                <w:kern w:val="0"/>
                <w:sz w:val="21"/>
                <w:szCs w:val="21"/>
                <w:highlight w:val="none"/>
              </w:rPr>
              <w:t>Jurisdiction</w:t>
            </w:r>
          </w:p>
        </w:tc>
        <w:tc>
          <w:tcPr>
            <w:tcW w:w="7084" w:type="dxa"/>
            <w:tcBorders>
              <w:left w:val="single" w:color="auto" w:sz="8" w:space="0"/>
            </w:tcBorders>
            <w:noWrap w:val="0"/>
            <w:vAlign w:val="top"/>
          </w:tcPr>
          <w:p w14:paraId="3076ABDE">
            <w:pPr>
              <w:autoSpaceDE w:val="0"/>
              <w:autoSpaceDN w:val="0"/>
              <w:spacing w:line="280" w:lineRule="exact"/>
              <w:jc w:val="left"/>
              <w:rPr>
                <w:rFonts w:hint="default" w:ascii="Times New Roman" w:hAnsi="Times New Roman" w:cs="Times New Roman" w:eastAsiaTheme="minorEastAsia"/>
                <w:color w:val="auto"/>
                <w:kern w:val="0"/>
                <w:sz w:val="21"/>
                <w:szCs w:val="21"/>
                <w:highlight w:val="none"/>
              </w:rPr>
            </w:pPr>
            <w:r>
              <w:rPr>
                <w:rFonts w:hint="default" w:ascii="Times New Roman" w:hAnsi="Times New Roman" w:cs="Times New Roman" w:eastAsiaTheme="minorEastAsia"/>
                <w:color w:val="auto"/>
                <w:spacing w:val="-2"/>
                <w:kern w:val="0"/>
                <w:sz w:val="21"/>
                <w:szCs w:val="21"/>
                <w:highlight w:val="none"/>
              </w:rPr>
              <w:t>People's Republic of China, excluding Hong Kong, Macao and Taiwan</w:t>
            </w:r>
          </w:p>
          <w:p w14:paraId="2CB5F7B6">
            <w:pPr>
              <w:widowControl/>
              <w:tabs>
                <w:tab w:val="left" w:pos="-1440"/>
                <w:tab w:val="left" w:pos="-720"/>
                <w:tab w:val="left" w:pos="0"/>
                <w:tab w:val="left" w:pos="2165"/>
                <w:tab w:val="left" w:pos="2460"/>
              </w:tabs>
              <w:suppressAutoHyphens/>
              <w:jc w:val="left"/>
              <w:rPr>
                <w:rFonts w:hint="default" w:ascii="Times New Roman" w:hAnsi="Times New Roman" w:cs="Times New Roman" w:eastAsiaTheme="minorEastAsia"/>
                <w:color w:val="auto"/>
                <w:kern w:val="0"/>
                <w:sz w:val="21"/>
                <w:szCs w:val="21"/>
                <w:highlight w:val="none"/>
              </w:rPr>
            </w:pPr>
          </w:p>
        </w:tc>
      </w:tr>
      <w:tr w14:paraId="7CF2AC5D">
        <w:trPr>
          <w:gridBefore w:val="1"/>
          <w:gridAfter w:val="1"/>
          <w:wBefore w:w="7" w:type="dxa"/>
          <w:wAfter w:w="8" w:type="dxa"/>
          <w:trHeight w:val="240" w:hRule="atLeast"/>
        </w:trPr>
        <w:tc>
          <w:tcPr>
            <w:tcW w:w="2201" w:type="dxa"/>
            <w:tcBorders>
              <w:right w:val="single" w:color="auto" w:sz="8" w:space="0"/>
            </w:tcBorders>
            <w:noWrap/>
            <w:vAlign w:val="top"/>
          </w:tcPr>
          <w:p w14:paraId="5B194E63">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Extension</w:t>
            </w:r>
          </w:p>
        </w:tc>
        <w:tc>
          <w:tcPr>
            <w:tcW w:w="7084" w:type="dxa"/>
            <w:tcBorders>
              <w:left w:val="single" w:color="auto" w:sz="8" w:space="0"/>
            </w:tcBorders>
            <w:noWrap/>
            <w:vAlign w:val="top"/>
          </w:tcPr>
          <w:p w14:paraId="783BE885">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Accumulated Stocks</w:t>
            </w:r>
          </w:p>
          <w:p w14:paraId="021C09D7">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Automatic Cover for New Locations (subject to 90 days reporting period)</w:t>
            </w:r>
          </w:p>
          <w:p w14:paraId="2EF7D30B">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Automatic Reinstatement of Sum Insured</w:t>
            </w:r>
          </w:p>
          <w:p w14:paraId="4CDBF3D5">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Additional Increase in Cost of Working</w:t>
            </w:r>
          </w:p>
          <w:p w14:paraId="3FA39857">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Breach of Condition Clause</w:t>
            </w:r>
          </w:p>
          <w:p w14:paraId="7FA76AFC">
            <w:pPr>
              <w:pStyle w:val="34"/>
              <w:widowControl/>
              <w:numPr>
                <w:ilvl w:val="0"/>
                <w:numId w:val="3"/>
              </w:numPr>
              <w:ind w:firstLineChars="0"/>
              <w:jc w:val="left"/>
              <w:rPr>
                <w:rFonts w:hint="eastAsia" w:ascii="Times New Roman" w:hAnsi="Times New Roman" w:eastAsia="华文细黑"/>
                <w:color w:val="auto"/>
                <w:kern w:val="0"/>
                <w:szCs w:val="21"/>
              </w:rPr>
            </w:pPr>
            <w:r>
              <w:rPr>
                <w:rFonts w:ascii="Times New Roman" w:hAnsi="Times New Roman" w:eastAsia="华文宋体"/>
                <w:color w:val="auto"/>
                <w:szCs w:val="21"/>
              </w:rPr>
              <w:t>Book of Account Clause</w:t>
            </w:r>
          </w:p>
          <w:p w14:paraId="6ED3B0C8">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Co-Insurance Clause</w:t>
            </w:r>
          </w:p>
          <w:p w14:paraId="38ECA459">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Civil Authorities</w:t>
            </w:r>
          </w:p>
          <w:p w14:paraId="0F751800">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Unnamed Customers/ Suppliers Clause</w:t>
            </w:r>
            <w:r>
              <w:rPr>
                <w:rFonts w:hint="default" w:ascii="Times New Roman" w:hAnsi="Times New Roman" w:eastAsia="华文细黑"/>
                <w:color w:val="auto"/>
                <w:kern w:val="0"/>
                <w:szCs w:val="21"/>
              </w:rPr>
              <w:t>(Sub limit: 15% of sum insured per occurrence)</w:t>
            </w:r>
          </w:p>
          <w:p w14:paraId="0371E29D">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 xml:space="preserve">Costs of Compiling Records and Claim </w:t>
            </w:r>
            <w:r>
              <w:rPr>
                <w:rFonts w:hint="eastAsia" w:ascii="Times New Roman" w:hAnsi="Times New Roman" w:eastAsia="华文细黑"/>
                <w:color w:val="auto"/>
                <w:kern w:val="0"/>
                <w:szCs w:val="21"/>
              </w:rPr>
              <w:t>Pr</w:t>
            </w:r>
            <w:r>
              <w:rPr>
                <w:rFonts w:ascii="Times New Roman" w:hAnsi="Times New Roman" w:eastAsia="华文细黑"/>
                <w:color w:val="auto"/>
                <w:kern w:val="0"/>
                <w:szCs w:val="21"/>
              </w:rPr>
              <w:t>eparation Clause</w:t>
            </w:r>
            <w:r>
              <w:rPr>
                <w:rFonts w:hint="eastAsia" w:ascii="Times New Roman" w:hAnsi="Times New Roman" w:eastAsia="华文细黑"/>
                <w:color w:val="auto"/>
                <w:kern w:val="0"/>
                <w:szCs w:val="21"/>
              </w:rPr>
              <w:t xml:space="preserve"> (Limit: RMB2,000,000 per occurrence)</w:t>
            </w:r>
          </w:p>
          <w:p w14:paraId="33431F33">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Denial of Access (Sub limit: 10% of sum insured per occurrence)</w:t>
            </w:r>
          </w:p>
          <w:p w14:paraId="0EEC044F">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Departmental Clause</w:t>
            </w:r>
          </w:p>
          <w:p w14:paraId="529338D7">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 xml:space="preserve">90 Days’ Notice </w:t>
            </w:r>
            <w:r>
              <w:rPr>
                <w:rFonts w:hint="eastAsia" w:ascii="Times New Roman" w:hAnsi="Times New Roman" w:eastAsia="华文细黑"/>
                <w:color w:val="auto"/>
                <w:kern w:val="0"/>
                <w:szCs w:val="21"/>
              </w:rPr>
              <w:t>o</w:t>
            </w:r>
            <w:r>
              <w:rPr>
                <w:rFonts w:ascii="Times New Roman" w:hAnsi="Times New Roman" w:eastAsia="华文细黑"/>
                <w:color w:val="auto"/>
                <w:kern w:val="0"/>
                <w:szCs w:val="21"/>
              </w:rPr>
              <w:t>f Cancellation by Insurer (Immediate Notice Of Cancellation By Insured</w:t>
            </w:r>
            <w:r>
              <w:rPr>
                <w:rFonts w:hint="eastAsia" w:ascii="Times New Roman" w:hAnsi="Times New Roman" w:eastAsia="华文细黑"/>
                <w:color w:val="auto"/>
                <w:kern w:val="0"/>
                <w:szCs w:val="21"/>
              </w:rPr>
              <w:t>, return premium on pro rata daily basis</w:t>
            </w:r>
            <w:r>
              <w:rPr>
                <w:rFonts w:ascii="Times New Roman" w:hAnsi="Times New Roman" w:eastAsia="华文细黑"/>
                <w:color w:val="auto"/>
                <w:kern w:val="0"/>
                <w:szCs w:val="21"/>
              </w:rPr>
              <w:t>)</w:t>
            </w:r>
          </w:p>
          <w:p w14:paraId="70535F42">
            <w:pPr>
              <w:pStyle w:val="34"/>
              <w:widowControl/>
              <w:numPr>
                <w:ilvl w:val="0"/>
                <w:numId w:val="3"/>
              </w:numPr>
              <w:ind w:firstLineChars="0"/>
              <w:jc w:val="both"/>
              <w:rPr>
                <w:rFonts w:ascii="Times New Roman" w:hAnsi="Times New Roman" w:eastAsia="华文细黑"/>
                <w:color w:val="auto"/>
                <w:kern w:val="0"/>
                <w:szCs w:val="21"/>
              </w:rPr>
            </w:pPr>
            <w:r>
              <w:rPr>
                <w:rFonts w:ascii="Times New Roman" w:hAnsi="Times New Roman" w:eastAsia="华文细黑"/>
                <w:color w:val="auto"/>
                <w:kern w:val="0"/>
                <w:szCs w:val="21"/>
              </w:rPr>
              <w:t xml:space="preserve">Errors and Omissions </w:t>
            </w:r>
          </w:p>
          <w:p w14:paraId="1AAF810C">
            <w:pPr>
              <w:pStyle w:val="34"/>
              <w:widowControl/>
              <w:numPr>
                <w:ilvl w:val="0"/>
                <w:numId w:val="3"/>
              </w:numPr>
              <w:ind w:firstLineChars="0"/>
              <w:jc w:val="left"/>
              <w:rPr>
                <w:rFonts w:hint="eastAsia" w:ascii="Times New Roman" w:hAnsi="Times New Roman" w:eastAsia="华文细黑"/>
                <w:color w:val="auto"/>
                <w:kern w:val="0"/>
                <w:szCs w:val="21"/>
              </w:rPr>
            </w:pPr>
            <w:r>
              <w:rPr>
                <w:rFonts w:ascii="Times New Roman" w:hAnsi="Times New Roman" w:eastAsia="华文细黑"/>
                <w:color w:val="auto"/>
                <w:kern w:val="0"/>
                <w:szCs w:val="21"/>
              </w:rPr>
              <w:t>Extra Expenses</w:t>
            </w:r>
          </w:p>
          <w:p w14:paraId="44009C05">
            <w:pPr>
              <w:pStyle w:val="34"/>
              <w:widowControl/>
              <w:numPr>
                <w:ilvl w:val="0"/>
                <w:numId w:val="3"/>
              </w:numPr>
              <w:ind w:firstLineChars="0"/>
              <w:jc w:val="left"/>
              <w:rPr>
                <w:rFonts w:hint="eastAsia" w:ascii="Times New Roman" w:hAnsi="Times New Roman" w:eastAsia="华文细黑"/>
                <w:color w:val="auto"/>
                <w:kern w:val="0"/>
                <w:szCs w:val="21"/>
              </w:rPr>
            </w:pPr>
            <w:r>
              <w:rPr>
                <w:rFonts w:ascii="Times New Roman" w:hAnsi="Times New Roman" w:eastAsia="华文细黑"/>
                <w:color w:val="auto"/>
                <w:kern w:val="0"/>
                <w:szCs w:val="21"/>
              </w:rPr>
              <w:t>Public Utilities Extension Clause (Sub</w:t>
            </w:r>
            <w:r>
              <w:rPr>
                <w:rFonts w:hint="eastAsia" w:ascii="Times New Roman" w:hAnsi="Times New Roman" w:eastAsia="华文细黑"/>
                <w:color w:val="auto"/>
                <w:kern w:val="0"/>
                <w:szCs w:val="21"/>
              </w:rPr>
              <w:t>-</w:t>
            </w:r>
            <w:r>
              <w:rPr>
                <w:rFonts w:ascii="Times New Roman" w:hAnsi="Times New Roman" w:eastAsia="华文细黑"/>
                <w:color w:val="auto"/>
                <w:kern w:val="0"/>
                <w:szCs w:val="21"/>
              </w:rPr>
              <w:t>limit: 10% of sum insured</w:t>
            </w:r>
            <w:r>
              <w:rPr>
                <w:rFonts w:hint="eastAsia" w:ascii="Times New Roman" w:hAnsi="Times New Roman" w:eastAsia="华文细黑"/>
                <w:color w:val="auto"/>
                <w:kern w:val="0"/>
                <w:szCs w:val="21"/>
              </w:rPr>
              <w:t xml:space="preserve"> or 90 days</w:t>
            </w:r>
            <w:r>
              <w:rPr>
                <w:rFonts w:ascii="Times New Roman" w:hAnsi="Times New Roman" w:eastAsia="华文细黑"/>
                <w:color w:val="auto"/>
                <w:kern w:val="0"/>
                <w:szCs w:val="21"/>
              </w:rPr>
              <w:t xml:space="preserve"> per occurrence</w:t>
            </w:r>
            <w:r>
              <w:rPr>
                <w:rFonts w:hint="eastAsia" w:ascii="Times New Roman" w:hAnsi="Times New Roman" w:eastAsia="华文细黑"/>
                <w:color w:val="auto"/>
                <w:kern w:val="0"/>
                <w:szCs w:val="21"/>
              </w:rPr>
              <w:t>, whichever is lower</w:t>
            </w:r>
            <w:r>
              <w:rPr>
                <w:rFonts w:ascii="Times New Roman" w:hAnsi="Times New Roman" w:eastAsia="华文细黑"/>
                <w:color w:val="auto"/>
                <w:kern w:val="0"/>
                <w:szCs w:val="21"/>
              </w:rPr>
              <w:t>)</w:t>
            </w:r>
          </w:p>
          <w:p w14:paraId="6792B42E">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Interdependency Clause (Territory Worldwide)</w:t>
            </w:r>
          </w:p>
          <w:p w14:paraId="629DC379">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Loss Notification Clause</w:t>
            </w:r>
          </w:p>
          <w:p w14:paraId="4B5E5B59">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New Business Clause</w:t>
            </w:r>
          </w:p>
          <w:p w14:paraId="5D090E1C">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No Control</w:t>
            </w:r>
          </w:p>
          <w:p w14:paraId="2074BF11">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Non-Invalidation Clause</w:t>
            </w:r>
          </w:p>
          <w:p w14:paraId="10D910F8">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Premium Adjustment</w:t>
            </w:r>
          </w:p>
          <w:p w14:paraId="4823D67E">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 xml:space="preserve">Payment on Account </w:t>
            </w:r>
          </w:p>
          <w:p w14:paraId="7E607F53">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Premium Payment Clause</w:t>
            </w:r>
          </w:p>
          <w:p w14:paraId="3AEA187F">
            <w:pPr>
              <w:pStyle w:val="34"/>
              <w:widowControl/>
              <w:numPr>
                <w:ilvl w:val="0"/>
                <w:numId w:val="3"/>
              </w:numPr>
              <w:ind w:firstLineChars="0"/>
              <w:jc w:val="left"/>
              <w:rPr>
                <w:rFonts w:hint="eastAsia" w:ascii="Times New Roman" w:hAnsi="Times New Roman" w:eastAsia="华文细黑"/>
                <w:color w:val="auto"/>
                <w:kern w:val="0"/>
                <w:szCs w:val="21"/>
              </w:rPr>
            </w:pPr>
            <w:r>
              <w:rPr>
                <w:rFonts w:ascii="Times New Roman" w:hAnsi="Times New Roman" w:eastAsia="华文细黑"/>
                <w:color w:val="auto"/>
                <w:kern w:val="0"/>
                <w:szCs w:val="21"/>
              </w:rPr>
              <w:t>Strike, Riot &amp; Civil Commotion</w:t>
            </w:r>
          </w:p>
          <w:p w14:paraId="526976D9">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Terrorism Extension</w:t>
            </w:r>
            <w:r>
              <w:rPr>
                <w:rFonts w:hint="eastAsia" w:ascii="Times New Roman" w:hAnsi="Times New Roman" w:eastAsia="华文细黑"/>
                <w:color w:val="auto"/>
                <w:kern w:val="0"/>
                <w:szCs w:val="21"/>
              </w:rPr>
              <w:t xml:space="preserve"> (Limit: RMB 200,000,000 per occurrence and in aggregate combined</w:t>
            </w:r>
            <w:r>
              <w:rPr>
                <w:rFonts w:ascii="Times New Roman" w:hAnsi="Times New Roman" w:eastAsia="华文细黑"/>
                <w:color w:val="auto"/>
                <w:kern w:val="0"/>
                <w:szCs w:val="21"/>
              </w:rPr>
              <w:t xml:space="preserve"> for </w:t>
            </w:r>
            <w:r>
              <w:rPr>
                <w:rFonts w:hint="eastAsia" w:ascii="Times New Roman" w:hAnsi="Times New Roman" w:eastAsia="华文细黑"/>
                <w:color w:val="auto"/>
                <w:kern w:val="0"/>
                <w:szCs w:val="21"/>
              </w:rPr>
              <w:t>PD</w:t>
            </w:r>
            <w:r>
              <w:rPr>
                <w:rFonts w:ascii="Times New Roman" w:hAnsi="Times New Roman" w:eastAsia="华文细黑"/>
                <w:color w:val="auto"/>
                <w:kern w:val="0"/>
                <w:szCs w:val="21"/>
              </w:rPr>
              <w:t>&amp;BI</w:t>
            </w:r>
            <w:r>
              <w:rPr>
                <w:rFonts w:hint="eastAsia" w:ascii="Times New Roman" w:hAnsi="Times New Roman" w:eastAsia="华文细黑"/>
                <w:color w:val="auto"/>
                <w:kern w:val="0"/>
                <w:szCs w:val="21"/>
              </w:rPr>
              <w:t>）</w:t>
            </w:r>
          </w:p>
          <w:p w14:paraId="06F0796D">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Waiver of Subrogation</w:t>
            </w:r>
          </w:p>
          <w:p w14:paraId="5E5CD643">
            <w:pPr>
              <w:pStyle w:val="34"/>
              <w:widowControl/>
              <w:numPr>
                <w:ilvl w:val="0"/>
                <w:numId w:val="3"/>
              </w:numPr>
              <w:ind w:firstLineChars="0"/>
              <w:jc w:val="left"/>
              <w:rPr>
                <w:rFonts w:ascii="Times New Roman" w:hAnsi="Times New Roman" w:eastAsia="华文细黑"/>
                <w:color w:val="auto"/>
                <w:kern w:val="0"/>
                <w:szCs w:val="21"/>
              </w:rPr>
            </w:pPr>
            <w:r>
              <w:rPr>
                <w:rFonts w:ascii="Times New Roman" w:hAnsi="Times New Roman" w:eastAsia="华文细黑"/>
                <w:color w:val="auto"/>
                <w:kern w:val="0"/>
                <w:szCs w:val="21"/>
              </w:rPr>
              <w:t>Waiver of Excess</w:t>
            </w:r>
          </w:p>
          <w:p w14:paraId="323A69F3">
            <w:pPr>
              <w:pStyle w:val="34"/>
              <w:widowControl/>
              <w:ind w:left="420" w:leftChars="0" w:firstLine="0" w:firstLineChars="0"/>
              <w:jc w:val="left"/>
              <w:rPr>
                <w:rFonts w:hint="default" w:ascii="Times New Roman" w:hAnsi="Times New Roman" w:cs="Times New Roman" w:eastAsiaTheme="minorEastAsia"/>
                <w:color w:val="auto"/>
                <w:kern w:val="0"/>
                <w:sz w:val="21"/>
                <w:szCs w:val="21"/>
                <w:highlight w:val="none"/>
              </w:rPr>
            </w:pPr>
          </w:p>
        </w:tc>
      </w:tr>
      <w:tr w14:paraId="4CF86E21">
        <w:trPr>
          <w:gridBefore w:val="1"/>
          <w:gridAfter w:val="1"/>
          <w:wBefore w:w="7" w:type="dxa"/>
          <w:wAfter w:w="8" w:type="dxa"/>
          <w:trHeight w:val="240" w:hRule="atLeast"/>
        </w:trPr>
        <w:tc>
          <w:tcPr>
            <w:tcW w:w="2201" w:type="dxa"/>
            <w:tcBorders>
              <w:right w:val="single" w:color="auto" w:sz="8" w:space="0"/>
            </w:tcBorders>
            <w:noWrap/>
            <w:vAlign w:val="top"/>
          </w:tcPr>
          <w:p w14:paraId="77C41B04">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 xml:space="preserve">Deductible </w:t>
            </w:r>
          </w:p>
          <w:p w14:paraId="687691FC">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(per occurrence)</w:t>
            </w:r>
          </w:p>
        </w:tc>
        <w:tc>
          <w:tcPr>
            <w:tcW w:w="7084" w:type="dxa"/>
            <w:tcBorders>
              <w:left w:val="single" w:color="auto" w:sz="8" w:space="0"/>
            </w:tcBorders>
            <w:noWrap/>
            <w:vAlign w:val="top"/>
          </w:tcPr>
          <w:p w14:paraId="72D8F835">
            <w:pPr>
              <w:widowControl/>
              <w:jc w:val="left"/>
              <w:rPr>
                <w:rFonts w:hint="default" w:ascii="Times New Roman" w:hAnsi="Times New Roman" w:cs="Times New Roman" w:eastAsiaTheme="minorEastAsia"/>
                <w:color w:val="auto"/>
                <w:kern w:val="0"/>
                <w:sz w:val="21"/>
                <w:szCs w:val="21"/>
                <w:highlight w:val="none"/>
              </w:rPr>
            </w:pPr>
            <w:r>
              <w:rPr>
                <w:rFonts w:hint="default" w:ascii="Times New Roman" w:hAnsi="Times New Roman" w:cs="Times New Roman" w:eastAsiaTheme="minorEastAsia"/>
                <w:color w:val="auto"/>
                <w:kern w:val="0"/>
                <w:sz w:val="21"/>
                <w:szCs w:val="21"/>
                <w:highlight w:val="none"/>
              </w:rPr>
              <w:t>First 7 working days</w:t>
            </w:r>
          </w:p>
          <w:p w14:paraId="2E41D75F">
            <w:pPr>
              <w:widowControl/>
              <w:jc w:val="left"/>
              <w:rPr>
                <w:rFonts w:hint="default" w:ascii="Times New Roman" w:hAnsi="Times New Roman" w:cs="Times New Roman" w:eastAsiaTheme="minorEastAsia"/>
                <w:color w:val="auto"/>
                <w:kern w:val="0"/>
                <w:sz w:val="21"/>
                <w:szCs w:val="21"/>
                <w:highlight w:val="none"/>
              </w:rPr>
            </w:pPr>
          </w:p>
        </w:tc>
      </w:tr>
      <w:tr w14:paraId="47B3B994">
        <w:trPr>
          <w:gridBefore w:val="1"/>
          <w:gridAfter w:val="1"/>
          <w:wBefore w:w="7" w:type="dxa"/>
          <w:wAfter w:w="8" w:type="dxa"/>
          <w:trHeight w:val="240" w:hRule="atLeast"/>
        </w:trPr>
        <w:tc>
          <w:tcPr>
            <w:tcW w:w="2201" w:type="dxa"/>
            <w:tcBorders>
              <w:right w:val="single" w:color="auto" w:sz="8" w:space="0"/>
            </w:tcBorders>
            <w:noWrap/>
            <w:vAlign w:val="top"/>
          </w:tcPr>
          <w:p w14:paraId="35DCA9DB">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p>
        </w:tc>
        <w:tc>
          <w:tcPr>
            <w:tcW w:w="7084" w:type="dxa"/>
            <w:tcBorders>
              <w:left w:val="single" w:color="auto" w:sz="8" w:space="0"/>
            </w:tcBorders>
            <w:noWrap/>
            <w:vAlign w:val="top"/>
          </w:tcPr>
          <w:p w14:paraId="0BA1FCA8">
            <w:pPr>
              <w:autoSpaceDE w:val="0"/>
              <w:autoSpaceDN w:val="0"/>
              <w:adjustRightInd w:val="0"/>
              <w:spacing w:line="240" w:lineRule="atLeast"/>
              <w:ind w:right="360"/>
              <w:jc w:val="left"/>
              <w:textAlignment w:val="baseline"/>
              <w:rPr>
                <w:rFonts w:hint="default" w:ascii="Times New Roman" w:hAnsi="Times New Roman" w:cs="Times New Roman" w:eastAsiaTheme="minorEastAsia"/>
                <w:color w:val="auto"/>
                <w:kern w:val="0"/>
                <w:sz w:val="21"/>
                <w:szCs w:val="21"/>
                <w:highlight w:val="none"/>
              </w:rPr>
            </w:pPr>
          </w:p>
        </w:tc>
      </w:tr>
      <w:tr w14:paraId="6F423CB3">
        <w:trPr>
          <w:gridBefore w:val="1"/>
          <w:gridAfter w:val="1"/>
          <w:wBefore w:w="7" w:type="dxa"/>
          <w:wAfter w:w="8" w:type="dxa"/>
          <w:trHeight w:val="749" w:hRule="atLeast"/>
        </w:trPr>
        <w:tc>
          <w:tcPr>
            <w:tcW w:w="2201" w:type="dxa"/>
            <w:tcBorders>
              <w:right w:val="single" w:color="auto" w:sz="8" w:space="0"/>
            </w:tcBorders>
            <w:noWrap/>
            <w:vAlign w:val="top"/>
          </w:tcPr>
          <w:p w14:paraId="486BF3E7">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Annual Rate (incl. VAT)</w:t>
            </w:r>
          </w:p>
          <w:p w14:paraId="75DA458E">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p>
        </w:tc>
        <w:tc>
          <w:tcPr>
            <w:tcW w:w="7084" w:type="dxa"/>
            <w:tcBorders>
              <w:left w:val="single" w:color="auto" w:sz="8" w:space="0"/>
            </w:tcBorders>
            <w:noWrap/>
            <w:vAlign w:val="top"/>
          </w:tcPr>
          <w:p w14:paraId="26345B9F">
            <w:pPr>
              <w:keepNext w:val="0"/>
              <w:keepLines w:val="0"/>
              <w:widowControl/>
              <w:suppressLineNumbers w:val="0"/>
              <w:jc w:val="left"/>
              <w:textAlignment w:val="center"/>
              <w:rPr>
                <w:rFonts w:hint="default" w:ascii="Times New Roman" w:hAnsi="Times New Roman" w:cs="Times New Roman" w:eastAsiaTheme="minorEastAsia"/>
                <w:i w:val="0"/>
                <w:iCs w:val="0"/>
                <w:color w:val="auto"/>
                <w:kern w:val="2"/>
                <w:sz w:val="21"/>
                <w:szCs w:val="21"/>
                <w:highlight w:val="none"/>
                <w:u w:val="none"/>
                <w:lang w:val="en-US" w:eastAsia="zh-CN" w:bidi="ar-SA"/>
              </w:rPr>
            </w:pPr>
            <w:r>
              <w:rPr>
                <w:rFonts w:hint="default" w:ascii="Times New Roman" w:hAnsi="Times New Roman" w:cs="Times New Roman" w:eastAsiaTheme="minorEastAsia"/>
                <w:i w:val="0"/>
                <w:iCs w:val="0"/>
                <w:color w:val="auto"/>
                <w:kern w:val="0"/>
                <w:sz w:val="21"/>
                <w:szCs w:val="21"/>
                <w:highlight w:val="none"/>
                <w:u w:val="none"/>
                <w:lang w:val="en-US" w:eastAsia="zh-CN" w:bidi="ar"/>
              </w:rPr>
              <w:t>0.01</w:t>
            </w:r>
            <w:r>
              <w:rPr>
                <w:rFonts w:hint="eastAsia" w:ascii="Times New Roman" w:hAnsi="Times New Roman" w:cs="Times New Roman" w:eastAsiaTheme="minorEastAsia"/>
                <w:i w:val="0"/>
                <w:iCs w:val="0"/>
                <w:color w:val="auto"/>
                <w:kern w:val="0"/>
                <w:sz w:val="21"/>
                <w:szCs w:val="21"/>
                <w:highlight w:val="none"/>
                <w:u w:val="none"/>
                <w:lang w:val="en-US" w:eastAsia="zh-CN" w:bidi="ar"/>
              </w:rPr>
              <w:t>31</w:t>
            </w:r>
            <w:r>
              <w:rPr>
                <w:rFonts w:hint="default" w:ascii="Times New Roman" w:hAnsi="Times New Roman" w:cs="Times New Roman" w:eastAsiaTheme="minorEastAsia"/>
                <w:i w:val="0"/>
                <w:iCs w:val="0"/>
                <w:color w:val="auto"/>
                <w:kern w:val="0"/>
                <w:sz w:val="21"/>
                <w:szCs w:val="21"/>
                <w:highlight w:val="none"/>
                <w:u w:val="none"/>
                <w:lang w:val="en-US" w:eastAsia="zh-CN" w:bidi="ar"/>
              </w:rPr>
              <w:t>%</w:t>
            </w:r>
          </w:p>
        </w:tc>
      </w:tr>
      <w:tr w14:paraId="551F09C6">
        <w:trPr>
          <w:gridBefore w:val="1"/>
          <w:gridAfter w:val="1"/>
          <w:wBefore w:w="7" w:type="dxa"/>
          <w:wAfter w:w="8" w:type="dxa"/>
          <w:trHeight w:val="240" w:hRule="atLeast"/>
        </w:trPr>
        <w:tc>
          <w:tcPr>
            <w:tcW w:w="2201" w:type="dxa"/>
            <w:tcBorders>
              <w:right w:val="single" w:color="auto" w:sz="8" w:space="0"/>
            </w:tcBorders>
            <w:noWrap/>
            <w:vAlign w:val="top"/>
          </w:tcPr>
          <w:p w14:paraId="0C6D28E7">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Premium (</w:t>
            </w:r>
            <w:r>
              <w:rPr>
                <w:rFonts w:hint="eastAsia" w:ascii="Times New Roman" w:hAnsi="Times New Roman" w:cs="Times New Roman" w:eastAsiaTheme="minorEastAsia"/>
                <w:b/>
                <w:color w:val="auto"/>
                <w:kern w:val="0"/>
                <w:sz w:val="21"/>
                <w:szCs w:val="21"/>
                <w:highlight w:val="none"/>
                <w:lang w:val="en-US" w:eastAsia="zh-CN"/>
              </w:rPr>
              <w:t xml:space="preserve">RMB, </w:t>
            </w:r>
            <w:r>
              <w:rPr>
                <w:rFonts w:hint="default" w:ascii="Times New Roman" w:hAnsi="Times New Roman" w:cs="Times New Roman" w:eastAsiaTheme="minorEastAsia"/>
                <w:b/>
                <w:color w:val="auto"/>
                <w:kern w:val="0"/>
                <w:sz w:val="21"/>
                <w:szCs w:val="21"/>
                <w:highlight w:val="none"/>
              </w:rPr>
              <w:t>incl. VAT)</w:t>
            </w:r>
          </w:p>
        </w:tc>
        <w:tc>
          <w:tcPr>
            <w:tcW w:w="7084" w:type="dxa"/>
            <w:tcBorders>
              <w:left w:val="single" w:color="auto" w:sz="8" w:space="0"/>
            </w:tcBorders>
            <w:noWrap/>
            <w:vAlign w:val="top"/>
          </w:tcPr>
          <w:p w14:paraId="61326B6C">
            <w:pPr>
              <w:keepNext w:val="0"/>
              <w:keepLines w:val="0"/>
              <w:widowControl/>
              <w:suppressLineNumbers w:val="0"/>
              <w:jc w:val="left"/>
              <w:textAlignment w:val="top"/>
              <w:rPr>
                <w:rFonts w:hint="default" w:ascii="Times New Roman" w:hAnsi="Times New Roman" w:eastAsia="等线" w:cs="Times New Roman"/>
                <w:i w:val="0"/>
                <w:iCs w:val="0"/>
                <w:color w:val="000000"/>
                <w:kern w:val="2"/>
                <w:sz w:val="21"/>
                <w:szCs w:val="21"/>
                <w:u w:val="none"/>
                <w:lang w:val="en-US" w:eastAsia="zh-CN" w:bidi="ar-SA"/>
              </w:rPr>
            </w:pPr>
            <w:r>
              <w:rPr>
                <w:rFonts w:hint="eastAsia"/>
              </w:rPr>
              <w:t>{</w:t>
            </w:r>
            <w:r>
              <w:rPr>
                <w:rFonts w:hint="default" w:ascii="Times New Roman" w:hAnsi="Times New Roman" w:eastAsia="等线" w:cs="Times New Roman"/>
                <w:i w:val="0"/>
                <w:iCs w:val="0"/>
                <w:color w:val="000000"/>
                <w:kern w:val="0"/>
                <w:sz w:val="20"/>
                <w:szCs w:val="20"/>
                <w:u w:val="none"/>
                <w:lang w:val="en-US" w:eastAsia="zh-CN" w:bidi="ar"/>
              </w:rPr>
              <w:t>PARBI</w:t>
            </w:r>
            <w:r>
              <w:rPr>
                <w:rFonts w:hint="eastAsia"/>
              </w:rPr>
              <w:t>}</w:t>
            </w:r>
          </w:p>
        </w:tc>
      </w:tr>
      <w:tr w14:paraId="4ACEB2CC">
        <w:trPr>
          <w:gridBefore w:val="1"/>
          <w:gridAfter w:val="1"/>
          <w:wBefore w:w="7" w:type="dxa"/>
          <w:wAfter w:w="8" w:type="dxa"/>
          <w:trHeight w:val="240" w:hRule="atLeast"/>
        </w:trPr>
        <w:tc>
          <w:tcPr>
            <w:tcW w:w="2201" w:type="dxa"/>
            <w:tcBorders>
              <w:right w:val="single" w:color="auto" w:sz="8" w:space="0"/>
            </w:tcBorders>
            <w:noWrap/>
            <w:vAlign w:val="top"/>
          </w:tcPr>
          <w:p w14:paraId="138844FE">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p>
        </w:tc>
        <w:tc>
          <w:tcPr>
            <w:tcW w:w="7084" w:type="dxa"/>
            <w:tcBorders>
              <w:left w:val="single" w:color="auto" w:sz="8" w:space="0"/>
            </w:tcBorders>
            <w:noWrap/>
            <w:vAlign w:val="top"/>
          </w:tcPr>
          <w:p w14:paraId="468EAAA3">
            <w:pPr>
              <w:keepNext w:val="0"/>
              <w:keepLines w:val="0"/>
              <w:widowControl/>
              <w:suppressLineNumbers w:val="0"/>
              <w:jc w:val="left"/>
              <w:textAlignment w:val="top"/>
              <w:rPr>
                <w:rFonts w:hint="default" w:ascii="Times New Roman" w:hAnsi="Times New Roman" w:eastAsia="等线" w:cs="Times New Roman"/>
                <w:i w:val="0"/>
                <w:iCs w:val="0"/>
                <w:color w:val="000000"/>
                <w:kern w:val="0"/>
                <w:sz w:val="21"/>
                <w:szCs w:val="21"/>
                <w:u w:val="none"/>
                <w:lang w:val="en-US" w:eastAsia="zh-CN" w:bidi="ar"/>
              </w:rPr>
            </w:pPr>
          </w:p>
        </w:tc>
      </w:tr>
      <w:tr w14:paraId="0069DA8B">
        <w:trPr>
          <w:gridBefore w:val="1"/>
          <w:gridAfter w:val="1"/>
          <w:wBefore w:w="7" w:type="dxa"/>
          <w:wAfter w:w="8" w:type="dxa"/>
          <w:trHeight w:val="240" w:hRule="atLeast"/>
        </w:trPr>
        <w:tc>
          <w:tcPr>
            <w:tcW w:w="2201" w:type="dxa"/>
            <w:tcBorders>
              <w:right w:val="single" w:color="auto" w:sz="8" w:space="0"/>
            </w:tcBorders>
            <w:noWrap/>
            <w:vAlign w:val="top"/>
          </w:tcPr>
          <w:p w14:paraId="44E2A3E3">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auto"/>
                <w:kern w:val="0"/>
                <w:sz w:val="21"/>
                <w:szCs w:val="21"/>
                <w:highlight w:val="none"/>
              </w:rPr>
            </w:pPr>
            <w:r>
              <w:rPr>
                <w:rFonts w:hint="default" w:ascii="Times New Roman" w:hAnsi="Times New Roman" w:cs="Times New Roman" w:eastAsiaTheme="minorEastAsia"/>
                <w:b/>
                <w:color w:val="auto"/>
                <w:kern w:val="0"/>
                <w:sz w:val="21"/>
                <w:szCs w:val="21"/>
                <w:highlight w:val="none"/>
              </w:rPr>
              <w:t>Remarks</w:t>
            </w:r>
          </w:p>
        </w:tc>
        <w:tc>
          <w:tcPr>
            <w:tcW w:w="7084" w:type="dxa"/>
            <w:tcBorders>
              <w:left w:val="single" w:color="auto" w:sz="8" w:space="0"/>
            </w:tcBorders>
            <w:noWrap/>
            <w:vAlign w:val="top"/>
          </w:tcPr>
          <w:p w14:paraId="0163672B">
            <w:pPr>
              <w:pStyle w:val="34"/>
              <w:widowControl/>
              <w:numPr>
                <w:ilvl w:val="0"/>
                <w:numId w:val="4"/>
              </w:numPr>
              <w:ind w:firstLineChars="0"/>
              <w:jc w:val="both"/>
              <w:rPr>
                <w:rFonts w:hint="default" w:ascii="Times New Roman" w:hAnsi="Times New Roman" w:eastAsia="宋体" w:cs="Times New Roman"/>
                <w:b/>
                <w:color w:val="auto"/>
                <w:kern w:val="0"/>
                <w:szCs w:val="21"/>
              </w:rPr>
            </w:pPr>
            <w:r>
              <w:rPr>
                <w:rFonts w:hint="default" w:ascii="Times New Roman" w:hAnsi="Times New Roman" w:eastAsia="宋体" w:cs="Times New Roman"/>
                <w:b/>
                <w:color w:val="auto"/>
                <w:kern w:val="0"/>
                <w:szCs w:val="21"/>
              </w:rPr>
              <w:t>Definition of Insurable Gross Profit</w:t>
            </w:r>
          </w:p>
          <w:p w14:paraId="126ED237">
            <w:pPr>
              <w:pStyle w:val="34"/>
              <w:widowControl/>
              <w:numPr>
                <w:ilvl w:val="0"/>
                <w:numId w:val="4"/>
              </w:numPr>
              <w:ind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 xml:space="preserve">It is agreed and understood that Insurable Gross Profit in this Policy is defined as: </w:t>
            </w:r>
          </w:p>
          <w:p w14:paraId="52EB8AB8">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 xml:space="preserve">The sum of the amount of the Turnover </w:t>
            </w:r>
          </w:p>
          <w:p w14:paraId="2D3EE2CE">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 the amount of the Closing Stock and Work in Progress</w:t>
            </w:r>
          </w:p>
          <w:p w14:paraId="2796A4A4">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 xml:space="preserve">- the sum of the amount of the Opening Stock and Work in Progress </w:t>
            </w:r>
          </w:p>
          <w:p w14:paraId="7D0003AA">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 the amount of the Uninsurable Variable Working Expense.</w:t>
            </w:r>
          </w:p>
          <w:p w14:paraId="7D6A8540">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For this purpose, Turnover is defined as the money (less discounts allowed) paid or payable to the Insured for goods sold and delivered and for service rendered in course of the business.</w:t>
            </w:r>
          </w:p>
          <w:p w14:paraId="5DCE5F2B">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For this purpose, Uninsurable Variable Working Expense is defined as</w:t>
            </w:r>
          </w:p>
          <w:p w14:paraId="4DB414D5">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(1) 100% of Purchase of Materials (less discounts received).</w:t>
            </w:r>
          </w:p>
          <w:p w14:paraId="05E8966D">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(2) All such expenses incurred solely and directly for the purpose of maintaining normal operation of the Business as may cease in consequence of the damage.</w:t>
            </w:r>
          </w:p>
          <w:p w14:paraId="03D981AB">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The amounts of the Opening Stock and Work in Progress shall be arrived at in accordance with the Insured’s normal accountancy methods, due provision being made for depreciation.</w:t>
            </w:r>
          </w:p>
          <w:p w14:paraId="7351C82F">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The words and expressions used in this definition shall have the meaning usually attached to them in the books and accounts of the Insured, unless otherwise defined in these Specifications.</w:t>
            </w:r>
          </w:p>
          <w:p w14:paraId="10E7695C">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All other terms and conditions remain unchanged.</w:t>
            </w:r>
          </w:p>
          <w:p w14:paraId="1FAE14CB">
            <w:pPr>
              <w:pStyle w:val="34"/>
              <w:widowControl/>
              <w:ind w:left="360" w:firstLine="0" w:firstLineChars="0"/>
              <w:jc w:val="both"/>
              <w:rPr>
                <w:rFonts w:hint="default" w:ascii="Times New Roman" w:hAnsi="Times New Roman" w:eastAsia="宋体" w:cs="Times New Roman"/>
                <w:color w:val="auto"/>
                <w:kern w:val="0"/>
                <w:szCs w:val="21"/>
              </w:rPr>
            </w:pPr>
          </w:p>
          <w:p w14:paraId="22837BD3">
            <w:pPr>
              <w:pStyle w:val="34"/>
              <w:widowControl/>
              <w:numPr>
                <w:ilvl w:val="0"/>
                <w:numId w:val="4"/>
              </w:numPr>
              <w:ind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本保单第三条、第五条（二）及第二十三条中的“物质损失保险合同主险条款”指物质损失保险合同主保单条款及保单扩展条款/特别约定。</w:t>
            </w:r>
          </w:p>
          <w:p w14:paraId="23E354FC">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“The main clauses of the property loss insurance contract” in Article 3, Article 5 (2) and Article 23 of this Policy refer to main clauses,</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kern w:val="0"/>
                <w:szCs w:val="21"/>
              </w:rPr>
              <w:t>extension clauses,</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kern w:val="0"/>
                <w:szCs w:val="21"/>
              </w:rPr>
              <w:t>special provisions and conditions of the property loss insurance contract.</w:t>
            </w:r>
          </w:p>
          <w:p w14:paraId="58D34B38">
            <w:pPr>
              <w:pStyle w:val="34"/>
              <w:widowControl/>
              <w:ind w:left="360" w:firstLine="0" w:firstLineChars="0"/>
              <w:jc w:val="both"/>
              <w:rPr>
                <w:rFonts w:hint="default" w:ascii="Times New Roman" w:hAnsi="Times New Roman" w:eastAsia="宋体" w:cs="Times New Roman"/>
                <w:color w:val="auto"/>
                <w:kern w:val="0"/>
                <w:szCs w:val="21"/>
              </w:rPr>
            </w:pPr>
          </w:p>
          <w:p w14:paraId="5B195B5E">
            <w:pPr>
              <w:pStyle w:val="34"/>
              <w:widowControl/>
              <w:numPr>
                <w:ilvl w:val="0"/>
                <w:numId w:val="4"/>
              </w:numPr>
              <w:ind w:firstLineChars="0"/>
              <w:jc w:val="both"/>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Cs w:val="21"/>
              </w:rPr>
              <w:t>本保单承保地震、海啸及其次生灾害产生或扩大的损失；与保单条款相悖之处，以本约定为准</w:t>
            </w:r>
          </w:p>
          <w:p w14:paraId="412F24B5">
            <w:pPr>
              <w:pStyle w:val="34"/>
              <w:widowControl/>
              <w:ind w:left="360" w:firstLine="0" w:firstLineChars="0"/>
              <w:jc w:val="both"/>
              <w:rPr>
                <w:rFonts w:hint="default" w:ascii="Times New Roman" w:hAnsi="Times New Roman" w:eastAsia="宋体" w:cs="Times New Roman"/>
                <w:color w:val="auto"/>
                <w:kern w:val="0"/>
                <w:szCs w:val="21"/>
              </w:rPr>
            </w:pPr>
            <w:r>
              <w:rPr>
                <w:rFonts w:hint="default" w:ascii="Times New Roman" w:hAnsi="Times New Roman" w:eastAsia="宋体" w:cs="Times New Roman"/>
                <w:color w:val="auto"/>
                <w:kern w:val="0"/>
                <w:szCs w:val="21"/>
              </w:rPr>
              <w:t>It is agreed and understood that this Policy is extended to cover loss of or damage to the insured property caused by Earthquake、Tsunami and Secondary Disasters. In case of any contrary clause of the policy, this special provision shall prevail.</w:t>
            </w:r>
          </w:p>
          <w:p w14:paraId="2C202103">
            <w:pPr>
              <w:pStyle w:val="34"/>
              <w:widowControl/>
              <w:numPr>
                <w:ilvl w:val="0"/>
                <w:numId w:val="0"/>
              </w:numPr>
              <w:ind w:leftChars="0"/>
              <w:jc w:val="both"/>
              <w:rPr>
                <w:rFonts w:hint="default" w:ascii="Times New Roman" w:hAnsi="Times New Roman" w:eastAsia="宋体" w:cs="Times New Roman"/>
                <w:color w:val="auto"/>
                <w:kern w:val="0"/>
                <w:sz w:val="21"/>
                <w:szCs w:val="21"/>
                <w:highlight w:val="none"/>
              </w:rPr>
            </w:pPr>
          </w:p>
          <w:p w14:paraId="21B76A8A">
            <w:pPr>
              <w:pStyle w:val="34"/>
              <w:widowControl/>
              <w:numPr>
                <w:ilvl w:val="0"/>
                <w:numId w:val="4"/>
              </w:numPr>
              <w:ind w:firstLineChars="0"/>
              <w:jc w:val="both"/>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Cs w:val="21"/>
              </w:rPr>
              <w:t>If there is any conflict between the Chinese wording and the English wording, the Chinese wording shall prevail. 如中英文措辞有任何冲突，以中文措辞为准。</w:t>
            </w:r>
          </w:p>
        </w:tc>
      </w:tr>
    </w:tbl>
    <w:p w14:paraId="7E465B7E">
      <w:pPr>
        <w:rPr>
          <w:rFonts w:hint="default" w:ascii="Times New Roman" w:hAnsi="Times New Roman" w:cs="Times New Roman" w:eastAsiaTheme="minorEastAsia"/>
          <w:color w:val="000000" w:themeColor="text1"/>
          <w:kern w:val="0"/>
          <w:szCs w:val="21"/>
          <w14:textFill>
            <w14:solidFill>
              <w14:schemeClr w14:val="tx1"/>
            </w14:solidFill>
          </w14:textFill>
        </w:rPr>
      </w:pPr>
      <w:r>
        <w:rPr>
          <w:rFonts w:hint="default" w:ascii="Times New Roman" w:hAnsi="Times New Roman" w:cs="Times New Roman" w:eastAsiaTheme="minorEastAsia"/>
          <w:color w:val="000000" w:themeColor="text1"/>
          <w:kern w:val="0"/>
          <w:szCs w:val="21"/>
          <w14:textFill>
            <w14:solidFill>
              <w14:schemeClr w14:val="tx1"/>
            </w14:solidFill>
          </w14:textFill>
        </w:rPr>
        <w:br w:type="page"/>
      </w:r>
    </w:p>
    <w:p w14:paraId="32EE504A">
      <w:pPr>
        <w:widowControl/>
        <w:rPr>
          <w:rFonts w:hint="default" w:ascii="Times New Roman" w:hAnsi="Times New Roman" w:cs="Times New Roman" w:eastAsiaTheme="minorEastAsia"/>
          <w:color w:val="000000" w:themeColor="text1"/>
          <w:kern w:val="0"/>
          <w:szCs w:val="21"/>
          <w14:textFill>
            <w14:solidFill>
              <w14:schemeClr w14:val="tx1"/>
            </w14:solidFill>
          </w14:textFill>
        </w:rPr>
      </w:pPr>
    </w:p>
    <w:p w14:paraId="49C49EBD">
      <w:pPr>
        <w:autoSpaceDE w:val="0"/>
        <w:autoSpaceDN w:val="0"/>
        <w:adjustRightInd w:val="0"/>
        <w:spacing w:line="240" w:lineRule="atLeast"/>
        <w:ind w:right="1714"/>
        <w:jc w:val="left"/>
        <w:textAlignment w:val="baseline"/>
        <w:rPr>
          <w:rFonts w:hint="default" w:ascii="Times New Roman" w:hAnsi="Times New Roman" w:cs="Times New Roman" w:eastAsiaTheme="minorEastAsia"/>
          <w:color w:val="000000" w:themeColor="text1"/>
          <w:kern w:val="0"/>
          <w:szCs w:val="21"/>
          <w14:textFill>
            <w14:solidFill>
              <w14:schemeClr w14:val="tx1"/>
            </w14:solidFill>
          </w14:textFill>
        </w:rPr>
      </w:pPr>
    </w:p>
    <w:p w14:paraId="798BC745">
      <w:pPr>
        <w:autoSpaceDE w:val="0"/>
        <w:autoSpaceDN w:val="0"/>
        <w:snapToGrid w:val="0"/>
        <w:spacing w:after="120" w:afterLines="50"/>
        <w:jc w:val="center"/>
        <w:rPr>
          <w:rFonts w:hint="default" w:ascii="Times New Roman" w:hAnsi="Times New Roman" w:cs="Times New Roman" w:eastAsiaTheme="minorEastAsia"/>
          <w:b/>
          <w:bCs/>
          <w:color w:val="000000"/>
          <w:szCs w:val="21"/>
        </w:rPr>
      </w:pPr>
      <w:bookmarkStart w:id="0" w:name="_OCEAN_MARINE_CARGO"/>
      <w:bookmarkEnd w:id="0"/>
      <w:r>
        <w:rPr>
          <w:rFonts w:hint="default" w:ascii="Times New Roman" w:hAnsi="Times New Roman" w:cs="Times New Roman" w:eastAsiaTheme="minorEastAsia"/>
          <w:b/>
          <w:color w:val="000000"/>
          <w:szCs w:val="21"/>
          <w:lang w:val="en-GB"/>
        </w:rPr>
        <w:t>China Pacific Property Insurance Company Limited</w:t>
      </w:r>
      <w:r>
        <w:rPr>
          <w:rFonts w:hint="default" w:ascii="Times New Roman" w:hAnsi="Times New Roman" w:cs="Times New Roman" w:eastAsiaTheme="minorEastAsia"/>
          <w:b/>
          <w:bCs/>
          <w:color w:val="000000"/>
          <w:szCs w:val="21"/>
        </w:rPr>
        <w:t xml:space="preserve"> </w:t>
      </w:r>
    </w:p>
    <w:p w14:paraId="4B477C17">
      <w:pPr>
        <w:autoSpaceDE w:val="0"/>
        <w:autoSpaceDN w:val="0"/>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Business Interruption Insurance Clauses</w:t>
      </w:r>
    </w:p>
    <w:p w14:paraId="7BB57382">
      <w:pPr>
        <w:autoSpaceDE w:val="0"/>
        <w:autoSpaceDN w:val="0"/>
        <w:snapToGrid w:val="0"/>
        <w:spacing w:after="120" w:afterLines="50"/>
        <w:jc w:val="center"/>
        <w:rPr>
          <w:rFonts w:hint="default" w:ascii="Times New Roman" w:hAnsi="Times New Roman" w:cs="Times New Roman" w:eastAsiaTheme="minorEastAsia"/>
          <w:b/>
          <w:bCs/>
          <w:color w:val="000000"/>
          <w:szCs w:val="21"/>
        </w:rPr>
      </w:pPr>
    </w:p>
    <w:p w14:paraId="44E75831">
      <w:pPr>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GENERAL PROVISIONS</w:t>
      </w:r>
    </w:p>
    <w:p w14:paraId="72E7A35C">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1</w:t>
      </w:r>
      <w:r>
        <w:rPr>
          <w:rFonts w:hint="default" w:ascii="Times New Roman" w:hAnsi="Times New Roman" w:cs="Times New Roman" w:eastAsiaTheme="minorEastAsia"/>
          <w:bCs/>
          <w:color w:val="000000"/>
          <w:szCs w:val="21"/>
        </w:rPr>
        <w:t xml:space="preserve"> The Insurance Contract incorporates the Insurance Clauses, Proposal Form, Policy or Certificate, Endorsements (if any). Any agreement related to the Insurance Contract shall be in written form.</w:t>
      </w:r>
    </w:p>
    <w:p w14:paraId="61FA182A">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w:t>
      </w:r>
      <w:r>
        <w:rPr>
          <w:rFonts w:hint="default" w:ascii="Times New Roman" w:hAnsi="Times New Roman" w:cs="Times New Roman" w:eastAsiaTheme="minorEastAsia"/>
          <w:bCs/>
          <w:color w:val="000000"/>
          <w:szCs w:val="21"/>
        </w:rPr>
        <w:t xml:space="preserve"> It is a condition precedent to any liability on the part of the Insurer that the Applicant shall have purchased physical damage Insurance for their property used in Insured’s business operation in the premises specified in the Schedule. The Policy Number of the Physical Damage Insurance shall be stated hereon. </w:t>
      </w:r>
    </w:p>
    <w:p w14:paraId="45A8BDE8">
      <w:pPr>
        <w:autoSpaceDE w:val="0"/>
        <w:autoSpaceDN w:val="0"/>
        <w:snapToGrid w:val="0"/>
        <w:spacing w:after="120" w:afterLines="50"/>
        <w:rPr>
          <w:rFonts w:hint="default" w:ascii="Times New Roman" w:hAnsi="Times New Roman" w:cs="Times New Roman" w:eastAsiaTheme="minorEastAsia"/>
          <w:color w:val="000000"/>
          <w:szCs w:val="21"/>
        </w:rPr>
      </w:pPr>
    </w:p>
    <w:p w14:paraId="636DFD3F">
      <w:pPr>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SCOPE OF COVER</w:t>
      </w:r>
    </w:p>
    <w:p w14:paraId="793B92EC">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3 </w:t>
      </w:r>
      <w:r>
        <w:rPr>
          <w:rFonts w:hint="default" w:ascii="Times New Roman" w:hAnsi="Times New Roman" w:cs="Times New Roman" w:eastAsiaTheme="minorEastAsia"/>
          <w:bCs/>
          <w:color w:val="000000"/>
          <w:szCs w:val="21"/>
        </w:rPr>
        <w:t>If during the period of insurance the business carried out by the Insured at the premises specified in the Schedule is interrupted or interfered with in consequence of physical loss of or damage to the property used in business operation (hereinafter called Physical Damage) resulting from perils or hazards covered under the Physical Damage Insurance (which herein refers to the standard clauses of the physical damage insurance, excluding the special provisions and conditions, extension clauses, endorsements and memorandum etc.), the Insurer shall indemnify the Insured for the loss of gross profit resulting from such interruption or interference, subject to the terms, exclusions, conditions and provisions contained in this Policy or endorsed thereon.</w:t>
      </w:r>
    </w:p>
    <w:p w14:paraId="01FA99ED">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Indemnity Period in this Policy refers to the period beginning with the occurrence of the Physical Damage and ending no later than the Maximum Indemnity Period stated in the Policy thereafter during which the results of the business is affected in the consequence of the damage.</w:t>
      </w:r>
    </w:p>
    <w:p w14:paraId="33F3DE37">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Gross Profit stated in this Policy is calculated as follows:</w:t>
      </w:r>
    </w:p>
    <w:p w14:paraId="749046A2">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Gross Profit= Business Profit +Agreed Standing Charges; or</w:t>
      </w:r>
    </w:p>
    <w:p w14:paraId="1E595CE6">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Gross Profit=Agreed Standing Charge - Business Deficit × Agreed Standing Charges/Total Standing Charges</w:t>
      </w:r>
    </w:p>
    <w:p w14:paraId="4560D03B">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Standing Charges stated in this Policy refers to the costs or expenses incurred by the Insured for the purpose of maintaining normal business operation and shall not be proportionately reduced in accordance with the reduction of the Turnover. The agreed Standing Charges shall be determined by the Insured subject to the confirmation of the Insurer, and then specified in this Policy.</w:t>
      </w:r>
    </w:p>
    <w:p w14:paraId="40F2E85C">
      <w:pPr>
        <w:autoSpaceDE w:val="0"/>
        <w:autoSpaceDN w:val="0"/>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Cs/>
          <w:color w:val="000000"/>
          <w:szCs w:val="21"/>
        </w:rPr>
        <w:t>Unless specifically agreed, the accounting terms used in aforementioned formulas shall have the same meaning usually attached to them in the books and accounts of the Insured.</w:t>
      </w:r>
    </w:p>
    <w:p w14:paraId="7F97310D">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4 </w:t>
      </w:r>
      <w:r>
        <w:rPr>
          <w:rFonts w:hint="default" w:ascii="Times New Roman" w:hAnsi="Times New Roman" w:cs="Times New Roman" w:eastAsiaTheme="minorEastAsia"/>
          <w:bCs/>
          <w:color w:val="000000"/>
          <w:szCs w:val="21"/>
        </w:rPr>
        <w:t xml:space="preserve"> If any particulars or details contained in the Insured's books of account or other business books or documents, which are required by the Insurer for the purpose of investigating or verifying any claim hereunder, are produced by professional accountants if at the time they are regularly acting as such for the Insured, the Insurer shall indemnify the Insured within the limit stated in this Policy in respect of the necessary and reasonable charges payable by the Insured to their professional accountants (hereinafter call Auditor’s Fee) for producing such particulars or details or any other proofs, information or evidence as may be required by the Insurer.</w:t>
      </w:r>
    </w:p>
    <w:p w14:paraId="36225599">
      <w:pPr>
        <w:autoSpaceDE w:val="0"/>
        <w:autoSpaceDN w:val="0"/>
        <w:snapToGrid w:val="0"/>
        <w:spacing w:after="120" w:afterLines="50"/>
        <w:rPr>
          <w:rFonts w:hint="default" w:ascii="Times New Roman" w:hAnsi="Times New Roman" w:cs="Times New Roman" w:eastAsiaTheme="minorEastAsia"/>
          <w:bCs/>
          <w:color w:val="000000"/>
          <w:szCs w:val="21"/>
        </w:rPr>
      </w:pPr>
    </w:p>
    <w:p w14:paraId="03413E82">
      <w:pPr>
        <w:autoSpaceDE w:val="0"/>
        <w:autoSpaceDN w:val="0"/>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EXCLUSIONS</w:t>
      </w:r>
    </w:p>
    <w:p w14:paraId="28B79C98">
      <w:pPr>
        <w:autoSpaceDE w:val="0"/>
        <w:autoSpaceDN w:val="0"/>
        <w:snapToGrid w:val="0"/>
        <w:spacing w:after="120" w:afterLines="5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Article 5 The Insurer shall not be liable for:</w:t>
      </w:r>
    </w:p>
    <w:p w14:paraId="19C6E48C">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5.1 any loss or damage caused by or aggravated by willful act and/or gross negligence of the applicant and/or the Insured; and/or</w:t>
      </w:r>
    </w:p>
    <w:p w14:paraId="3FD43762">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5.2 any loss or damage caused by or aggravated by perils and/or hazards other than those covered by Physical Damage Insurance, which refers to the standard clauses of the physical damage insurance, excluding the special provisions and conditions, extension clauses, endorsements and memorandum etc and/or</w:t>
      </w:r>
    </w:p>
    <w:p w14:paraId="4EFBB558">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5.3 any loss or damage caused by or aggravated by earthquake or tsunami and secondary disasters so caused; and/or</w:t>
      </w:r>
    </w:p>
    <w:p w14:paraId="3DE08BC2">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5.4 any loss or damage resulting from or aggravated by government's restrictions on recovery or repair of damaged property; and/or</w:t>
      </w:r>
    </w:p>
    <w:p w14:paraId="04F585A8">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5.5 any loss or damage caused by or aggravated by terrorism activities; and/or</w:t>
      </w:r>
    </w:p>
    <w:p w14:paraId="0BCA3F34">
      <w:pPr>
        <w:snapToGrid w:val="0"/>
        <w:spacing w:after="120" w:afterLines="50"/>
        <w:ind w:left="358" w:hanging="357" w:hangingChars="17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5.6 the deductible or time excess set forth in this Policy</w:t>
      </w:r>
    </w:p>
    <w:p w14:paraId="2AD592F5">
      <w:pPr>
        <w:snapToGrid w:val="0"/>
        <w:spacing w:after="120" w:afterLines="50"/>
        <w:ind w:left="358" w:hanging="357" w:hangingChars="170"/>
        <w:rPr>
          <w:rFonts w:hint="default" w:ascii="Times New Roman" w:hAnsi="Times New Roman" w:cs="Times New Roman" w:eastAsiaTheme="minorEastAsia"/>
          <w:b/>
          <w:bCs/>
          <w:color w:val="000000"/>
          <w:szCs w:val="21"/>
        </w:rPr>
      </w:pPr>
    </w:p>
    <w:p w14:paraId="6110DB27">
      <w:pPr>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SUM INSURED AND LIMIT OF INDEMNITY</w:t>
      </w:r>
    </w:p>
    <w:p w14:paraId="143EE5A4">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6 </w:t>
      </w:r>
      <w:r>
        <w:rPr>
          <w:rFonts w:hint="default" w:ascii="Times New Roman" w:hAnsi="Times New Roman" w:cs="Times New Roman" w:eastAsiaTheme="minorEastAsia"/>
          <w:bCs/>
          <w:color w:val="000000"/>
          <w:szCs w:val="21"/>
        </w:rPr>
        <w:t>The sum insured of Gross Profit is determined by the Applicant and stated in the Policy.</w:t>
      </w:r>
    </w:p>
    <w:p w14:paraId="13E360C5">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7</w:t>
      </w:r>
      <w:r>
        <w:rPr>
          <w:rFonts w:hint="default" w:ascii="Times New Roman" w:hAnsi="Times New Roman" w:cs="Times New Roman" w:eastAsiaTheme="minorEastAsia"/>
          <w:bCs/>
          <w:color w:val="000000"/>
          <w:szCs w:val="21"/>
        </w:rPr>
        <w:t xml:space="preserve"> The limit of indemnity for Auditor’s Fee is determined by the Applicant and stated in the Policy.</w:t>
      </w:r>
    </w:p>
    <w:p w14:paraId="4290B019">
      <w:pPr>
        <w:autoSpaceDE w:val="0"/>
        <w:autoSpaceDN w:val="0"/>
        <w:snapToGrid w:val="0"/>
        <w:spacing w:after="120" w:afterLines="50"/>
        <w:rPr>
          <w:rFonts w:hint="default" w:ascii="Times New Roman" w:hAnsi="Times New Roman" w:cs="Times New Roman" w:eastAsiaTheme="minorEastAsia"/>
          <w:bCs/>
          <w:color w:val="000000"/>
          <w:szCs w:val="21"/>
        </w:rPr>
      </w:pPr>
    </w:p>
    <w:p w14:paraId="1DF67D90">
      <w:pPr>
        <w:autoSpaceDE w:val="0"/>
        <w:autoSpaceDN w:val="0"/>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INSURANCE PERIOD AND MAXIMUM INDEMNITY PERIOD</w:t>
      </w:r>
    </w:p>
    <w:p w14:paraId="37CCC337">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8 </w:t>
      </w:r>
      <w:r>
        <w:rPr>
          <w:rFonts w:hint="default" w:ascii="Times New Roman" w:hAnsi="Times New Roman" w:cs="Times New Roman" w:eastAsiaTheme="minorEastAsia"/>
          <w:color w:val="000000"/>
          <w:szCs w:val="21"/>
        </w:rPr>
        <w:t>Unless otherwise agreed, the period of insurance shall be one year subject to the inception and expiration date as stipulated in the policy.</w:t>
      </w:r>
    </w:p>
    <w:p w14:paraId="2C311A47">
      <w:pPr>
        <w:autoSpaceDE w:val="0"/>
        <w:autoSpaceDN w:val="0"/>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9 </w:t>
      </w:r>
      <w:r>
        <w:rPr>
          <w:rFonts w:hint="default" w:ascii="Times New Roman" w:hAnsi="Times New Roman" w:cs="Times New Roman" w:eastAsiaTheme="minorEastAsia"/>
          <w:color w:val="000000"/>
          <w:szCs w:val="21"/>
        </w:rPr>
        <w:t>The Maximum Indemnity Period is determined by the Applicant and stated in the Policy.</w:t>
      </w:r>
    </w:p>
    <w:p w14:paraId="0999198E">
      <w:pPr>
        <w:autoSpaceDE w:val="0"/>
        <w:autoSpaceDN w:val="0"/>
        <w:snapToGrid w:val="0"/>
        <w:spacing w:after="120" w:afterLines="50"/>
        <w:rPr>
          <w:rFonts w:hint="default" w:ascii="Times New Roman" w:hAnsi="Times New Roman" w:cs="Times New Roman" w:eastAsiaTheme="minorEastAsia"/>
          <w:color w:val="000000"/>
          <w:szCs w:val="21"/>
        </w:rPr>
      </w:pPr>
    </w:p>
    <w:p w14:paraId="3377EE65">
      <w:pPr>
        <w:autoSpaceDE w:val="0"/>
        <w:autoSpaceDN w:val="0"/>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DEDUCTIBLE AND TIME EXCESS</w:t>
      </w:r>
    </w:p>
    <w:p w14:paraId="1C03FCD5">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10.  </w:t>
      </w:r>
      <w:r>
        <w:rPr>
          <w:rFonts w:hint="default" w:ascii="Times New Roman" w:hAnsi="Times New Roman" w:cs="Times New Roman" w:eastAsiaTheme="minorEastAsia"/>
          <w:color w:val="000000"/>
          <w:szCs w:val="21"/>
        </w:rPr>
        <w:t>The deductible and time excess shall be agreed between the Applicant and the Insurer when entering into the insurance contract and specified in the Policy.</w:t>
      </w:r>
    </w:p>
    <w:p w14:paraId="4C6C2787">
      <w:pPr>
        <w:snapToGrid w:val="0"/>
        <w:spacing w:after="120" w:afterLines="50"/>
        <w:rPr>
          <w:rFonts w:hint="default" w:ascii="Times New Roman" w:hAnsi="Times New Roman" w:cs="Times New Roman" w:eastAsiaTheme="minorEastAsia"/>
          <w:color w:val="000000"/>
          <w:szCs w:val="21"/>
        </w:rPr>
      </w:pPr>
    </w:p>
    <w:p w14:paraId="758D7BE9">
      <w:pPr>
        <w:snapToGrid w:val="0"/>
        <w:spacing w:after="120" w:afterLines="50"/>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bCs/>
          <w:color w:val="000000"/>
          <w:szCs w:val="21"/>
        </w:rPr>
        <w:t>OBLIGATIONS OF THE INSURER</w:t>
      </w:r>
    </w:p>
    <w:p w14:paraId="7DEAD9BA">
      <w:pPr>
        <w:snapToGrid w:val="0"/>
        <w:spacing w:after="120" w:afterLines="50"/>
        <w:ind w:left="2"/>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11 </w:t>
      </w:r>
      <w:r>
        <w:rPr>
          <w:rFonts w:hint="default" w:ascii="Times New Roman" w:hAnsi="Times New Roman" w:cs="Times New Roman" w:eastAsiaTheme="minorEastAsia"/>
          <w:color w:val="000000"/>
          <w:szCs w:val="21"/>
        </w:rPr>
        <w:t xml:space="preserve">In case of application of standard clauses, the Insurer shall enclose them in the Proposal Form and explain the contents of the insurance contract to the Applicant. For the clauses exempting the Insurer’s liability, the Insurer shall make remarkable notice in the Proposal Form, Policy or other certificates to draw the Applicant’s attention, and explain them clearly in written or oral form when entering into the contract. Otherwise, such clauses shall be void. </w:t>
      </w:r>
    </w:p>
    <w:p w14:paraId="5670C937">
      <w:pPr>
        <w:snapToGrid w:val="0"/>
        <w:spacing w:after="120" w:afterLines="50"/>
        <w:ind w:left="2"/>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12 </w:t>
      </w:r>
      <w:r>
        <w:rPr>
          <w:rFonts w:hint="default" w:ascii="Times New Roman" w:hAnsi="Times New Roman" w:cs="Times New Roman" w:eastAsiaTheme="minorEastAsia"/>
          <w:color w:val="000000"/>
          <w:szCs w:val="21"/>
        </w:rPr>
        <w:t xml:space="preserve">The Insurer shall issue the Policy or other certificates in a timely manner after the establishment of an insurance contract </w:t>
      </w:r>
    </w:p>
    <w:p w14:paraId="1C4D7C50">
      <w:pPr>
        <w:snapToGrid w:val="0"/>
        <w:spacing w:after="120" w:afterLines="50"/>
        <w:rPr>
          <w:rStyle w:val="26"/>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w:t>
      </w:r>
      <w:r>
        <w:rPr>
          <w:rStyle w:val="26"/>
          <w:rFonts w:hint="default" w:ascii="Times New Roman" w:hAnsi="Times New Roman" w:cs="Times New Roman" w:eastAsiaTheme="minorEastAsia"/>
          <w:b/>
          <w:color w:val="000000"/>
          <w:szCs w:val="21"/>
        </w:rPr>
        <w:t xml:space="preserve">13 </w:t>
      </w:r>
      <w:r>
        <w:rPr>
          <w:rStyle w:val="26"/>
          <w:rFonts w:hint="default" w:ascii="Times New Roman" w:hAnsi="Times New Roman" w:cs="Times New Roman" w:eastAsiaTheme="minorEastAsia"/>
          <w:color w:val="000000"/>
          <w:szCs w:val="21"/>
        </w:rPr>
        <w:t>The Insurer’s right to cancel the Policy as stated in Article 17 is void if not exercised by the Insurer within thirty days after his acknowledgement of any causes for cancellation of this Policy. After two years from the establishment of the insurance contract, such right to cancel the Policy is also void and the Insurer shall be liable for the loss, costs or expenses insured by this Policy.</w:t>
      </w:r>
    </w:p>
    <w:p w14:paraId="2746D9AE">
      <w:pPr>
        <w:snapToGrid w:val="0"/>
        <w:spacing w:after="120" w:afterLines="50"/>
        <w:rPr>
          <w:rStyle w:val="26"/>
          <w:rFonts w:hint="default" w:ascii="Times New Roman" w:hAnsi="Times New Roman" w:cs="Times New Roman" w:eastAsiaTheme="minorEastAsia"/>
          <w:color w:val="000000"/>
          <w:szCs w:val="21"/>
        </w:rPr>
      </w:pPr>
      <w:r>
        <w:rPr>
          <w:rStyle w:val="26"/>
          <w:rFonts w:hint="default" w:ascii="Times New Roman" w:hAnsi="Times New Roman" w:cs="Times New Roman" w:eastAsiaTheme="minorEastAsia"/>
          <w:color w:val="000000"/>
          <w:szCs w:val="21"/>
        </w:rPr>
        <w:t>If before the establishment of the insurance contract, the Insurer is aware of the Applicant’s misrepresentation or non-disclosure, the Insurer cannot cancel the Policy, and still shall be liable for the loss, costs or expenses insured by this Policy.</w:t>
      </w:r>
    </w:p>
    <w:p w14:paraId="728A86DD">
      <w:pPr>
        <w:snapToGrid w:val="0"/>
        <w:spacing w:after="120" w:afterLines="50"/>
        <w:rPr>
          <w:rStyle w:val="26"/>
          <w:rFonts w:hint="default" w:ascii="Times New Roman" w:hAnsi="Times New Roman" w:cs="Times New Roman" w:eastAsiaTheme="minorEastAsia"/>
          <w:color w:val="000000"/>
          <w:szCs w:val="21"/>
        </w:rPr>
      </w:pPr>
      <w:r>
        <w:rPr>
          <w:rStyle w:val="26"/>
          <w:rFonts w:hint="default" w:ascii="Times New Roman" w:hAnsi="Times New Roman" w:cs="Times New Roman" w:eastAsiaTheme="minorEastAsia"/>
          <w:b/>
          <w:color w:val="000000"/>
          <w:szCs w:val="21"/>
        </w:rPr>
        <w:t xml:space="preserve">Article 14 </w:t>
      </w:r>
      <w:r>
        <w:rPr>
          <w:rStyle w:val="26"/>
          <w:rFonts w:hint="default" w:ascii="Times New Roman" w:hAnsi="Times New Roman" w:cs="Times New Roman" w:eastAsiaTheme="minorEastAsia"/>
          <w:color w:val="000000"/>
          <w:szCs w:val="21"/>
        </w:rPr>
        <w:t>If the Insurer believes that the proofs and documents provided by the Insured, as required in Article 22, are not sufficient, the Insurer shall request the Applicant and/or the Insured to provide additional materials in time and once for all.</w:t>
      </w:r>
    </w:p>
    <w:p w14:paraId="47994C24">
      <w:pPr>
        <w:snapToGrid w:val="0"/>
        <w:spacing w:after="120" w:afterLines="50"/>
        <w:ind w:left="2"/>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15 </w:t>
      </w:r>
      <w:r>
        <w:rPr>
          <w:rFonts w:hint="default" w:ascii="Times New Roman" w:hAnsi="Times New Roman" w:cs="Times New Roman" w:eastAsiaTheme="minorEastAsia"/>
          <w:color w:val="000000"/>
          <w:szCs w:val="21"/>
        </w:rPr>
        <w:t xml:space="preserve">Upon receipt of a claim, the Insurer shall confirm whether the </w:t>
      </w:r>
      <w:r>
        <w:rPr>
          <w:rStyle w:val="26"/>
          <w:rFonts w:hint="default" w:ascii="Times New Roman" w:hAnsi="Times New Roman" w:cs="Times New Roman" w:eastAsiaTheme="minorEastAsia"/>
          <w:color w:val="000000"/>
          <w:szCs w:val="21"/>
        </w:rPr>
        <w:t>loss, costs or expenses</w:t>
      </w:r>
      <w:r>
        <w:rPr>
          <w:rFonts w:hint="default" w:ascii="Times New Roman" w:hAnsi="Times New Roman" w:cs="Times New Roman" w:eastAsiaTheme="minorEastAsia"/>
          <w:color w:val="000000"/>
          <w:szCs w:val="21"/>
        </w:rPr>
        <w:t xml:space="preserve"> are covered by this Policy or not in a timely manner.  For complicated cases, the Insurer shall make decision within thirty days, unless otherwise stipulated in the insurance contact.</w:t>
      </w:r>
    </w:p>
    <w:p w14:paraId="1A7624EB">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 xml:space="preserve">The Insurer shall notify the Insured of the decision in a timely manner. If the </w:t>
      </w:r>
      <w:r>
        <w:rPr>
          <w:rStyle w:val="26"/>
          <w:rFonts w:hint="default" w:ascii="Times New Roman" w:hAnsi="Times New Roman" w:cs="Times New Roman" w:eastAsiaTheme="minorEastAsia"/>
          <w:color w:val="000000"/>
          <w:szCs w:val="21"/>
        </w:rPr>
        <w:t>loss, costs or expenses</w:t>
      </w:r>
      <w:r>
        <w:rPr>
          <w:rFonts w:hint="default" w:ascii="Times New Roman" w:hAnsi="Times New Roman" w:cs="Times New Roman" w:eastAsiaTheme="minorEastAsia"/>
          <w:color w:val="000000"/>
          <w:szCs w:val="21"/>
        </w:rPr>
        <w:t xml:space="preserve"> are covered by this Policy, the Insurer shall make payment within ten days after reaching an agreement with the Insured. If the time limit for indemnity is specifically stipulated in the insurance contact, the Insurer shall make payment within such time limit. If the </w:t>
      </w:r>
      <w:r>
        <w:rPr>
          <w:rStyle w:val="26"/>
          <w:rFonts w:hint="default" w:ascii="Times New Roman" w:hAnsi="Times New Roman" w:cs="Times New Roman" w:eastAsiaTheme="minorEastAsia"/>
          <w:color w:val="000000"/>
          <w:szCs w:val="21"/>
        </w:rPr>
        <w:t>loss, costs or expenses</w:t>
      </w:r>
      <w:r>
        <w:rPr>
          <w:rFonts w:hint="default" w:ascii="Times New Roman" w:hAnsi="Times New Roman" w:cs="Times New Roman" w:eastAsiaTheme="minorEastAsia"/>
          <w:color w:val="000000"/>
          <w:szCs w:val="21"/>
        </w:rPr>
        <w:t xml:space="preserve"> are not covered by this Policy, within three days after the decision, the Insurer shall issue a declination letter and explain the reasons to the Insured. </w:t>
      </w:r>
    </w:p>
    <w:p w14:paraId="68DFDD31">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 xml:space="preserve">Article 18 </w:t>
      </w:r>
      <w:r>
        <w:rPr>
          <w:rFonts w:hint="default" w:ascii="Times New Roman" w:hAnsi="Times New Roman" w:cs="Times New Roman" w:eastAsiaTheme="minorEastAsia"/>
          <w:color w:val="000000"/>
          <w:szCs w:val="21"/>
        </w:rPr>
        <w:t>The Insurer shall allow an advance payment that can be determined by the available proofs or documents if the final settlement amount cannot be determined within sixty days after receipt of such claim and relevant documents, and pay the balance to the Insured after the final amount of indemnity is adjusted.</w:t>
      </w:r>
    </w:p>
    <w:p w14:paraId="7FA59A55">
      <w:pPr>
        <w:snapToGrid w:val="0"/>
        <w:spacing w:after="120" w:afterLines="50"/>
        <w:rPr>
          <w:rFonts w:hint="default" w:ascii="Times New Roman" w:hAnsi="Times New Roman" w:cs="Times New Roman" w:eastAsiaTheme="minorEastAsia"/>
          <w:color w:val="000000"/>
          <w:szCs w:val="21"/>
        </w:rPr>
      </w:pPr>
    </w:p>
    <w:p w14:paraId="27DB470B">
      <w:pPr>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OBLIGATIONS OF THE APPLICANT AND/OR INSURED</w:t>
      </w:r>
    </w:p>
    <w:p w14:paraId="5088F249">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Article 17</w:t>
      </w:r>
      <w:r>
        <w:rPr>
          <w:rFonts w:hint="default" w:ascii="Times New Roman" w:hAnsi="Times New Roman" w:cs="Times New Roman" w:eastAsiaTheme="minorEastAsia"/>
          <w:color w:val="000000"/>
          <w:szCs w:val="21"/>
        </w:rPr>
        <w:t xml:space="preserve"> Before entering into an insurance contract, the Applicant shall make full and accurate representation and disclosure at the request and/or inquiry of the Insurer in respect of the subject matter insured and the Insured himself and complete the Proposal Form faithfully.</w:t>
      </w:r>
    </w:p>
    <w:p w14:paraId="1AEAAAFA">
      <w:pPr>
        <w:pStyle w:val="7"/>
        <w:snapToGrid w:val="0"/>
        <w:spacing w:afterLines="50"/>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sz w:val="21"/>
          <w:szCs w:val="21"/>
        </w:rPr>
        <w:t>If the Applicant fails to fulfill the obligation of making full and accurate representation and disclosure as aforementioned due to his willful act and/or gross negligence, which may affect the Insurer’s decision whether to write the risk of the insurance and, if so, whether to raise the premium rate, the Insurer is entitled to cancel the Policy.</w:t>
      </w:r>
    </w:p>
    <w:p w14:paraId="5737A227">
      <w:pPr>
        <w:tabs>
          <w:tab w:val="left" w:pos="1620"/>
        </w:tabs>
        <w:snapToGrid w:val="0"/>
        <w:spacing w:after="120" w:afterLines="50"/>
        <w:rPr>
          <w:rFonts w:hint="default" w:ascii="Times New Roman" w:hAnsi="Times New Roman" w:cs="Times New Roman" w:eastAsiaTheme="minorEastAsia"/>
          <w:b/>
          <w:color w:val="000000"/>
          <w:szCs w:val="21"/>
        </w:rPr>
      </w:pPr>
      <w:r>
        <w:rPr>
          <w:rFonts w:hint="default" w:ascii="Times New Roman" w:hAnsi="Times New Roman" w:cs="Times New Roman" w:eastAsiaTheme="minorEastAsia"/>
          <w:b/>
          <w:color w:val="000000"/>
          <w:szCs w:val="21"/>
        </w:rPr>
        <w:t>If the Applicant willfully fails to comply with the obligation of making full and accurate representation and disclosure, the Insurer shall not be liable for any loss happening prior to the cancellation of the Policy while no premium shall be refunded.</w:t>
      </w:r>
    </w:p>
    <w:p w14:paraId="64EBA247">
      <w:pPr>
        <w:tabs>
          <w:tab w:val="left" w:pos="1620"/>
        </w:tabs>
        <w:snapToGrid w:val="0"/>
        <w:spacing w:after="120" w:afterLines="50"/>
        <w:ind w:left="1"/>
        <w:rPr>
          <w:rFonts w:hint="default" w:ascii="Times New Roman" w:hAnsi="Times New Roman" w:cs="Times New Roman" w:eastAsiaTheme="minorEastAsia"/>
          <w:b/>
          <w:color w:val="000000"/>
          <w:szCs w:val="21"/>
        </w:rPr>
      </w:pPr>
      <w:r>
        <w:rPr>
          <w:rFonts w:hint="default" w:ascii="Times New Roman" w:hAnsi="Times New Roman" w:cs="Times New Roman" w:eastAsiaTheme="minorEastAsia"/>
          <w:b/>
          <w:color w:val="000000"/>
          <w:szCs w:val="21"/>
        </w:rPr>
        <w:t xml:space="preserve">If the Applicant, due to gross negligence, fails to disclose in truth material particular(s) which has significant contribution to the occurrence of the event insured hereby, the Insurer shall not indemnify the Insured for any loss happening incurred prior to the cancellation of this Policy, but shall return premium collected. </w:t>
      </w:r>
    </w:p>
    <w:p w14:paraId="4F749110">
      <w:pPr>
        <w:pStyle w:val="10"/>
        <w:snapToGrid w:val="0"/>
        <w:spacing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 xml:space="preserve">Article 18 </w:t>
      </w:r>
      <w:r>
        <w:rPr>
          <w:rFonts w:hint="default" w:ascii="Times New Roman" w:hAnsi="Times New Roman" w:cs="Times New Roman" w:eastAsiaTheme="minorEastAsia"/>
          <w:b/>
          <w:bCs/>
          <w:color w:val="000000"/>
          <w:szCs w:val="21"/>
        </w:rPr>
        <w:t>Unless otherwise agreed, The Applicant shall pay off the premium when this Policy establishes.</w:t>
      </w:r>
      <w:r>
        <w:rPr>
          <w:rFonts w:hint="default" w:ascii="Times New Roman" w:hAnsi="Times New Roman" w:cs="Times New Roman" w:eastAsiaTheme="minorEastAsia"/>
          <w:bCs/>
          <w:color w:val="000000"/>
          <w:szCs w:val="21"/>
        </w:rPr>
        <w:t xml:space="preserve"> The Insurer shall not be liable for any loss which occurs</w:t>
      </w:r>
      <w:r>
        <w:rPr>
          <w:rFonts w:hint="default" w:ascii="Times New Roman" w:hAnsi="Times New Roman" w:cs="Times New Roman" w:eastAsiaTheme="minorEastAsia"/>
          <w:color w:val="000000"/>
          <w:szCs w:val="21"/>
        </w:rPr>
        <w:t xml:space="preserve"> prior to premium payment.</w:t>
      </w:r>
    </w:p>
    <w:p w14:paraId="3CAB6A5D">
      <w:pPr>
        <w:snapToGrid w:val="0"/>
        <w:spacing w:after="120" w:afterLines="50"/>
        <w:jc w:val="left"/>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19 </w:t>
      </w:r>
      <w:r>
        <w:rPr>
          <w:rFonts w:hint="default" w:ascii="Times New Roman" w:hAnsi="Times New Roman" w:cs="Times New Roman" w:eastAsiaTheme="minorEastAsia"/>
          <w:color w:val="000000"/>
          <w:szCs w:val="21"/>
        </w:rPr>
        <w:t xml:space="preserve">The insured shall observe and fulfill relevant laws, regulations and requirements on fire, safety, production operations </w:t>
      </w:r>
      <w:r>
        <w:rPr>
          <w:rFonts w:hint="default" w:ascii="Times New Roman" w:hAnsi="Times New Roman" w:cs="Times New Roman" w:eastAsiaTheme="minorEastAsia"/>
          <w:bCs/>
          <w:color w:val="000000"/>
          <w:szCs w:val="21"/>
        </w:rPr>
        <w:t>and labor protection</w:t>
      </w:r>
      <w:r>
        <w:rPr>
          <w:rFonts w:hint="default" w:ascii="Times New Roman" w:hAnsi="Times New Roman" w:cs="Times New Roman" w:eastAsiaTheme="minorEastAsia"/>
          <w:color w:val="000000"/>
          <w:szCs w:val="21"/>
        </w:rPr>
        <w:t xml:space="preserve">, </w:t>
      </w:r>
      <w:r>
        <w:rPr>
          <w:rFonts w:hint="default" w:ascii="Times New Roman" w:hAnsi="Times New Roman" w:cs="Times New Roman" w:eastAsiaTheme="minorEastAsia"/>
          <w:bCs/>
          <w:color w:val="000000"/>
          <w:szCs w:val="21"/>
        </w:rPr>
        <w:t>improve management, take all reasonable precautions to protect</w:t>
      </w:r>
      <w:r>
        <w:rPr>
          <w:rFonts w:hint="default" w:ascii="Times New Roman" w:hAnsi="Times New Roman" w:cs="Times New Roman" w:eastAsiaTheme="minorEastAsia"/>
          <w:color w:val="000000"/>
          <w:szCs w:val="21"/>
        </w:rPr>
        <w:t xml:space="preserve"> the security</w:t>
      </w:r>
      <w:r>
        <w:rPr>
          <w:rFonts w:hint="default" w:ascii="Times New Roman" w:hAnsi="Times New Roman" w:cs="Times New Roman" w:eastAsiaTheme="minorEastAsia"/>
          <w:bCs/>
          <w:color w:val="000000"/>
          <w:szCs w:val="21"/>
        </w:rPr>
        <w:t xml:space="preserve"> of the property and prevent and/or minimize loss or damage thereto.</w:t>
      </w:r>
    </w:p>
    <w:p w14:paraId="6F01CC8B">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 xml:space="preserve">The Insurer is entitled to inspect whether or not the Insured has fulfilled the aforementioned obligation of reasonable precautions, and make recommendations in writing to the Applicant or the Insured on eliminating risks and dangers, which shall be implemented by the Applicant and/or the Insured </w:t>
      </w:r>
      <w:r>
        <w:rPr>
          <w:rFonts w:hint="default" w:ascii="Times New Roman" w:hAnsi="Times New Roman" w:cs="Times New Roman" w:eastAsiaTheme="minorEastAsia"/>
          <w:color w:val="000000"/>
          <w:szCs w:val="21"/>
        </w:rPr>
        <w:t xml:space="preserve">in a serious manner </w:t>
      </w:r>
      <w:r>
        <w:rPr>
          <w:rFonts w:hint="default" w:ascii="Times New Roman" w:hAnsi="Times New Roman" w:cs="Times New Roman" w:eastAsiaTheme="minorEastAsia"/>
          <w:bCs/>
          <w:color w:val="000000"/>
          <w:szCs w:val="21"/>
        </w:rPr>
        <w:t>accordingly.</w:t>
      </w:r>
    </w:p>
    <w:p w14:paraId="13EB7249">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 xml:space="preserve">If the Applicant or the Insured fails to comply with due obligation of reasonable precautions, the Insurer is entitled to charge additional premium or cancel the Policy. </w:t>
      </w:r>
    </w:p>
    <w:p w14:paraId="3D0C5F92">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20.</w:t>
      </w:r>
      <w:r>
        <w:rPr>
          <w:rFonts w:hint="default" w:ascii="Times New Roman" w:hAnsi="Times New Roman" w:cs="Times New Roman" w:eastAsiaTheme="minorEastAsia"/>
          <w:bCs/>
          <w:color w:val="000000"/>
          <w:szCs w:val="21"/>
        </w:rPr>
        <w:t xml:space="preserve"> During the period of insurance, if there is any change of material fact, such as change of business nature in premises specified in the Schedule, liquidation and/or taking-over by liquidator or assets manager, or increase of risk exposure of property used in the business, etc., which may increase the risk materially and affect the Insurer’s decision as to whether to continue writing the risk of insurance and, if so, whether to increase the premium, the Insured shall give the Insurer timely written notice of such changes, and the Insurer is entitled to charge additional premium or cancel this Policy.</w:t>
      </w:r>
    </w:p>
    <w:p w14:paraId="74B262AC">
      <w:pPr>
        <w:snapToGrid w:val="0"/>
        <w:spacing w:after="120" w:afterLines="5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 xml:space="preserve">If the Insured fails to comply with the obligation of notification aforementioned, the Insurer shall not be liable for any loss due to the </w:t>
      </w:r>
      <w:r>
        <w:rPr>
          <w:rFonts w:hint="default" w:ascii="Times New Roman" w:hAnsi="Times New Roman" w:cs="Times New Roman" w:eastAsiaTheme="minorEastAsia"/>
          <w:b/>
          <w:color w:val="000000"/>
          <w:szCs w:val="21"/>
        </w:rPr>
        <w:t>material change of the risks</w:t>
      </w:r>
      <w:r>
        <w:rPr>
          <w:rFonts w:hint="default" w:ascii="Times New Roman" w:hAnsi="Times New Roman" w:cs="Times New Roman" w:eastAsiaTheme="minorEastAsia"/>
          <w:b/>
          <w:bCs/>
          <w:color w:val="000000"/>
          <w:szCs w:val="21"/>
        </w:rPr>
        <w:t>.</w:t>
      </w:r>
    </w:p>
    <w:p w14:paraId="349AF510">
      <w:pPr>
        <w:snapToGrid w:val="0"/>
        <w:spacing w:after="120" w:afterLines="50"/>
        <w:jc w:val="left"/>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21</w:t>
      </w:r>
      <w:r>
        <w:rPr>
          <w:rFonts w:hint="default" w:ascii="Times New Roman" w:hAnsi="Times New Roman" w:cs="Times New Roman" w:eastAsiaTheme="minorEastAsia"/>
          <w:bCs/>
          <w:color w:val="000000"/>
          <w:szCs w:val="21"/>
        </w:rPr>
        <w:t xml:space="preserve"> If any event giving rise to or likely to give rise to a claim under this Policy comes to his knowledge, the Insured shall: </w:t>
      </w:r>
    </w:p>
    <w:p w14:paraId="3D839F17">
      <w:pPr>
        <w:pStyle w:val="7"/>
        <w:snapToGrid w:val="0"/>
        <w:spacing w:afterLines="50"/>
        <w:ind w:left="893" w:hanging="472" w:hangingChars="225"/>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sz w:val="21"/>
          <w:szCs w:val="21"/>
        </w:rPr>
        <w:t xml:space="preserve">21.1 take all necessary and reasonable measures to repair the damaged property  used in business operation, restore business operation as soon as practical to prevent or minimize the loss resulting from the interruption and/or interference of the business, </w:t>
      </w:r>
      <w:r>
        <w:rPr>
          <w:rFonts w:hint="default" w:ascii="Times New Roman" w:hAnsi="Times New Roman" w:cs="Times New Roman" w:eastAsiaTheme="minorEastAsia"/>
          <w:b/>
          <w:color w:val="000000"/>
          <w:sz w:val="21"/>
          <w:szCs w:val="21"/>
        </w:rPr>
        <w:t xml:space="preserve">otherwise the Insurer shall not be liable for any </w:t>
      </w:r>
      <w:r>
        <w:rPr>
          <w:rFonts w:hint="default" w:ascii="Times New Roman" w:hAnsi="Times New Roman" w:cs="Times New Roman" w:eastAsiaTheme="minorEastAsia"/>
          <w:b/>
          <w:bCs/>
          <w:color w:val="000000"/>
          <w:sz w:val="21"/>
          <w:szCs w:val="21"/>
        </w:rPr>
        <w:t>extended</w:t>
      </w:r>
      <w:r>
        <w:rPr>
          <w:rFonts w:hint="default" w:ascii="Times New Roman" w:hAnsi="Times New Roman" w:cs="Times New Roman" w:eastAsiaTheme="minorEastAsia"/>
          <w:b/>
          <w:color w:val="000000"/>
          <w:sz w:val="21"/>
          <w:szCs w:val="21"/>
        </w:rPr>
        <w:t xml:space="preserve"> or aggravated loss caused hereby;</w:t>
      </w:r>
      <w:r>
        <w:rPr>
          <w:rFonts w:hint="default" w:ascii="Times New Roman" w:hAnsi="Times New Roman" w:cs="Times New Roman" w:eastAsiaTheme="minorEastAsia"/>
          <w:bCs/>
          <w:color w:val="000000"/>
          <w:sz w:val="21"/>
          <w:szCs w:val="21"/>
        </w:rPr>
        <w:t xml:space="preserve">  </w:t>
      </w:r>
      <w:r>
        <w:rPr>
          <w:rFonts w:hint="default" w:ascii="Times New Roman" w:hAnsi="Times New Roman" w:cs="Times New Roman" w:eastAsiaTheme="minorEastAsia"/>
          <w:b/>
          <w:color w:val="000000"/>
          <w:sz w:val="21"/>
          <w:szCs w:val="21"/>
        </w:rPr>
        <w:t xml:space="preserve"> </w:t>
      </w:r>
    </w:p>
    <w:p w14:paraId="230A8E77">
      <w:pPr>
        <w:snapToGrid w:val="0"/>
        <w:spacing w:after="120" w:afterLines="50"/>
        <w:ind w:left="473" w:hanging="472" w:hangingChars="225"/>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Cs/>
          <w:color w:val="000000"/>
          <w:szCs w:val="21"/>
        </w:rPr>
        <w:t xml:space="preserve">21.2 give notice to the Insurer immediately and submit a written report on the cause, course and extent of the loss. </w:t>
      </w:r>
      <w:r>
        <w:rPr>
          <w:rFonts w:hint="default" w:ascii="Times New Roman" w:hAnsi="Times New Roman" w:cs="Times New Roman" w:eastAsiaTheme="minorEastAsia"/>
          <w:b/>
          <w:bCs/>
          <w:color w:val="000000"/>
          <w:szCs w:val="21"/>
        </w:rPr>
        <w:t xml:space="preserve">If the Applicant and/or Insured fail to notify the Insurer in time due to his willful act or gross negligence, which makes the Insurer not able to ascertain the nature, cause and extent of the loss, the Insurer shall not indemnify the Insured in respect of such uncertain part of loss, </w:t>
      </w:r>
      <w:r>
        <w:rPr>
          <w:rFonts w:hint="default" w:ascii="Times New Roman" w:hAnsi="Times New Roman" w:cs="Times New Roman" w:eastAsiaTheme="minorEastAsia"/>
          <w:bCs/>
          <w:color w:val="000000"/>
          <w:szCs w:val="21"/>
        </w:rPr>
        <w:t>except that the Insurer is aware or ought to be aware of the occurrence timely by other means.</w:t>
      </w:r>
    </w:p>
    <w:p w14:paraId="2412EB8E">
      <w:pPr>
        <w:snapToGrid w:val="0"/>
        <w:spacing w:after="120" w:afterLines="50"/>
        <w:ind w:left="473" w:hanging="472" w:hangingChars="225"/>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Cs/>
          <w:color w:val="000000"/>
          <w:szCs w:val="21"/>
        </w:rPr>
        <w:t xml:space="preserve">21.3 preserve the spot, permit and assist the Insurer to investigate the accident, and provide the Insurer with relevant </w:t>
      </w:r>
      <w:r>
        <w:rPr>
          <w:rFonts w:hint="default" w:ascii="Times New Roman" w:hAnsi="Times New Roman" w:cs="Times New Roman" w:eastAsiaTheme="minorEastAsia"/>
          <w:color w:val="000000"/>
          <w:szCs w:val="21"/>
        </w:rPr>
        <w:t>books of account or other business books or documents for verification of the loss.</w:t>
      </w:r>
      <w:r>
        <w:rPr>
          <w:rFonts w:hint="default" w:ascii="Times New Roman" w:hAnsi="Times New Roman" w:cs="Times New Roman" w:eastAsiaTheme="minorEastAsia"/>
          <w:bCs/>
          <w:color w:val="000000"/>
          <w:szCs w:val="21"/>
        </w:rPr>
        <w:t xml:space="preserve"> </w:t>
      </w:r>
      <w:r>
        <w:rPr>
          <w:rFonts w:hint="default" w:ascii="Times New Roman" w:hAnsi="Times New Roman" w:cs="Times New Roman" w:eastAsiaTheme="minorEastAsia"/>
          <w:b/>
          <w:bCs/>
          <w:color w:val="000000"/>
          <w:szCs w:val="21"/>
        </w:rPr>
        <w:t>If the cause of the accident cannot be ascertained or the severity of the damage cannot be verified due to the refusal of or disturbance by the Insured, the Insurer shall not indemnify the Insured in respect of such uncertain part of the loss.</w:t>
      </w:r>
    </w:p>
    <w:p w14:paraId="35720807">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22</w:t>
      </w:r>
      <w:r>
        <w:rPr>
          <w:rFonts w:hint="default" w:ascii="Times New Roman" w:hAnsi="Times New Roman" w:cs="Times New Roman" w:eastAsiaTheme="minorEastAsia"/>
          <w:bCs/>
          <w:color w:val="000000"/>
          <w:szCs w:val="21"/>
        </w:rPr>
        <w:t xml:space="preserve"> </w:t>
      </w:r>
      <w:r>
        <w:rPr>
          <w:rFonts w:hint="default" w:ascii="Times New Roman" w:hAnsi="Times New Roman" w:cs="Times New Roman" w:eastAsiaTheme="minorEastAsia"/>
          <w:color w:val="000000"/>
          <w:szCs w:val="21"/>
        </w:rPr>
        <w:t>To lodge a claim,</w:t>
      </w:r>
      <w:r>
        <w:rPr>
          <w:rFonts w:hint="default" w:ascii="Times New Roman" w:hAnsi="Times New Roman" w:cs="Times New Roman" w:eastAsiaTheme="minorEastAsia"/>
          <w:bCs/>
          <w:color w:val="000000"/>
          <w:szCs w:val="21"/>
        </w:rPr>
        <w:t xml:space="preserve"> the Insured shall submit the following proofs and documents:</w:t>
      </w:r>
    </w:p>
    <w:p w14:paraId="36B98C7A">
      <w:pPr>
        <w:snapToGrid w:val="0"/>
        <w:spacing w:after="120" w:afterLines="50"/>
        <w:ind w:left="473" w:hanging="472" w:hangingChars="225"/>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22.1 the original policy, claims application, list of lost or damaged property, certificates of technical appraisal, report on the occurrence, invoices of rescue expenses, necessary accounting books, documents and certificates issued by relevant governmental departments or public authorities.</w:t>
      </w:r>
    </w:p>
    <w:p w14:paraId="3635E561">
      <w:pPr>
        <w:snapToGrid w:val="0"/>
        <w:spacing w:after="120" w:afterLines="50"/>
        <w:ind w:left="473" w:hanging="472" w:hangingChars="225"/>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Cs/>
          <w:color w:val="000000"/>
          <w:szCs w:val="21"/>
        </w:rPr>
        <w:t xml:space="preserve">22.2 all other information and available documents or proofs concerning the verification of the nature, cause and extent of the Damage that can be provided by the Applicant or Insured.  </w:t>
      </w:r>
    </w:p>
    <w:p w14:paraId="24BA433F">
      <w:pPr>
        <w:snapToGrid w:val="0"/>
        <w:spacing w:after="120" w:afterLines="5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If the Applicant or Insured fails to comply with their obligation of providing the proofs and documents as aforementioned, which makes the Insurer not able to verify the loss, the Insurer shall not indemnify the Insured in respect of the uncertain part of loss.</w:t>
      </w:r>
    </w:p>
    <w:p w14:paraId="7B6042BC">
      <w:pPr>
        <w:snapToGrid w:val="0"/>
        <w:spacing w:after="120" w:afterLines="50"/>
        <w:rPr>
          <w:rFonts w:hint="default" w:ascii="Times New Roman" w:hAnsi="Times New Roman" w:cs="Times New Roman" w:eastAsiaTheme="minorEastAsia"/>
          <w:b/>
          <w:bCs/>
          <w:color w:val="000000"/>
          <w:szCs w:val="21"/>
        </w:rPr>
      </w:pPr>
    </w:p>
    <w:p w14:paraId="08517338">
      <w:pPr>
        <w:snapToGrid w:val="0"/>
        <w:spacing w:after="120" w:afterLines="50"/>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LOSS SETTLEMENT</w:t>
      </w:r>
    </w:p>
    <w:p w14:paraId="16F55C1F">
      <w:pPr>
        <w:autoSpaceDE w:val="0"/>
        <w:autoSpaceDN w:val="0"/>
        <w:snapToGrid w:val="0"/>
        <w:spacing w:after="120" w:afterLines="5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 xml:space="preserve">Article 23. After an occurrence insured hereby, It is a condition precedent to any liability on the part of the Insurer that payment of indemnity has been made or liability has been admitted by the Insurer under the Physical Damage Insurance which refers to the standard clauses of the physical damage insurance, excluding the special provisions and conditions, extension clauses, endorsements and memorandum etc., </w:t>
      </w:r>
      <w:r>
        <w:rPr>
          <w:rFonts w:hint="default" w:ascii="Times New Roman" w:hAnsi="Times New Roman" w:cs="Times New Roman" w:eastAsiaTheme="minorEastAsia"/>
          <w:bCs/>
          <w:color w:val="000000"/>
          <w:szCs w:val="21"/>
        </w:rPr>
        <w:t>unless no such payment shall have been made or liability shall not have been admitted therefore solely owing to the operation of deductible proviso under the Physical Damage Insurance.</w:t>
      </w:r>
    </w:p>
    <w:p w14:paraId="3547CE61">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24. </w:t>
      </w:r>
      <w:r>
        <w:rPr>
          <w:rFonts w:hint="default" w:ascii="Times New Roman" w:hAnsi="Times New Roman" w:cs="Times New Roman" w:eastAsiaTheme="minorEastAsia"/>
          <w:bCs/>
          <w:color w:val="000000"/>
          <w:szCs w:val="21"/>
        </w:rPr>
        <w:t>The loss of the Gross Profit in the Indemnity Period is the sum of Reduction in Turnover and the Increase in Cost of Working, deducting any sum saved during the Indemnity Period in respect of such of charges and expenses of the business payable out of Gross Profit as may cease or be reduced in consequence of the incident covered hereby.</w:t>
      </w:r>
    </w:p>
    <w:p w14:paraId="26DA3801">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Loss of the Gross Profit resulting from Reduction in Turnover shall be the sum produced by applying the Rate of Gross Profit to the amount by which the Actual Turnover during the Indemnity Period shall, in consequence of the incident, fall short of the Standard Turnover:</w:t>
      </w:r>
    </w:p>
    <w:p w14:paraId="5BBDC7ED">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Rate of gross profit *(standard turnover – actual business turnover within the indemnity period)</w:t>
      </w:r>
    </w:p>
    <w:p w14:paraId="5532294C">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Turnover stated in this Policy refers to money paid or payable to the Insured for goods sold and for services rendered and transferring assets in course of the business.</w:t>
      </w:r>
    </w:p>
    <w:p w14:paraId="76CF79CE">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Rate of Gross Profit stated in this Policy refers to the rate of Gross Profit earned on the Turnover during the financial year immediately before the date of the physical damage.</w:t>
      </w:r>
    </w:p>
    <w:p w14:paraId="14C05ACA">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Standard Turnover stated in this Policy refers to the Turnover during that period in the twelve months before the date of the physical damage which corresponds with the Indemnity Period.</w:t>
      </w:r>
    </w:p>
    <w:p w14:paraId="00694CD4">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Incomes, in connection with the insured’s operation, brought into account elsewhere than at the stated premises in this Policy, either by the insured or its representatives shall be included in the Actual Turnover.</w:t>
      </w:r>
    </w:p>
    <w:p w14:paraId="5577290A">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 xml:space="preserve">Increase in Cost of Working refers to the additional expenditure necessarily and reasonably incurred for the sole purpose of avoiding or diminishing the reduction in Turnover which but for that expenditure would have taken place during the Indemnity Period in consequence of the Physical Damage but not exceeding the sum produced by applying the Rate of Gross Profit to the amount of the reduction thereby avoided. </w:t>
      </w:r>
    </w:p>
    <w:p w14:paraId="18E9D2D2">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If any Standing Charges of the business are not insured by this Policy (having been deducted in arriving at the Gross Profit as defined herein) then in calculating the amount recoverable hereunder as Increase in Cost of Working that proportion only of the additional expenditure shall be brought into account which the Gross Profit bears to the sum of the Gross Profit and the Uninsured Standing Charges, as the following formula:</w:t>
      </w:r>
    </w:p>
    <w:p w14:paraId="4C525B0F">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Increase in Cost of Working × Gross Profit/ (Gross Profit + Uninsured Standing Charges)</w:t>
      </w:r>
    </w:p>
    <w:p w14:paraId="0338411E">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25.</w:t>
      </w:r>
      <w:r>
        <w:rPr>
          <w:rFonts w:hint="default" w:ascii="Times New Roman" w:hAnsi="Times New Roman" w:cs="Times New Roman" w:eastAsiaTheme="minorEastAsia"/>
          <w:bCs/>
          <w:color w:val="000000"/>
          <w:szCs w:val="21"/>
        </w:rPr>
        <w:t xml:space="preserve"> If the Maximum Indemnity Period is shorter than or equivalent to 12 months, and the sum insured is less than the amount of Rate of Gross Profit multiplying Annual Turnover, the amount of indemnity shall be determined on the basis of such proportion of the loss of Gross Profit as the sum insured bears to above-mentioned formula:</w:t>
      </w:r>
    </w:p>
    <w:p w14:paraId="38183BC7">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Amount of indemnity =loss of Gross Profit × sum insured / (Rate of Gross Profit × Annual Turnover)</w:t>
      </w:r>
    </w:p>
    <w:p w14:paraId="47C45CAB">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If the Maximum Indemnity Period is longer than 12 months, and the sum insured is less than the amount that both rate of gross profit multiplying annual turnover, and the Maximum Indemnity Period multiplying 1/12. The amount of indemnity shall be determined on the basis of above-mentioned proportion of the actual loss of Gross Profit as the sum insured bears to above-mentioned formula:</w:t>
      </w:r>
    </w:p>
    <w:p w14:paraId="3C5FE193">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 xml:space="preserve">Amount of indemnity =loss of Gross Profit </w:t>
      </w:r>
      <w:r>
        <w:rPr>
          <w:rFonts w:hint="default" w:ascii="Times New Roman" w:hAnsi="Times New Roman" w:cs="Times New Roman" w:eastAsiaTheme="minorEastAsia"/>
          <w:color w:val="000000"/>
          <w:szCs w:val="21"/>
        </w:rPr>
        <w:t xml:space="preserve">× </w:t>
      </w:r>
      <w:r>
        <w:rPr>
          <w:rFonts w:hint="default" w:ascii="Times New Roman" w:hAnsi="Times New Roman" w:cs="Times New Roman" w:eastAsiaTheme="minorEastAsia"/>
          <w:bCs/>
          <w:color w:val="000000"/>
          <w:szCs w:val="21"/>
        </w:rPr>
        <w:t xml:space="preserve">sum insured / (Rate of Gross Profit </w:t>
      </w:r>
      <w:r>
        <w:rPr>
          <w:rFonts w:hint="default" w:ascii="Times New Roman" w:hAnsi="Times New Roman" w:cs="Times New Roman" w:eastAsiaTheme="minorEastAsia"/>
          <w:color w:val="000000"/>
          <w:szCs w:val="21"/>
        </w:rPr>
        <w:t xml:space="preserve">× </w:t>
      </w:r>
      <w:r>
        <w:rPr>
          <w:rFonts w:hint="default" w:ascii="Times New Roman" w:hAnsi="Times New Roman" w:cs="Times New Roman" w:eastAsiaTheme="minorEastAsia"/>
          <w:bCs/>
          <w:color w:val="000000"/>
          <w:szCs w:val="21"/>
        </w:rPr>
        <w:t xml:space="preserve">Annual Turnover </w:t>
      </w:r>
      <w:r>
        <w:rPr>
          <w:rFonts w:hint="default" w:ascii="Times New Roman" w:hAnsi="Times New Roman" w:cs="Times New Roman" w:eastAsiaTheme="minorEastAsia"/>
          <w:color w:val="000000"/>
          <w:szCs w:val="21"/>
        </w:rPr>
        <w:t xml:space="preserve">× </w:t>
      </w:r>
      <w:r>
        <w:rPr>
          <w:rFonts w:hint="default" w:ascii="Times New Roman" w:hAnsi="Times New Roman" w:cs="Times New Roman" w:eastAsiaTheme="minorEastAsia"/>
          <w:bCs/>
          <w:color w:val="000000"/>
          <w:szCs w:val="21"/>
        </w:rPr>
        <w:t>Maximum Indemnity Period/12)</w:t>
      </w:r>
    </w:p>
    <w:p w14:paraId="7D44F999">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The Annual Turnover stated in this Policy refers to the turnover during the 12 months immediately before the date of Physical Damage.</w:t>
      </w:r>
    </w:p>
    <w:p w14:paraId="2E678BFF">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26.</w:t>
      </w:r>
      <w:r>
        <w:rPr>
          <w:rFonts w:hint="default" w:ascii="Times New Roman" w:hAnsi="Times New Roman" w:cs="Times New Roman" w:eastAsiaTheme="minorEastAsia"/>
          <w:bCs/>
          <w:color w:val="000000"/>
          <w:szCs w:val="21"/>
        </w:rPr>
        <w:t xml:space="preserve"> To which such adjustments shall be made as may be necessary to provide for the trend of business and for variations in or other circumstances affecting  the business either before or after Physical Damage or which would have affected the business had the Physical Damage not occurred, so that the figures thus adjusted shall represent as nearly as may be reasonably practicable the results which but for the damage would have been obtained during the relative period after the physical property damage.</w:t>
      </w:r>
    </w:p>
    <w:p w14:paraId="6D39D092">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27. </w:t>
      </w:r>
      <w:r>
        <w:rPr>
          <w:rFonts w:hint="default" w:ascii="Times New Roman" w:hAnsi="Times New Roman" w:cs="Times New Roman" w:eastAsiaTheme="minorEastAsia"/>
          <w:bCs/>
          <w:color w:val="000000"/>
          <w:szCs w:val="21"/>
        </w:rPr>
        <w:t>If the deductible has been agreed in this Policy, the amount of indemnity for loss of gross profit shall be the amount of loss of gross profit calculated in accordance with Item 24 and Item 25 deducting the deductible.</w:t>
      </w:r>
    </w:p>
    <w:p w14:paraId="292283A8">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If the time excess has been agreed in this Policy, the deducting amount shall be calculated as the percent of time excess divided by indemnity period multiplying the loss of Gross Profit defined in accordance with Item 24 and Item 25.</w:t>
      </w:r>
    </w:p>
    <w:p w14:paraId="33BD68C1">
      <w:pPr>
        <w:autoSpaceDE w:val="0"/>
        <w:autoSpaceDN w:val="0"/>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28.</w:t>
      </w:r>
      <w:r>
        <w:rPr>
          <w:rFonts w:hint="default" w:ascii="Times New Roman" w:hAnsi="Times New Roman" w:cs="Times New Roman" w:eastAsiaTheme="minorEastAsia"/>
          <w:bCs/>
          <w:color w:val="000000"/>
          <w:szCs w:val="21"/>
        </w:rPr>
        <w:t xml:space="preserve"> The Insurer shall pay the actual Auditor’s Fee incurred in consequence of a covered occurrence, subject to the limit of indemnity specified in the Policy.</w:t>
      </w:r>
    </w:p>
    <w:p w14:paraId="170E97AC">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29. </w:t>
      </w:r>
      <w:r>
        <w:rPr>
          <w:rFonts w:hint="default" w:ascii="Times New Roman" w:hAnsi="Times New Roman" w:cs="Times New Roman" w:eastAsiaTheme="minorEastAsia"/>
          <w:bCs/>
          <w:color w:val="000000"/>
          <w:szCs w:val="21"/>
        </w:rPr>
        <w:t>The insured shall furnish the Insurer with any other relevant insurance policies existing in truth when lodging a claim. If at the occurrence of the insured accident there is any double insurance, the Insurer shall not pay or contribute more than his rateable proportion of loss as the corresponding sum insured under this Policy bears to the corresponding total sum insured under all these policies.</w:t>
      </w:r>
    </w:p>
    <w:p w14:paraId="3ED8DB9E">
      <w:pPr>
        <w:snapToGrid w:val="0"/>
        <w:spacing w:after="120" w:afterLines="50"/>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 xml:space="preserve">The Insurer shall not advance the amount payable by other insurer(s). If the Insurer has paid more than his share due to the Insured’s non-disclosure, the Insurer is entitled to claim for the portion paid in excess.   </w:t>
      </w:r>
    </w:p>
    <w:p w14:paraId="2DF51BB4">
      <w:pPr>
        <w:tabs>
          <w:tab w:val="left" w:pos="2160"/>
        </w:tabs>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30 </w:t>
      </w:r>
      <w:r>
        <w:rPr>
          <w:rFonts w:hint="default" w:ascii="Times New Roman" w:hAnsi="Times New Roman" w:cs="Times New Roman" w:eastAsiaTheme="minorEastAsia"/>
          <w:bCs/>
          <w:color w:val="000000"/>
          <w:szCs w:val="21"/>
        </w:rPr>
        <w:t xml:space="preserve">If any third party is held liable for the loss or damage insured hereby, the Insurer shall be entitled by subrogation to claim for indemnity against such third party upon Insurer’s paying for the loss subject to the limit of the payment, and the Insured shall provide the Insurer with all the necessary documents and relevant information known to him. </w:t>
      </w:r>
    </w:p>
    <w:p w14:paraId="6A09361C">
      <w:pPr>
        <w:tabs>
          <w:tab w:val="left" w:pos="2160"/>
        </w:tabs>
        <w:snapToGrid w:val="0"/>
        <w:spacing w:after="120" w:afterLines="50"/>
        <w:ind w:firstLine="48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Cs/>
          <w:color w:val="000000"/>
          <w:szCs w:val="21"/>
        </w:rPr>
        <w:t>If the Insured has already been indemnified by the third party liable for the loss or damage, the Insurer shall deduct the corresponding amount when calculating the amount of indemnity.</w:t>
      </w:r>
    </w:p>
    <w:p w14:paraId="06132CCC">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bCs/>
          <w:color w:val="000000"/>
          <w:szCs w:val="21"/>
        </w:rPr>
        <w:t xml:space="preserve">The Insurer shall not indemnify the Insured for the loss or damage, if the Insured waive the right to claim against the third party liable before the Insurer makes payment of indemnity. </w:t>
      </w:r>
      <w:r>
        <w:rPr>
          <w:rFonts w:hint="default" w:ascii="Times New Roman" w:hAnsi="Times New Roman" w:cs="Times New Roman" w:eastAsiaTheme="minorEastAsia"/>
          <w:bCs/>
          <w:color w:val="000000"/>
          <w:szCs w:val="21"/>
        </w:rPr>
        <w:t xml:space="preserve">If after receiving indemnity from the Insurer, the Insured waives the right to claim against any third party liable for the loss or damage without the Insurer’s consent, such waiver of right is invalid. </w:t>
      </w:r>
      <w:r>
        <w:rPr>
          <w:rFonts w:hint="default" w:ascii="Times New Roman" w:hAnsi="Times New Roman" w:cs="Times New Roman" w:eastAsiaTheme="minorEastAsia"/>
          <w:b/>
          <w:bCs/>
          <w:color w:val="000000"/>
          <w:szCs w:val="21"/>
        </w:rPr>
        <w:t xml:space="preserve">If due to the Insured’s willful act or gross negligence, the Insurer cannot exercise the right of subrogation, the Insurer may deduct a corresponding amount when calculating the amount of indemnity or request refund of a corresponding amount from the indemnity paid to the Insured. </w:t>
      </w:r>
    </w:p>
    <w:p w14:paraId="72D7FBF2">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Article 31</w:t>
      </w:r>
      <w:r>
        <w:rPr>
          <w:rFonts w:hint="default" w:ascii="Times New Roman" w:hAnsi="Times New Roman" w:cs="Times New Roman" w:eastAsiaTheme="minorEastAsia"/>
          <w:bCs/>
          <w:color w:val="000000"/>
          <w:szCs w:val="21"/>
        </w:rPr>
        <w:t xml:space="preserve"> U</w:t>
      </w:r>
      <w:r>
        <w:rPr>
          <w:rFonts w:hint="default" w:ascii="Times New Roman" w:hAnsi="Times New Roman" w:cs="Times New Roman" w:eastAsiaTheme="minorEastAsia"/>
          <w:color w:val="000000"/>
          <w:szCs w:val="21"/>
        </w:rPr>
        <w:t>pon settlement of the claim by the Insurer,</w:t>
      </w:r>
      <w:r>
        <w:rPr>
          <w:rFonts w:hint="default" w:ascii="Times New Roman" w:hAnsi="Times New Roman" w:cs="Times New Roman" w:eastAsiaTheme="minorEastAsia"/>
          <w:bCs/>
          <w:color w:val="000000"/>
          <w:szCs w:val="21"/>
        </w:rPr>
        <w:t xml:space="preserve"> </w:t>
      </w:r>
      <w:r>
        <w:rPr>
          <w:rFonts w:hint="default" w:ascii="Times New Roman" w:hAnsi="Times New Roman" w:cs="Times New Roman" w:eastAsiaTheme="minorEastAsia"/>
          <w:color w:val="000000"/>
          <w:szCs w:val="21"/>
        </w:rPr>
        <w:t>the sum insured of this Policy shall be reduced correspondingly from the date of Physical Damage</w:t>
      </w:r>
      <w:r>
        <w:rPr>
          <w:rFonts w:hint="default" w:ascii="Times New Roman" w:hAnsi="Times New Roman" w:cs="Times New Roman" w:eastAsiaTheme="minorEastAsia"/>
          <w:bCs/>
          <w:color w:val="000000"/>
          <w:szCs w:val="21"/>
        </w:rPr>
        <w:t>s and no premium shall be refunded for the amount so reduced. If the Applicant requires reinstatement of the sum insured, an additional premium for the reinstated amount shall be charged at the agreed rate and calculated on pro rata daily basis from the date of Physical Damage to the expiry date of this Policy.</w:t>
      </w:r>
    </w:p>
    <w:p w14:paraId="59C2C9EC">
      <w:pPr>
        <w:snapToGrid w:val="0"/>
        <w:spacing w:after="120" w:afterLines="50"/>
        <w:rPr>
          <w:rFonts w:hint="default" w:ascii="Times New Roman" w:hAnsi="Times New Roman" w:cs="Times New Roman" w:eastAsiaTheme="minorEastAsia"/>
          <w:bCs/>
          <w:color w:val="000000"/>
          <w:szCs w:val="21"/>
        </w:rPr>
      </w:pPr>
      <w:r>
        <w:rPr>
          <w:rFonts w:hint="default" w:ascii="Times New Roman" w:hAnsi="Times New Roman" w:cs="Times New Roman" w:eastAsiaTheme="minorEastAsia"/>
          <w:b/>
          <w:bCs/>
          <w:color w:val="000000"/>
          <w:szCs w:val="21"/>
        </w:rPr>
        <w:t xml:space="preserve">Article 32 </w:t>
      </w:r>
      <w:r>
        <w:rPr>
          <w:rFonts w:hint="default" w:ascii="Times New Roman" w:hAnsi="Times New Roman" w:cs="Times New Roman" w:eastAsiaTheme="minorEastAsia"/>
          <w:bCs/>
          <w:color w:val="000000"/>
          <w:szCs w:val="21"/>
        </w:rPr>
        <w:t>The limitation of action to claim for indemnity under this Policy shall be two years from the date that the Insured is aware or ought to be aware of the occurrence of loss or damage insured hereby.</w:t>
      </w:r>
    </w:p>
    <w:p w14:paraId="61DDC850">
      <w:pPr>
        <w:snapToGrid w:val="0"/>
        <w:spacing w:after="120" w:afterLines="50"/>
        <w:ind w:firstLine="420" w:firstLineChars="200"/>
        <w:rPr>
          <w:rFonts w:hint="default" w:ascii="Times New Roman" w:hAnsi="Times New Roman" w:cs="Times New Roman" w:eastAsiaTheme="minorEastAsia"/>
          <w:color w:val="000000"/>
          <w:szCs w:val="21"/>
        </w:rPr>
      </w:pPr>
    </w:p>
    <w:p w14:paraId="5E7ACF04">
      <w:pPr>
        <w:snapToGrid w:val="0"/>
        <w:spacing w:after="120" w:afterLines="50"/>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bCs/>
          <w:color w:val="000000"/>
          <w:szCs w:val="21"/>
        </w:rPr>
        <w:t>DISPUTE RESOLUTION AND JURISDICTION</w:t>
      </w:r>
    </w:p>
    <w:p w14:paraId="10C06E7A">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Article 33</w:t>
      </w:r>
      <w:r>
        <w:rPr>
          <w:rFonts w:hint="default" w:ascii="Times New Roman" w:hAnsi="Times New Roman" w:cs="Times New Roman" w:eastAsiaTheme="minorEastAsia"/>
          <w:color w:val="000000"/>
          <w:szCs w:val="21"/>
        </w:rPr>
        <w:t xml:space="preserve"> All disputes arising from implementing this Policy shall be settled through negotiations between the parties concerned. Upon failure to reach an agreement through negotiations, such dispute shall be referred to the arbitration commission specified in the policy. If there is no arbitration commission specified in the policy and no agreement reached for arbitration, legal proceeding could be initiated with the People’s Court in People’s Republic of China.</w:t>
      </w:r>
    </w:p>
    <w:p w14:paraId="7EDD24FB">
      <w:pPr>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Article 34</w:t>
      </w:r>
      <w:r>
        <w:rPr>
          <w:rFonts w:hint="default" w:ascii="Times New Roman" w:hAnsi="Times New Roman" w:cs="Times New Roman" w:eastAsiaTheme="minorEastAsia"/>
          <w:color w:val="000000"/>
          <w:szCs w:val="21"/>
        </w:rPr>
        <w:t xml:space="preserve"> All disputes related to this insurance contract shall be governed by the laws of the People’s Republic of China, but except laws of Hong Kong SAR, Macau SAR, and Taiwan.</w:t>
      </w:r>
    </w:p>
    <w:p w14:paraId="26A6FDC5">
      <w:pPr>
        <w:snapToGrid w:val="0"/>
        <w:spacing w:after="120" w:afterLines="50"/>
        <w:jc w:val="center"/>
        <w:rPr>
          <w:rFonts w:hint="default" w:ascii="Times New Roman" w:hAnsi="Times New Roman" w:cs="Times New Roman" w:eastAsiaTheme="minorEastAsia"/>
          <w:b/>
          <w:bCs/>
          <w:color w:val="000000"/>
          <w:szCs w:val="21"/>
        </w:rPr>
      </w:pPr>
      <w:r>
        <w:rPr>
          <w:rFonts w:hint="default" w:ascii="Times New Roman" w:hAnsi="Times New Roman" w:cs="Times New Roman" w:eastAsiaTheme="minorEastAsia"/>
          <w:b/>
          <w:bCs/>
          <w:color w:val="000000"/>
          <w:szCs w:val="21"/>
        </w:rPr>
        <w:t>MISCELLANEOUS</w:t>
      </w:r>
    </w:p>
    <w:p w14:paraId="4F1E3177">
      <w:pPr>
        <w:autoSpaceDE w:val="0"/>
        <w:autoSpaceDN w:val="0"/>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b/>
          <w:color w:val="000000"/>
          <w:szCs w:val="21"/>
        </w:rPr>
        <w:t>Article 35.</w:t>
      </w:r>
      <w:r>
        <w:rPr>
          <w:rFonts w:hint="default" w:ascii="Times New Roman" w:hAnsi="Times New Roman" w:cs="Times New Roman" w:eastAsiaTheme="minorEastAsia"/>
          <w:color w:val="000000"/>
          <w:szCs w:val="21"/>
        </w:rPr>
        <w:t xml:space="preserve"> If the Insured declares at the latest six months after the expiry of any policy year that the Gross Profit earned by the insured during fiscal year most nearly concurrent with any period of this Policy as certified by certified and/or chartered accountant appointed by the insured, was less than the sum insured thereon, a pro rata return of premium not exceeding 50% of the premium paid on such sum insured for such period of this Policy shall be made in respect of the difference.</w:t>
      </w:r>
    </w:p>
    <w:p w14:paraId="6E0D2AF9">
      <w:pPr>
        <w:autoSpaceDE w:val="0"/>
        <w:autoSpaceDN w:val="0"/>
        <w:snapToGrid w:val="0"/>
        <w:spacing w:after="120" w:afterLines="50"/>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 xml:space="preserve">If a insured accident has occurred giving rise to a claim, such return of premium shall be calculated as </w:t>
      </w:r>
      <w:r>
        <w:rPr>
          <w:rStyle w:val="26"/>
          <w:rFonts w:hint="default" w:ascii="Times New Roman" w:hAnsi="Times New Roman" w:cs="Times New Roman" w:eastAsiaTheme="minorEastAsia"/>
          <w:color w:val="000000"/>
          <w:szCs w:val="21"/>
        </w:rPr>
        <w:t>aforementioned</w:t>
      </w:r>
      <w:r>
        <w:rPr>
          <w:rFonts w:hint="default" w:ascii="Times New Roman" w:hAnsi="Times New Roman" w:cs="Times New Roman" w:eastAsiaTheme="minorEastAsia"/>
          <w:color w:val="000000"/>
          <w:szCs w:val="21"/>
        </w:rPr>
        <w:t xml:space="preserve"> after deducting the amount of indemnity hereby paid by the Insurer from the sum insured.</w:t>
      </w:r>
    </w:p>
    <w:p w14:paraId="7BB4A5B7">
      <w:pPr>
        <w:snapToGrid w:val="0"/>
        <w:spacing w:after="120" w:afterLines="50"/>
        <w:rPr>
          <w:rStyle w:val="26"/>
          <w:rFonts w:hint="default" w:ascii="Times New Roman" w:hAnsi="Times New Roman" w:cs="Times New Roman" w:eastAsiaTheme="minorEastAsia"/>
          <w:color w:val="000000"/>
          <w:szCs w:val="21"/>
        </w:rPr>
      </w:pPr>
      <w:r>
        <w:rPr>
          <w:rStyle w:val="26"/>
          <w:rFonts w:hint="default" w:ascii="Times New Roman" w:hAnsi="Times New Roman" w:cs="Times New Roman" w:eastAsiaTheme="minorEastAsia"/>
          <w:b/>
          <w:color w:val="000000"/>
          <w:szCs w:val="21"/>
        </w:rPr>
        <w:t>Article 36</w:t>
      </w:r>
      <w:r>
        <w:rPr>
          <w:rStyle w:val="26"/>
          <w:rFonts w:hint="default" w:ascii="Times New Roman" w:hAnsi="Times New Roman" w:cs="Times New Roman" w:eastAsiaTheme="minorEastAsia"/>
          <w:color w:val="000000"/>
          <w:szCs w:val="21"/>
        </w:rPr>
        <w:t xml:space="preserve"> At the Applicant’s request for cancellation of this Policy before the inception of insurance, the Insurer shall charge the Applicant a commission for cancellation as stipulated in the Policy, but shall return the balance of the premium to the Applicant.</w:t>
      </w:r>
    </w:p>
    <w:p w14:paraId="1D312CE2">
      <w:pPr>
        <w:snapToGrid w:val="0"/>
        <w:spacing w:after="120" w:afterLines="50"/>
        <w:rPr>
          <w:rStyle w:val="26"/>
          <w:rFonts w:hint="default" w:ascii="Times New Roman" w:hAnsi="Times New Roman" w:cs="Times New Roman" w:eastAsiaTheme="minorEastAsia"/>
          <w:color w:val="000000"/>
          <w:szCs w:val="21"/>
        </w:rPr>
      </w:pPr>
      <w:r>
        <w:rPr>
          <w:rStyle w:val="26"/>
          <w:rFonts w:hint="default" w:ascii="Times New Roman" w:hAnsi="Times New Roman" w:cs="Times New Roman" w:eastAsiaTheme="minorEastAsia"/>
          <w:color w:val="000000"/>
          <w:szCs w:val="21"/>
        </w:rPr>
        <w:t>At the Applicant’s request for cancellation of the Policy after inception of insurance, the insurance shall be terminated from the date of notification, in which case,</w:t>
      </w:r>
      <w:r>
        <w:rPr>
          <w:rStyle w:val="26"/>
          <w:rFonts w:hint="default" w:ascii="Times New Roman" w:hAnsi="Times New Roman" w:cs="Times New Roman" w:eastAsiaTheme="minorEastAsia"/>
          <w:b/>
          <w:color w:val="000000"/>
          <w:szCs w:val="21"/>
        </w:rPr>
        <w:t xml:space="preserve"> the Insurer shall retain the premium calculated according to the Short-Term Premium Rate Table</w:t>
      </w:r>
      <w:r>
        <w:rPr>
          <w:rStyle w:val="26"/>
          <w:rFonts w:hint="default" w:ascii="Times New Roman" w:hAnsi="Times New Roman" w:cs="Times New Roman" w:eastAsiaTheme="minorEastAsia"/>
          <w:color w:val="000000"/>
          <w:szCs w:val="21"/>
        </w:rPr>
        <w:t xml:space="preserve"> for the period from the date of inception to the date of cancellation, and refund the balance of the charged premium to the Applicant.</w:t>
      </w:r>
    </w:p>
    <w:p w14:paraId="115ABE94">
      <w:pPr>
        <w:snapToGrid w:val="0"/>
        <w:spacing w:after="120" w:afterLines="50"/>
        <w:rPr>
          <w:rStyle w:val="26"/>
          <w:rFonts w:hint="default" w:ascii="Times New Roman" w:hAnsi="Times New Roman" w:cs="Times New Roman" w:eastAsiaTheme="minorEastAsia"/>
          <w:color w:val="000000"/>
          <w:szCs w:val="21"/>
        </w:rPr>
      </w:pPr>
      <w:r>
        <w:rPr>
          <w:rStyle w:val="26"/>
          <w:rFonts w:hint="default" w:ascii="Times New Roman" w:hAnsi="Times New Roman" w:cs="Times New Roman" w:eastAsiaTheme="minorEastAsia"/>
          <w:color w:val="000000"/>
          <w:szCs w:val="21"/>
        </w:rPr>
        <w:t xml:space="preserve">This insurance may also be cancelled at the request of the Insurer after inception of insurance </w:t>
      </w:r>
      <w:r>
        <w:rPr>
          <w:rStyle w:val="27"/>
          <w:rFonts w:hint="default" w:ascii="Times New Roman" w:hAnsi="Times New Roman" w:cs="Times New Roman" w:eastAsiaTheme="minorEastAsia"/>
          <w:color w:val="000000"/>
          <w:szCs w:val="21"/>
        </w:rPr>
        <w:t>by sending fifteen days’ notice to the effect being given to the Applicant</w:t>
      </w:r>
      <w:r>
        <w:rPr>
          <w:rStyle w:val="26"/>
          <w:rFonts w:hint="default" w:ascii="Times New Roman" w:hAnsi="Times New Roman" w:cs="Times New Roman" w:eastAsiaTheme="minorEastAsia"/>
          <w:color w:val="000000"/>
          <w:szCs w:val="21"/>
        </w:rPr>
        <w:t xml:space="preserve">, in which case the Insurer shall calculate the premium on pro rata daily basis from the inception date of insurance to the date of cancellation, and refund the balance of premium to the Applicant.  </w:t>
      </w:r>
    </w:p>
    <w:p w14:paraId="3C65BCC2">
      <w:pPr>
        <w:snapToGrid w:val="0"/>
        <w:spacing w:after="120" w:afterLines="50"/>
        <w:jc w:val="center"/>
        <w:rPr>
          <w:rStyle w:val="26"/>
          <w:rFonts w:hint="default" w:ascii="Times New Roman" w:hAnsi="Times New Roman" w:cs="Times New Roman" w:eastAsiaTheme="minorEastAsia"/>
          <w:b/>
          <w:color w:val="000000"/>
          <w:szCs w:val="21"/>
        </w:rPr>
      </w:pPr>
      <w:r>
        <w:rPr>
          <w:rStyle w:val="26"/>
          <w:rFonts w:hint="default" w:ascii="Times New Roman" w:hAnsi="Times New Roman" w:cs="Times New Roman" w:eastAsiaTheme="minorEastAsia"/>
          <w:b/>
          <w:color w:val="000000"/>
          <w:szCs w:val="21"/>
        </w:rPr>
        <w:t>LANGUAGE</w:t>
      </w:r>
    </w:p>
    <w:p w14:paraId="0A79FF7C">
      <w:pPr>
        <w:snapToGrid w:val="0"/>
        <w:spacing w:after="120" w:afterLines="50"/>
        <w:rPr>
          <w:rStyle w:val="26"/>
          <w:rFonts w:hint="default" w:ascii="Times New Roman" w:hAnsi="Times New Roman" w:cs="Times New Roman" w:eastAsiaTheme="minorEastAsia"/>
          <w:b/>
          <w:color w:val="000000"/>
          <w:szCs w:val="21"/>
        </w:rPr>
      </w:pPr>
      <w:r>
        <w:rPr>
          <w:rStyle w:val="26"/>
          <w:rFonts w:hint="default" w:ascii="Times New Roman" w:hAnsi="Times New Roman" w:cs="Times New Roman" w:eastAsiaTheme="minorEastAsia"/>
          <w:b/>
          <w:color w:val="000000"/>
          <w:szCs w:val="21"/>
        </w:rPr>
        <w:t>Article 37 In the event of a discrepancy between the Chinese version and its English translation, the Chinese version shall prevail.</w:t>
      </w:r>
    </w:p>
    <w:p w14:paraId="7B0C5DEE">
      <w:pPr>
        <w:snapToGrid w:val="0"/>
        <w:spacing w:after="120" w:afterLines="50"/>
        <w:jc w:val="center"/>
        <w:rPr>
          <w:rStyle w:val="27"/>
          <w:rFonts w:hint="default" w:ascii="Times New Roman" w:hAnsi="Times New Roman" w:cs="Times New Roman" w:eastAsiaTheme="minorEastAsia"/>
          <w:b/>
          <w:color w:val="000000"/>
          <w:szCs w:val="21"/>
        </w:rPr>
      </w:pPr>
      <w:r>
        <w:rPr>
          <w:rStyle w:val="27"/>
          <w:rFonts w:hint="default" w:ascii="Times New Roman" w:hAnsi="Times New Roman" w:cs="Times New Roman" w:eastAsiaTheme="minorEastAsia"/>
          <w:b/>
          <w:color w:val="000000"/>
          <w:szCs w:val="21"/>
        </w:rPr>
        <w:t>APPENDIX</w:t>
      </w:r>
    </w:p>
    <w:p w14:paraId="2AB0F648">
      <w:pPr>
        <w:snapToGrid w:val="0"/>
        <w:spacing w:after="120" w:afterLines="50"/>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Short Term Premium Rate Table</w:t>
      </w:r>
    </w:p>
    <w:tbl>
      <w:tblPr>
        <w:tblStyle w:val="15"/>
        <w:tblW w:w="60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800"/>
        <w:gridCol w:w="2700"/>
      </w:tblGrid>
      <w:tr w14:paraId="02678460">
        <w:trPr>
          <w:jc w:val="center"/>
        </w:trPr>
        <w:tc>
          <w:tcPr>
            <w:tcW w:w="3348" w:type="dxa"/>
            <w:gridSpan w:val="2"/>
            <w:vAlign w:val="center"/>
          </w:tcPr>
          <w:p w14:paraId="10BA637F">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Period insured</w:t>
            </w:r>
          </w:p>
        </w:tc>
        <w:tc>
          <w:tcPr>
            <w:tcW w:w="2700" w:type="dxa"/>
            <w:vMerge w:val="restart"/>
            <w:vAlign w:val="center"/>
          </w:tcPr>
          <w:p w14:paraId="0D4B145E">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Annual rate %</w:t>
            </w:r>
          </w:p>
        </w:tc>
      </w:tr>
      <w:tr w14:paraId="19483FC7">
        <w:trPr>
          <w:jc w:val="center"/>
        </w:trPr>
        <w:tc>
          <w:tcPr>
            <w:tcW w:w="1548" w:type="dxa"/>
            <w:vAlign w:val="center"/>
          </w:tcPr>
          <w:p w14:paraId="0E7A1027">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Exceeding</w:t>
            </w:r>
          </w:p>
        </w:tc>
        <w:tc>
          <w:tcPr>
            <w:tcW w:w="1800" w:type="dxa"/>
            <w:vAlign w:val="center"/>
          </w:tcPr>
          <w:p w14:paraId="607E9829">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Not exceeding</w:t>
            </w:r>
          </w:p>
        </w:tc>
        <w:tc>
          <w:tcPr>
            <w:tcW w:w="2700" w:type="dxa"/>
            <w:vMerge w:val="continue"/>
            <w:vAlign w:val="center"/>
          </w:tcPr>
          <w:p w14:paraId="1305788D">
            <w:pPr>
              <w:snapToGrid w:val="0"/>
              <w:spacing w:after="120" w:afterLines="50"/>
              <w:jc w:val="center"/>
              <w:rPr>
                <w:rStyle w:val="27"/>
                <w:rFonts w:hint="default" w:ascii="Times New Roman" w:hAnsi="Times New Roman" w:cs="Times New Roman" w:eastAsiaTheme="minorEastAsia"/>
                <w:color w:val="000000"/>
                <w:szCs w:val="21"/>
              </w:rPr>
            </w:pPr>
          </w:p>
        </w:tc>
      </w:tr>
      <w:tr w14:paraId="3BD1A3EB">
        <w:trPr>
          <w:jc w:val="center"/>
        </w:trPr>
        <w:tc>
          <w:tcPr>
            <w:tcW w:w="1548" w:type="dxa"/>
            <w:vAlign w:val="center"/>
          </w:tcPr>
          <w:p w14:paraId="250D2687">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w:t>
            </w:r>
          </w:p>
        </w:tc>
        <w:tc>
          <w:tcPr>
            <w:tcW w:w="1800" w:type="dxa"/>
            <w:vAlign w:val="center"/>
          </w:tcPr>
          <w:p w14:paraId="57EE3F39">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 month</w:t>
            </w:r>
          </w:p>
        </w:tc>
        <w:tc>
          <w:tcPr>
            <w:tcW w:w="2700" w:type="dxa"/>
            <w:vAlign w:val="center"/>
          </w:tcPr>
          <w:p w14:paraId="39D38F33">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10% of the annual rate</w:t>
            </w:r>
          </w:p>
        </w:tc>
      </w:tr>
      <w:tr w14:paraId="63FD0E7C">
        <w:trPr>
          <w:jc w:val="center"/>
        </w:trPr>
        <w:tc>
          <w:tcPr>
            <w:tcW w:w="1548" w:type="dxa"/>
            <w:vAlign w:val="center"/>
          </w:tcPr>
          <w:p w14:paraId="7258E0EC">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 month</w:t>
            </w:r>
          </w:p>
        </w:tc>
        <w:tc>
          <w:tcPr>
            <w:tcW w:w="1800" w:type="dxa"/>
            <w:vAlign w:val="center"/>
          </w:tcPr>
          <w:p w14:paraId="5626DBD0">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2 months</w:t>
            </w:r>
          </w:p>
        </w:tc>
        <w:tc>
          <w:tcPr>
            <w:tcW w:w="2700" w:type="dxa"/>
            <w:vAlign w:val="center"/>
          </w:tcPr>
          <w:p w14:paraId="46448796">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20% of the annual rate</w:t>
            </w:r>
          </w:p>
        </w:tc>
      </w:tr>
      <w:tr w14:paraId="59593162">
        <w:trPr>
          <w:jc w:val="center"/>
        </w:trPr>
        <w:tc>
          <w:tcPr>
            <w:tcW w:w="1548" w:type="dxa"/>
            <w:vAlign w:val="center"/>
          </w:tcPr>
          <w:p w14:paraId="28C093D0">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2 months</w:t>
            </w:r>
          </w:p>
        </w:tc>
        <w:tc>
          <w:tcPr>
            <w:tcW w:w="1800" w:type="dxa"/>
            <w:vAlign w:val="center"/>
          </w:tcPr>
          <w:p w14:paraId="5322CA4D">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3 months</w:t>
            </w:r>
          </w:p>
        </w:tc>
        <w:tc>
          <w:tcPr>
            <w:tcW w:w="2700" w:type="dxa"/>
            <w:vAlign w:val="center"/>
          </w:tcPr>
          <w:p w14:paraId="544FFC3B">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30% of the annual rate</w:t>
            </w:r>
          </w:p>
        </w:tc>
      </w:tr>
      <w:tr w14:paraId="6421169B">
        <w:trPr>
          <w:jc w:val="center"/>
        </w:trPr>
        <w:tc>
          <w:tcPr>
            <w:tcW w:w="1548" w:type="dxa"/>
            <w:vAlign w:val="center"/>
          </w:tcPr>
          <w:p w14:paraId="0DE6A3C8">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3 months</w:t>
            </w:r>
          </w:p>
        </w:tc>
        <w:tc>
          <w:tcPr>
            <w:tcW w:w="1800" w:type="dxa"/>
            <w:vAlign w:val="center"/>
          </w:tcPr>
          <w:p w14:paraId="70409163">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4 months</w:t>
            </w:r>
          </w:p>
        </w:tc>
        <w:tc>
          <w:tcPr>
            <w:tcW w:w="2700" w:type="dxa"/>
            <w:vAlign w:val="center"/>
          </w:tcPr>
          <w:p w14:paraId="792B1E9D">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40% of the annual rate</w:t>
            </w:r>
          </w:p>
        </w:tc>
      </w:tr>
      <w:tr w14:paraId="0924B0AD">
        <w:trPr>
          <w:jc w:val="center"/>
        </w:trPr>
        <w:tc>
          <w:tcPr>
            <w:tcW w:w="1548" w:type="dxa"/>
            <w:vAlign w:val="center"/>
          </w:tcPr>
          <w:p w14:paraId="1E20A629">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4 months</w:t>
            </w:r>
          </w:p>
        </w:tc>
        <w:tc>
          <w:tcPr>
            <w:tcW w:w="1800" w:type="dxa"/>
            <w:vAlign w:val="center"/>
          </w:tcPr>
          <w:p w14:paraId="5B0C30E5">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5 months</w:t>
            </w:r>
          </w:p>
        </w:tc>
        <w:tc>
          <w:tcPr>
            <w:tcW w:w="2700" w:type="dxa"/>
            <w:vAlign w:val="center"/>
          </w:tcPr>
          <w:p w14:paraId="67F93609">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50% of the annual rate</w:t>
            </w:r>
          </w:p>
        </w:tc>
      </w:tr>
      <w:tr w14:paraId="6EBB0A42">
        <w:trPr>
          <w:jc w:val="center"/>
        </w:trPr>
        <w:tc>
          <w:tcPr>
            <w:tcW w:w="1548" w:type="dxa"/>
            <w:vAlign w:val="center"/>
          </w:tcPr>
          <w:p w14:paraId="7AE64485">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5 months</w:t>
            </w:r>
          </w:p>
        </w:tc>
        <w:tc>
          <w:tcPr>
            <w:tcW w:w="1800" w:type="dxa"/>
            <w:vAlign w:val="center"/>
          </w:tcPr>
          <w:p w14:paraId="2E38E4B5">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6 months</w:t>
            </w:r>
          </w:p>
        </w:tc>
        <w:tc>
          <w:tcPr>
            <w:tcW w:w="2700" w:type="dxa"/>
            <w:vAlign w:val="center"/>
          </w:tcPr>
          <w:p w14:paraId="506B86B3">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60% of the annual rate</w:t>
            </w:r>
          </w:p>
        </w:tc>
      </w:tr>
      <w:tr w14:paraId="20C0799A">
        <w:trPr>
          <w:jc w:val="center"/>
        </w:trPr>
        <w:tc>
          <w:tcPr>
            <w:tcW w:w="1548" w:type="dxa"/>
            <w:vAlign w:val="center"/>
          </w:tcPr>
          <w:p w14:paraId="1BB2AB93">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6 months</w:t>
            </w:r>
          </w:p>
        </w:tc>
        <w:tc>
          <w:tcPr>
            <w:tcW w:w="1800" w:type="dxa"/>
            <w:vAlign w:val="center"/>
          </w:tcPr>
          <w:p w14:paraId="356EAB30">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7 months</w:t>
            </w:r>
          </w:p>
        </w:tc>
        <w:tc>
          <w:tcPr>
            <w:tcW w:w="2700" w:type="dxa"/>
            <w:vAlign w:val="center"/>
          </w:tcPr>
          <w:p w14:paraId="7D9C1A62">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70% of the annual rate</w:t>
            </w:r>
          </w:p>
        </w:tc>
      </w:tr>
      <w:tr w14:paraId="66B3BD7B">
        <w:trPr>
          <w:jc w:val="center"/>
        </w:trPr>
        <w:tc>
          <w:tcPr>
            <w:tcW w:w="1548" w:type="dxa"/>
            <w:vAlign w:val="center"/>
          </w:tcPr>
          <w:p w14:paraId="738F7DEE">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7 months</w:t>
            </w:r>
          </w:p>
        </w:tc>
        <w:tc>
          <w:tcPr>
            <w:tcW w:w="1800" w:type="dxa"/>
            <w:vAlign w:val="center"/>
          </w:tcPr>
          <w:p w14:paraId="0158748C">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8 months</w:t>
            </w:r>
          </w:p>
        </w:tc>
        <w:tc>
          <w:tcPr>
            <w:tcW w:w="2700" w:type="dxa"/>
            <w:vAlign w:val="center"/>
          </w:tcPr>
          <w:p w14:paraId="1DA401A4">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80% of the annual rate</w:t>
            </w:r>
          </w:p>
        </w:tc>
      </w:tr>
      <w:tr w14:paraId="28BFAB13">
        <w:trPr>
          <w:jc w:val="center"/>
        </w:trPr>
        <w:tc>
          <w:tcPr>
            <w:tcW w:w="1548" w:type="dxa"/>
            <w:vAlign w:val="center"/>
          </w:tcPr>
          <w:p w14:paraId="0BB7A5C7">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8 months</w:t>
            </w:r>
          </w:p>
        </w:tc>
        <w:tc>
          <w:tcPr>
            <w:tcW w:w="1800" w:type="dxa"/>
            <w:vAlign w:val="center"/>
          </w:tcPr>
          <w:p w14:paraId="2F053721">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9 months</w:t>
            </w:r>
          </w:p>
        </w:tc>
        <w:tc>
          <w:tcPr>
            <w:tcW w:w="2700" w:type="dxa"/>
            <w:vAlign w:val="center"/>
          </w:tcPr>
          <w:p w14:paraId="48154B6A">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85% of the annual rate</w:t>
            </w:r>
          </w:p>
        </w:tc>
      </w:tr>
      <w:tr w14:paraId="62268BEA">
        <w:trPr>
          <w:jc w:val="center"/>
        </w:trPr>
        <w:tc>
          <w:tcPr>
            <w:tcW w:w="1548" w:type="dxa"/>
            <w:vAlign w:val="center"/>
          </w:tcPr>
          <w:p w14:paraId="6911143F">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9 months</w:t>
            </w:r>
          </w:p>
        </w:tc>
        <w:tc>
          <w:tcPr>
            <w:tcW w:w="1800" w:type="dxa"/>
            <w:vAlign w:val="center"/>
          </w:tcPr>
          <w:p w14:paraId="37926514">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10 months</w:t>
            </w:r>
          </w:p>
        </w:tc>
        <w:tc>
          <w:tcPr>
            <w:tcW w:w="2700" w:type="dxa"/>
            <w:vAlign w:val="center"/>
          </w:tcPr>
          <w:p w14:paraId="369A1D6B">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90% of the annual rate</w:t>
            </w:r>
          </w:p>
        </w:tc>
      </w:tr>
      <w:tr w14:paraId="4C33F554">
        <w:trPr>
          <w:jc w:val="center"/>
        </w:trPr>
        <w:tc>
          <w:tcPr>
            <w:tcW w:w="1548" w:type="dxa"/>
            <w:vAlign w:val="center"/>
          </w:tcPr>
          <w:p w14:paraId="6F547C44">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10 months</w:t>
            </w:r>
          </w:p>
        </w:tc>
        <w:tc>
          <w:tcPr>
            <w:tcW w:w="1800" w:type="dxa"/>
            <w:vAlign w:val="center"/>
          </w:tcPr>
          <w:p w14:paraId="19827262">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11 months</w:t>
            </w:r>
          </w:p>
        </w:tc>
        <w:tc>
          <w:tcPr>
            <w:tcW w:w="2700" w:type="dxa"/>
            <w:vAlign w:val="center"/>
          </w:tcPr>
          <w:p w14:paraId="45FED043">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95% of the annual rate</w:t>
            </w:r>
          </w:p>
        </w:tc>
      </w:tr>
      <w:tr w14:paraId="50D16A90">
        <w:trPr>
          <w:jc w:val="center"/>
        </w:trPr>
        <w:tc>
          <w:tcPr>
            <w:tcW w:w="1548" w:type="dxa"/>
            <w:vAlign w:val="center"/>
          </w:tcPr>
          <w:p w14:paraId="35C06AE9">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11 months</w:t>
            </w:r>
          </w:p>
        </w:tc>
        <w:tc>
          <w:tcPr>
            <w:tcW w:w="1800" w:type="dxa"/>
            <w:vAlign w:val="center"/>
          </w:tcPr>
          <w:p w14:paraId="0BA823CD">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12 months</w:t>
            </w:r>
          </w:p>
        </w:tc>
        <w:tc>
          <w:tcPr>
            <w:tcW w:w="2700" w:type="dxa"/>
            <w:vAlign w:val="center"/>
          </w:tcPr>
          <w:p w14:paraId="66990865">
            <w:pPr>
              <w:snapToGrid w:val="0"/>
              <w:spacing w:after="120" w:afterLines="50"/>
              <w:jc w:val="center"/>
              <w:rPr>
                <w:rStyle w:val="27"/>
                <w:rFonts w:hint="default" w:ascii="Times New Roman" w:hAnsi="Times New Roman" w:cs="Times New Roman" w:eastAsiaTheme="minorEastAsia"/>
                <w:color w:val="000000"/>
                <w:szCs w:val="21"/>
              </w:rPr>
            </w:pPr>
            <w:r>
              <w:rPr>
                <w:rStyle w:val="27"/>
                <w:rFonts w:hint="default" w:ascii="Times New Roman" w:hAnsi="Times New Roman" w:cs="Times New Roman" w:eastAsiaTheme="minorEastAsia"/>
                <w:color w:val="000000"/>
                <w:szCs w:val="21"/>
              </w:rPr>
              <w:t>100% of the annual rate</w:t>
            </w:r>
          </w:p>
        </w:tc>
      </w:tr>
    </w:tbl>
    <w:p w14:paraId="47D708CB">
      <w:pPr>
        <w:snapToGrid w:val="0"/>
        <w:spacing w:after="120" w:afterLines="50"/>
        <w:rPr>
          <w:rFonts w:hint="default" w:ascii="Times New Roman" w:hAnsi="Times New Roman" w:cs="Times New Roman" w:eastAsiaTheme="minorEastAsia"/>
          <w:color w:val="000000"/>
          <w:szCs w:val="21"/>
        </w:rPr>
      </w:pPr>
    </w:p>
    <w:p w14:paraId="1189345F">
      <w:pPr>
        <w:snapToGrid w:val="0"/>
        <w:spacing w:after="120" w:afterLines="50"/>
        <w:rPr>
          <w:rFonts w:hint="default" w:ascii="Times New Roman" w:hAnsi="Times New Roman" w:cs="Times New Roman" w:eastAsiaTheme="minorEastAsia"/>
          <w:color w:val="000000"/>
          <w:szCs w:val="21"/>
        </w:rPr>
      </w:pPr>
    </w:p>
    <w:p w14:paraId="1C3602BF">
      <w:pPr>
        <w:snapToGrid w:val="0"/>
        <w:spacing w:after="120" w:afterLines="50"/>
        <w:rPr>
          <w:rFonts w:hint="default" w:ascii="Times New Roman" w:hAnsi="Times New Roman" w:cs="Times New Roman" w:eastAsiaTheme="minorEastAsia"/>
          <w:color w:val="000000"/>
          <w:szCs w:val="21"/>
        </w:rPr>
      </w:pPr>
    </w:p>
    <w:p w14:paraId="6D717FCB">
      <w:pPr>
        <w:snapToGrid w:val="0"/>
        <w:spacing w:after="120" w:afterLines="50"/>
        <w:rPr>
          <w:rFonts w:hint="default" w:ascii="Times New Roman" w:hAnsi="Times New Roman" w:cs="Times New Roman" w:eastAsiaTheme="minorEastAsia"/>
          <w:color w:val="000000"/>
          <w:szCs w:val="21"/>
        </w:rPr>
      </w:pPr>
    </w:p>
    <w:p w14:paraId="7180841B">
      <w:pPr>
        <w:widowControl/>
        <w:tabs>
          <w:tab w:val="left" w:pos="7200"/>
        </w:tabs>
        <w:adjustRightInd w:val="0"/>
        <w:snapToGrid w:val="0"/>
        <w:spacing w:after="120" w:afterLines="50"/>
        <w:jc w:val="center"/>
        <w:rPr>
          <w:rFonts w:hint="default" w:ascii="Times New Roman" w:hAnsi="Times New Roman" w:cs="Times New Roman" w:eastAsiaTheme="minorEastAsia"/>
          <w:color w:val="000000" w:themeColor="text1"/>
          <w:szCs w:val="21"/>
          <w14:textFill>
            <w14:solidFill>
              <w14:schemeClr w14:val="tx1"/>
            </w14:solidFill>
          </w14:textFill>
        </w:rPr>
      </w:pPr>
      <w:r>
        <w:rPr>
          <w:rFonts w:hint="default" w:ascii="Times New Roman" w:hAnsi="Times New Roman" w:cs="Times New Roman" w:eastAsiaTheme="minorEastAsia"/>
          <w:b/>
          <w:color w:val="000000" w:themeColor="text1"/>
          <w:kern w:val="0"/>
          <w:szCs w:val="21"/>
          <w14:textFill>
            <w14:solidFill>
              <w14:schemeClr w14:val="tx1"/>
            </w14:solidFill>
          </w14:textFill>
        </w:rPr>
        <w:br w:type="page"/>
      </w:r>
      <w:r>
        <w:rPr>
          <w:rFonts w:hint="default" w:ascii="Times New Roman" w:hAnsi="Times New Roman" w:cs="Times New Roman" w:eastAsiaTheme="minorEastAsia"/>
          <w:color w:val="000000" w:themeColor="text1"/>
          <w:szCs w:val="21"/>
          <w14:textFill>
            <w14:solidFill>
              <w14:schemeClr w14:val="tx1"/>
            </w14:solidFill>
          </w14:textFill>
        </w:rPr>
        <w:t xml:space="preserve"> </w:t>
      </w:r>
    </w:p>
    <w:p w14:paraId="75B41190">
      <w:pPr>
        <w:adjustRightInd w:val="0"/>
        <w:snapToGrid w:val="0"/>
        <w:spacing w:after="120" w:afterLines="50"/>
        <w:jc w:val="center"/>
        <w:rPr>
          <w:rFonts w:hint="default" w:ascii="Times New Roman" w:hAnsi="Times New Roman" w:cs="Times New Roman" w:eastAsiaTheme="minorEastAsia"/>
          <w:b/>
          <w:bCs/>
          <w:szCs w:val="21"/>
        </w:rPr>
      </w:pPr>
      <w:bookmarkStart w:id="1" w:name="OLE_LINK17"/>
      <w:bookmarkStart w:id="2" w:name="OLE_LINK18"/>
      <w:r>
        <w:rPr>
          <w:rFonts w:hint="default" w:ascii="Times New Roman" w:hAnsi="Times New Roman" w:cs="Times New Roman" w:eastAsiaTheme="minorEastAsia"/>
          <w:b/>
          <w:bCs/>
          <w:szCs w:val="21"/>
        </w:rPr>
        <w:t>中国太平洋财产保险股份有限公司</w:t>
      </w:r>
    </w:p>
    <w:p w14:paraId="41FBD4E5">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营业中断保险条款</w:t>
      </w:r>
    </w:p>
    <w:p w14:paraId="7EB832A5">
      <w:pPr>
        <w:pStyle w:val="6"/>
        <w:snapToGrid w:val="0"/>
        <w:spacing w:after="120" w:afterLines="50"/>
        <w:rPr>
          <w:rFonts w:hint="default" w:ascii="Times New Roman" w:hAnsi="Times New Roman" w:cs="Times New Roman" w:eastAsiaTheme="minorEastAsia"/>
          <w:sz w:val="21"/>
          <w:szCs w:val="21"/>
        </w:rPr>
      </w:pPr>
    </w:p>
    <w:p w14:paraId="29773C61">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总则</w:t>
      </w:r>
    </w:p>
    <w:p w14:paraId="75B0CCBA">
      <w:pPr>
        <w:adjustRightInd w:val="0"/>
        <w:snapToGrid w:val="0"/>
        <w:spacing w:after="120" w:afterLines="50"/>
        <w:ind w:firstLine="420" w:firstLineChars="200"/>
        <w:jc w:val="left"/>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第一条</w:t>
      </w:r>
      <w:r>
        <w:rPr>
          <w:rFonts w:hint="default" w:ascii="Times New Roman" w:hAnsi="Times New Roman" w:cs="Times New Roman" w:eastAsiaTheme="minorEastAsia"/>
          <w:szCs w:val="21"/>
        </w:rPr>
        <w:t xml:space="preserve">  本保险合同由保险条款、投保单、保险单或其他保险凭证以及批单组成。凡涉及本保险合同的约定，均应采用书面形式。</w:t>
      </w:r>
    </w:p>
    <w:p w14:paraId="0EDE1856">
      <w:pPr>
        <w:adjustRightInd w:val="0"/>
        <w:snapToGrid w:val="0"/>
        <w:spacing w:after="120" w:afterLines="50"/>
        <w:ind w:firstLine="420" w:firstLineChars="200"/>
        <w:jc w:val="left"/>
        <w:rPr>
          <w:rFonts w:hint="default" w:ascii="Times New Roman" w:hAnsi="Times New Roman" w:cs="Times New Roman" w:eastAsiaTheme="minorEastAsia"/>
          <w:szCs w:val="21"/>
        </w:rPr>
      </w:pPr>
      <w:r>
        <w:rPr>
          <w:rFonts w:hint="default" w:ascii="Times New Roman" w:hAnsi="Times New Roman" w:cs="Times New Roman" w:eastAsiaTheme="minorEastAsia"/>
          <w:b/>
          <w:bCs/>
          <w:kern w:val="0"/>
          <w:szCs w:val="21"/>
        </w:rPr>
        <w:t>第二条</w:t>
      </w:r>
      <w:r>
        <w:rPr>
          <w:rFonts w:hint="default" w:ascii="Times New Roman" w:hAnsi="Times New Roman" w:cs="Times New Roman" w:eastAsiaTheme="minorEastAsia"/>
          <w:kern w:val="0"/>
          <w:szCs w:val="21"/>
        </w:rPr>
        <w:t xml:space="preserve">  投保人应将</w:t>
      </w:r>
      <w:r>
        <w:rPr>
          <w:rFonts w:hint="default" w:ascii="Times New Roman" w:hAnsi="Times New Roman" w:cs="Times New Roman" w:eastAsiaTheme="minorEastAsia"/>
          <w:szCs w:val="21"/>
        </w:rPr>
        <w:t>被保险人在本保险合同载明的营业处所从事载明的经营业务（以下简称“营业”）所使用的物质财产向保险人投保相关的物质财产损失保险。物质财产损失保险合同（以下简称“物质损失保险合同”）号应在本保险合同中载明。</w:t>
      </w:r>
    </w:p>
    <w:p w14:paraId="7A342992">
      <w:pPr>
        <w:adjustRightInd w:val="0"/>
        <w:snapToGrid w:val="0"/>
        <w:spacing w:after="120" w:afterLines="50"/>
        <w:jc w:val="center"/>
        <w:rPr>
          <w:rFonts w:hint="default" w:ascii="Times New Roman" w:hAnsi="Times New Roman" w:cs="Times New Roman" w:eastAsiaTheme="minorEastAsia"/>
          <w:b/>
          <w:bCs/>
          <w:szCs w:val="21"/>
        </w:rPr>
      </w:pPr>
    </w:p>
    <w:p w14:paraId="00227464">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保险责任</w:t>
      </w:r>
    </w:p>
    <w:p w14:paraId="59067F9D">
      <w:pPr>
        <w:pStyle w:val="14"/>
        <w:snapToGrid w:val="0"/>
        <w:spacing w:afterLines="50"/>
        <w:ind w:firstLine="420" w:firstLineChars="200"/>
        <w:rPr>
          <w:rFonts w:hint="default" w:ascii="Times New Roman" w:hAnsi="Times New Roman" w:cs="Times New Roman" w:eastAsiaTheme="minorEastAsia"/>
          <w:b/>
          <w:sz w:val="21"/>
          <w:szCs w:val="21"/>
        </w:rPr>
      </w:pPr>
      <w:r>
        <w:rPr>
          <w:rFonts w:hint="default" w:ascii="Times New Roman" w:hAnsi="Times New Roman" w:cs="Times New Roman" w:eastAsiaTheme="minorEastAsia"/>
          <w:bCs/>
          <w:sz w:val="21"/>
          <w:szCs w:val="21"/>
        </w:rPr>
        <w:t>第三条</w:t>
      </w:r>
      <w:r>
        <w:rPr>
          <w:rFonts w:hint="default" w:ascii="Times New Roman" w:hAnsi="Times New Roman" w:cs="Times New Roman" w:eastAsiaTheme="minorEastAsia"/>
          <w:b/>
          <w:sz w:val="21"/>
          <w:szCs w:val="21"/>
        </w:rPr>
        <w:t xml:space="preserve">  在保险期间内，被保险人因物质损失保险合同主险条款所承保的风险造成营业所使用的物质财产遭受损失（以下简称“物质保险损失”），导致被保险人营业受到干扰或中断，由此产生的赔偿期间内的毛利润损失，保险人按照本保险合同的约定负责赔偿。</w:t>
      </w:r>
    </w:p>
    <w:p w14:paraId="40DF361C">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本保险合同所称赔偿期间是指自物质保险损失发生之日起，被保险人的营业结果因该物质保险损失而受到影响的期间，但该期间最长不得超过本保险合同约定的最大赔偿期。</w:t>
      </w:r>
    </w:p>
    <w:p w14:paraId="14925EA7">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本保险合同所称毛利润是指按照下述公式计算的金额：</w:t>
      </w:r>
    </w:p>
    <w:p w14:paraId="0F689C1D">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毛利润=营业利润+约定的维持费用</w:t>
      </w:r>
    </w:p>
    <w:p w14:paraId="06044206">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或</w:t>
      </w:r>
    </w:p>
    <w:p w14:paraId="54EE706A">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毛利润=约定的维持费用-营业亏损×约定的维持费用/全部的维持费用</w:t>
      </w:r>
    </w:p>
    <w:p w14:paraId="7B25EE73">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本保险合同所称维持费用是指被保险人为维持正常的营业活动而发生的、不随被保险人营业收入的减少而成正比例减少的成本或费用。约定的维持费用由投保人自行确定，经保险人确认后在保险合同中载明。</w:t>
      </w:r>
    </w:p>
    <w:p w14:paraId="241191B9">
      <w:pPr>
        <w:pStyle w:val="14"/>
        <w:snapToGrid w:val="0"/>
        <w:spacing w:afterLines="50"/>
        <w:ind w:firstLine="420"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除另有约定外，上述公式所用的会计措辞的含义与被保险人会计账表中的含义一致。</w:t>
      </w:r>
    </w:p>
    <w:p w14:paraId="6F4B32B2">
      <w:pPr>
        <w:pStyle w:val="7"/>
        <w:snapToGrid w:val="0"/>
        <w:spacing w:afterLines="50"/>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b/>
          <w:bCs/>
          <w:sz w:val="21"/>
          <w:szCs w:val="21"/>
        </w:rPr>
        <w:t>第四条</w:t>
      </w:r>
      <w:r>
        <w:rPr>
          <w:rFonts w:hint="default" w:ascii="Times New Roman" w:hAnsi="Times New Roman" w:cs="Times New Roman" w:eastAsiaTheme="minorEastAsia"/>
          <w:b/>
          <w:sz w:val="21"/>
          <w:szCs w:val="21"/>
        </w:rPr>
        <w:t xml:space="preserve">  </w:t>
      </w:r>
      <w:r>
        <w:rPr>
          <w:rFonts w:hint="default" w:ascii="Times New Roman" w:hAnsi="Times New Roman" w:cs="Times New Roman" w:eastAsiaTheme="minorEastAsia"/>
          <w:bCs/>
          <w:sz w:val="21"/>
          <w:szCs w:val="21"/>
        </w:rPr>
        <w:t>发生第三条约定的保险事故后，</w:t>
      </w:r>
      <w:r>
        <w:rPr>
          <w:rFonts w:hint="default" w:ascii="Times New Roman" w:hAnsi="Times New Roman" w:cs="Times New Roman" w:eastAsiaTheme="minorEastAsia"/>
          <w:sz w:val="21"/>
          <w:szCs w:val="21"/>
        </w:rPr>
        <w:t>被保险人申请赔偿时，按照保险人的要求提供有关账表、账表审计结果或其他证据所付给被保险人聘请的注册会计师的合理的、必要的费用（以下简称“审计费用”），保险人在本保险合同约定的赔偿限额内也负责赔偿。</w:t>
      </w:r>
    </w:p>
    <w:p w14:paraId="3AAF4860">
      <w:pPr>
        <w:adjustRightInd w:val="0"/>
        <w:snapToGrid w:val="0"/>
        <w:spacing w:after="120" w:afterLines="50"/>
        <w:jc w:val="center"/>
        <w:rPr>
          <w:rFonts w:hint="default" w:ascii="Times New Roman" w:hAnsi="Times New Roman" w:cs="Times New Roman" w:eastAsiaTheme="minorEastAsia"/>
          <w:b/>
          <w:bCs/>
          <w:szCs w:val="21"/>
        </w:rPr>
      </w:pPr>
    </w:p>
    <w:p w14:paraId="63CE01A7">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责任免除</w:t>
      </w:r>
    </w:p>
    <w:p w14:paraId="3B8D6715">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第五条  保险人不负责赔偿下列损失：</w:t>
      </w:r>
    </w:p>
    <w:p w14:paraId="414552A1">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（一）投保人、被保险人的故意或重大过失行为产生或扩大的任何损失；</w:t>
      </w:r>
    </w:p>
    <w:p w14:paraId="64A8AE84">
      <w:pPr>
        <w:pStyle w:val="10"/>
        <w:adjustRightInd w:val="0"/>
        <w:snapToGrid w:val="0"/>
        <w:spacing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（二）由于物质损失保险合同主险条款责任范围以外的原因产生或扩大的损失</w:t>
      </w:r>
      <w:r>
        <w:rPr>
          <w:rFonts w:hint="default" w:ascii="Times New Roman" w:hAnsi="Times New Roman" w:cs="Times New Roman" w:eastAsiaTheme="minorEastAsia"/>
          <w:bCs/>
          <w:szCs w:val="21"/>
        </w:rPr>
        <w:t>；</w:t>
      </w:r>
    </w:p>
    <w:p w14:paraId="6EE1ABFF">
      <w:pPr>
        <w:pStyle w:val="10"/>
        <w:adjustRightInd w:val="0"/>
        <w:snapToGrid w:val="0"/>
        <w:spacing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（三）地震、海啸及其次生灾害产生或扩大的损失；</w:t>
      </w:r>
    </w:p>
    <w:p w14:paraId="6C726B81">
      <w:pPr>
        <w:adjustRightInd w:val="0"/>
        <w:snapToGrid w:val="0"/>
        <w:spacing w:after="120"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（四）由于政府对受损财产的修建或修复的限制而产生或扩大的损失；</w:t>
      </w:r>
    </w:p>
    <w:p w14:paraId="2F9E9131">
      <w:pPr>
        <w:adjustRightInd w:val="0"/>
        <w:snapToGrid w:val="0"/>
        <w:spacing w:after="120"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（五）恐怖主义活动</w:t>
      </w:r>
      <w:r>
        <w:rPr>
          <w:rFonts w:hint="default" w:ascii="Times New Roman" w:hAnsi="Times New Roman" w:cs="Times New Roman" w:eastAsiaTheme="minorEastAsia"/>
          <w:b/>
          <w:szCs w:val="21"/>
        </w:rPr>
        <w:t>产生或扩大的损失</w:t>
      </w:r>
      <w:r>
        <w:rPr>
          <w:rFonts w:hint="default" w:ascii="Times New Roman" w:hAnsi="Times New Roman" w:cs="Times New Roman" w:eastAsiaTheme="minorEastAsia"/>
          <w:b/>
          <w:bCs/>
          <w:szCs w:val="21"/>
        </w:rPr>
        <w:t>；</w:t>
      </w:r>
    </w:p>
    <w:p w14:paraId="1E3FBD75">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bCs/>
          <w:szCs w:val="21"/>
        </w:rPr>
        <w:t>（六）本保险合同载明的免赔额或本保险合同约定的免赔期内的损失。</w:t>
      </w:r>
    </w:p>
    <w:p w14:paraId="477B4C11">
      <w:pPr>
        <w:adjustRightInd w:val="0"/>
        <w:snapToGrid w:val="0"/>
        <w:spacing w:after="120" w:afterLines="50"/>
        <w:jc w:val="center"/>
        <w:rPr>
          <w:rFonts w:hint="default" w:ascii="Times New Roman" w:hAnsi="Times New Roman" w:cs="Times New Roman" w:eastAsiaTheme="minorEastAsia"/>
          <w:b/>
          <w:bCs/>
          <w:szCs w:val="21"/>
        </w:rPr>
      </w:pPr>
    </w:p>
    <w:p w14:paraId="6C568745">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保险金额与赔偿限额</w:t>
      </w:r>
    </w:p>
    <w:p w14:paraId="763EC88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第六条</w:t>
      </w:r>
      <w:r>
        <w:rPr>
          <w:rFonts w:hint="default" w:ascii="Times New Roman" w:hAnsi="Times New Roman" w:cs="Times New Roman" w:eastAsiaTheme="minorEastAsia"/>
          <w:szCs w:val="21"/>
        </w:rPr>
        <w:t xml:space="preserve">  毛利润损失保险金额由投保人自行确定并在保险合同中载明。</w:t>
      </w:r>
    </w:p>
    <w:p w14:paraId="1258BBA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bCs/>
          <w:szCs w:val="21"/>
        </w:rPr>
        <w:t xml:space="preserve">第七条  </w:t>
      </w:r>
      <w:r>
        <w:rPr>
          <w:rFonts w:hint="default" w:ascii="Times New Roman" w:hAnsi="Times New Roman" w:cs="Times New Roman" w:eastAsiaTheme="minorEastAsia"/>
          <w:szCs w:val="21"/>
        </w:rPr>
        <w:t>审计费用赔偿限额由投保人自行确定并在保险合同中载明。</w:t>
      </w:r>
    </w:p>
    <w:p w14:paraId="4953725E">
      <w:pPr>
        <w:adjustRightInd w:val="0"/>
        <w:snapToGrid w:val="0"/>
        <w:spacing w:after="120" w:afterLines="50"/>
        <w:jc w:val="center"/>
        <w:rPr>
          <w:rFonts w:hint="default" w:ascii="Times New Roman" w:hAnsi="Times New Roman" w:cs="Times New Roman" w:eastAsiaTheme="minorEastAsia"/>
          <w:b/>
          <w:bCs/>
          <w:szCs w:val="21"/>
        </w:rPr>
      </w:pPr>
    </w:p>
    <w:p w14:paraId="6390B2E1">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保险期间与最大赔偿期</w:t>
      </w:r>
    </w:p>
    <w:p w14:paraId="3807EEF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 xml:space="preserve">第八条  </w:t>
      </w:r>
      <w:r>
        <w:rPr>
          <w:rFonts w:hint="default" w:ascii="Times New Roman" w:hAnsi="Times New Roman" w:cs="Times New Roman" w:eastAsiaTheme="minorEastAsia"/>
          <w:szCs w:val="21"/>
        </w:rPr>
        <w:t>除另有约定外，保险期间为一年，以保险单载明的起讫时间为准。</w:t>
      </w:r>
    </w:p>
    <w:p w14:paraId="41AD93E3">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 xml:space="preserve">第九条  </w:t>
      </w:r>
      <w:r>
        <w:rPr>
          <w:rFonts w:hint="default" w:ascii="Times New Roman" w:hAnsi="Times New Roman" w:cs="Times New Roman" w:eastAsiaTheme="minorEastAsia"/>
          <w:bCs/>
          <w:szCs w:val="21"/>
        </w:rPr>
        <w:t>最大赔偿期由投保人自行确定并在保险合同中载明。</w:t>
      </w:r>
    </w:p>
    <w:p w14:paraId="1C39656F">
      <w:pPr>
        <w:adjustRightInd w:val="0"/>
        <w:snapToGrid w:val="0"/>
        <w:spacing w:after="120" w:afterLines="50"/>
        <w:jc w:val="center"/>
        <w:rPr>
          <w:rFonts w:hint="default" w:ascii="Times New Roman" w:hAnsi="Times New Roman" w:cs="Times New Roman" w:eastAsiaTheme="minorEastAsia"/>
          <w:b/>
          <w:bCs/>
          <w:szCs w:val="21"/>
        </w:rPr>
      </w:pPr>
    </w:p>
    <w:p w14:paraId="600A7577">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免赔额与免赔期</w:t>
      </w:r>
    </w:p>
    <w:p w14:paraId="6102F7BF">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第十条</w:t>
      </w:r>
      <w:r>
        <w:rPr>
          <w:rFonts w:hint="default" w:ascii="Times New Roman" w:hAnsi="Times New Roman" w:cs="Times New Roman" w:eastAsiaTheme="minorEastAsia"/>
          <w:szCs w:val="21"/>
        </w:rPr>
        <w:t xml:space="preserve">  免赔额或免赔期由投保人与保险人在订立保险合同时协商确定，并在保险合同中载明。</w:t>
      </w:r>
    </w:p>
    <w:p w14:paraId="5EC4CBB5">
      <w:pPr>
        <w:adjustRightInd w:val="0"/>
        <w:snapToGrid w:val="0"/>
        <w:spacing w:after="120" w:afterLines="50"/>
        <w:jc w:val="center"/>
        <w:rPr>
          <w:rFonts w:hint="default" w:ascii="Times New Roman" w:hAnsi="Times New Roman" w:cs="Times New Roman" w:eastAsiaTheme="minorEastAsia"/>
          <w:b/>
          <w:bCs/>
          <w:szCs w:val="21"/>
        </w:rPr>
      </w:pPr>
    </w:p>
    <w:p w14:paraId="3CF80E90">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保险人义务</w:t>
      </w:r>
    </w:p>
    <w:p w14:paraId="6DE6233F">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第十一条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szCs w:val="21"/>
        </w:rPr>
        <w:t>订立保险合同时，采用保险人提供的格式条款的，保险人向投保人提供的投保单应当附格式条款，保险人应当向投保人说明保险合同的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09A5F65D">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第十二条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bCs/>
          <w:szCs w:val="21"/>
        </w:rPr>
        <w:t>本保险合同成立后，保险人应当及时向投保人签发保险单或其他保险凭证。</w:t>
      </w:r>
    </w:p>
    <w:p w14:paraId="7B05705B">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第十三条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bCs/>
          <w:szCs w:val="21"/>
        </w:rPr>
        <w:t>保险人依据第十七条所取得的保险合同解除权，自保险人知道有解除事由之日起，超过三十日不行使而消灭。自保险合同成立之日起超过二年的，保险人不得解除合同；发生保险事故的，保险人承担赔偿责任。</w:t>
      </w:r>
    </w:p>
    <w:p w14:paraId="487D6AAB">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保险人在合同订立时已经知道投保人未如实告知的情况的，保险人不得解除合同；发生保险事故的，保险人应当承担赔偿责任。</w:t>
      </w:r>
    </w:p>
    <w:p w14:paraId="69047ED8">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第十四条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bCs/>
          <w:szCs w:val="21"/>
        </w:rPr>
        <w:t>保险人按照第二十二条的约定，认为被保险人提供的有关索赔的证明和资料不完整的，应当及时一次性通知投保人、被保险人补充提供。</w:t>
      </w:r>
    </w:p>
    <w:p w14:paraId="1D2492AE">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第十五条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bCs/>
          <w:szCs w:val="21"/>
        </w:rPr>
        <w:t>保险人收到被保险人的赔偿保险金的请求后，应当及时作出是否属于保险责任的核定；情形复杂的，应当在三十日内作出核定，但保险合同另有约定的除外。</w:t>
      </w:r>
    </w:p>
    <w:p w14:paraId="1B32D8D2">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Cs/>
          <w:szCs w:val="21"/>
        </w:rPr>
        <w:t>保险人应当将核定结果通知被保险人；对属于保险责任的，在与被保险人达成赔偿保险金的协议后十日内，履行赔偿保险金义务。保险合同对赔偿保险金的期限有约定的，保险人应当按照约定履行赔偿保险金的义务。保险人依照前款约定作出核定后，对不属于保险责任的，应当自作出核定之日起三日内向被保险人发出拒绝赔偿保险金通知书，并说明理由。</w:t>
      </w:r>
    </w:p>
    <w:p w14:paraId="605991D7">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bCs/>
          <w:szCs w:val="21"/>
        </w:rPr>
        <w:t>第十六条</w:t>
      </w:r>
      <w:r>
        <w:rPr>
          <w:rFonts w:hint="default" w:ascii="Times New Roman" w:hAnsi="Times New Roman" w:cs="Times New Roman" w:eastAsiaTheme="minorEastAsia"/>
          <w:b/>
          <w:szCs w:val="21"/>
        </w:rPr>
        <w:t xml:space="preserve">  </w:t>
      </w:r>
      <w:r>
        <w:rPr>
          <w:rFonts w:hint="default" w:ascii="Times New Roman" w:hAnsi="Times New Roman" w:cs="Times New Roman" w:eastAsiaTheme="minorEastAsia"/>
          <w:bCs/>
          <w:szCs w:val="21"/>
        </w:rPr>
        <w:t>保险人自收到赔偿保险金的请求和有关证明、资料之日起六十日内，对其赔偿保险金的数额不能确定的，应当根据已有证明和资料可以确定的数额先予支付；保险人最终确定赔偿的数额后，应当支付相应的差额。</w:t>
      </w:r>
    </w:p>
    <w:p w14:paraId="04916F9B">
      <w:pPr>
        <w:adjustRightInd w:val="0"/>
        <w:snapToGrid w:val="0"/>
        <w:spacing w:after="120" w:afterLines="50"/>
        <w:jc w:val="center"/>
        <w:rPr>
          <w:rFonts w:hint="default" w:ascii="Times New Roman" w:hAnsi="Times New Roman" w:cs="Times New Roman" w:eastAsiaTheme="minorEastAsia"/>
          <w:b/>
          <w:bCs/>
          <w:szCs w:val="21"/>
        </w:rPr>
      </w:pPr>
    </w:p>
    <w:p w14:paraId="3C386EED">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投保人、被保险人义务</w:t>
      </w:r>
    </w:p>
    <w:p w14:paraId="76376D3C">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第十七条</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color w:val="000000"/>
          <w:szCs w:val="21"/>
        </w:rPr>
        <w:t>订立保险合同，保险人就保险标的或者被保险人的有关情况提出询问的，投保人应当如实告知。</w:t>
      </w:r>
    </w:p>
    <w:p w14:paraId="04B8A894">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color w:val="000000"/>
          <w:szCs w:val="21"/>
        </w:rPr>
        <w:t>投保人故意或者因重大过失未履行前款规定的如实告知义务，足以影响保险人决定是否同意承保或者提高保险费率的，保险人有权解除保险合同。</w:t>
      </w:r>
    </w:p>
    <w:p w14:paraId="34FD6380">
      <w:pPr>
        <w:adjustRightInd w:val="0"/>
        <w:snapToGrid w:val="0"/>
        <w:spacing w:after="120" w:afterLines="50"/>
        <w:ind w:firstLine="420" w:firstLineChars="200"/>
        <w:jc w:val="left"/>
        <w:rPr>
          <w:rFonts w:hint="default" w:ascii="Times New Roman" w:hAnsi="Times New Roman" w:cs="Times New Roman" w:eastAsiaTheme="minorEastAsia"/>
          <w:b/>
          <w:bCs/>
          <w:szCs w:val="21"/>
        </w:rPr>
      </w:pPr>
      <w:r>
        <w:rPr>
          <w:rFonts w:hint="default" w:ascii="Times New Roman" w:hAnsi="Times New Roman" w:cs="Times New Roman" w:eastAsiaTheme="minorEastAsia"/>
          <w:b/>
          <w:color w:val="000000"/>
          <w:szCs w:val="21"/>
        </w:rPr>
        <w:t>投保人故意不履行如实告知义务的，保险人对于合同解除前发生的保险事故，不承担赔偿责任，并不退还保险费。</w:t>
      </w:r>
    </w:p>
    <w:p w14:paraId="13D3648E">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color w:val="000000"/>
          <w:szCs w:val="21"/>
        </w:rPr>
        <w:t>投保人因重大过失未履行如实告知义务，对保险事故的发生有严重影响的，保险人对于合同解除前发生的保险事故，不承担赔偿责任，但应当退还保险费。</w:t>
      </w:r>
    </w:p>
    <w:p w14:paraId="005521E4">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 xml:space="preserve">第十八条  </w:t>
      </w:r>
      <w:r>
        <w:rPr>
          <w:rFonts w:hint="default" w:ascii="Times New Roman" w:hAnsi="Times New Roman" w:cs="Times New Roman" w:eastAsiaTheme="minorEastAsia"/>
          <w:bCs/>
          <w:szCs w:val="21"/>
        </w:rPr>
        <w:t>除另有约定外，</w:t>
      </w:r>
      <w:r>
        <w:rPr>
          <w:rFonts w:hint="default" w:ascii="Times New Roman" w:hAnsi="Times New Roman" w:cs="Times New Roman" w:eastAsiaTheme="minorEastAsia"/>
          <w:szCs w:val="21"/>
        </w:rPr>
        <w:t>投保人应在保险合同成立时一次性支付全部保险费。</w:t>
      </w:r>
      <w:r>
        <w:rPr>
          <w:rFonts w:hint="default" w:ascii="Times New Roman" w:hAnsi="Times New Roman" w:cs="Times New Roman" w:eastAsiaTheme="minorEastAsia"/>
          <w:b/>
          <w:szCs w:val="21"/>
        </w:rPr>
        <w:t>保险费交付前发生的保险事故，保险人不承担赔偿责任。</w:t>
      </w:r>
    </w:p>
    <w:p w14:paraId="12387E27">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第十九条</w:t>
      </w:r>
      <w:r>
        <w:rPr>
          <w:rFonts w:hint="default" w:ascii="Times New Roman" w:hAnsi="Times New Roman" w:cs="Times New Roman" w:eastAsiaTheme="minorEastAsia"/>
          <w:szCs w:val="21"/>
        </w:rPr>
        <w:t xml:space="preserve">  被保险人应当遵守国家有关消防、安全、生产操作、劳动保护等方面规定，加强管理，采取合理的预防措施，尽力避免或减少责任事故的发生，维护保险标的的安全。</w:t>
      </w:r>
    </w:p>
    <w:p w14:paraId="0D049780">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szCs w:val="21"/>
        </w:rPr>
        <w:t>保险人可以对被保险人遵守前款约定的情况进行检查，向投保人、被保险人提出消除不安全因素和隐患的书面建议，投保人、被保险人应该认真付诸实施。</w:t>
      </w:r>
    </w:p>
    <w:p w14:paraId="56930607">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szCs w:val="21"/>
        </w:rPr>
        <w:t>投保人、被保险人未按照约定履行其对保险标的的安全应尽责任的，保险人有权要求增加保险费或者解除合同。</w:t>
      </w:r>
    </w:p>
    <w:p w14:paraId="7C8CD8F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第二十条</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bCs/>
          <w:szCs w:val="21"/>
        </w:rPr>
        <w:t>在保险期间内，如被保险人在保险合同载明的营业处所经营的业务发生变化、被进行清算或由清算人或财产管理人接管经营，或</w:t>
      </w:r>
      <w:r>
        <w:rPr>
          <w:rFonts w:hint="default" w:ascii="Times New Roman" w:hAnsi="Times New Roman" w:cs="Times New Roman" w:eastAsiaTheme="minorEastAsia"/>
          <w:szCs w:val="21"/>
        </w:rPr>
        <w:t>营业所用的物质财产的风险加大，以及足以影响保险人决定是否继续承保或是否增加保险费的保险合同重要事项变更，被保险人应及时书面通知保险人，保险人有权要求增加保险费或者解除合同。</w:t>
      </w:r>
    </w:p>
    <w:p w14:paraId="757E7E80">
      <w:pPr>
        <w:adjustRightInd w:val="0"/>
        <w:snapToGrid w:val="0"/>
        <w:spacing w:after="120" w:afterLines="50"/>
        <w:ind w:firstLine="420" w:firstLineChars="200"/>
        <w:jc w:val="left"/>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被保险人未履行前款约定的通知义务的，因保险标的的危险程度显著增加而发生的保险事故，保险人不承担赔偿责任。</w:t>
      </w:r>
    </w:p>
    <w:p w14:paraId="70221B38">
      <w:pPr>
        <w:adjustRightInd w:val="0"/>
        <w:snapToGrid w:val="0"/>
        <w:spacing w:after="120" w:afterLines="50"/>
        <w:ind w:firstLine="420" w:firstLineChars="200"/>
        <w:jc w:val="left"/>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第二十一条</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color w:val="000000"/>
          <w:szCs w:val="21"/>
        </w:rPr>
        <w:t>知道保险事故发生后，被保险人应当：</w:t>
      </w:r>
    </w:p>
    <w:p w14:paraId="7FBA7A3C">
      <w:pPr>
        <w:pStyle w:val="10"/>
        <w:adjustRightInd w:val="0"/>
        <w:snapToGrid w:val="0"/>
        <w:spacing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
          <w:szCs w:val="21"/>
        </w:rPr>
        <w:t>（一）尽力采取必要、合理的措施以修理、修</w:t>
      </w:r>
      <w:r>
        <w:rPr>
          <w:rFonts w:hint="default" w:ascii="Times New Roman" w:hAnsi="Times New Roman" w:cs="Times New Roman" w:eastAsiaTheme="minorEastAsia"/>
          <w:b/>
          <w:bCs/>
          <w:szCs w:val="21"/>
        </w:rPr>
        <w:t>复营业所用的受损的物质财产，尽快恢复营业以防止或减少因营业受到干扰或中断所造成的</w:t>
      </w:r>
      <w:r>
        <w:rPr>
          <w:rFonts w:hint="default" w:ascii="Times New Roman" w:hAnsi="Times New Roman" w:cs="Times New Roman" w:eastAsiaTheme="minorEastAsia"/>
          <w:b/>
          <w:szCs w:val="21"/>
        </w:rPr>
        <w:t>损失，</w:t>
      </w:r>
      <w:r>
        <w:rPr>
          <w:rFonts w:hint="default" w:ascii="Times New Roman" w:hAnsi="Times New Roman" w:cs="Times New Roman" w:eastAsiaTheme="minorEastAsia"/>
          <w:szCs w:val="21"/>
        </w:rPr>
        <w:t>否则，对因此扩大的损失，保险人不承担赔偿责任</w:t>
      </w:r>
      <w:r>
        <w:rPr>
          <w:rFonts w:hint="default" w:ascii="Times New Roman" w:hAnsi="Times New Roman" w:cs="Times New Roman" w:eastAsiaTheme="minorEastAsia"/>
          <w:b/>
          <w:szCs w:val="21"/>
        </w:rPr>
        <w:t>；</w:t>
      </w:r>
    </w:p>
    <w:p w14:paraId="6B541B07">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（二）立即通知保险人，并书面说明事故发生的原因、经过和损失情况；</w:t>
      </w:r>
      <w:r>
        <w:rPr>
          <w:rStyle w:val="26"/>
          <w:rFonts w:hint="default" w:ascii="Times New Roman" w:hAnsi="Times New Roman" w:cs="Times New Roman" w:eastAsiaTheme="minorEastAsia"/>
          <w:b/>
          <w:szCs w:val="21"/>
        </w:rPr>
        <w:t>故意或者因重大过失未及时通知，致使保险事故的性质、原因、损失程度等难以确定的，保险人对无法确定的部分，不承担赔偿责任，</w:t>
      </w:r>
      <w:r>
        <w:rPr>
          <w:rStyle w:val="26"/>
          <w:rFonts w:hint="default" w:ascii="Times New Roman" w:hAnsi="Times New Roman" w:cs="Times New Roman" w:eastAsiaTheme="minorEastAsia"/>
          <w:szCs w:val="21"/>
        </w:rPr>
        <w:t>但保险人通过其他途径已经及时知道或者应当及时知道保险事故发生的除外；</w:t>
      </w:r>
    </w:p>
    <w:p w14:paraId="10D63468">
      <w:pPr>
        <w:pStyle w:val="10"/>
        <w:adjustRightInd w:val="0"/>
        <w:snapToGrid w:val="0"/>
        <w:spacing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（三）</w:t>
      </w:r>
      <w:r>
        <w:rPr>
          <w:rFonts w:hint="default" w:ascii="Times New Roman" w:hAnsi="Times New Roman" w:cs="Times New Roman" w:eastAsiaTheme="minorEastAsia"/>
          <w:b/>
          <w:bCs/>
          <w:szCs w:val="21"/>
        </w:rPr>
        <w:t>保护事故现场，</w:t>
      </w:r>
      <w:r>
        <w:rPr>
          <w:rFonts w:hint="default" w:ascii="Times New Roman" w:hAnsi="Times New Roman" w:cs="Times New Roman" w:eastAsiaTheme="minorEastAsia"/>
          <w:b/>
          <w:szCs w:val="21"/>
        </w:rPr>
        <w:t>允许并且协助保险人进行事故原因和损失情况的调查，以及对被保险人相关的会计凭证和账表的检查；</w:t>
      </w:r>
      <w:r>
        <w:rPr>
          <w:rFonts w:hint="default" w:ascii="Times New Roman" w:hAnsi="Times New Roman" w:cs="Times New Roman" w:eastAsiaTheme="minorEastAsia"/>
          <w:szCs w:val="21"/>
        </w:rPr>
        <w:t>对于拒绝或者妨碍保险人进行上述调查或检查导致无法确定事故原因或核实损失情况的，保险人对无法确定或核实的部分不承担赔偿责任。</w:t>
      </w:r>
    </w:p>
    <w:p w14:paraId="25434733">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第二十二条</w:t>
      </w:r>
      <w:r>
        <w:rPr>
          <w:rFonts w:hint="default" w:ascii="Times New Roman" w:hAnsi="Times New Roman" w:cs="Times New Roman" w:eastAsiaTheme="minorEastAsia"/>
          <w:szCs w:val="21"/>
        </w:rPr>
        <w:t xml:space="preserve">  被保险人请求赔偿时，应向保险人提供下列证明和资料：</w:t>
      </w:r>
    </w:p>
    <w:p w14:paraId="17000845">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（一）保险单正本、索赔申请、财产损失清单、技术鉴定证明、事故报告书、救护费用发票、相关的会计凭证及账表、单据和有关部门的证明；</w:t>
      </w:r>
    </w:p>
    <w:p w14:paraId="5FEE1C1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（二）投保人、被保险人所能提供的与确认保险事故的性质、原因、损失程度等有关的其他证明和资料。</w:t>
      </w:r>
    </w:p>
    <w:p w14:paraId="351743A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投保人、被保险人未履行前款约定的单证提供义务，导致保险人无法核实损失情况的，保险人对无法核实的部分不承担赔偿责任。</w:t>
      </w:r>
    </w:p>
    <w:p w14:paraId="1BD6BC8D">
      <w:pPr>
        <w:adjustRightInd w:val="0"/>
        <w:snapToGrid w:val="0"/>
        <w:spacing w:after="120" w:afterLines="50"/>
        <w:ind w:firstLine="420" w:firstLineChars="200"/>
        <w:jc w:val="center"/>
        <w:rPr>
          <w:rFonts w:hint="default" w:ascii="Times New Roman" w:hAnsi="Times New Roman" w:cs="Times New Roman" w:eastAsiaTheme="minorEastAsia"/>
          <w:b/>
          <w:bCs/>
          <w:szCs w:val="21"/>
        </w:rPr>
      </w:pPr>
    </w:p>
    <w:p w14:paraId="7AE4F2BF">
      <w:pPr>
        <w:adjustRightInd w:val="0"/>
        <w:snapToGrid w:val="0"/>
        <w:spacing w:after="120" w:afterLines="50"/>
        <w:ind w:firstLine="420" w:firstLineChars="20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赔偿处理</w:t>
      </w:r>
    </w:p>
    <w:p w14:paraId="08A0BE87">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第二十三条</w:t>
      </w:r>
      <w:r>
        <w:rPr>
          <w:rFonts w:hint="default" w:ascii="Times New Roman" w:hAnsi="Times New Roman" w:cs="Times New Roman" w:eastAsiaTheme="minorEastAsia"/>
          <w:szCs w:val="21"/>
        </w:rPr>
        <w:t xml:space="preserve">  </w:t>
      </w:r>
      <w:r>
        <w:rPr>
          <w:rFonts w:hint="default" w:ascii="Times New Roman" w:hAnsi="Times New Roman" w:cs="Times New Roman" w:eastAsiaTheme="minorEastAsia"/>
          <w:b/>
          <w:bCs/>
          <w:szCs w:val="21"/>
        </w:rPr>
        <w:t>发生保险事故后，被保险人</w:t>
      </w:r>
      <w:r>
        <w:rPr>
          <w:rFonts w:hint="default" w:ascii="Times New Roman" w:hAnsi="Times New Roman" w:cs="Times New Roman" w:eastAsiaTheme="minorEastAsia"/>
          <w:b/>
          <w:szCs w:val="21"/>
        </w:rPr>
        <w:t>在物质损失</w:t>
      </w:r>
      <w:r>
        <w:rPr>
          <w:rFonts w:hint="default" w:ascii="Times New Roman" w:hAnsi="Times New Roman" w:cs="Times New Roman" w:eastAsiaTheme="minorEastAsia"/>
          <w:b/>
          <w:bCs/>
          <w:szCs w:val="21"/>
        </w:rPr>
        <w:t>保险合同主险条款项下取得赔款或其保险责任已获保险人认定，是保险人承担本保险合同项下赔偿责任的前提条件。</w:t>
      </w:r>
    </w:p>
    <w:p w14:paraId="2C031C89">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Cs/>
          <w:szCs w:val="21"/>
        </w:rPr>
        <w:t>如被保险人因物质损失保险合同主险条款项下的免赔额而无法获得该合同项下的赔款，则不受本条前款约定所限。</w:t>
      </w:r>
    </w:p>
    <w:p w14:paraId="0DA315C9">
      <w:pPr>
        <w:pStyle w:val="7"/>
        <w:snapToGrid w:val="0"/>
        <w:spacing w:afterLines="50"/>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第二十四条</w:t>
      </w:r>
      <w:r>
        <w:rPr>
          <w:rFonts w:hint="default" w:ascii="Times New Roman" w:hAnsi="Times New Roman" w:cs="Times New Roman" w:eastAsiaTheme="minorEastAsia"/>
          <w:sz w:val="21"/>
          <w:szCs w:val="21"/>
        </w:rPr>
        <w:t xml:space="preserve">  赔偿期间内的毛利润损失为分别按照营业收入的减少和经营费用的增加计算的损失之和，扣除在赔偿期间内被保险人因保险事故的发生而从毛利润中减少或停止支付的费用：</w:t>
      </w:r>
    </w:p>
    <w:p w14:paraId="5DC5FB77">
      <w:pPr>
        <w:autoSpaceDE w:val="0"/>
        <w:autoSpaceDN w:val="0"/>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（一）因营业收入减少导致的损失为毛利润率乘以赔偿期间内的实际营业收入与标准营业收入的差额，即：</w:t>
      </w:r>
    </w:p>
    <w:p w14:paraId="75A84884">
      <w:pPr>
        <w:autoSpaceDE w:val="0"/>
        <w:autoSpaceDN w:val="0"/>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毛利润率×（标准营业收入－赔偿期间内的实际营业收入）</w:t>
      </w:r>
    </w:p>
    <w:p w14:paraId="2738B457">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本保险合同所称营业收入是指被保险人在营业过程中，因销售商品、提供劳务或者让渡资产使用权等实现的收入金额。</w:t>
      </w:r>
    </w:p>
    <w:p w14:paraId="63FA09FC">
      <w:pPr>
        <w:tabs>
          <w:tab w:val="left" w:pos="2730"/>
        </w:tabs>
        <w:autoSpaceDE w:val="0"/>
        <w:autoSpaceDN w:val="0"/>
        <w:adjustRightInd w:val="0"/>
        <w:snapToGrid w:val="0"/>
        <w:spacing w:after="120" w:afterLines="50"/>
        <w:ind w:left="-60"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本保险合同所称毛利润率是指发生物质保险损失之日前最近一个完整的会计年度内的毛利润与营业收入的比率。</w:t>
      </w:r>
    </w:p>
    <w:p w14:paraId="0CEDBC4D">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本保险合同所称标准营业收入是指发生物质保险损失之日前十二个月中与赔偿期间对应的日历期间的营业收入。</w:t>
      </w:r>
    </w:p>
    <w:p w14:paraId="1041CD81">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在赔偿期间内，被保险人或他人代其在保险合同载明的营业处所以外的地点从事保险合同载明的经营业务而取得的营业收入，应计算在赔偿期间内的实际营业收入内。</w:t>
      </w:r>
    </w:p>
    <w:p w14:paraId="6F70D5FA">
      <w:pPr>
        <w:pStyle w:val="7"/>
        <w:snapToGrid w:val="0"/>
        <w:spacing w:afterLines="50"/>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二）经营费用增加导致的损失是指被保险人专门为避免或降低赔偿期间内营业收入的减少而额外支出的必要的、合理的经营费用或成本；如果不予支出，则赔偿期间内的营业收入就会因保险事故的发生而降低。但该项损失以不超过毛利润率乘以因花费该经营费用而避免降低的营业收入为限。</w:t>
      </w:r>
    </w:p>
    <w:p w14:paraId="271DA419">
      <w:pPr>
        <w:pStyle w:val="7"/>
        <w:snapToGrid w:val="0"/>
        <w:spacing w:afterLines="50"/>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若投保人确定的维持费用仅包括营业所需的部分维持费用，则保险人对额外增加的经营费用的赔偿金额按照该经营费用乘以毛利润与毛利润加上未承保的维持费用的比例计算，即：</w:t>
      </w:r>
    </w:p>
    <w:p w14:paraId="53AF240C">
      <w:pPr>
        <w:pStyle w:val="7"/>
        <w:snapToGrid w:val="0"/>
        <w:spacing w:afterLines="50"/>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增加的经营费用×毛利润/（毛利润+未承保的维持费用）</w:t>
      </w:r>
    </w:p>
    <w:p w14:paraId="2808275E">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第二十五条</w:t>
      </w:r>
      <w:r>
        <w:rPr>
          <w:rFonts w:hint="default" w:ascii="Times New Roman" w:hAnsi="Times New Roman" w:cs="Times New Roman" w:eastAsiaTheme="minorEastAsia"/>
          <w:bCs/>
          <w:szCs w:val="21"/>
        </w:rPr>
        <w:t xml:space="preserve">  若最大赔偿期小于或等于十二个月，且</w:t>
      </w:r>
      <w:r>
        <w:rPr>
          <w:rFonts w:hint="default" w:ascii="Times New Roman" w:hAnsi="Times New Roman" w:cs="Times New Roman" w:eastAsiaTheme="minorEastAsia"/>
          <w:szCs w:val="21"/>
        </w:rPr>
        <w:t>保险金额低于毛利润率与年度营业收入的乘积，则保险人对毛利润损失的赔偿金额应按保险金额和前述乘积的比例计算确定，即：</w:t>
      </w:r>
    </w:p>
    <w:p w14:paraId="54680DBD">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赔偿金额＝毛利润损失×保险金额/（毛利润率×年度营业收入）</w:t>
      </w:r>
    </w:p>
    <w:p w14:paraId="461A2E4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若最大赔偿期大于十二个月，且保险金额低于毛利润率与年度营业收入及最大赔偿期与十二个月的比例的乘积，则保险人对毛利润损失的赔偿金额应按保险金额和前述乘积的比例计算确定，即：</w:t>
      </w:r>
    </w:p>
    <w:p w14:paraId="472F46A2">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赔偿金额＝毛利润损失×保险金额/（毛利润率×年度营业收入×最大赔偿期/12）。</w:t>
      </w:r>
    </w:p>
    <w:p w14:paraId="1BCCC4E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本保险合同所称年度营业收入是指发生物质保险损失之日前十二个月内的营业收入。</w:t>
      </w:r>
    </w:p>
    <w:p w14:paraId="287C0314">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第二十</w:t>
      </w:r>
      <w:r>
        <w:rPr>
          <w:rFonts w:hint="default" w:ascii="Times New Roman" w:hAnsi="Times New Roman" w:cs="Times New Roman" w:eastAsiaTheme="minorEastAsia"/>
          <w:b/>
          <w:bCs/>
          <w:szCs w:val="21"/>
        </w:rPr>
        <w:t>六</w:t>
      </w:r>
      <w:r>
        <w:rPr>
          <w:rFonts w:hint="default" w:ascii="Times New Roman" w:hAnsi="Times New Roman" w:cs="Times New Roman" w:eastAsiaTheme="minorEastAsia"/>
          <w:b/>
          <w:szCs w:val="21"/>
        </w:rPr>
        <w:t>条</w:t>
      </w:r>
      <w:r>
        <w:rPr>
          <w:rFonts w:hint="default" w:ascii="Times New Roman" w:hAnsi="Times New Roman" w:cs="Times New Roman" w:eastAsiaTheme="minorEastAsia"/>
          <w:bCs/>
          <w:szCs w:val="21"/>
        </w:rPr>
        <w:t xml:space="preserve">  被保险人、保险人应根据被保险人营业趋势及情况的变化、物质保险损失发生前后营业受影响的情况或若未发生物质保险损失原本会影响营业的其他情况对毛利润率、标准营业收入以及年度营业收入进行必要的调整，使调整后的数额尽可能合理地接近在赔偿期间内若未发生损失被保险人原本可以取得的经营成果。</w:t>
      </w:r>
    </w:p>
    <w:p w14:paraId="60B982B8">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 xml:space="preserve">第二十七条  </w:t>
      </w:r>
      <w:r>
        <w:rPr>
          <w:rFonts w:hint="default" w:ascii="Times New Roman" w:hAnsi="Times New Roman" w:cs="Times New Roman" w:eastAsiaTheme="minorEastAsia"/>
          <w:bCs/>
          <w:szCs w:val="21"/>
        </w:rPr>
        <w:t>若保险合同约定了免赔额，保险人按照第二十四条、第二十五条计算的毛利润损失扣除保险合同约定的免赔额计算毛利润损失赔偿金额。</w:t>
      </w:r>
    </w:p>
    <w:p w14:paraId="4FAFD1F3">
      <w:pPr>
        <w:autoSpaceDE w:val="0"/>
        <w:autoSpaceDN w:val="0"/>
        <w:adjustRightInd w:val="0"/>
        <w:snapToGrid w:val="0"/>
        <w:spacing w:after="120" w:afterLines="50"/>
        <w:ind w:left="-60"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Cs/>
          <w:szCs w:val="21"/>
        </w:rPr>
        <w:t>若保险合同约定了免赔期，则免赔额为免赔期和赔偿期间的比例与按照本条款第二十四条、第二十五条计算出的毛利润损失的乘积。</w:t>
      </w:r>
    </w:p>
    <w:p w14:paraId="3F9966CD">
      <w:pPr>
        <w:adjustRightInd w:val="0"/>
        <w:snapToGrid w:val="0"/>
        <w:spacing w:after="120" w:afterLines="50"/>
        <w:ind w:firstLine="420" w:firstLineChars="200"/>
        <w:rPr>
          <w:rFonts w:hint="default" w:ascii="Times New Roman" w:hAnsi="Times New Roman" w:cs="Times New Roman" w:eastAsiaTheme="minorEastAsia"/>
          <w:b/>
          <w:bCs/>
          <w:szCs w:val="21"/>
        </w:rPr>
      </w:pPr>
      <w:r>
        <w:rPr>
          <w:rFonts w:hint="default" w:ascii="Times New Roman" w:hAnsi="Times New Roman" w:cs="Times New Roman" w:eastAsiaTheme="minorEastAsia"/>
          <w:b/>
          <w:szCs w:val="21"/>
        </w:rPr>
        <w:t>第二十八条</w:t>
      </w:r>
      <w:r>
        <w:rPr>
          <w:rFonts w:hint="default" w:ascii="Times New Roman" w:hAnsi="Times New Roman" w:cs="Times New Roman" w:eastAsiaTheme="minorEastAsia"/>
          <w:bCs/>
          <w:szCs w:val="21"/>
        </w:rPr>
        <w:t xml:space="preserve">  </w:t>
      </w:r>
      <w:r>
        <w:rPr>
          <w:rFonts w:hint="default" w:ascii="Times New Roman" w:hAnsi="Times New Roman" w:cs="Times New Roman" w:eastAsiaTheme="minorEastAsia"/>
          <w:szCs w:val="21"/>
        </w:rPr>
        <w:t>因保险事故而发生的保险责任约定的审计费用，保险人按费用实际发生数予以赔偿，但最高不超过保险合同中载明的相应赔偿限额。</w:t>
      </w:r>
    </w:p>
    <w:p w14:paraId="1F65055B">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第二十九条</w:t>
      </w:r>
      <w:r>
        <w:rPr>
          <w:rFonts w:hint="default" w:ascii="Times New Roman" w:hAnsi="Times New Roman" w:cs="Times New Roman" w:eastAsiaTheme="minorEastAsia"/>
          <w:szCs w:val="21"/>
        </w:rPr>
        <w:t xml:space="preserve">  被保险人在请求赔偿时应当如实向保险人说明与本保险有关的其他保险合同的情况。保险事故发生时，如果存在重复保险，保险人按照本保险合同的相应保险金额与其他保险合同及本保险合同相应保险金额总和的比例承担赔偿责任。</w:t>
      </w:r>
    </w:p>
    <w:p w14:paraId="4D14AD9B">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其他保险人应承担的赔偿金额，保险人不负责垫付。若被保险人未如实告知导致保险人多支付赔偿金的，保险人有权向被保险人追回多支付的部分。</w:t>
      </w:r>
    </w:p>
    <w:p w14:paraId="3B18090C">
      <w:pPr>
        <w:tabs>
          <w:tab w:val="left" w:pos="2160"/>
        </w:tabs>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第三十条</w:t>
      </w:r>
      <w:r>
        <w:rPr>
          <w:rFonts w:hint="default" w:ascii="Times New Roman" w:hAnsi="Times New Roman" w:cs="Times New Roman" w:eastAsiaTheme="minorEastAsia"/>
          <w:szCs w:val="21"/>
        </w:rPr>
        <w:t xml:space="preserve">  发生保险责任范围内的损失，应由有关责任方负责赔偿的，保险人自向被保险人赔偿保险金之日起，在赔偿金额范围内代位行使被保险人对有关责任方请求赔偿的权利，被保险人应当向保险人提供必要的文件和所知道的有关情况。</w:t>
      </w:r>
    </w:p>
    <w:p w14:paraId="632C1C57">
      <w:pPr>
        <w:tabs>
          <w:tab w:val="left" w:pos="2160"/>
        </w:tabs>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被保险人已经从有关责任方取得赔偿的，保险人赔偿保险金时，可以相应扣减被保险人已从有关责任方取得的赔偿金额。</w:t>
      </w:r>
    </w:p>
    <w:p w14:paraId="1B3273B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保险事故发生后，在保险人未赔偿保险金之前，被保险人放弃对有关责任方请求赔偿权利的，保险人不承担赔偿责任</w:t>
      </w:r>
      <w:r>
        <w:rPr>
          <w:rFonts w:hint="default" w:ascii="Times New Roman" w:hAnsi="Times New Roman" w:cs="Times New Roman" w:eastAsiaTheme="minorEastAsia"/>
          <w:szCs w:val="21"/>
        </w:rPr>
        <w:t>；保险人向被保险人赔偿保险金后，被保险人未经保险人同意放弃对有关责任方请求赔偿权利的，该行为无效；</w:t>
      </w:r>
      <w:r>
        <w:rPr>
          <w:rFonts w:hint="default" w:ascii="Times New Roman" w:hAnsi="Times New Roman" w:cs="Times New Roman" w:eastAsiaTheme="minorEastAsia"/>
          <w:b/>
          <w:szCs w:val="21"/>
        </w:rPr>
        <w:t>由于被保险人故意或者因重大过失致使保险人不能行使代位请求赔偿的权利的，保险人可以扣减或者要求返还相应的保险金</w:t>
      </w:r>
      <w:r>
        <w:rPr>
          <w:rFonts w:hint="default" w:ascii="Times New Roman" w:hAnsi="Times New Roman" w:cs="Times New Roman" w:eastAsiaTheme="minorEastAsia"/>
          <w:szCs w:val="21"/>
        </w:rPr>
        <w:t>。</w:t>
      </w:r>
    </w:p>
    <w:p w14:paraId="2453BB37">
      <w:pPr>
        <w:autoSpaceDE w:val="0"/>
        <w:autoSpaceDN w:val="0"/>
        <w:adjustRightInd w:val="0"/>
        <w:snapToGrid w:val="0"/>
        <w:spacing w:after="120" w:afterLines="50"/>
        <w:ind w:firstLine="420" w:firstLineChars="200"/>
        <w:jc w:val="left"/>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第三十一条</w:t>
      </w:r>
      <w:r>
        <w:rPr>
          <w:rFonts w:hint="default" w:ascii="Times New Roman" w:hAnsi="Times New Roman" w:cs="Times New Roman" w:eastAsiaTheme="minorEastAsia"/>
          <w:szCs w:val="21"/>
        </w:rPr>
        <w:t xml:space="preserve">  保险人履行赔偿义务后，本保险合同的保险金额自物质保险损失发生之日起按保险人的赔偿金额相应减少，保险人不退还保险金额减少部分的保险费。如投保人请求恢复至原保险金额，应按原约定的保险费率另行支付恢复部分从投保人请求的恢复日期起至保险期间届满之日止按日比例计算的保险费。</w:t>
      </w:r>
    </w:p>
    <w:p w14:paraId="13A867CF">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第三十二条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被保险人向保险人请求赔偿保险金的诉讼时效期间为二年，自其知道或者应当知道保险事故发生之日起计算。</w:t>
      </w:r>
    </w:p>
    <w:p w14:paraId="0A4C6725">
      <w:pPr>
        <w:adjustRightInd w:val="0"/>
        <w:snapToGrid w:val="0"/>
        <w:spacing w:after="120" w:afterLines="50"/>
        <w:jc w:val="center"/>
        <w:rPr>
          <w:rFonts w:hint="default" w:ascii="Times New Roman" w:hAnsi="Times New Roman" w:cs="Times New Roman" w:eastAsiaTheme="minorEastAsia"/>
          <w:b/>
          <w:bCs/>
          <w:szCs w:val="21"/>
        </w:rPr>
      </w:pPr>
    </w:p>
    <w:p w14:paraId="0D30DB58">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争议处理和法律适用</w:t>
      </w:r>
    </w:p>
    <w:p w14:paraId="3AF3E32A">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第三十三条</w:t>
      </w:r>
      <w:r>
        <w:rPr>
          <w:rFonts w:hint="default" w:ascii="Times New Roman" w:hAnsi="Times New Roman" w:cs="Times New Roman" w:eastAsiaTheme="minorEastAsia"/>
          <w:szCs w:val="21"/>
        </w:rPr>
        <w:t xml:space="preserve">  因履行本保险合同发生的争议，由当事人协商解决。协商不成的，提交保险合同载明的仲裁机构仲裁；保险合同未载明仲裁机构且争议发生后未达成仲裁协议的，可向人民法院起诉。</w:t>
      </w:r>
    </w:p>
    <w:p w14:paraId="16D01BE2">
      <w:pPr>
        <w:adjustRightInd w:val="0"/>
        <w:snapToGrid w:val="0"/>
        <w:spacing w:after="120" w:afterLines="50"/>
        <w:ind w:firstLine="420" w:firstLineChars="200"/>
        <w:rPr>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第三十四条</w:t>
      </w:r>
      <w:r>
        <w:rPr>
          <w:rFonts w:hint="default" w:ascii="Times New Roman" w:hAnsi="Times New Roman" w:cs="Times New Roman" w:eastAsiaTheme="minorEastAsia"/>
          <w:szCs w:val="21"/>
        </w:rPr>
        <w:t xml:space="preserve">  与本保险合同有关的以及履行本保险合同产生的一切争议，适用中华人民共和国法律（不包括港澳台地区法律）。</w:t>
      </w:r>
    </w:p>
    <w:p w14:paraId="1483D002">
      <w:pPr>
        <w:adjustRightInd w:val="0"/>
        <w:snapToGrid w:val="0"/>
        <w:spacing w:after="120" w:afterLines="50"/>
        <w:jc w:val="center"/>
        <w:rPr>
          <w:rFonts w:hint="default" w:ascii="Times New Roman" w:hAnsi="Times New Roman" w:cs="Times New Roman" w:eastAsiaTheme="minorEastAsia"/>
          <w:b/>
          <w:bCs/>
          <w:szCs w:val="21"/>
        </w:rPr>
      </w:pPr>
    </w:p>
    <w:p w14:paraId="21584E8A">
      <w:pPr>
        <w:adjustRightInd w:val="0"/>
        <w:snapToGrid w:val="0"/>
        <w:spacing w:after="120" w:afterLines="50"/>
        <w:jc w:val="center"/>
        <w:rPr>
          <w:rFonts w:hint="default" w:ascii="Times New Roman" w:hAnsi="Times New Roman" w:cs="Times New Roman" w:eastAsiaTheme="minorEastAsia"/>
          <w:b/>
          <w:bCs/>
          <w:szCs w:val="21"/>
        </w:rPr>
      </w:pPr>
      <w:r>
        <w:rPr>
          <w:rFonts w:hint="default" w:ascii="Times New Roman" w:hAnsi="Times New Roman" w:cs="Times New Roman" w:eastAsiaTheme="minorEastAsia"/>
          <w:b/>
          <w:bCs/>
          <w:szCs w:val="21"/>
        </w:rPr>
        <w:t>其他事项</w:t>
      </w:r>
    </w:p>
    <w:p w14:paraId="1FF0643A">
      <w:pPr>
        <w:adjustRightInd w:val="0"/>
        <w:snapToGrid w:val="0"/>
        <w:spacing w:after="120" w:afterLines="50"/>
        <w:ind w:firstLine="420" w:firstLineChars="200"/>
        <w:rPr>
          <w:rFonts w:hint="default" w:ascii="Times New Roman" w:hAnsi="Times New Roman" w:cs="Times New Roman" w:eastAsiaTheme="minorEastAsia"/>
          <w:bCs/>
          <w:szCs w:val="21"/>
        </w:rPr>
      </w:pPr>
      <w:r>
        <w:rPr>
          <w:rFonts w:hint="default" w:ascii="Times New Roman" w:hAnsi="Times New Roman" w:cs="Times New Roman" w:eastAsiaTheme="minorEastAsia"/>
          <w:b/>
          <w:szCs w:val="21"/>
        </w:rPr>
        <w:t xml:space="preserve">第三十五条  </w:t>
      </w:r>
      <w:r>
        <w:rPr>
          <w:rFonts w:hint="default" w:ascii="Times New Roman" w:hAnsi="Times New Roman" w:cs="Times New Roman" w:eastAsiaTheme="minorEastAsia"/>
          <w:bCs/>
          <w:szCs w:val="21"/>
        </w:rPr>
        <w:t>若被保险人聘请的注册会计师证明被保险人在与保险期间重合程度最高的一个会计年度内的毛利润（若最大赔偿期大于十二个月，则该毛利润金额应按照最大赔偿期与十二个月的比例扩大后计算）少于投保的保险金额，则被保险人可以在保险期间届满后六个月内向保险人提供书面退还多余保险费的申请，保险人按照保险金额减去前述毛利润的差额与保险金额的比例计算退还差额部分的保险费，但保险人退还保险费的比例最高不得超过保险期间内对该项保险金额所交保险费的百分之五十。</w:t>
      </w:r>
    </w:p>
    <w:p w14:paraId="00E78D8D">
      <w:pPr>
        <w:adjustRightInd w:val="0"/>
        <w:snapToGrid w:val="0"/>
        <w:spacing w:after="120" w:afterLines="50"/>
        <w:ind w:firstLine="420" w:firstLineChars="200"/>
        <w:rPr>
          <w:rFonts w:hint="default" w:ascii="Times New Roman" w:hAnsi="Times New Roman" w:cs="Times New Roman" w:eastAsiaTheme="minorEastAsia"/>
          <w:b/>
          <w:szCs w:val="21"/>
        </w:rPr>
      </w:pPr>
      <w:r>
        <w:rPr>
          <w:rFonts w:hint="default" w:ascii="Times New Roman" w:hAnsi="Times New Roman" w:cs="Times New Roman" w:eastAsiaTheme="minorEastAsia"/>
          <w:bCs/>
          <w:szCs w:val="21"/>
        </w:rPr>
        <w:t>若被保险人在保险期间内因保险事故发生索赔，则应从保险金额中扣除保险人因此而支付的赔款金额后，再按照前款约定计算应退还的保险费。</w:t>
      </w:r>
    </w:p>
    <w:p w14:paraId="6BA693A0">
      <w:pPr>
        <w:adjustRightInd w:val="0"/>
        <w:snapToGrid w:val="0"/>
        <w:spacing w:after="120" w:afterLines="50"/>
        <w:ind w:firstLine="420" w:firstLineChars="200"/>
        <w:rPr>
          <w:rStyle w:val="26"/>
          <w:rFonts w:hint="default" w:ascii="Times New Roman" w:hAnsi="Times New Roman" w:cs="Times New Roman" w:eastAsiaTheme="minorEastAsia"/>
          <w:szCs w:val="21"/>
        </w:rPr>
      </w:pPr>
      <w:r>
        <w:rPr>
          <w:rFonts w:hint="default" w:ascii="Times New Roman" w:hAnsi="Times New Roman" w:cs="Times New Roman" w:eastAsiaTheme="minorEastAsia"/>
          <w:b/>
          <w:szCs w:val="21"/>
        </w:rPr>
        <w:t>第三十六条</w:t>
      </w:r>
      <w:r>
        <w:rPr>
          <w:rFonts w:hint="default" w:ascii="Times New Roman" w:hAnsi="Times New Roman" w:cs="Times New Roman" w:eastAsiaTheme="minorEastAsia"/>
          <w:szCs w:val="21"/>
        </w:rPr>
        <w:t xml:space="preserve">  </w:t>
      </w:r>
      <w:r>
        <w:rPr>
          <w:rStyle w:val="26"/>
          <w:rFonts w:hint="default" w:ascii="Times New Roman" w:hAnsi="Times New Roman" w:cs="Times New Roman" w:eastAsiaTheme="minorEastAsia"/>
          <w:szCs w:val="21"/>
        </w:rPr>
        <w:t>保险责任开始前，投保人要求解除保险合同的，应当按本保险合同的约定向保险人支付退保手续费，保险人应当退还剩余部分保险费。</w:t>
      </w:r>
    </w:p>
    <w:p w14:paraId="3BC6DE56">
      <w:pPr>
        <w:adjustRightInd w:val="0"/>
        <w:snapToGrid w:val="0"/>
        <w:spacing w:after="120" w:afterLines="50"/>
        <w:ind w:firstLine="420" w:firstLineChars="200"/>
        <w:rPr>
          <w:rStyle w:val="26"/>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保险责任开始后，投保人要求解除保险合同的，自通知保险人之日起，保险合同解除，保险人按短期费率计收保险责任开始之日起至合同解除之日止期间的保险费，并退还剩余部分保险费。</w:t>
      </w:r>
    </w:p>
    <w:p w14:paraId="24984D15">
      <w:pPr>
        <w:adjustRightInd w:val="0"/>
        <w:snapToGrid w:val="0"/>
        <w:spacing w:after="120" w:afterLines="50"/>
        <w:ind w:firstLine="420" w:firstLineChars="200"/>
        <w:rPr>
          <w:rFonts w:hint="default" w:ascii="Times New Roman" w:hAnsi="Times New Roman" w:cs="Times New Roman" w:eastAsiaTheme="minorEastAsia"/>
          <w:szCs w:val="21"/>
        </w:rPr>
      </w:pPr>
      <w:r>
        <w:rPr>
          <w:rStyle w:val="26"/>
          <w:rFonts w:hint="default" w:ascii="Times New Roman" w:hAnsi="Times New Roman" w:cs="Times New Roman" w:eastAsiaTheme="minorEastAsia"/>
          <w:szCs w:val="21"/>
        </w:rPr>
        <w:t>保险责任开始后，保险人要求解除保险合同的，可提前十五日向投保人发出解约通知书解除本保险合同，保险人按照保险责任开始之日起至合同解除之日止期间与保险期间的日比例计收保险费，并退还剩余部分保险费。</w:t>
      </w:r>
    </w:p>
    <w:p w14:paraId="32B37105">
      <w:pPr>
        <w:adjustRightInd w:val="0"/>
        <w:snapToGrid w:val="0"/>
        <w:spacing w:after="120" w:afterLines="50"/>
        <w:jc w:val="center"/>
        <w:rPr>
          <w:rFonts w:hint="default" w:ascii="Times New Roman" w:hAnsi="Times New Roman" w:cs="Times New Roman" w:eastAsiaTheme="minorEastAsia"/>
          <w:b/>
          <w:szCs w:val="21"/>
        </w:rPr>
      </w:pPr>
    </w:p>
    <w:p w14:paraId="5035623D">
      <w:pPr>
        <w:adjustRightInd w:val="0"/>
        <w:snapToGrid w:val="0"/>
        <w:spacing w:after="120" w:afterLines="50"/>
        <w:jc w:val="center"/>
        <w:rPr>
          <w:rFonts w:hint="default" w:ascii="Times New Roman" w:hAnsi="Times New Roman" w:cs="Times New Roman" w:eastAsiaTheme="minorEastAsia"/>
          <w:b/>
          <w:szCs w:val="21"/>
        </w:rPr>
      </w:pPr>
      <w:r>
        <w:rPr>
          <w:rFonts w:hint="default" w:ascii="Times New Roman" w:hAnsi="Times New Roman" w:cs="Times New Roman" w:eastAsiaTheme="minorEastAsia"/>
          <w:b/>
          <w:szCs w:val="21"/>
        </w:rPr>
        <w:t>附录</w:t>
      </w:r>
    </w:p>
    <w:p w14:paraId="3B5F3C60">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短期费率表</w:t>
      </w:r>
    </w:p>
    <w:tbl>
      <w:tblPr>
        <w:tblStyle w:val="15"/>
        <w:tblW w:w="8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2"/>
        <w:gridCol w:w="540"/>
        <w:gridCol w:w="540"/>
        <w:gridCol w:w="540"/>
        <w:gridCol w:w="540"/>
        <w:gridCol w:w="540"/>
        <w:gridCol w:w="540"/>
        <w:gridCol w:w="540"/>
        <w:gridCol w:w="540"/>
        <w:gridCol w:w="540"/>
        <w:gridCol w:w="540"/>
        <w:gridCol w:w="788"/>
        <w:gridCol w:w="708"/>
      </w:tblGrid>
      <w:tr w14:paraId="48E64E2D">
        <w:trPr>
          <w:jc w:val="center"/>
        </w:trPr>
        <w:tc>
          <w:tcPr>
            <w:tcW w:w="1192" w:type="dxa"/>
            <w:vAlign w:val="center"/>
          </w:tcPr>
          <w:p w14:paraId="1C2503B8">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保险</w:t>
            </w:r>
          </w:p>
          <w:p w14:paraId="5C830B90">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期间</w:t>
            </w:r>
          </w:p>
        </w:tc>
        <w:tc>
          <w:tcPr>
            <w:tcW w:w="540" w:type="dxa"/>
            <w:vAlign w:val="center"/>
          </w:tcPr>
          <w:p w14:paraId="6A416330">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w:t>
            </w:r>
          </w:p>
          <w:p w14:paraId="0E793948">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70631FD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12E31C78">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w:t>
            </w:r>
          </w:p>
          <w:p w14:paraId="43F5291C">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0DBFD96F">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607B4F1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三</w:t>
            </w:r>
          </w:p>
          <w:p w14:paraId="23E776D6">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1941A191">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116C6B6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四</w:t>
            </w:r>
          </w:p>
          <w:p w14:paraId="0AD6F87A">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36C25040">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387CFBF0">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五</w:t>
            </w:r>
          </w:p>
          <w:p w14:paraId="26174481">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9F7E698">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528A679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六</w:t>
            </w:r>
          </w:p>
          <w:p w14:paraId="4CD5101F">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B73ADEF">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65E5928C">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七</w:t>
            </w:r>
          </w:p>
          <w:p w14:paraId="4942E8E0">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3550B23D">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043F76F1">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八</w:t>
            </w:r>
          </w:p>
          <w:p w14:paraId="42FE3BDD">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357573D">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34938FA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九</w:t>
            </w:r>
          </w:p>
          <w:p w14:paraId="63A0166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FCDFF27">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540" w:type="dxa"/>
            <w:vAlign w:val="center"/>
          </w:tcPr>
          <w:p w14:paraId="15EF819F">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5D9BA573">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555EC4C">
            <w:pPr>
              <w:adjustRightInd w:val="0"/>
              <w:snapToGrid w:val="0"/>
              <w:spacing w:after="5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788" w:type="dxa"/>
            <w:vAlign w:val="center"/>
          </w:tcPr>
          <w:p w14:paraId="53B3F346">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536CCBD4">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一</w:t>
            </w:r>
          </w:p>
          <w:p w14:paraId="25BA95F2">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488C537D">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c>
          <w:tcPr>
            <w:tcW w:w="708" w:type="dxa"/>
            <w:vAlign w:val="center"/>
          </w:tcPr>
          <w:p w14:paraId="4D222F55">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十</w:t>
            </w:r>
          </w:p>
          <w:p w14:paraId="54249223">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二</w:t>
            </w:r>
          </w:p>
          <w:p w14:paraId="01CDCFFC">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个</w:t>
            </w:r>
          </w:p>
          <w:p w14:paraId="5FE44432">
            <w:pPr>
              <w:adjustRightInd w:val="0"/>
              <w:snapToGrid w:val="0"/>
              <w:spacing w:after="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月</w:t>
            </w:r>
          </w:p>
        </w:tc>
      </w:tr>
      <w:tr w14:paraId="78864F5D">
        <w:trPr>
          <w:jc w:val="center"/>
        </w:trPr>
        <w:tc>
          <w:tcPr>
            <w:tcW w:w="1192" w:type="dxa"/>
            <w:vAlign w:val="center"/>
          </w:tcPr>
          <w:p w14:paraId="285007D9">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年费率的</w:t>
            </w:r>
          </w:p>
          <w:p w14:paraId="69C61AFA">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百分比</w:t>
            </w:r>
          </w:p>
        </w:tc>
        <w:tc>
          <w:tcPr>
            <w:tcW w:w="540" w:type="dxa"/>
            <w:vAlign w:val="center"/>
          </w:tcPr>
          <w:p w14:paraId="1D70A845">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w:t>
            </w:r>
          </w:p>
        </w:tc>
        <w:tc>
          <w:tcPr>
            <w:tcW w:w="540" w:type="dxa"/>
            <w:vAlign w:val="center"/>
          </w:tcPr>
          <w:p w14:paraId="45B3E5C3">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20</w:t>
            </w:r>
          </w:p>
        </w:tc>
        <w:tc>
          <w:tcPr>
            <w:tcW w:w="540" w:type="dxa"/>
            <w:vAlign w:val="center"/>
          </w:tcPr>
          <w:p w14:paraId="5CE9777B">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30</w:t>
            </w:r>
          </w:p>
        </w:tc>
        <w:tc>
          <w:tcPr>
            <w:tcW w:w="540" w:type="dxa"/>
            <w:vAlign w:val="center"/>
          </w:tcPr>
          <w:p w14:paraId="0F504B36">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40</w:t>
            </w:r>
          </w:p>
        </w:tc>
        <w:tc>
          <w:tcPr>
            <w:tcW w:w="540" w:type="dxa"/>
            <w:vAlign w:val="center"/>
          </w:tcPr>
          <w:p w14:paraId="316646F6">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50</w:t>
            </w:r>
          </w:p>
        </w:tc>
        <w:tc>
          <w:tcPr>
            <w:tcW w:w="540" w:type="dxa"/>
            <w:vAlign w:val="center"/>
          </w:tcPr>
          <w:p w14:paraId="4BCC4713">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60</w:t>
            </w:r>
          </w:p>
        </w:tc>
        <w:tc>
          <w:tcPr>
            <w:tcW w:w="540" w:type="dxa"/>
            <w:vAlign w:val="center"/>
          </w:tcPr>
          <w:p w14:paraId="0D49ADCB">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70</w:t>
            </w:r>
          </w:p>
        </w:tc>
        <w:tc>
          <w:tcPr>
            <w:tcW w:w="540" w:type="dxa"/>
            <w:vAlign w:val="center"/>
          </w:tcPr>
          <w:p w14:paraId="060FBF4C">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80</w:t>
            </w:r>
          </w:p>
        </w:tc>
        <w:tc>
          <w:tcPr>
            <w:tcW w:w="540" w:type="dxa"/>
            <w:vAlign w:val="center"/>
          </w:tcPr>
          <w:p w14:paraId="5A94A4E5">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85</w:t>
            </w:r>
          </w:p>
        </w:tc>
        <w:tc>
          <w:tcPr>
            <w:tcW w:w="540" w:type="dxa"/>
            <w:vAlign w:val="center"/>
          </w:tcPr>
          <w:p w14:paraId="52EE0E4F">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90</w:t>
            </w:r>
          </w:p>
        </w:tc>
        <w:tc>
          <w:tcPr>
            <w:tcW w:w="788" w:type="dxa"/>
            <w:vAlign w:val="center"/>
          </w:tcPr>
          <w:p w14:paraId="247F5EC2">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95</w:t>
            </w:r>
          </w:p>
        </w:tc>
        <w:tc>
          <w:tcPr>
            <w:tcW w:w="708" w:type="dxa"/>
            <w:vAlign w:val="center"/>
          </w:tcPr>
          <w:p w14:paraId="78496BC1">
            <w:pPr>
              <w:adjustRightInd w:val="0"/>
              <w:snapToGrid w:val="0"/>
              <w:spacing w:after="120" w:afterLines="50"/>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100</w:t>
            </w:r>
          </w:p>
        </w:tc>
      </w:tr>
    </w:tbl>
    <w:p w14:paraId="773A6D0A">
      <w:pPr>
        <w:adjustRightInd w:val="0"/>
        <w:snapToGrid w:val="0"/>
        <w:spacing w:after="120" w:afterLines="50"/>
        <w:ind w:firstLine="630" w:firstLineChars="300"/>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注：不足一个月的部分按一个月计收。</w:t>
      </w:r>
    </w:p>
    <w:bookmarkEnd w:id="1"/>
    <w:bookmarkEnd w:id="2"/>
    <w:p w14:paraId="79299B6B">
      <w:pPr>
        <w:adjustRightInd w:val="0"/>
        <w:snapToGrid w:val="0"/>
        <w:spacing w:after="120" w:afterLines="50"/>
        <w:rPr>
          <w:rFonts w:hint="default" w:ascii="Times New Roman" w:hAnsi="Times New Roman" w:cs="Times New Roman" w:eastAsiaTheme="minorEastAsia"/>
          <w:color w:val="000000" w:themeColor="text1"/>
          <w:szCs w:val="21"/>
          <w14:textFill>
            <w14:solidFill>
              <w14:schemeClr w14:val="tx1"/>
            </w14:solidFill>
          </w14:textFill>
        </w:rPr>
      </w:pPr>
    </w:p>
    <w:p w14:paraId="2B5663C8">
      <w:pPr>
        <w:adjustRightInd w:val="0"/>
        <w:snapToGrid w:val="0"/>
        <w:spacing w:after="120" w:afterLines="50"/>
        <w:rPr>
          <w:rFonts w:hint="default" w:ascii="Times New Roman" w:hAnsi="Times New Roman" w:cs="Times New Roman" w:eastAsiaTheme="minorEastAsia"/>
          <w:color w:val="000000" w:themeColor="text1"/>
          <w:szCs w:val="21"/>
          <w14:textFill>
            <w14:solidFill>
              <w14:schemeClr w14:val="tx1"/>
            </w14:solidFill>
          </w14:textFill>
        </w:rPr>
        <w:sectPr>
          <w:footerReference r:id="rId5" w:type="default"/>
          <w:pgSz w:w="11906" w:h="16838"/>
          <w:pgMar w:top="1440" w:right="1466" w:bottom="1440" w:left="1170" w:header="851" w:footer="850" w:gutter="0"/>
          <w:pgNumType w:fmt="decimal" w:start="1"/>
          <w:cols w:space="425" w:num="1"/>
          <w:docGrid w:linePitch="286" w:charSpace="0"/>
        </w:sectPr>
      </w:pPr>
    </w:p>
    <w:p w14:paraId="1F96EA3C">
      <w:pPr>
        <w:adjustRightInd w:val="0"/>
        <w:spacing w:line="360" w:lineRule="atLeast"/>
        <w:jc w:val="center"/>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Special Provisions</w:t>
      </w:r>
    </w:p>
    <w:p w14:paraId="3C8161F8">
      <w:pPr>
        <w:adjustRightInd w:val="0"/>
        <w:spacing w:line="360" w:lineRule="atLeast"/>
        <w:textAlignment w:val="baseline"/>
        <w:rPr>
          <w:rFonts w:hint="default" w:ascii="Times New Roman" w:hAnsi="Times New Roman" w:eastAsia="宋体" w:cs="Times New Roman"/>
          <w:b/>
          <w:kern w:val="0"/>
          <w:sz w:val="21"/>
          <w:szCs w:val="21"/>
          <w:lang w:val="en-GB"/>
        </w:rPr>
      </w:pPr>
    </w:p>
    <w:p w14:paraId="4BAE6083">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Accumulated Stocks Clause</w:t>
      </w:r>
    </w:p>
    <w:p w14:paraId="1ED613D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In adjusting any loss account shall be taken and an equitable allowance made if any shortage in turnover due to the damage is postponed by reason of the turnover being temporarily maintained from accumulated stocks of finished goods in warehouse and depots.</w:t>
      </w:r>
    </w:p>
    <w:p w14:paraId="616D1036">
      <w:pPr>
        <w:rPr>
          <w:rFonts w:hint="default" w:ascii="Times New Roman" w:hAnsi="Times New Roman" w:eastAsia="宋体" w:cs="Times New Roman"/>
          <w:color w:val="000000"/>
          <w:sz w:val="21"/>
          <w:szCs w:val="21"/>
        </w:rPr>
      </w:pPr>
    </w:p>
    <w:p w14:paraId="72096E8B">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Automatic Cover for New Locations (subject to 90 days reporting period)</w:t>
      </w:r>
    </w:p>
    <w:p w14:paraId="5F1F8431">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the insurance by this Policy shall automatically cover the property at newly acquired location of the insured, subject to declaration to the Company within 90 days upon Insured acquiring such property and an additional premium shall be payable.</w:t>
      </w:r>
    </w:p>
    <w:p w14:paraId="7DB01E12">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Subject otherwise to the terms exceptions and conditions of this policy.</w:t>
      </w:r>
    </w:p>
    <w:p w14:paraId="6D85B88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如果发生财产一切险项下的保险责任导致该地址的营业中断所造成的损失，保险人负责赔偿。</w:t>
      </w:r>
    </w:p>
    <w:p w14:paraId="60E3C46B">
      <w:pPr>
        <w:rPr>
          <w:rFonts w:hint="default" w:ascii="Times New Roman" w:hAnsi="Times New Roman" w:eastAsia="宋体" w:cs="Times New Roman"/>
          <w:b/>
          <w:color w:val="000000"/>
          <w:sz w:val="21"/>
          <w:szCs w:val="21"/>
        </w:rPr>
      </w:pPr>
    </w:p>
    <w:p w14:paraId="2033CC2D">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Automatic Reinstatement of Sum Insured Clause</w:t>
      </w:r>
    </w:p>
    <w:p w14:paraId="7322A6A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agreed and understood that in the event of loss or damage to the Insured property described in the Schedule of this Policy, the amount payable for such loss or damage shall be automatically reinstated from the time of the happening and the Insured shall pay an additional premium therefore calculated pro rata from the date of loss to the expiration of this Policy.</w:t>
      </w:r>
    </w:p>
    <w:p w14:paraId="3B0CDDDB">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the terms, conditions and exceptions of this Policy.</w:t>
      </w:r>
    </w:p>
    <w:p w14:paraId="6B93E1F3">
      <w:pPr>
        <w:rPr>
          <w:rFonts w:hint="default" w:ascii="Times New Roman" w:hAnsi="Times New Roman" w:eastAsia="宋体" w:cs="Times New Roman"/>
          <w:color w:val="000000"/>
          <w:sz w:val="21"/>
          <w:szCs w:val="21"/>
        </w:rPr>
      </w:pPr>
    </w:p>
    <w:p w14:paraId="7BF7D4B0">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Additional increase in cost of Working</w:t>
      </w:r>
    </w:p>
    <w:p w14:paraId="27F4AABF">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additional expenditure (including cost of moving to and from and the additional rent of temporary premises, any compensation or premium necessary to obtain use of same, additional rates and taxes thereon and expenses incurred in installing and/or hiring such furniture, fixtures and fittings may be required to render said premises suitable for occupation; additional cost in respect of lighting, heating and water; additional staff and overtime and allowance for meal to existing staff; additional cost of obtaining, owing to the damage, the necessary information for the replacement of all deeds, documents, plans, drawings, specifications, valuations, card indices and books of account) reasonably incurred in order to minimize any interruption or interference as aforesaid with the business during the indemnity period.</w:t>
      </w:r>
    </w:p>
    <w:p w14:paraId="0B765578">
      <w:pPr>
        <w:rPr>
          <w:rFonts w:hint="default" w:ascii="Times New Roman" w:hAnsi="Times New Roman" w:eastAsia="宋体" w:cs="Times New Roman"/>
          <w:color w:val="000000"/>
          <w:sz w:val="21"/>
          <w:szCs w:val="21"/>
        </w:rPr>
      </w:pPr>
    </w:p>
    <w:p w14:paraId="3E11C45D">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Breach of Condition Clause</w:t>
      </w:r>
    </w:p>
    <w:p w14:paraId="1B09160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the conditions and warranties of this Policy shall apply individually to each of the risks insured and not collectively to them. Thus a breach in any condition or warranty shall void the section only in respect of all the risks to which that breach applied and does not affect the section in respect of the other risks.</w:t>
      </w:r>
    </w:p>
    <w:p w14:paraId="4995675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the terms, conditions and exclusions of this policy.</w:t>
      </w:r>
    </w:p>
    <w:p w14:paraId="784D07AC">
      <w:pPr>
        <w:rPr>
          <w:rFonts w:hint="default" w:ascii="Times New Roman" w:hAnsi="Times New Roman" w:eastAsia="宋体" w:cs="Times New Roman"/>
          <w:color w:val="000000"/>
          <w:sz w:val="21"/>
          <w:szCs w:val="21"/>
        </w:rPr>
      </w:pPr>
    </w:p>
    <w:p w14:paraId="5428C217">
      <w:pPr>
        <w:numPr>
          <w:ilvl w:val="0"/>
          <w:numId w:val="5"/>
        </w:numPr>
        <w:bidi w:val="0"/>
        <w:rPr>
          <w:rFonts w:hint="default" w:ascii="Times New Roman" w:hAnsi="Times New Roman" w:cs="Times New Roman"/>
          <w:b/>
          <w:bCs/>
          <w:u w:val="single"/>
        </w:rPr>
      </w:pPr>
      <w:bookmarkStart w:id="3" w:name="_Hlk184056132"/>
      <w:r>
        <w:rPr>
          <w:rFonts w:hint="default" w:ascii="Times New Roman" w:hAnsi="Times New Roman" w:cs="Times New Roman"/>
          <w:b/>
          <w:bCs/>
          <w:u w:val="single"/>
        </w:rPr>
        <w:t>Book of Account Clause</w:t>
      </w:r>
    </w:p>
    <w:p w14:paraId="22277B1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Any particulars or details contained in the Insured’s book of account or other business books or documents which may be required by the Insurer for the purpose of investigating or verifying any claim hereunder may be produced by professional accountants if at the time they are regularly acting as such for the Insured and their report shall be prima facie evidence of the particulars and details to which such report relates.</w:t>
      </w:r>
    </w:p>
    <w:p w14:paraId="03969426">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The words and expressions used herein shall have the meaning usually attached to them in the books and accounts of the Insured unless otherwise defined in this Policy.</w:t>
      </w:r>
    </w:p>
    <w:bookmarkEnd w:id="3"/>
    <w:p w14:paraId="0BBD6C83">
      <w:pPr>
        <w:rPr>
          <w:rFonts w:hint="default" w:ascii="Times New Roman" w:hAnsi="Times New Roman" w:eastAsia="宋体" w:cs="Times New Roman"/>
          <w:sz w:val="21"/>
          <w:szCs w:val="21"/>
        </w:rPr>
      </w:pPr>
    </w:p>
    <w:p w14:paraId="60183460">
      <w:pPr>
        <w:rPr>
          <w:rFonts w:hint="default" w:ascii="Times New Roman" w:hAnsi="Times New Roman" w:eastAsia="宋体" w:cs="Times New Roman"/>
          <w:color w:val="000000"/>
          <w:sz w:val="21"/>
          <w:szCs w:val="21"/>
        </w:rPr>
      </w:pPr>
    </w:p>
    <w:p w14:paraId="7D019C01">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Co-Insurance Clause</w:t>
      </w:r>
    </w:p>
    <w:p w14:paraId="561172E5">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In consideration of the Insured named in the Schedule hereto having paid or agreed to pay the premium set forth in the said Schedule to the Insurers who have subscribed their Names in the Policy (hereinafter referred to as “the Coinsurers”)</w:t>
      </w:r>
    </w:p>
    <w:p w14:paraId="5CC45681">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Coinsurers hereby severally agree each for the proportion set against its name to indemnify the Insured or the Insured’s legal personal representatives by payment or at the option of the Coinsurers by reinstatement, repair or replacement in accordance with the terms and conditions contained hereunder or endorsed hereon.</w:t>
      </w:r>
    </w:p>
    <w:p w14:paraId="4F4B052B">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Provided that:</w:t>
      </w:r>
    </w:p>
    <w:p w14:paraId="4D46CE18">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The liability of the Coinsurers shall not exceed the limits of liability expressed below or such other limits of liability as may be substituted therefore by endorsement hereon or attached hereto signed by or on behalf of the Coinsurers.</w:t>
      </w:r>
    </w:p>
    <w:p w14:paraId="44F33C19">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The liability of the Coinsurers individually in respect of such loss shall be limited to the proportion set against its name.</w:t>
      </w:r>
    </w:p>
    <w:p w14:paraId="0576C314">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China Pacific Property Insurance Co., Ltd – Shanghai Branch as Lead Coinsurer does elect to conduct, direct, and/or control the investigation, coverage determinations, adjustment, settlement, and/or recovery proceedings with respect to any claim involving this coinsurance arrangement. Each Coinsurer to follow fully in all respects. Expenses incurred by or at the direction of China Pacific Property Insurance Co., Ltd – Shanghai Branch shall be borne pro rata by the Coinsurers in direct proportion to their respective coinsurance participation. It is further declared and agreed that any reference to China Pacific Property Insurance Co., Ltd – Shanghai Branch during the period of insurance shall be deemed to refer to the Coinsurance mentioned in the Schedule for their respective rights and interests and liabilities each for its own proportion of the risk as shown below and not one for another.</w:t>
      </w:r>
    </w:p>
    <w:p w14:paraId="171D0E2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lead Coinsurer is entitled to receive notifications and declarations of intent from the Insured for the Coinsurers.  The Coinsurers acknowledge all decisions made by the Lead Coinsurer as binding of them.  All notifications and declarations are regarded as having been received by Coinsurers upon receipt by the Lead Coinsurer.</w:t>
      </w:r>
    </w:p>
    <w:p w14:paraId="4D5694D9">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Co-insurers and participate share:</w:t>
      </w:r>
    </w:p>
    <w:p w14:paraId="7F43802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China Pacific Property Insurance Co., Ltd – Shanghai Branch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ab/>
      </w:r>
    </w:p>
    <w:p w14:paraId="69C80FD0">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PICC Property and Casualty Company Limited – Nanjing Branch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 xml:space="preserve">    </w:t>
      </w:r>
    </w:p>
    <w:p w14:paraId="5BEDB230">
      <w:pPr>
        <w:rPr>
          <w:rFonts w:hint="default" w:ascii="Times New Roman" w:hAnsi="Times New Roman" w:eastAsia="宋体" w:cs="Times New Roman"/>
          <w:color w:val="000000"/>
          <w:sz w:val="21"/>
          <w:szCs w:val="21"/>
        </w:rPr>
      </w:pPr>
    </w:p>
    <w:p w14:paraId="2375DD0A">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Civil Authorities</w:t>
      </w:r>
    </w:p>
    <w:p w14:paraId="20622164">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insurance is extended to include the actual loss as covered thereunder during the period of time, not exceeding four consecutive weeks, when as a direct result of damage to or destruction of property adjacent to premises herein described by the peril(s) insured against , access to any insured premises is prohibited by order of civil authority.</w:t>
      </w:r>
    </w:p>
    <w:p w14:paraId="18FDB462">
      <w:pPr>
        <w:rPr>
          <w:rFonts w:hint="default" w:ascii="Times New Roman" w:hAnsi="Times New Roman" w:eastAsia="宋体" w:cs="Times New Roman"/>
          <w:b/>
          <w:color w:val="000000"/>
          <w:sz w:val="21"/>
          <w:szCs w:val="21"/>
        </w:rPr>
      </w:pPr>
    </w:p>
    <w:p w14:paraId="14D735A0">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Unnamed Customer/Supplier's Extension (Sub limit: 15% of sum insured per occurrence)</w:t>
      </w:r>
    </w:p>
    <w:p w14:paraId="4AF2C1C4">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subject to the conditions of the policy loss as insured by this policy resulting from interruption of or interference with business in consequence of damage (as within defined) at the premises of any of Insured's Suppliers or Customers shall be deemed to be loss resulting from damage to property used by the Insured at the premises.</w:t>
      </w:r>
    </w:p>
    <w:p w14:paraId="62B4E94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Provided that after the application of all other terms, provisions and conditions of the Policy, the Company's total liability under this Extension shall not exceed 15%of sum insured per occurrence.</w:t>
      </w:r>
    </w:p>
    <w:p w14:paraId="21496388">
      <w:pPr>
        <w:rPr>
          <w:rFonts w:hint="default" w:ascii="Times New Roman" w:hAnsi="Times New Roman" w:eastAsia="宋体" w:cs="Times New Roman"/>
          <w:b/>
          <w:color w:val="000000"/>
          <w:sz w:val="21"/>
          <w:szCs w:val="21"/>
        </w:rPr>
      </w:pPr>
    </w:p>
    <w:p w14:paraId="2F3672B1">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Cost of Compiling Records and Claim Preparation Clause</w:t>
      </w:r>
    </w:p>
    <w:p w14:paraId="6E2A3202">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policy extends to include:</w:t>
      </w:r>
    </w:p>
    <w:p w14:paraId="013E1254">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cost of compiling records, but only for the  value of the materials used together with the cost of clerical labour expended in producing such records and reasonable charges incurred by the insured for producing and certifying and information as may be required by the Company under the terms for the Policy. This clause is part of and not in addition to the total sum insured of this policy and shall be payable only if such loss is admitted by the Company as a valid claim.</w:t>
      </w:r>
    </w:p>
    <w:p w14:paraId="5663C737">
      <w:pPr>
        <w:rPr>
          <w:rFonts w:hint="default" w:ascii="Times New Roman" w:hAnsi="Times New Roman" w:eastAsia="宋体" w:cs="Times New Roman"/>
          <w:color w:val="000000"/>
          <w:sz w:val="21"/>
          <w:szCs w:val="21"/>
        </w:rPr>
      </w:pPr>
    </w:p>
    <w:p w14:paraId="65241DD9">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Denial of Access Clause (Sub limit: 10% of sum insured per occurrence)</w:t>
      </w:r>
    </w:p>
    <w:p w14:paraId="5CA92F7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It is hereby agreed that loss as insured by this Policy resulting from interruption or interference with the business in consequence of the damage (as within defined) to property in the vicinity of the premises which shall prevent or hinder the use thereof or access thereto, whether the premises or property on the insured therein shall be damaged or not, shall be deemed to be loss resulting from damage to property used by the Insured at the premises. </w:t>
      </w:r>
    </w:p>
    <w:p w14:paraId="79265AC0">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all the terms and conditions of this Policy.</w:t>
      </w:r>
    </w:p>
    <w:p w14:paraId="1565A68C">
      <w:pPr>
        <w:rPr>
          <w:rFonts w:hint="default" w:ascii="Times New Roman" w:hAnsi="Times New Roman" w:eastAsia="宋体" w:cs="Times New Roman"/>
          <w:color w:val="000000"/>
          <w:sz w:val="21"/>
          <w:szCs w:val="21"/>
        </w:rPr>
      </w:pPr>
    </w:p>
    <w:p w14:paraId="5D3AAA0F">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Departmental Clause</w:t>
      </w:r>
    </w:p>
    <w:p w14:paraId="2A365E81">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If the business be conducted in departments the independent trading results of which are ascertainable, the provisions of gross profit and turnover shall apply separately to each department affected by the damage except that if the sum insured by the said item be less than the aggregate of the sums produced by applying the rate of gross profit for each department of the business (whether affected by the damage or not)  to its relative annual turnover (or to a proportionately increase multiple thereof where the maximum indemnity period exceeds twelve months) the amount payable shall be proportionately reduced.</w:t>
      </w:r>
    </w:p>
    <w:p w14:paraId="5A170CAE">
      <w:pPr>
        <w:rPr>
          <w:rFonts w:hint="default" w:ascii="Times New Roman" w:hAnsi="Times New Roman" w:eastAsia="宋体" w:cs="Times New Roman"/>
          <w:b/>
          <w:color w:val="000000"/>
          <w:sz w:val="21"/>
          <w:szCs w:val="21"/>
        </w:rPr>
      </w:pPr>
    </w:p>
    <w:p w14:paraId="72A31B2E">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90 Days' Notice of Cancellation (Immediate Notice of Cancellation by Insured, return premium on pro rata daily basis)</w:t>
      </w:r>
    </w:p>
    <w:p w14:paraId="41365E81">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It is hereby agreed and understood that this policy may be cancelled at any time at the request of the insured in writing to the company and the premium shall be adjusted on the basis of the company receiving or retaining pro rata daily </w:t>
      </w:r>
      <w:r>
        <w:rPr>
          <w:rFonts w:hint="default" w:ascii="Times New Roman" w:hAnsi="Times New Roman" w:eastAsia="宋体" w:cs="Times New Roman"/>
          <w:strike/>
          <w:color w:val="000000"/>
          <w:sz w:val="21"/>
          <w:szCs w:val="21"/>
        </w:rPr>
        <w:t xml:space="preserve">the customary short term </w:t>
      </w:r>
      <w:r>
        <w:rPr>
          <w:rFonts w:hint="default" w:ascii="Times New Roman" w:hAnsi="Times New Roman" w:eastAsia="宋体" w:cs="Times New Roman"/>
          <w:color w:val="000000"/>
          <w:sz w:val="21"/>
          <w:szCs w:val="21"/>
        </w:rPr>
        <w:t>premium or minimum premium. This policy may also be cancelled by the company giving 90days' notice in writing to the insured at his last known address and the premium shall be adjusted on the basis of the company receiving or retaining pro rata premium.</w:t>
      </w:r>
    </w:p>
    <w:p w14:paraId="4EA7B085">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Subject otherwise to the terms exceptions and conditions of this policy.</w:t>
      </w:r>
    </w:p>
    <w:p w14:paraId="1F6D839D">
      <w:pPr>
        <w:rPr>
          <w:rFonts w:hint="default" w:ascii="Times New Roman" w:hAnsi="Times New Roman" w:eastAsia="宋体" w:cs="Times New Roman"/>
          <w:color w:val="000000"/>
          <w:sz w:val="21"/>
          <w:szCs w:val="21"/>
        </w:rPr>
      </w:pPr>
    </w:p>
    <w:p w14:paraId="6B1BD6EF">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Errors &amp; Omissions Clause</w:t>
      </w:r>
    </w:p>
    <w:p w14:paraId="2C552469">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the liability under this policy shall not be prejudiced by any unintentional delay, error or omission in reporting new locations acquired or occupied or in reporting values of property or in description of any other information provided that such delay, error or omission shall be reported to the Company as soon as practicable after knowledge thereof, and the Insured shall pay an appropriate additional premium upon request by the company, from the date of any increase in risk .</w:t>
      </w:r>
    </w:p>
    <w:p w14:paraId="163A2647">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Improper, faulty or erroneous appraisals shall not be considered to be an unintentional error or omission.</w:t>
      </w:r>
    </w:p>
    <w:p w14:paraId="6AB71FA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the terms, conditions and exclusions of this policy.</w:t>
      </w:r>
    </w:p>
    <w:p w14:paraId="08160AC7">
      <w:pPr>
        <w:rPr>
          <w:rFonts w:hint="default" w:ascii="Times New Roman" w:hAnsi="Times New Roman" w:eastAsia="宋体" w:cs="Times New Roman"/>
          <w:color w:val="000000"/>
          <w:sz w:val="21"/>
          <w:szCs w:val="21"/>
        </w:rPr>
      </w:pPr>
    </w:p>
    <w:p w14:paraId="2711DEE4">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Extra Expense</w:t>
      </w:r>
    </w:p>
    <w:p w14:paraId="4F6B20FE">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understood and agreed that the policy is extended to cover extra expenses which are deemed to include the following:</w:t>
      </w:r>
    </w:p>
    <w:p w14:paraId="16FC2C63">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additional expenditure including cost of moving to and from and the additional rent of temporary premises. Any compensation or premium necessary to obtain use of the same, additional rates and taxes thereon and expenses incurred in installing and /or hiring such furniture, fixtures, suitable for occupation as offices; additional cost in respect of lighting, heating and water; additional cost in respect of telephone, stationery, advertising, printing and traveling expenses; additional cost in respect of additional staff and overtime and allowances for meals to existing staff; additional cost of obtaining, owing to the loss, damage or destruction. All necessary information for the replacement of all deeds, documents, plans, drawings, specifications, valuation, card indices and books of account reasonably incurred in order to minimize any interruption or interference as aforesaid with the business during the indemnity period.</w:t>
      </w:r>
    </w:p>
    <w:p w14:paraId="7F5E2E54">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Indemnity period: the period beginning with the occurrence of the damage and ending not later than three (3) months thereafter during which the result of the business shall be affected in consequence of the damage.</w:t>
      </w:r>
    </w:p>
    <w:p w14:paraId="3684C2AC">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Subject otherwise to the terms exceptions and conditions of this policy.</w:t>
      </w:r>
    </w:p>
    <w:p w14:paraId="33E4D1C6">
      <w:pPr>
        <w:rPr>
          <w:rFonts w:hint="default" w:ascii="Times New Roman" w:hAnsi="Times New Roman" w:eastAsia="宋体" w:cs="Times New Roman"/>
          <w:color w:val="000000"/>
          <w:sz w:val="21"/>
          <w:szCs w:val="21"/>
        </w:rPr>
      </w:pPr>
    </w:p>
    <w:p w14:paraId="099ADDB4">
      <w:pPr>
        <w:rPr>
          <w:rFonts w:hint="default" w:ascii="Times New Roman" w:hAnsi="Times New Roman" w:eastAsia="宋体" w:cs="Times New Roman"/>
          <w:b/>
          <w:color w:val="000000"/>
          <w:sz w:val="21"/>
          <w:szCs w:val="21"/>
        </w:rPr>
      </w:pPr>
    </w:p>
    <w:p w14:paraId="2BF90988">
      <w:pPr>
        <w:numPr>
          <w:ilvl w:val="0"/>
          <w:numId w:val="5"/>
        </w:numPr>
        <w:bidi w:val="0"/>
        <w:rPr>
          <w:rFonts w:hint="default" w:ascii="Times New Roman" w:hAnsi="Times New Roman" w:cs="Times New Roman"/>
          <w:b/>
          <w:bCs/>
          <w:u w:val="single"/>
        </w:rPr>
      </w:pPr>
      <w:bookmarkStart w:id="4" w:name="OLE_LINK5"/>
      <w:bookmarkStart w:id="5" w:name="OLE_LINK6"/>
      <w:r>
        <w:rPr>
          <w:rFonts w:hint="default" w:ascii="Times New Roman" w:hAnsi="Times New Roman" w:cs="Times New Roman"/>
          <w:b/>
          <w:bCs/>
          <w:u w:val="single"/>
        </w:rPr>
        <w:t>Public Utilities Extension</w:t>
      </w:r>
      <w:bookmarkEnd w:id="4"/>
      <w:bookmarkEnd w:id="5"/>
      <w:r>
        <w:rPr>
          <w:rFonts w:hint="default" w:ascii="Times New Roman" w:hAnsi="Times New Roman" w:cs="Times New Roman"/>
          <w:b/>
          <w:bCs/>
          <w:u w:val="single"/>
        </w:rPr>
        <w:t xml:space="preserve"> Clause (Sub limit: 10% of sum insured or 90 days per occurrence, whichever is lower)</w:t>
      </w:r>
    </w:p>
    <w:p w14:paraId="74001050">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declared and agreed that subject to the conditions of this Policy, loss resulting from interruption of or interference with the Business in consequence of failure or interruption to the electricity/water/gas/telecommunication supply to the premises as a result of damage to or destruction of any public utility generating plant, power house, substation, transformer or other equipment (including transmission lines), telecommunication cables directly furnishing electricity/water/gas/telecommunication to and not located on premises by any peril insured hereunder, shall be deemed to be loss resulting from damage to the property used by the Insured at the premises.  The loss of gross profit arising out of failure of public utilities is subject to the sub-limits: 10% of sum insured or 90 days per occurrence, whichever is lower.</w:t>
      </w:r>
    </w:p>
    <w:p w14:paraId="11DBF317">
      <w:pPr>
        <w:rPr>
          <w:rFonts w:hint="default" w:ascii="Times New Roman" w:hAnsi="Times New Roman" w:eastAsia="宋体" w:cs="Times New Roman"/>
          <w:color w:val="000000"/>
          <w:sz w:val="21"/>
          <w:szCs w:val="21"/>
        </w:rPr>
      </w:pPr>
    </w:p>
    <w:p w14:paraId="142DCF43">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Interdependency Clause (Territory Worldwide)</w:t>
      </w:r>
    </w:p>
    <w:p w14:paraId="12EDBFE1">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noted and agreed that subject to the conditions of the Insurance, business interruption loss to the operations of the insured's business resulting from interruption or interference with the Business in consequence of property damage (as within defined) to the insured's associated company and/or other premises insured under the corresponding Property Damage Insurance Policy will be covered.</w:t>
      </w:r>
    </w:p>
    <w:p w14:paraId="67280D2D">
      <w:pPr>
        <w:rPr>
          <w:rFonts w:hint="default" w:ascii="Times New Roman" w:hAnsi="Times New Roman" w:eastAsia="宋体" w:cs="Times New Roman"/>
          <w:color w:val="000000"/>
          <w:sz w:val="21"/>
          <w:szCs w:val="21"/>
          <w:lang w:val="en-GB"/>
        </w:rPr>
      </w:pPr>
    </w:p>
    <w:p w14:paraId="098B0225">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Loss Notification Clause</w:t>
      </w:r>
    </w:p>
    <w:p w14:paraId="328F3025">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Notwithstanding anything contained herein to the contrary, it is hereby declared and agreed that this insurance will not be prejudiced by any inadvertent delays, errors, or omission in notifying the insurers of any circumstances or event giving rise or likely to give rise to a claim inside this Policy. Subject otherwise to this Limits, Terms, Exceptions and Conditions of this Policy.</w:t>
      </w:r>
    </w:p>
    <w:p w14:paraId="3EECFBDA">
      <w:pPr>
        <w:rPr>
          <w:rFonts w:hint="default" w:ascii="Times New Roman" w:hAnsi="Times New Roman" w:eastAsia="宋体" w:cs="Times New Roman"/>
          <w:color w:val="000000"/>
          <w:sz w:val="21"/>
          <w:szCs w:val="21"/>
        </w:rPr>
      </w:pPr>
    </w:p>
    <w:p w14:paraId="59AB7E6D">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New Business Clause</w:t>
      </w:r>
    </w:p>
    <w:p w14:paraId="02F85B92">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For the purpose of any c1aim arising from damage occurring before the completion of the first Year's trading of the business at the premises the terms rate of gross profit, annual turnover and standard turnover shall bear the following meanings and not as within stated.</w:t>
      </w:r>
    </w:p>
    <w:p w14:paraId="4F03885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RATE OF GROSS PROFIT - The rate of gross profit earned on the turnover during the period between the date of the commencement of the business and the date of the damage;</w:t>
      </w:r>
    </w:p>
    <w:p w14:paraId="4008D7A7">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ANNUAL TURNOVER - The proportional equivalent, for a period of twelve months, of the turnover realized during the period between the commencement of the business and the date of the damage;</w:t>
      </w:r>
    </w:p>
    <w:p w14:paraId="0AD54F1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STANDARD TURNOVER - The proportional equivalent, for a period equal to the indemnity period, of the turnover realized during the period between the commencement of the business and the date of the damage;</w:t>
      </w:r>
    </w:p>
    <w:p w14:paraId="32973467">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RATE OF WAGES - The rate of wages to turnover during the period between the date of the commencement of the business and the date of the damage;</w:t>
      </w:r>
    </w:p>
    <w:p w14:paraId="4B0FC5FB">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To which such adjustments shall be made as may be necessary to provide for the trend of the business and for variations in or other circumstances affecting the business either before or after the damage or which would have affected the business had the damage not occurred so that the figures thus adjusted shall represent as nearly as may be reasonably practicable the results which but for the damage would have been obtained during the relative period of the damage.</w:t>
      </w:r>
    </w:p>
    <w:p w14:paraId="14043076">
      <w:pPr>
        <w:rPr>
          <w:rFonts w:hint="default" w:ascii="Times New Roman" w:hAnsi="Times New Roman" w:eastAsia="宋体" w:cs="Times New Roman"/>
          <w:color w:val="000000"/>
          <w:sz w:val="21"/>
          <w:szCs w:val="21"/>
        </w:rPr>
      </w:pPr>
    </w:p>
    <w:p w14:paraId="15F0F16D">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No Control Clause</w:t>
      </w:r>
    </w:p>
    <w:p w14:paraId="5D72B60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this insurance shall not be prejudiced by failure of the insured to comply with any warranty or condition contained in any form or endorsement attached to this policy with regard to any portion of the premises over which the insured has no control. Subject otherwise to the terms exceptions and conditions of this policy.</w:t>
      </w:r>
    </w:p>
    <w:p w14:paraId="3D1FB4F9">
      <w:pPr>
        <w:rPr>
          <w:rFonts w:hint="default" w:ascii="Times New Roman" w:hAnsi="Times New Roman" w:eastAsia="宋体" w:cs="Times New Roman"/>
          <w:color w:val="000000"/>
          <w:sz w:val="21"/>
          <w:szCs w:val="21"/>
        </w:rPr>
      </w:pPr>
    </w:p>
    <w:p w14:paraId="4311DFEB">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Non-invalidation Clause</w:t>
      </w:r>
    </w:p>
    <w:p w14:paraId="0696F19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this insurance shall not be invalidated by any change of occupancy or increase of risk taking place in the property insured without the Insured's knowledge provided that they shall, immediately on the same coming to their knowledge, advise the company and pay any additional premium that may be required from the date of such increase of risk. Subject otherwise to the terms exceptions and conditions of this policy.</w:t>
      </w:r>
    </w:p>
    <w:p w14:paraId="2DCA28AD">
      <w:pPr>
        <w:rPr>
          <w:rFonts w:hint="default" w:ascii="Times New Roman" w:hAnsi="Times New Roman" w:eastAsia="宋体" w:cs="Times New Roman"/>
          <w:color w:val="000000"/>
          <w:sz w:val="21"/>
          <w:szCs w:val="21"/>
        </w:rPr>
      </w:pPr>
    </w:p>
    <w:p w14:paraId="60CB6AAF">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Premium Adjustment Clause</w:t>
      </w:r>
    </w:p>
    <w:p w14:paraId="563C6207">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the premium will be adjusted after the policy year as per the actual gross profit declared by the Insured. In the event the actual premium is more than the deposit premium, the Insured shall pay the difference, if less, the difference shall be repaid to the Insured. But no refund shall be more than 80% of the deposit premium. Accordingly, in the event of loss under this Policy, the Company agrees to waive the underinsurance penalty.</w:t>
      </w:r>
    </w:p>
    <w:p w14:paraId="4490AA96">
      <w:pPr>
        <w:rPr>
          <w:rFonts w:hint="default" w:ascii="Times New Roman" w:hAnsi="Times New Roman" w:eastAsia="宋体" w:cs="Times New Roman"/>
          <w:color w:val="000000"/>
          <w:sz w:val="21"/>
          <w:szCs w:val="21"/>
        </w:rPr>
      </w:pPr>
    </w:p>
    <w:p w14:paraId="600B1ED4">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the terms, conditions and exclusions of this policy.</w:t>
      </w:r>
    </w:p>
    <w:p w14:paraId="49412028">
      <w:pPr>
        <w:rPr>
          <w:rFonts w:hint="default" w:ascii="Times New Roman" w:hAnsi="Times New Roman" w:eastAsia="宋体" w:cs="Times New Roman"/>
          <w:color w:val="000000"/>
          <w:sz w:val="21"/>
          <w:szCs w:val="21"/>
        </w:rPr>
      </w:pPr>
    </w:p>
    <w:p w14:paraId="6C2EAC1D">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 xml:space="preserve">Payment on Account Clause </w:t>
      </w:r>
    </w:p>
    <w:p w14:paraId="2C791968">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Company shall make 100% advance payment in respect of the loss amount which can be determined by supporting documents submitted by the Insured if the total settlement amount cannot be determined within 30 days of receipt of these documents.  For the rest of loss amount which cannot be determined, the Company agrees to make 50% advance payment on account upon request of the Insured.</w:t>
      </w:r>
    </w:p>
    <w:p w14:paraId="74FD8443">
      <w:pPr>
        <w:rPr>
          <w:rFonts w:hint="default" w:ascii="Times New Roman" w:hAnsi="Times New Roman" w:eastAsia="宋体" w:cs="Times New Roman"/>
          <w:color w:val="000000"/>
          <w:sz w:val="21"/>
          <w:szCs w:val="21"/>
        </w:rPr>
      </w:pPr>
    </w:p>
    <w:p w14:paraId="37ECB6A4">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Premium Payment Clause</w:t>
      </w:r>
    </w:p>
    <w:p w14:paraId="1F62FA78">
      <w:pPr>
        <w:pStyle w:val="8"/>
        <w:numPr>
          <w:ilvl w:val="0"/>
          <w:numId w:val="0"/>
        </w:numPr>
        <w:rPr>
          <w:rFonts w:hint="default" w:ascii="Times New Roman" w:hAnsi="Times New Roman" w:eastAsia="宋体" w:cs="Times New Roman"/>
          <w:b/>
          <w:color w:val="000000"/>
          <w:sz w:val="21"/>
          <w:szCs w:val="21"/>
        </w:rPr>
      </w:pPr>
    </w:p>
    <w:p w14:paraId="0D7006E8">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Notwithstanding anything contained herein to the contrary, the Company agrees that the Insured will be covered from policy inception date stipulated in policy schedule.  In the event of any claim caused by insured risk which occurred before premium payment, the Company confirms that the Insured’s right of recovery will not be prejudiced and the Company shall indemnify the Insured after receiving the premium.</w:t>
      </w:r>
    </w:p>
    <w:p w14:paraId="2E98D7C9">
      <w:pPr>
        <w:rPr>
          <w:rFonts w:hint="default" w:ascii="Times New Roman" w:hAnsi="Times New Roman" w:eastAsia="宋体" w:cs="Times New Roman"/>
          <w:color w:val="000000"/>
          <w:sz w:val="21"/>
          <w:szCs w:val="21"/>
        </w:rPr>
      </w:pPr>
    </w:p>
    <w:p w14:paraId="46E90176">
      <w:pPr>
        <w:rPr>
          <w:rFonts w:hint="default" w:ascii="Times New Roman" w:hAnsi="Times New Roman" w:eastAsia="宋体" w:cs="Times New Roman"/>
          <w:color w:val="000000"/>
          <w:sz w:val="21"/>
          <w:szCs w:val="21"/>
        </w:rPr>
      </w:pPr>
    </w:p>
    <w:p w14:paraId="16FC7226">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Strike, Riot and Civil Commotion Clause</w:t>
      </w:r>
    </w:p>
    <w:p w14:paraId="33787950">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this Policy is extended to cover loss of business interruption or interference resulting from property loss/damage due to strike, riot and civil commotion including the loss or damage caused by the act of any striker whilst occurring in the premises showed in the Schedule and the loss or damage caused by looting occurring at the time of strike, riot and civil commotion, excluding the business interruption or interference resulting from property loss or damage arising from confiscation, commandeering or requisition or destruction by order of the government or any  relative public authority or by fire caused by strikers or malicious persons.</w:t>
      </w:r>
    </w:p>
    <w:p w14:paraId="4C779555">
      <w:pPr>
        <w:autoSpaceDE w:val="0"/>
        <w:autoSpaceDN w:val="0"/>
        <w:adjustRightInd w:val="0"/>
        <w:spacing w:line="24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Clause is subject otherwise to the terms, conditions and exceptions of this Policy.</w:t>
      </w:r>
    </w:p>
    <w:p w14:paraId="289727A1">
      <w:pPr>
        <w:rPr>
          <w:rFonts w:hint="default" w:ascii="Times New Roman" w:hAnsi="Times New Roman" w:eastAsia="宋体" w:cs="Times New Roman"/>
          <w:strike/>
          <w:color w:val="000000"/>
          <w:sz w:val="21"/>
          <w:szCs w:val="21"/>
        </w:rPr>
      </w:pPr>
    </w:p>
    <w:p w14:paraId="469D2365">
      <w:pPr>
        <w:numPr>
          <w:ilvl w:val="0"/>
          <w:numId w:val="5"/>
        </w:numPr>
        <w:bidi w:val="0"/>
        <w:rPr>
          <w:rFonts w:hint="default" w:ascii="Times New Roman" w:hAnsi="Times New Roman" w:cs="Times New Roman"/>
          <w:b/>
          <w:bCs/>
          <w:u w:val="single"/>
        </w:rPr>
      </w:pPr>
      <w:bookmarkStart w:id="6" w:name="_Hlk184056282"/>
      <w:r>
        <w:rPr>
          <w:rFonts w:hint="default" w:ascii="Times New Roman" w:hAnsi="Times New Roman" w:cs="Times New Roman"/>
          <w:b/>
          <w:bCs/>
          <w:u w:val="single"/>
        </w:rPr>
        <w:t>Terrorism Extension Clause (Limit: RMB 200,000,000 per occurrence and in aggregate combined for PD&amp;BI）</w:t>
      </w:r>
    </w:p>
    <w:p w14:paraId="6C86E038">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policy extends to cover loss of business interruption or interference resulting from property loss/damage due to an Act of Terrorism, as herein defined, occurring during the period of this Policy as stated in the Schedule attaching to and forming part hereof (hereinafter referred to as the “Schedule”).</w:t>
      </w:r>
    </w:p>
    <w:p w14:paraId="43894C9C">
      <w:pPr>
        <w:rPr>
          <w:rFonts w:hint="default" w:ascii="Times New Roman" w:hAnsi="Times New Roman" w:eastAsia="宋体" w:cs="Times New Roman"/>
          <w:color w:val="000000"/>
          <w:sz w:val="21"/>
          <w:szCs w:val="21"/>
        </w:rPr>
      </w:pPr>
    </w:p>
    <w:p w14:paraId="0AD2334F">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For the purpose of this Insurance, an act of terrorism means an act, including the use of force or violence, of any person or group(s) of persons, whether acting alone or on behalf of or in connection with any organization(s), committed for political, religious or ideological purposes including the intention to influence any government and/or to put the public in fear for such purposes</w:t>
      </w:r>
    </w:p>
    <w:bookmarkEnd w:id="6"/>
    <w:p w14:paraId="30258734">
      <w:pPr>
        <w:rPr>
          <w:rFonts w:hint="default" w:ascii="Times New Roman" w:hAnsi="Times New Roman" w:eastAsia="宋体" w:cs="Times New Roman"/>
          <w:color w:val="000000"/>
          <w:sz w:val="21"/>
          <w:szCs w:val="21"/>
        </w:rPr>
      </w:pPr>
    </w:p>
    <w:p w14:paraId="5221C9D0">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Waiver of Subrogation Clause</w:t>
      </w:r>
    </w:p>
    <w:p w14:paraId="7ED168C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is hereby agreed and understood that the Insurer shall waive its right of subrogation against Subsidiary or Parent Company, who would in the event of a subrogation action being pursued submit a claim to and be indemnified by the Insurers provided that all Insurers of these policies will likewise waive their rights of subrogation against each party who would otherwise be indemnified hereunder, except such right of subrogation arising directly as a result of claims made in respect of any malicious, criminal, fraudulent or dishonest act.</w:t>
      </w:r>
    </w:p>
    <w:p w14:paraId="5A970498">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Subject otherwise to the terms exceptions and conditions of this policy.</w:t>
      </w:r>
    </w:p>
    <w:p w14:paraId="084F7189">
      <w:pPr>
        <w:rPr>
          <w:rFonts w:hint="default" w:ascii="Times New Roman" w:hAnsi="Times New Roman" w:eastAsia="宋体" w:cs="Times New Roman"/>
          <w:color w:val="000000"/>
          <w:sz w:val="21"/>
          <w:szCs w:val="21"/>
        </w:rPr>
      </w:pPr>
    </w:p>
    <w:p w14:paraId="14716A56">
      <w:pPr>
        <w:numPr>
          <w:ilvl w:val="0"/>
          <w:numId w:val="5"/>
        </w:numPr>
        <w:bidi w:val="0"/>
        <w:rPr>
          <w:rFonts w:hint="default" w:ascii="Times New Roman" w:hAnsi="Times New Roman" w:cs="Times New Roman"/>
          <w:b/>
          <w:bCs/>
          <w:u w:val="single"/>
        </w:rPr>
      </w:pPr>
      <w:r>
        <w:rPr>
          <w:rFonts w:hint="default" w:ascii="Times New Roman" w:hAnsi="Times New Roman" w:cs="Times New Roman"/>
          <w:b/>
          <w:bCs/>
          <w:u w:val="single"/>
        </w:rPr>
        <w:t>Waiver of Excess</w:t>
      </w:r>
    </w:p>
    <w:p w14:paraId="269A28DE">
      <w:pPr>
        <w:pStyle w:val="6"/>
        <w:spacing w:line="240" w:lineRule="auto"/>
        <w:ind w:right="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It is hereby agreed and understood that It shall not be a condition precedent to liability in respect of interruption or interference in consequence of destruction or damage by any perils insured by this Policy that payment shall be made or liability admitted under this Insurance covering the interest of the insured in the property at the premises against such destruction or damage if no such payment shall have been made nor liability admitted solely owing to the operation of a proviso in such insurance excluding liability for loss below a specified amount.</w:t>
      </w:r>
    </w:p>
    <w:p w14:paraId="547FBEA2">
      <w:pPr>
        <w:tabs>
          <w:tab w:val="left" w:pos="284"/>
        </w:tabs>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Provided always that all the provisions and conditions of this Policy shall apply to the Insurance by this extension except insofar as they may hereby be varied.</w:t>
      </w:r>
    </w:p>
    <w:p w14:paraId="798F7B6F">
      <w:pPr>
        <w:tabs>
          <w:tab w:val="left" w:pos="426"/>
        </w:tabs>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Subject otherwise to the terms, conditions and exceptions of this Policy.</w:t>
      </w:r>
    </w:p>
    <w:p w14:paraId="3FD5AD44">
      <w:pPr>
        <w:adjustRightInd w:val="0"/>
        <w:spacing w:line="360" w:lineRule="atLeast"/>
        <w:jc w:val="left"/>
        <w:textAlignment w:val="baseline"/>
        <w:rPr>
          <w:rFonts w:hint="default" w:ascii="Times New Roman" w:hAnsi="Times New Roman" w:cs="Times New Roman" w:eastAsiaTheme="minorEastAsia"/>
          <w:b/>
          <w:color w:val="000000" w:themeColor="text1"/>
          <w:kern w:val="0"/>
          <w:szCs w:val="21"/>
          <w14:textFill>
            <w14:solidFill>
              <w14:schemeClr w14:val="tx1"/>
            </w14:solidFill>
          </w14:textFill>
        </w:rPr>
      </w:pPr>
    </w:p>
    <w:sectPr>
      <w:pgSz w:w="11906" w:h="16838"/>
      <w:pgMar w:top="1440" w:right="1466" w:bottom="1440" w:left="1170" w:header="851" w:footer="992" w:gutter="0"/>
      <w:pgNumType w:fmt="decimal"/>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BECU">
    <w:altName w:val="苹方-简"/>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78B74">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49F9">
    <w:pPr>
      <w:pStyle w:val="12"/>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43EEAD">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B43EEAD">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4AB6A">
    <w:pPr>
      <w:pStyle w:val="13"/>
      <w:pBdr>
        <w:bottom w:val="none" w:color="auto" w:sz="0" w:space="0"/>
      </w:pBdr>
    </w:pPr>
    <w:r>
      <w:drawing>
        <wp:anchor distT="0" distB="0" distL="114300" distR="114300" simplePos="0" relativeHeight="251659264" behindDoc="0" locked="0" layoutInCell="1" allowOverlap="1">
          <wp:simplePos x="0" y="0"/>
          <wp:positionH relativeFrom="column">
            <wp:posOffset>64135</wp:posOffset>
          </wp:positionH>
          <wp:positionV relativeFrom="paragraph">
            <wp:posOffset>-237490</wp:posOffset>
          </wp:positionV>
          <wp:extent cx="1593215" cy="480695"/>
          <wp:effectExtent l="19050" t="0" r="0" b="0"/>
          <wp:wrapNone/>
          <wp:docPr id="2" name="图片 2"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2"/>
                  <pic:cNvPicPr>
                    <a:picLocks noChangeAspect="1" noChangeArrowheads="1"/>
                  </pic:cNvPicPr>
                </pic:nvPicPr>
                <pic:blipFill>
                  <a:blip r:embed="rId1"/>
                  <a:srcRect/>
                  <a:stretch>
                    <a:fillRect/>
                  </a:stretch>
                </pic:blipFill>
                <pic:spPr>
                  <a:xfrm>
                    <a:off x="0" y="0"/>
                    <a:ext cx="1593215" cy="48069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8"/>
      <w:lvlText w:val="%1."/>
      <w:lvlJc w:val="left"/>
      <w:pPr>
        <w:tabs>
          <w:tab w:val="left" w:pos="1200"/>
        </w:tabs>
        <w:ind w:left="1200" w:leftChars="400" w:hanging="360" w:hangingChars="200"/>
      </w:pPr>
    </w:lvl>
  </w:abstractNum>
  <w:abstractNum w:abstractNumId="1">
    <w:nsid w:val="0E3A6984"/>
    <w:multiLevelType w:val="multilevel"/>
    <w:tmpl w:val="0E3A6984"/>
    <w:lvl w:ilvl="0" w:tentative="0">
      <w:start w:val="30"/>
      <w:numFmt w:val="bullet"/>
      <w:lvlText w:val="-"/>
      <w:lvlJc w:val="left"/>
      <w:pPr>
        <w:ind w:left="360" w:hanging="360"/>
      </w:pPr>
      <w:rPr>
        <w:rFonts w:hint="default"/>
        <w:b w:val="0"/>
        <w:i w:val="0"/>
        <w:sz w:val="24"/>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8352447"/>
    <w:multiLevelType w:val="multilevel"/>
    <w:tmpl w:val="28352447"/>
    <w:lvl w:ilvl="0" w:tentative="0">
      <w:start w:val="1"/>
      <w:numFmt w:val="decimal"/>
      <w:lvlText w:val="%1."/>
      <w:lvlJc w:val="left"/>
      <w:pPr>
        <w:ind w:left="360" w:hanging="360"/>
      </w:pPr>
      <w:rPr>
        <w:rFonts w:hint="default" w:eastAsia="宋体"/>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837048E"/>
    <w:multiLevelType w:val="multilevel"/>
    <w:tmpl w:val="2837048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3F736FE"/>
    <w:multiLevelType w:val="multilevel"/>
    <w:tmpl w:val="33F736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mZWRhNzdlNGZhMWFmMjFmOTBjZmUxNmMyNWY2MjYifQ=="/>
  </w:docVars>
  <w:rsids>
    <w:rsidRoot w:val="003952A4"/>
    <w:rsid w:val="000035DA"/>
    <w:rsid w:val="0000702A"/>
    <w:rsid w:val="00016A75"/>
    <w:rsid w:val="00064A18"/>
    <w:rsid w:val="0007286B"/>
    <w:rsid w:val="00077AD9"/>
    <w:rsid w:val="0009230F"/>
    <w:rsid w:val="00093BE7"/>
    <w:rsid w:val="00096FFB"/>
    <w:rsid w:val="000A4E9B"/>
    <w:rsid w:val="000B7608"/>
    <w:rsid w:val="000D69E1"/>
    <w:rsid w:val="000D6CC6"/>
    <w:rsid w:val="000F08FC"/>
    <w:rsid w:val="000F7639"/>
    <w:rsid w:val="001145A2"/>
    <w:rsid w:val="00126271"/>
    <w:rsid w:val="00135B39"/>
    <w:rsid w:val="0016690D"/>
    <w:rsid w:val="0017128A"/>
    <w:rsid w:val="00173E5D"/>
    <w:rsid w:val="001A077D"/>
    <w:rsid w:val="001C5AA7"/>
    <w:rsid w:val="001D106F"/>
    <w:rsid w:val="001D11FA"/>
    <w:rsid w:val="001D2873"/>
    <w:rsid w:val="001D78C7"/>
    <w:rsid w:val="001F3CA5"/>
    <w:rsid w:val="001F7913"/>
    <w:rsid w:val="002015BA"/>
    <w:rsid w:val="00213037"/>
    <w:rsid w:val="00240CA8"/>
    <w:rsid w:val="00297E79"/>
    <w:rsid w:val="002E6B12"/>
    <w:rsid w:val="002F652D"/>
    <w:rsid w:val="00302319"/>
    <w:rsid w:val="00315BF3"/>
    <w:rsid w:val="00327B27"/>
    <w:rsid w:val="00363EC5"/>
    <w:rsid w:val="00376A61"/>
    <w:rsid w:val="00393994"/>
    <w:rsid w:val="003952A4"/>
    <w:rsid w:val="00396073"/>
    <w:rsid w:val="003A78F4"/>
    <w:rsid w:val="003D5693"/>
    <w:rsid w:val="003E0613"/>
    <w:rsid w:val="003E0A8B"/>
    <w:rsid w:val="003E18BE"/>
    <w:rsid w:val="003F026D"/>
    <w:rsid w:val="00422B27"/>
    <w:rsid w:val="004375B7"/>
    <w:rsid w:val="004423D3"/>
    <w:rsid w:val="00457CBF"/>
    <w:rsid w:val="004733C5"/>
    <w:rsid w:val="004A3A94"/>
    <w:rsid w:val="004B5ED5"/>
    <w:rsid w:val="004C6F82"/>
    <w:rsid w:val="004E4B8A"/>
    <w:rsid w:val="004E51C0"/>
    <w:rsid w:val="004F4487"/>
    <w:rsid w:val="0050119E"/>
    <w:rsid w:val="00505EF7"/>
    <w:rsid w:val="00506CBF"/>
    <w:rsid w:val="00531CB2"/>
    <w:rsid w:val="0055572A"/>
    <w:rsid w:val="00560B5F"/>
    <w:rsid w:val="005B1377"/>
    <w:rsid w:val="005C711B"/>
    <w:rsid w:val="005E17C1"/>
    <w:rsid w:val="005F0908"/>
    <w:rsid w:val="005F6A93"/>
    <w:rsid w:val="006009E6"/>
    <w:rsid w:val="00646BDB"/>
    <w:rsid w:val="00647F52"/>
    <w:rsid w:val="00653A23"/>
    <w:rsid w:val="00656071"/>
    <w:rsid w:val="00657D16"/>
    <w:rsid w:val="0066395A"/>
    <w:rsid w:val="00672E38"/>
    <w:rsid w:val="00683DEA"/>
    <w:rsid w:val="006A2EB6"/>
    <w:rsid w:val="006A50AB"/>
    <w:rsid w:val="006A57BE"/>
    <w:rsid w:val="006A6306"/>
    <w:rsid w:val="006B74DC"/>
    <w:rsid w:val="006C036A"/>
    <w:rsid w:val="006D423F"/>
    <w:rsid w:val="006F3DE9"/>
    <w:rsid w:val="007027A3"/>
    <w:rsid w:val="007118AD"/>
    <w:rsid w:val="007142A4"/>
    <w:rsid w:val="0073476A"/>
    <w:rsid w:val="00742142"/>
    <w:rsid w:val="0075045C"/>
    <w:rsid w:val="007706BF"/>
    <w:rsid w:val="007B6B1E"/>
    <w:rsid w:val="007C617A"/>
    <w:rsid w:val="007F1972"/>
    <w:rsid w:val="0081051D"/>
    <w:rsid w:val="0081090F"/>
    <w:rsid w:val="008259FF"/>
    <w:rsid w:val="008346A9"/>
    <w:rsid w:val="00852D7B"/>
    <w:rsid w:val="0086148C"/>
    <w:rsid w:val="008672A4"/>
    <w:rsid w:val="00870D9C"/>
    <w:rsid w:val="008723B7"/>
    <w:rsid w:val="00872FB5"/>
    <w:rsid w:val="008734A3"/>
    <w:rsid w:val="00893953"/>
    <w:rsid w:val="008D340B"/>
    <w:rsid w:val="008F4733"/>
    <w:rsid w:val="0093683B"/>
    <w:rsid w:val="00936BE4"/>
    <w:rsid w:val="00940AE8"/>
    <w:rsid w:val="009513B2"/>
    <w:rsid w:val="00956CFF"/>
    <w:rsid w:val="00960D17"/>
    <w:rsid w:val="00961951"/>
    <w:rsid w:val="0096424E"/>
    <w:rsid w:val="00982655"/>
    <w:rsid w:val="0098628D"/>
    <w:rsid w:val="00993E5D"/>
    <w:rsid w:val="009A35CF"/>
    <w:rsid w:val="009A729A"/>
    <w:rsid w:val="009D50BF"/>
    <w:rsid w:val="009E6CE3"/>
    <w:rsid w:val="009F1977"/>
    <w:rsid w:val="00A0606F"/>
    <w:rsid w:val="00A111D7"/>
    <w:rsid w:val="00A156F5"/>
    <w:rsid w:val="00A16110"/>
    <w:rsid w:val="00A32A27"/>
    <w:rsid w:val="00A51A77"/>
    <w:rsid w:val="00A52F18"/>
    <w:rsid w:val="00A56729"/>
    <w:rsid w:val="00A62250"/>
    <w:rsid w:val="00A72C98"/>
    <w:rsid w:val="00AA56DA"/>
    <w:rsid w:val="00AA6BF9"/>
    <w:rsid w:val="00AC1B81"/>
    <w:rsid w:val="00AD236B"/>
    <w:rsid w:val="00AD5F38"/>
    <w:rsid w:val="00AF49F3"/>
    <w:rsid w:val="00B259A8"/>
    <w:rsid w:val="00B6037B"/>
    <w:rsid w:val="00B81EBF"/>
    <w:rsid w:val="00BA7A9E"/>
    <w:rsid w:val="00BB7EC8"/>
    <w:rsid w:val="00BF4B44"/>
    <w:rsid w:val="00C03BE8"/>
    <w:rsid w:val="00C11A36"/>
    <w:rsid w:val="00C1368D"/>
    <w:rsid w:val="00C20A28"/>
    <w:rsid w:val="00C226D8"/>
    <w:rsid w:val="00C256DC"/>
    <w:rsid w:val="00C26A80"/>
    <w:rsid w:val="00C50163"/>
    <w:rsid w:val="00C50E72"/>
    <w:rsid w:val="00C5102B"/>
    <w:rsid w:val="00C5193F"/>
    <w:rsid w:val="00C602DD"/>
    <w:rsid w:val="00C63644"/>
    <w:rsid w:val="00C85358"/>
    <w:rsid w:val="00C95591"/>
    <w:rsid w:val="00CD36B3"/>
    <w:rsid w:val="00D11F77"/>
    <w:rsid w:val="00D945B4"/>
    <w:rsid w:val="00DC2E8A"/>
    <w:rsid w:val="00DC356F"/>
    <w:rsid w:val="00E03252"/>
    <w:rsid w:val="00E04ECC"/>
    <w:rsid w:val="00E16CA3"/>
    <w:rsid w:val="00E25D0B"/>
    <w:rsid w:val="00E4691E"/>
    <w:rsid w:val="00E54AE7"/>
    <w:rsid w:val="00E70D71"/>
    <w:rsid w:val="00E81735"/>
    <w:rsid w:val="00E85654"/>
    <w:rsid w:val="00E86F10"/>
    <w:rsid w:val="00E90DE4"/>
    <w:rsid w:val="00E9556D"/>
    <w:rsid w:val="00EB206D"/>
    <w:rsid w:val="00EC0425"/>
    <w:rsid w:val="00EC7FAD"/>
    <w:rsid w:val="00EF2A8D"/>
    <w:rsid w:val="00EF65C6"/>
    <w:rsid w:val="00F022AA"/>
    <w:rsid w:val="00F0394C"/>
    <w:rsid w:val="00F54022"/>
    <w:rsid w:val="00F60D1A"/>
    <w:rsid w:val="00F65F23"/>
    <w:rsid w:val="00F742C9"/>
    <w:rsid w:val="00F969EC"/>
    <w:rsid w:val="00FA31B0"/>
    <w:rsid w:val="00FC5425"/>
    <w:rsid w:val="00FE169A"/>
    <w:rsid w:val="00FE518C"/>
    <w:rsid w:val="058C00A9"/>
    <w:rsid w:val="07506A90"/>
    <w:rsid w:val="079C1DFD"/>
    <w:rsid w:val="07F71621"/>
    <w:rsid w:val="08FB4F58"/>
    <w:rsid w:val="0CE771CE"/>
    <w:rsid w:val="13EC6932"/>
    <w:rsid w:val="1776430C"/>
    <w:rsid w:val="18894333"/>
    <w:rsid w:val="1AEB1CF7"/>
    <w:rsid w:val="2D0F1657"/>
    <w:rsid w:val="30E05040"/>
    <w:rsid w:val="31494F75"/>
    <w:rsid w:val="398720F2"/>
    <w:rsid w:val="41226273"/>
    <w:rsid w:val="45784F9A"/>
    <w:rsid w:val="47E0603D"/>
    <w:rsid w:val="4BF4737D"/>
    <w:rsid w:val="4D183B3A"/>
    <w:rsid w:val="4DDF79D2"/>
    <w:rsid w:val="529A6F14"/>
    <w:rsid w:val="5C634D35"/>
    <w:rsid w:val="5F0E7EB0"/>
    <w:rsid w:val="611F4454"/>
    <w:rsid w:val="61F43A44"/>
    <w:rsid w:val="64723200"/>
    <w:rsid w:val="66651C8A"/>
    <w:rsid w:val="673A7C29"/>
    <w:rsid w:val="67E04A5E"/>
    <w:rsid w:val="68E06D1E"/>
    <w:rsid w:val="6B8222F5"/>
    <w:rsid w:val="73E7496D"/>
    <w:rsid w:val="77AA290E"/>
    <w:rsid w:val="78520152"/>
    <w:rsid w:val="F3DE5D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0"/>
    <w:pPr>
      <w:keepNext/>
      <w:autoSpaceDE w:val="0"/>
      <w:autoSpaceDN w:val="0"/>
      <w:adjustRightInd w:val="0"/>
      <w:spacing w:line="360" w:lineRule="atLeast"/>
      <w:ind w:left="360" w:right="720"/>
      <w:jc w:val="left"/>
      <w:textAlignment w:val="baseline"/>
      <w:outlineLvl w:val="0"/>
    </w:pPr>
    <w:rPr>
      <w:rFonts w:ascii="Times New Roman" w:hAnsi="Times New Roman" w:eastAsia="BECU"/>
      <w:b/>
      <w:color w:val="800000"/>
      <w:kern w:val="0"/>
      <w:sz w:val="24"/>
      <w:szCs w:val="20"/>
      <w:u w:val="single"/>
    </w:rPr>
  </w:style>
  <w:style w:type="paragraph" w:styleId="3">
    <w:name w:val="heading 2"/>
    <w:basedOn w:val="1"/>
    <w:next w:val="4"/>
    <w:link w:val="21"/>
    <w:qFormat/>
    <w:uiPriority w:val="0"/>
    <w:pPr>
      <w:keepNext/>
      <w:tabs>
        <w:tab w:val="left" w:pos="9360"/>
      </w:tabs>
      <w:autoSpaceDE w:val="0"/>
      <w:autoSpaceDN w:val="0"/>
      <w:adjustRightInd w:val="0"/>
      <w:spacing w:line="360" w:lineRule="atLeast"/>
      <w:ind w:left="360" w:right="866"/>
      <w:jc w:val="left"/>
      <w:textAlignment w:val="baseline"/>
      <w:outlineLvl w:val="1"/>
    </w:pPr>
    <w:rPr>
      <w:rFonts w:ascii="Times New Roman" w:hAnsi="Times New Roman" w:eastAsia="BECU"/>
      <w:b/>
      <w:color w:val="800000"/>
      <w:kern w:val="0"/>
      <w:sz w:val="24"/>
      <w:szCs w:val="20"/>
      <w:u w:val="single"/>
    </w:rPr>
  </w:style>
  <w:style w:type="paragraph" w:styleId="5">
    <w:name w:val="heading 4"/>
    <w:basedOn w:val="1"/>
    <w:next w:val="4"/>
    <w:link w:val="22"/>
    <w:qFormat/>
    <w:uiPriority w:val="0"/>
    <w:pPr>
      <w:keepNext/>
      <w:adjustRightInd w:val="0"/>
      <w:spacing w:line="360" w:lineRule="atLeast"/>
      <w:jc w:val="left"/>
      <w:textAlignment w:val="baseline"/>
      <w:outlineLvl w:val="3"/>
    </w:pPr>
    <w:rPr>
      <w:rFonts w:ascii="Times New Roman" w:hAnsi="Times New Roman"/>
      <w:kern w:val="0"/>
      <w:sz w:val="24"/>
      <w:szCs w:val="20"/>
      <w:u w:val="single"/>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60" w:lineRule="atLeast"/>
      <w:ind w:firstLine="420"/>
      <w:jc w:val="left"/>
      <w:textAlignment w:val="baseline"/>
    </w:pPr>
    <w:rPr>
      <w:rFonts w:ascii="Times New Roman" w:hAnsi="Times New Roman"/>
      <w:kern w:val="0"/>
      <w:sz w:val="24"/>
      <w:szCs w:val="20"/>
    </w:rPr>
  </w:style>
  <w:style w:type="paragraph" w:styleId="6">
    <w:name w:val="Body Text"/>
    <w:basedOn w:val="1"/>
    <w:link w:val="23"/>
    <w:qFormat/>
    <w:uiPriority w:val="0"/>
    <w:pPr>
      <w:autoSpaceDE w:val="0"/>
      <w:autoSpaceDN w:val="0"/>
      <w:adjustRightInd w:val="0"/>
      <w:spacing w:line="240" w:lineRule="atLeast"/>
      <w:ind w:right="1714"/>
      <w:textAlignment w:val="baseline"/>
    </w:pPr>
    <w:rPr>
      <w:rFonts w:ascii="Times New Roman" w:hAnsi="Times New Roman"/>
      <w:color w:val="000000"/>
      <w:kern w:val="0"/>
      <w:sz w:val="24"/>
      <w:szCs w:val="20"/>
    </w:rPr>
  </w:style>
  <w:style w:type="paragraph" w:styleId="7">
    <w:name w:val="Body Text Indent"/>
    <w:basedOn w:val="1"/>
    <w:link w:val="25"/>
    <w:qFormat/>
    <w:uiPriority w:val="0"/>
    <w:pPr>
      <w:adjustRightInd w:val="0"/>
      <w:spacing w:after="120" w:line="360" w:lineRule="atLeast"/>
      <w:ind w:left="420" w:leftChars="200"/>
      <w:jc w:val="left"/>
      <w:textAlignment w:val="baseline"/>
    </w:pPr>
    <w:rPr>
      <w:rFonts w:ascii="Times New Roman" w:hAnsi="Times New Roman"/>
      <w:kern w:val="0"/>
      <w:sz w:val="24"/>
      <w:szCs w:val="20"/>
    </w:rPr>
  </w:style>
  <w:style w:type="paragraph" w:styleId="8">
    <w:name w:val="List Number 3"/>
    <w:basedOn w:val="1"/>
    <w:qFormat/>
    <w:uiPriority w:val="0"/>
    <w:pPr>
      <w:numPr>
        <w:ilvl w:val="0"/>
        <w:numId w:val="1"/>
      </w:numPr>
    </w:pPr>
    <w:rPr>
      <w:rFonts w:ascii="Times New Roman" w:hAnsi="Times New Roman"/>
      <w:szCs w:val="24"/>
    </w:rPr>
  </w:style>
  <w:style w:type="paragraph" w:styleId="9">
    <w:name w:val="Plain Text"/>
    <w:basedOn w:val="1"/>
    <w:link w:val="38"/>
    <w:qFormat/>
    <w:uiPriority w:val="0"/>
    <w:rPr>
      <w:rFonts w:ascii="宋体" w:hAnsi="Courier New"/>
      <w:szCs w:val="20"/>
      <w:lang w:val="zh-CN"/>
    </w:rPr>
  </w:style>
  <w:style w:type="paragraph" w:styleId="10">
    <w:name w:val="Body Text Indent 2"/>
    <w:basedOn w:val="1"/>
    <w:link w:val="32"/>
    <w:semiHidden/>
    <w:unhideWhenUsed/>
    <w:qFormat/>
    <w:uiPriority w:val="99"/>
    <w:pPr>
      <w:spacing w:after="120" w:line="480" w:lineRule="auto"/>
      <w:ind w:left="420" w:leftChars="200"/>
    </w:pPr>
  </w:style>
  <w:style w:type="paragraph" w:styleId="11">
    <w:name w:val="Balloon Text"/>
    <w:basedOn w:val="1"/>
    <w:link w:val="30"/>
    <w:semiHidden/>
    <w:unhideWhenUsed/>
    <w:qFormat/>
    <w:uiPriority w:val="99"/>
    <w:rPr>
      <w:kern w:val="0"/>
      <w:sz w:val="18"/>
      <w:szCs w:val="18"/>
    </w:rPr>
  </w:style>
  <w:style w:type="paragraph" w:styleId="12">
    <w:name w:val="footer"/>
    <w:basedOn w:val="1"/>
    <w:link w:val="36"/>
    <w:unhideWhenUsed/>
    <w:qFormat/>
    <w:uiPriority w:val="99"/>
    <w:pPr>
      <w:tabs>
        <w:tab w:val="center" w:pos="4153"/>
        <w:tab w:val="right" w:pos="8306"/>
      </w:tabs>
      <w:snapToGrid w:val="0"/>
      <w:jc w:val="left"/>
    </w:pPr>
    <w:rPr>
      <w:kern w:val="0"/>
      <w:sz w:val="18"/>
      <w:szCs w:val="18"/>
    </w:rPr>
  </w:style>
  <w:style w:type="paragraph" w:styleId="13">
    <w:name w:val="header"/>
    <w:basedOn w:val="1"/>
    <w:link w:val="35"/>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4">
    <w:name w:val="Body Text 2"/>
    <w:basedOn w:val="1"/>
    <w:link w:val="24"/>
    <w:qFormat/>
    <w:uiPriority w:val="0"/>
    <w:pPr>
      <w:adjustRightInd w:val="0"/>
      <w:spacing w:after="120" w:line="480" w:lineRule="auto"/>
      <w:jc w:val="left"/>
      <w:textAlignment w:val="baseline"/>
    </w:pPr>
    <w:rPr>
      <w:rFonts w:ascii="Times New Roman" w:hAnsi="Times New Roman"/>
      <w:kern w:val="0"/>
      <w:sz w:val="24"/>
      <w:szCs w:val="20"/>
    </w:rPr>
  </w:style>
  <w:style w:type="table" w:styleId="16">
    <w:name w:val="Table Grid"/>
    <w:basedOn w:val="15"/>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semiHidden/>
    <w:unhideWhenUsed/>
    <w:qFormat/>
    <w:uiPriority w:val="99"/>
    <w:rPr>
      <w:rFonts w:hint="eastAsia" w:ascii="宋体" w:hAnsi="宋体" w:eastAsia="宋体" w:cs="宋体"/>
      <w:color w:val="000000"/>
      <w:sz w:val="18"/>
      <w:szCs w:val="18"/>
      <w:u w:val="none"/>
    </w:rPr>
  </w:style>
  <w:style w:type="character" w:styleId="19">
    <w:name w:val="Hyperlink"/>
    <w:basedOn w:val="17"/>
    <w:semiHidden/>
    <w:unhideWhenUsed/>
    <w:qFormat/>
    <w:uiPriority w:val="99"/>
    <w:rPr>
      <w:rFonts w:hint="eastAsia" w:ascii="宋体" w:hAnsi="宋体" w:eastAsia="宋体" w:cs="宋体"/>
      <w:color w:val="000000"/>
      <w:sz w:val="18"/>
      <w:szCs w:val="18"/>
      <w:u w:val="none"/>
    </w:rPr>
  </w:style>
  <w:style w:type="character" w:customStyle="1" w:styleId="20">
    <w:name w:val="标题 1 字符"/>
    <w:link w:val="2"/>
    <w:qFormat/>
    <w:uiPriority w:val="0"/>
    <w:rPr>
      <w:rFonts w:ascii="Times New Roman" w:hAnsi="Times New Roman" w:eastAsia="BECU" w:cs="Times New Roman"/>
      <w:b/>
      <w:color w:val="800000"/>
      <w:kern w:val="0"/>
      <w:sz w:val="24"/>
      <w:szCs w:val="20"/>
      <w:u w:val="single"/>
    </w:rPr>
  </w:style>
  <w:style w:type="character" w:customStyle="1" w:styleId="21">
    <w:name w:val="标题 2 字符"/>
    <w:link w:val="3"/>
    <w:qFormat/>
    <w:uiPriority w:val="0"/>
    <w:rPr>
      <w:rFonts w:ascii="Times New Roman" w:hAnsi="Times New Roman" w:eastAsia="BECU" w:cs="Times New Roman"/>
      <w:b/>
      <w:color w:val="800000"/>
      <w:kern w:val="0"/>
      <w:sz w:val="24"/>
      <w:szCs w:val="20"/>
      <w:u w:val="single"/>
    </w:rPr>
  </w:style>
  <w:style w:type="character" w:customStyle="1" w:styleId="22">
    <w:name w:val="标题 4 字符"/>
    <w:link w:val="5"/>
    <w:qFormat/>
    <w:uiPriority w:val="0"/>
    <w:rPr>
      <w:rFonts w:ascii="Times New Roman" w:hAnsi="Times New Roman" w:eastAsia="宋体" w:cs="Times New Roman"/>
      <w:kern w:val="0"/>
      <w:sz w:val="24"/>
      <w:szCs w:val="20"/>
      <w:u w:val="single"/>
    </w:rPr>
  </w:style>
  <w:style w:type="character" w:customStyle="1" w:styleId="23">
    <w:name w:val="正文文本 字符"/>
    <w:link w:val="6"/>
    <w:qFormat/>
    <w:uiPriority w:val="0"/>
    <w:rPr>
      <w:rFonts w:ascii="Times New Roman" w:hAnsi="Times New Roman" w:eastAsia="宋体" w:cs="Times New Roman"/>
      <w:color w:val="000000"/>
      <w:kern w:val="0"/>
      <w:sz w:val="24"/>
      <w:szCs w:val="20"/>
    </w:rPr>
  </w:style>
  <w:style w:type="character" w:customStyle="1" w:styleId="24">
    <w:name w:val="正文文本 2 字符"/>
    <w:link w:val="14"/>
    <w:qFormat/>
    <w:uiPriority w:val="0"/>
    <w:rPr>
      <w:rFonts w:ascii="Times New Roman" w:hAnsi="Times New Roman" w:eastAsia="宋体" w:cs="Times New Roman"/>
      <w:kern w:val="0"/>
      <w:sz w:val="24"/>
      <w:szCs w:val="20"/>
    </w:rPr>
  </w:style>
  <w:style w:type="character" w:customStyle="1" w:styleId="25">
    <w:name w:val="正文文本缩进 字符"/>
    <w:link w:val="7"/>
    <w:qFormat/>
    <w:uiPriority w:val="0"/>
    <w:rPr>
      <w:rFonts w:ascii="Times New Roman" w:hAnsi="Times New Roman" w:eastAsia="宋体" w:cs="Times New Roman"/>
      <w:kern w:val="0"/>
      <w:sz w:val="24"/>
      <w:szCs w:val="20"/>
    </w:rPr>
  </w:style>
  <w:style w:type="character" w:customStyle="1" w:styleId="26">
    <w:name w:val="apple-style-span"/>
    <w:basedOn w:val="17"/>
    <w:qFormat/>
    <w:uiPriority w:val="0"/>
  </w:style>
  <w:style w:type="character" w:customStyle="1" w:styleId="27">
    <w:name w:val="apple-converted-space"/>
    <w:basedOn w:val="17"/>
    <w:qFormat/>
    <w:uiPriority w:val="0"/>
  </w:style>
  <w:style w:type="paragraph" w:customStyle="1" w:styleId="28">
    <w:name w:val="Normal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29">
    <w:name w:val="trans"/>
    <w:basedOn w:val="17"/>
    <w:qFormat/>
    <w:uiPriority w:val="0"/>
  </w:style>
  <w:style w:type="character" w:customStyle="1" w:styleId="30">
    <w:name w:val="批注框文本 字符"/>
    <w:link w:val="11"/>
    <w:semiHidden/>
    <w:qFormat/>
    <w:uiPriority w:val="99"/>
    <w:rPr>
      <w:sz w:val="18"/>
      <w:szCs w:val="18"/>
    </w:rPr>
  </w:style>
  <w:style w:type="paragraph" w:customStyle="1" w:styleId="31">
    <w:name w:val="Char Char Char"/>
    <w:basedOn w:val="1"/>
    <w:qFormat/>
    <w:uiPriority w:val="0"/>
    <w:pPr>
      <w:tabs>
        <w:tab w:val="left" w:pos="1440"/>
      </w:tabs>
      <w:ind w:left="1296" w:hanging="1296"/>
    </w:pPr>
    <w:rPr>
      <w:rFonts w:ascii="Arial" w:hAnsi="Arial" w:cs="Arial"/>
      <w:sz w:val="20"/>
      <w:szCs w:val="20"/>
    </w:rPr>
  </w:style>
  <w:style w:type="character" w:customStyle="1" w:styleId="32">
    <w:name w:val="正文文本缩进 2 字符"/>
    <w:basedOn w:val="17"/>
    <w:link w:val="10"/>
    <w:semiHidden/>
    <w:qFormat/>
    <w:uiPriority w:val="99"/>
  </w:style>
  <w:style w:type="character" w:customStyle="1" w:styleId="33">
    <w:name w:val="word"/>
    <w:basedOn w:val="17"/>
    <w:qFormat/>
    <w:uiPriority w:val="0"/>
  </w:style>
  <w:style w:type="paragraph" w:styleId="34">
    <w:name w:val="List Paragraph"/>
    <w:basedOn w:val="1"/>
    <w:qFormat/>
    <w:uiPriority w:val="34"/>
    <w:pPr>
      <w:ind w:firstLine="420" w:firstLineChars="200"/>
    </w:pPr>
  </w:style>
  <w:style w:type="character" w:customStyle="1" w:styleId="35">
    <w:name w:val="页眉 字符"/>
    <w:link w:val="13"/>
    <w:qFormat/>
    <w:uiPriority w:val="99"/>
    <w:rPr>
      <w:sz w:val="18"/>
      <w:szCs w:val="18"/>
    </w:rPr>
  </w:style>
  <w:style w:type="character" w:customStyle="1" w:styleId="36">
    <w:name w:val="页脚 字符"/>
    <w:link w:val="12"/>
    <w:qFormat/>
    <w:uiPriority w:val="99"/>
    <w:rPr>
      <w:sz w:val="18"/>
      <w:szCs w:val="18"/>
    </w:rPr>
  </w:style>
  <w:style w:type="paragraph" w:customStyle="1" w:styleId="3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8">
    <w:name w:val="纯文本 字符"/>
    <w:basedOn w:val="17"/>
    <w:link w:val="9"/>
    <w:qFormat/>
    <w:uiPriority w:val="0"/>
    <w:rPr>
      <w:rFonts w:ascii="宋体" w:hAnsi="Courier New"/>
      <w:kern w:val="2"/>
      <w:sz w:val="21"/>
      <w:lang w:val="zh-CN" w:eastAsia="zh-CN"/>
    </w:rPr>
  </w:style>
  <w:style w:type="character" w:customStyle="1" w:styleId="39">
    <w:name w:val="font41"/>
    <w:basedOn w:val="17"/>
    <w:qFormat/>
    <w:uiPriority w:val="0"/>
    <w:rPr>
      <w:rFonts w:hint="default" w:ascii="Times New Roman" w:hAnsi="Times New Roman" w:cs="Times New Roman"/>
      <w:b/>
      <w:bCs/>
      <w:color w:val="000000"/>
      <w:sz w:val="21"/>
      <w:szCs w:val="21"/>
      <w:u w:val="none"/>
    </w:rPr>
  </w:style>
  <w:style w:type="character" w:customStyle="1" w:styleId="40">
    <w:name w:val="font31"/>
    <w:basedOn w:val="17"/>
    <w:qFormat/>
    <w:uiPriority w:val="0"/>
    <w:rPr>
      <w:rFonts w:hint="eastAsia" w:ascii="宋体" w:hAnsi="宋体" w:eastAsia="宋体" w:cs="宋体"/>
      <w:b/>
      <w:bCs/>
      <w:color w:val="000000"/>
      <w:sz w:val="21"/>
      <w:szCs w:val="21"/>
      <w:u w:val="none"/>
    </w:rPr>
  </w:style>
  <w:style w:type="character" w:customStyle="1" w:styleId="41">
    <w:name w:val="font21"/>
    <w:basedOn w:val="17"/>
    <w:qFormat/>
    <w:uiPriority w:val="0"/>
    <w:rPr>
      <w:rFonts w:hint="default" w:ascii="Times New Roman" w:hAnsi="Times New Roman" w:cs="Times New Roman"/>
      <w:color w:val="000000"/>
      <w:sz w:val="21"/>
      <w:szCs w:val="21"/>
      <w:u w:val="none"/>
    </w:rPr>
  </w:style>
  <w:style w:type="character" w:customStyle="1" w:styleId="42">
    <w:name w:val="font11"/>
    <w:basedOn w:val="17"/>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13990</Words>
  <Characters>47149</Characters>
  <Lines>392</Lines>
  <Paragraphs>110</Paragraphs>
  <TotalTime>0</TotalTime>
  <ScaleCrop>false</ScaleCrop>
  <LinksUpToDate>false</LinksUpToDate>
  <CharactersWithSpaces>54808</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2020-02-15T01:56:00Z</dcterms:created>
  <dc:creator>David</dc:creator>
  <cp:lastModifiedBy>Alex Jin</cp:lastModifiedBy>
  <cp:lastPrinted>2016-01-26T18:09:00Z</cp:lastPrinted>
  <dcterms:modified xsi:type="dcterms:W3CDTF">2026-01-24T17:41:37Z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507AEE480F98E04AD19374698D2E6E34_43</vt:lpwstr>
  </property>
  <property fmtid="{D5CDD505-2E9C-101B-9397-08002B2CF9AE}" pid="4" name="KSOTemplateDocerSaveRecord">
    <vt:lpwstr>eyJoZGlkIjoiODNhNTg1YjU4MzU3NWJhZGRlMDhjMDJmMjhlODVkZmUiLCJ1c2VySWQiOiI4OTkyOTc1MjAifQ==</vt:lpwstr>
  </property>
</Properties>
</file>