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Initio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Programming: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40"/>
          <w:szCs w:val="40"/>
          <w:rtl w:val="0"/>
        </w:rPr>
        <w:t xml:space="preserve">WS10 Sample Answers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Answer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getDistance()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Motor: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forward(10)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spinLeft(10) or spinRight(10)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(speed values may vary)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Program: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robohat as initio, time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initio.init()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time.sleep(30)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(initio.getDistance() &gt; 50):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initio.forward(10)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(initio.getDistance() &gt; 50):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initio.spinLeft(30)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 Modified to Stop Cleanly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robohat as initio, time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initio.init()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(initio.getDistance() &gt; 5):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not (initio.getDistance() &gt; 5):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(initio.getDistance() &gt; 5):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(initio.getDistance() &gt; 50):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initio.forward(10)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(initio.getDistance() &gt; 50):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initio.spinLeft(30)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initio.stop()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University of Liverpool, 2019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This work is licensed under a </w:t>
      </w:r>
      <w:hyperlink r:id="rId9">
        <w:r w:rsidDel="00000000" w:rsidR="00000000" w:rsidRPr="00000000">
          <w:rPr>
            <w:rFonts w:ascii="Calibri" w:cs="Calibri" w:eastAsia="Calibri" w:hAnsi="Calibri"/>
            <w:color w:val="049ccf"/>
            <w:sz w:val="16"/>
            <w:szCs w:val="16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bookmarkStart w:colFirst="0" w:colLast="0" w:name="_wf38lfmgbkd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left"/>
      <w:tblInd w:w="0.0" w:type="dxa"/>
      <w:tblLayout w:type="fixed"/>
      <w:tblLook w:val="0400"/>
    </w:tblPr>
    <w:tblGrid>
      <w:gridCol w:w="8178"/>
      <w:gridCol w:w="352"/>
      <w:tblGridChange w:id="0">
        <w:tblGrid>
          <w:gridCol w:w="8178"/>
          <w:gridCol w:w="352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30.0" w:type="dxa"/>
      <w:jc w:val="left"/>
      <w:tblInd w:w="0.0" w:type="dxa"/>
      <w:tblLayout w:type="fixed"/>
      <w:tblLook w:val="0400"/>
    </w:tblPr>
    <w:tblGrid>
      <w:gridCol w:w="423"/>
      <w:gridCol w:w="8107"/>
      <w:tblGridChange w:id="0">
        <w:tblGrid>
          <w:gridCol w:w="423"/>
          <w:gridCol w:w="8107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hyperlink" Target="https://creativecommons.org/licenses/by-nc-sa/4.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