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</w:pPr>
      <w:r>
        <w:t>CONTENIDO</w:t>
      </w:r>
    </w:p>
    <w:p>
      <w:pPr>
        <w:spacing w:before="0" w:after="160" w:line="276" w:lineRule="auto"/>
      </w:pPr>
    </w:p>
    <w:p>
      <w:pPr>
        <w:spacing w:before="80" w:after="80" w:line="276" w:lineRule="auto"/>
        <w:tabs>
          <w:tab w:val="right" w:leader="dot" w:pos="9648"/>
        </w:tabs>
      </w:pPr>
      <w:r>
        <w:rPr>
          <w:rFonts w:ascii="Calibri" w:hAnsi="Calibri"/>
          <w:b/>
          <w:color w:val="1F3A5F"/>
          <w:sz w:val="22"/>
        </w:rPr>
        <w:t>INTRODUCCIÓN</w:t>
      </w:r>
      <w:r>
        <w:tab/>
      </w:r>
      <w:r>
        <w:rPr>
          <w:rFonts w:ascii="Calibri" w:hAnsi="Calibri"/>
          <w:b/>
          <w:color w:val="1F3A5F"/>
          <w:sz w:val="22"/>
        </w:rPr>
        <w:t>3</w:t>
      </w:r>
    </w:p>
    <w:p>
      <w:pPr>
        <w:spacing w:before="80" w:after="80" w:line="276" w:lineRule="auto"/>
        <w:tabs>
          <w:tab w:val="right" w:leader="dot" w:pos="9648"/>
        </w:tabs>
      </w:pPr>
      <w:r>
        <w:rPr>
          <w:rFonts w:ascii="Calibri" w:hAnsi="Calibri"/>
          <w:b/>
          <w:color w:val="1F3A5F"/>
          <w:sz w:val="22"/>
        </w:rPr>
        <w:t>PRUEBAS APLICADAS</w:t>
      </w:r>
      <w:r>
        <w:tab/>
      </w:r>
      <w:r>
        <w:rPr>
          <w:rFonts w:ascii="Calibri" w:hAnsi="Calibri"/>
          <w:b/>
          <w:color w:val="1F3A5F"/>
          <w:sz w:val="22"/>
        </w:rPr>
        <w:t>4</w:t>
      </w:r>
    </w:p>
    <w:p>
      <w:pPr>
        <w:spacing w:before="30" w:after="30" w:line="276" w:lineRule="auto"/>
        <w:tabs>
          <w:tab w:val="right" w:leader="dot" w:pos="9648"/>
        </w:tabs>
      </w:pPr>
      <w:r>
        <w:rPr>
          <w:rFonts w:ascii="Calibri" w:hAnsi="Calibri"/>
          <w:color w:val="333333"/>
          <w:sz w:val="20"/>
        </w:rPr>
        <w:t xml:space="preserve">    Pruebas Unitarias</w:t>
      </w:r>
      <w:r>
        <w:tab/>
      </w:r>
      <w:r>
        <w:rPr>
          <w:rFonts w:ascii="Calibri" w:hAnsi="Calibri"/>
          <w:color w:val="333333"/>
          <w:sz w:val="20"/>
        </w:rPr>
        <w:t>4</w:t>
      </w:r>
    </w:p>
    <w:p>
      <w:pPr>
        <w:spacing w:before="30" w:after="30" w:line="276" w:lineRule="auto"/>
        <w:tabs>
          <w:tab w:val="right" w:leader="dot" w:pos="9648"/>
        </w:tabs>
      </w:pPr>
      <w:r>
        <w:rPr>
          <w:rFonts w:ascii="Calibri" w:hAnsi="Calibri"/>
          <w:color w:val="333333"/>
          <w:sz w:val="20"/>
        </w:rPr>
        <w:t xml:space="preserve">    Pruebas de API</w:t>
      </w:r>
      <w:r>
        <w:tab/>
      </w:r>
      <w:r>
        <w:rPr>
          <w:rFonts w:ascii="Calibri" w:hAnsi="Calibri"/>
          <w:color w:val="333333"/>
          <w:sz w:val="20"/>
        </w:rPr>
        <w:t>4</w:t>
      </w:r>
    </w:p>
    <w:p>
      <w:pPr>
        <w:spacing w:before="30" w:after="30" w:line="276" w:lineRule="auto"/>
        <w:tabs>
          <w:tab w:val="right" w:leader="dot" w:pos="9648"/>
        </w:tabs>
      </w:pPr>
      <w:r>
        <w:rPr>
          <w:rFonts w:ascii="Calibri" w:hAnsi="Calibri"/>
          <w:color w:val="333333"/>
          <w:sz w:val="20"/>
        </w:rPr>
        <w:t xml:space="preserve">    Pruebas de Aceptación</w:t>
      </w:r>
      <w:r>
        <w:tab/>
      </w:r>
      <w:r>
        <w:rPr>
          <w:rFonts w:ascii="Calibri" w:hAnsi="Calibri"/>
          <w:color w:val="333333"/>
          <w:sz w:val="20"/>
        </w:rPr>
        <w:t>4</w:t>
      </w:r>
    </w:p>
    <w:p>
      <w:pPr>
        <w:spacing w:before="80" w:after="80" w:line="276" w:lineRule="auto"/>
        <w:tabs>
          <w:tab w:val="right" w:leader="dot" w:pos="9648"/>
        </w:tabs>
      </w:pPr>
      <w:r>
        <w:rPr>
          <w:rFonts w:ascii="Calibri" w:hAnsi="Calibri"/>
          <w:b/>
          <w:color w:val="1F3A5F"/>
          <w:sz w:val="22"/>
        </w:rPr>
        <w:t>RESULTADOS OBTENIDOS</w:t>
      </w:r>
      <w:r>
        <w:tab/>
      </w:r>
      <w:r>
        <w:rPr>
          <w:rFonts w:ascii="Calibri" w:hAnsi="Calibri"/>
          <w:b/>
          <w:color w:val="1F3A5F"/>
          <w:sz w:val="22"/>
        </w:rPr>
        <w:t>5</w:t>
      </w:r>
    </w:p>
    <w:p>
      <w:pPr>
        <w:spacing w:before="30" w:after="30" w:line="276" w:lineRule="auto"/>
        <w:tabs>
          <w:tab w:val="right" w:leader="dot" w:pos="9648"/>
        </w:tabs>
      </w:pPr>
      <w:r>
        <w:rPr>
          <w:rFonts w:ascii="Calibri" w:hAnsi="Calibri"/>
          <w:color w:val="333333"/>
          <w:sz w:val="20"/>
        </w:rPr>
        <w:t xml:space="preserve">    Pruebas de Aceptación</w:t>
      </w:r>
      <w:r>
        <w:tab/>
      </w:r>
      <w:r>
        <w:rPr>
          <w:rFonts w:ascii="Calibri" w:hAnsi="Calibri"/>
          <w:color w:val="333333"/>
          <w:sz w:val="20"/>
        </w:rPr>
        <w:t>5</w:t>
      </w:r>
    </w:p>
    <w:p>
      <w:pPr>
        <w:spacing w:before="30" w:after="30" w:line="276" w:lineRule="auto"/>
        <w:tabs>
          <w:tab w:val="right" w:leader="dot" w:pos="9648"/>
        </w:tabs>
      </w:pPr>
      <w:r>
        <w:rPr>
          <w:rFonts w:ascii="Calibri" w:hAnsi="Calibri"/>
          <w:color w:val="333333"/>
          <w:sz w:val="20"/>
        </w:rPr>
        <w:t xml:space="preserve">    Pruebas de API</w:t>
      </w:r>
      <w:r>
        <w:tab/>
      </w:r>
      <w:r>
        <w:rPr>
          <w:rFonts w:ascii="Calibri" w:hAnsi="Calibri"/>
          <w:color w:val="333333"/>
          <w:sz w:val="20"/>
        </w:rPr>
        <w:t>7</w:t>
      </w:r>
    </w:p>
    <w:p>
      <w:pPr>
        <w:spacing w:before="30" w:after="30" w:line="276" w:lineRule="auto"/>
        <w:tabs>
          <w:tab w:val="right" w:leader="dot" w:pos="9648"/>
        </w:tabs>
      </w:pPr>
      <w:r>
        <w:rPr>
          <w:rFonts w:ascii="Calibri" w:hAnsi="Calibri"/>
          <w:color w:val="333333"/>
          <w:sz w:val="20"/>
        </w:rPr>
        <w:t xml:space="preserve">    Pruebas Unitarias</w:t>
      </w:r>
      <w:r>
        <w:tab/>
      </w:r>
      <w:r>
        <w:rPr>
          <w:rFonts w:ascii="Calibri" w:hAnsi="Calibri"/>
          <w:color w:val="333333"/>
          <w:sz w:val="20"/>
        </w:rPr>
        <w:t>8</w:t>
      </w:r>
    </w:p>
    <w:p>
      <w:pPr>
        <w:spacing w:before="80" w:after="80" w:line="276" w:lineRule="auto"/>
        <w:tabs>
          <w:tab w:val="right" w:leader="dot" w:pos="9648"/>
        </w:tabs>
      </w:pPr>
      <w:r>
        <w:rPr>
          <w:rFonts w:ascii="Calibri" w:hAnsi="Calibri"/>
          <w:b/>
          <w:color w:val="1F3A5F"/>
          <w:sz w:val="22"/>
        </w:rPr>
        <w:t>CONCLUSIONES</w:t>
      </w:r>
      <w:r>
        <w:tab/>
      </w:r>
      <w:r>
        <w:rPr>
          <w:rFonts w:ascii="Calibri" w:hAnsi="Calibri"/>
          <w:b/>
          <w:color w:val="1F3A5F"/>
          <w:sz w:val="22"/>
        </w:rPr>
        <w:t>10</w:t>
      </w:r>
    </w:p>
    <w:p>
      <w:pPr>
        <w:spacing w:before="80" w:after="80" w:line="276" w:lineRule="auto"/>
        <w:tabs>
          <w:tab w:val="right" w:leader="dot" w:pos="9648"/>
        </w:tabs>
      </w:pPr>
      <w:r>
        <w:rPr>
          <w:rFonts w:ascii="Calibri" w:hAnsi="Calibri"/>
          <w:b/>
          <w:color w:val="1F3A5F"/>
          <w:sz w:val="22"/>
        </w:rPr>
        <w:t>RECOMENDACIONES</w:t>
      </w:r>
      <w:r>
        <w:tab/>
      </w:r>
      <w:r>
        <w:rPr>
          <w:rFonts w:ascii="Calibri" w:hAnsi="Calibri"/>
          <w:b/>
          <w:color w:val="1F3A5F"/>
          <w:sz w:val="22"/>
        </w:rPr>
        <w:t>10</w:t>
      </w:r>
    </w:p>
    <w:p>
      <w:r>
        <w:br w:type="page"/>
      </w:r>
    </w:p>
    <w:p>
      <w:pPr>
        <w:pStyle w:val="Heading1"/>
      </w:pPr>
      <w:r>
        <w:t>INTRODUCCIÓN</w:t>
      </w:r>
    </w:p>
    <w:p>
      <w:pPr>
        <w:spacing w:before="0" w:after="100" w:line="276" w:lineRule="auto"/>
      </w:pPr>
      <w:r>
        <w:rPr>
          <w:b w:val="0"/>
          <w:i w:val="0"/>
        </w:rPr>
        <w:t>El presente documento constituye el reporte formal de ejecución de pruebas diseñado y aplicado al proyecto Sistema de Reserva de Hotel, una solución integral de software concebida para la gestión operativa, eficiente y confiable de reservaciones, disponibilidad de habitaciones y control tarifario. El sistema ha sido construido sobre la plataforma .NET 10 bajo una arquitectura en N capas desacopladas (Entities, DataAccess, Business y WebMVC), diseñada con principios de alta cohesión y bajo acoplamiento para facilitar su mantenibilidad, escalabilidad y calidad en cada uno de sus componentes.</w:t>
      </w:r>
    </w:p>
    <w:p>
      <w:pPr>
        <w:spacing w:before="0" w:after="100" w:line="276" w:lineRule="auto"/>
      </w:pPr>
      <w:r>
        <w:rPr>
          <w:b w:val="0"/>
          <w:i w:val="0"/>
        </w:rPr>
        <w:t>El aseguramiento de la calidad (QA) es un pilar fundamental en sistemas de reservas hoteleras, donde la precisión del cálculo tarifario, la prevención de solapamientos de fechas (overbooking) y el control estricto de accesos a funciones administrativas son requerimientos no negociables. Por ello, el propósito de este informe es dejar constancia documentada, verificable y cuantitativa de las pruebas aplicadas, el volumen de casos declarados y ejecutados, y el grado de éxito obtenido en cada nivel del ciclo de evaluación, demostrando la estabilidad técnica y operativa del software.</w:t>
      </w:r>
    </w:p>
    <w:p>
      <w:pPr>
        <w:spacing w:before="0" w:after="100" w:line="276" w:lineRule="auto"/>
      </w:pPr>
      <w:r>
        <w:rPr>
          <w:b w:val="0"/>
          <w:i w:val="0"/>
        </w:rPr>
        <w:t>El equipo de pruebas adoptó una estrategia estructurada y colaborativa basada en la pirámide de testing, distribuyendo las actividades por Historias de Usuario (HU) entre los integrantes: Ariel Ascencio, Carlos Miranda, Camila Calderón y Joselin Herrera. De esta forma, cada miembro asumió la responsabilidad técnica de garantizar los tres niveles de verificación: pruebas unitarias para aislar la lógica de dominio sin dependencias externas; pruebas de integración y API para comprobar la interacción entre servicios, persistencia y contratos HTTP; y pruebas de aceptación para validar el cumplimiento riguroso de las expectativas y criterios del cliente.</w:t>
      </w:r>
    </w:p>
    <w:p>
      <w:pPr>
        <w:spacing w:before="0" w:after="100" w:line="276" w:lineRule="auto"/>
      </w:pPr>
      <w:r>
        <w:rPr>
          <w:b w:val="0"/>
          <w:i w:val="0"/>
        </w:rPr>
        <w:t>La gestión y trazabilidad del proceso se administraron centralizadamente a través de la plataforma Azure DevOps, estructurando los casos en el Plan de Pruebas (Test Plan #1054) y su respectivo conjunto de pruebas (Test Suite #1055). La automatización técnica se apoyó en los marcos xUnit y Moq, junto a servidores de prueba en memoria (TestHost y Entity Framework Core InMemory), integrándose dentro del pipeline de Integración Continua (CI Build #18) con generación y publicación automática de reportes estandarizados TRX.</w:t>
      </w:r>
    </w:p>
    <w:p>
      <w:pPr>
        <w:spacing w:before="0" w:after="80" w:line="276" w:lineRule="auto"/>
      </w:pPr>
      <w:r>
        <w:rPr>
          <w:b w:val="0"/>
          <w:i w:val="0"/>
        </w:rPr>
        <w:t>El documento se estructura de forma progresiva en las siguientes secciones: Pruebas Aplicadas, que describe los alcances y componentes de cada nivel de prueba; Resultados Obtenidos, que expone las métricas de ejecución y las evidencias visuales de la plantilla de seguimiento y de Azure DevOps; y finalmente, Conclusiones y Recomendaciones, sintetizando el balance del aseguramiento de calidad y las mejores prácticas para el mantenimiento futuro del producto.</w:t>
      </w:r>
    </w:p>
    <w:p>
      <w:r>
        <w:br w:type="page"/>
      </w:r>
    </w:p>
    <w:p>
      <w:pPr>
        <w:pStyle w:val="Heading1"/>
      </w:pPr>
      <w:r>
        <w:t>PRUEBAS APLICADAS</w:t>
      </w:r>
    </w:p>
    <w:p>
      <w:pPr>
        <w:pStyle w:val="Heading2"/>
      </w:pPr>
      <w:r>
        <w:t>Pruebas Unitarias</w:t>
      </w:r>
    </w:p>
    <w:p>
      <w:pPr>
        <w:spacing w:before="0" w:after="50" w:line="276" w:lineRule="auto"/>
      </w:pPr>
      <w:r>
        <w:rPr>
          <w:b w:val="0"/>
          <w:i w:val="0"/>
        </w:rPr>
        <w:t>Verifican la lógica de negocio de forma aislada, sin base de datos real ni interfaz gráfica, utilizando xUnit y Moq bajo el patrón Arrange-Act-Assert. Se declararon 21 pruebas en el proyecto SistemaReservaHotel.UnitTests, agrupadas en tres componentes esenciales:</w:t>
      </w:r>
    </w:p>
    <w:p>
      <w:pPr>
        <w:pStyle w:val="ListBullet"/>
        <w:spacing w:before="0" w:after="30" w:line="276" w:lineRule="auto"/>
      </w:pPr>
      <w:r>
        <w:rPr>
          <w:b/>
        </w:rPr>
        <w:t>ValidadorFechas:</w:t>
      </w:r>
      <w:r>
        <w:t xml:space="preserve"> reglas de fechas: entrada &gt;= salida, fechas en el pasado y rangos válidos (6 pruebas).</w:t>
      </w:r>
    </w:p>
    <w:p>
      <w:pPr>
        <w:pStyle w:val="ListBullet"/>
        <w:spacing w:before="0" w:after="30" w:line="276" w:lineRule="auto"/>
      </w:pPr>
      <w:r>
        <w:rPr>
          <w:b/>
        </w:rPr>
        <w:t>DisponibilidadService:</w:t>
      </w:r>
      <w:r>
        <w:t xml:space="preserve"> disponibilidad de habitaciones: reservas en conflicto, canceladas, inactivas y casos de borde mismo día (6 pruebas).</w:t>
      </w:r>
    </w:p>
    <w:p>
      <w:pPr>
        <w:pStyle w:val="ListBullet"/>
        <w:spacing w:before="0" w:after="30" w:line="276" w:lineRule="auto"/>
      </w:pPr>
      <w:r>
        <w:rPr>
          <w:b/>
        </w:rPr>
        <w:t>ReservaPublicaService:</w:t>
      </w:r>
      <w:r>
        <w:t xml:space="preserve"> operaciones de reserva: creación válida, consulta por ID/fecha, listado, actualización y eliminación (9 pruebas).</w:t>
      </w:r>
    </w:p>
    <w:p>
      <w:pPr>
        <w:pStyle w:val="Heading2"/>
      </w:pPr>
      <w:r>
        <w:t>Pruebas de API</w:t>
      </w:r>
    </w:p>
    <w:p>
      <w:pPr>
        <w:spacing w:before="0" w:after="50" w:line="276" w:lineRule="auto"/>
      </w:pPr>
      <w:r>
        <w:rPr>
          <w:b w:val="0"/>
          <w:i w:val="0"/>
        </w:rPr>
        <w:t>Comprueban los endpoints HTTP de extremo a extremo mediante un servidor en memoria (TestHost) y base de datos InMemory de Entity Framework Core, validando códigos de respuesta HTTP y persistencia. Se declararon 16 pruebas en el proyecto SistemaReservaHotel.IntegrationTests:</w:t>
      </w:r>
    </w:p>
    <w:p>
      <w:pPr>
        <w:pStyle w:val="ListBullet"/>
        <w:spacing w:before="0" w:after="30" w:line="276" w:lineRule="auto"/>
      </w:pPr>
      <w:r>
        <w:rPr>
          <w:b/>
        </w:rPr>
        <w:t>Validación de fechas:</w:t>
      </w:r>
      <w:r>
        <w:t xml:space="preserve"> creación con fechas válidas (200) e inválidas (400) (5 pruebas).</w:t>
      </w:r>
    </w:p>
    <w:p>
      <w:pPr>
        <w:pStyle w:val="ListBullet"/>
        <w:spacing w:before="0" w:after="30" w:line="276" w:lineRule="auto"/>
      </w:pPr>
      <w:r>
        <w:rPr>
          <w:b/>
        </w:rPr>
        <w:t>Disponibilidad:</w:t>
      </w:r>
      <w:r>
        <w:t xml:space="preserve"> exclusión de habitaciones ocupadas e inactivas (3 pruebas).</w:t>
      </w:r>
    </w:p>
    <w:p>
      <w:pPr>
        <w:pStyle w:val="ListBullet"/>
        <w:spacing w:before="0" w:after="30" w:line="276" w:lineRule="auto"/>
      </w:pPr>
      <w:r>
        <w:rPr>
          <w:b/>
        </w:rPr>
        <w:t>Consultas:</w:t>
      </w:r>
      <w:r>
        <w:t xml:space="preserve"> consulta por fecha, con/sin reservas, y detalle por ID existente (200) e inexistente (404) (4 pruebas).</w:t>
      </w:r>
    </w:p>
    <w:p>
      <w:pPr>
        <w:pStyle w:val="ListBullet"/>
        <w:spacing w:before="0" w:after="30" w:line="276" w:lineRule="auto"/>
      </w:pPr>
      <w:r>
        <w:rPr>
          <w:b/>
        </w:rPr>
        <w:t>CRUD de reservas:</w:t>
      </w:r>
      <w:r>
        <w:t xml:space="preserve"> persistencia de reservas, prevención de colisiones de fechas y cancelación (4 pruebas).</w:t>
      </w:r>
    </w:p>
    <w:p>
      <w:pPr>
        <w:pStyle w:val="Heading2"/>
      </w:pPr>
      <w:r>
        <w:t>Pruebas de Aceptación</w:t>
      </w:r>
    </w:p>
    <w:p>
      <w:pPr>
        <w:spacing w:before="0" w:after="60" w:line="276" w:lineRule="auto"/>
      </w:pPr>
      <w:r>
        <w:rPr>
          <w:b w:val="0"/>
          <w:i w:val="0"/>
        </w:rPr>
        <w:t>Comprueban que el sistema cumple con los criterios de aceptación funcionales de las Historias de Usuario. Se declararon 8 casos (TC-01 a TC-08) gestionados en Azure Test Plans (Test Suite #1055, casos #1046 a #1053) y automatizados en el proyecto SistemaReservaHotel.Tests: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rHeight w:val="360" w:hRule="atLeast"/>
          <w:tblHeader/>
          <w:cantSplit/>
        </w:trPr>
        <w:tc>
          <w:tcPr>
            <w:tcW w:type="dxa" w:w="1080"/>
            <w:shd w:fill="1F3A5F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296"/>
            <w:shd w:fill="1F3A5F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ID Azure</w:t>
            </w:r>
          </w:p>
        </w:tc>
        <w:tc>
          <w:tcPr>
            <w:tcW w:type="dxa" w:w="5256"/>
            <w:shd w:fill="1F3A5F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Criterio de aceptación</w:t>
            </w:r>
          </w:p>
        </w:tc>
        <w:tc>
          <w:tcPr>
            <w:tcW w:type="dxa" w:w="2016"/>
            <w:shd w:fill="1F3A5F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TC-01</w:t>
            </w:r>
          </w:p>
        </w:tc>
        <w:tc>
          <w:tcPr>
            <w:tcW w:type="dxa" w:w="129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#1046</w:t>
            </w:r>
          </w:p>
        </w:tc>
        <w:tc>
          <w:tcPr>
            <w:tcW w:type="dxa" w:w="525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Filtrar reservas por fecha y verificar el cálculo automático de noches</w:t>
            </w:r>
          </w:p>
        </w:tc>
        <w:tc>
          <w:tcPr>
            <w:tcW w:type="dxa" w:w="201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Ariel Ascencio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TC-02</w:t>
            </w:r>
          </w:p>
        </w:tc>
        <w:tc>
          <w:tcPr>
            <w:tcW w:type="dxa" w:w="129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#1047</w:t>
            </w:r>
          </w:p>
        </w:tc>
        <w:tc>
          <w:tcPr>
            <w:tcW w:type="dxa" w:w="525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Respuesta HTTP 200 en GET /ReservasAdmin/PorFecha</w:t>
            </w:r>
          </w:p>
        </w:tc>
        <w:tc>
          <w:tcPr>
            <w:tcW w:type="dxa" w:w="201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Carlos Miranda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TC-03</w:t>
            </w:r>
          </w:p>
        </w:tc>
        <w:tc>
          <w:tcPr>
            <w:tcW w:type="dxa" w:w="129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#1048</w:t>
            </w:r>
          </w:p>
        </w:tc>
        <w:tc>
          <w:tcPr>
            <w:tcW w:type="dxa" w:w="525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Filtrar reporte por rango de fechas y validar la sumatoria de facturación</w:t>
            </w:r>
          </w:p>
        </w:tc>
        <w:tc>
          <w:tcPr>
            <w:tcW w:type="dxa" w:w="201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Camila Calderón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TC-04</w:t>
            </w:r>
          </w:p>
        </w:tc>
        <w:tc>
          <w:tcPr>
            <w:tcW w:type="dxa" w:w="129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#1049</w:t>
            </w:r>
          </w:p>
        </w:tc>
        <w:tc>
          <w:tcPr>
            <w:tcW w:type="dxa" w:w="525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Respuesta HTTP 200 en GET /Reportes/Reservas</w:t>
            </w:r>
          </w:p>
        </w:tc>
        <w:tc>
          <w:tcPr>
            <w:tcW w:type="dxa" w:w="201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Joselin Herrera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TC-05</w:t>
            </w:r>
          </w:p>
        </w:tc>
        <w:tc>
          <w:tcPr>
            <w:tcW w:type="dxa" w:w="129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#1050</w:t>
            </w:r>
          </w:p>
        </w:tc>
        <w:tc>
          <w:tcPr>
            <w:tcW w:type="dxa" w:w="525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Anticolisión en DisponibilidadService ante fechas solapadas</w:t>
            </w:r>
          </w:p>
        </w:tc>
        <w:tc>
          <w:tcPr>
            <w:tcW w:type="dxa" w:w="201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Joselin Herrera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TC-06</w:t>
            </w:r>
          </w:p>
        </w:tc>
        <w:tc>
          <w:tcPr>
            <w:tcW w:type="dxa" w:w="129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#1051</w:t>
            </w:r>
          </w:p>
        </w:tc>
        <w:tc>
          <w:tcPr>
            <w:tcW w:type="dxa" w:w="525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Cálculo de tarifa por temporada alta (3 noches x $120.00 = $360.00)</w:t>
            </w:r>
          </w:p>
        </w:tc>
        <w:tc>
          <w:tcPr>
            <w:tcW w:type="dxa" w:w="201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Camila Calderón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TC-07</w:t>
            </w:r>
          </w:p>
        </w:tc>
        <w:tc>
          <w:tcPr>
            <w:tcW w:type="dxa" w:w="129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#1052</w:t>
            </w:r>
          </w:p>
        </w:tc>
        <w:tc>
          <w:tcPr>
            <w:tcW w:type="dxa" w:w="525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Autenticación con hash SHA-256 y emisión de cookie de sesión</w:t>
            </w:r>
          </w:p>
        </w:tc>
        <w:tc>
          <w:tcPr>
            <w:tcW w:type="dxa" w:w="2016"/>
            <w:shd w:fill="FFFFFF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Ariel Ascencio</w:t>
            </w:r>
          </w:p>
        </w:tc>
      </w:tr>
      <w:tr>
        <w:trPr>
          <w:trHeight w:val="320" w:hRule="atLeast"/>
          <w:cantSplit/>
        </w:trPr>
        <w:tc>
          <w:tcPr>
            <w:tcW w:type="dxa" w:w="1080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7"/>
              </w:rPr>
              <w:t>TC-08</w:t>
            </w:r>
          </w:p>
        </w:tc>
        <w:tc>
          <w:tcPr>
            <w:tcW w:type="dxa" w:w="129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sz w:val="17"/>
              </w:rPr>
              <w:t>#1053</w:t>
            </w:r>
          </w:p>
        </w:tc>
        <w:tc>
          <w:tcPr>
            <w:tcW w:type="dxa" w:w="525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Restricción HTTP 403 / redirección para usuario sin rol Administrador</w:t>
            </w:r>
          </w:p>
        </w:tc>
        <w:tc>
          <w:tcPr>
            <w:tcW w:type="dxa" w:w="2016"/>
            <w:shd w:fill="F2F5F9"/>
            <w:vAlign w:val="cente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 w:line="264" w:lineRule="auto"/>
            </w:pPr>
            <w:r>
              <w:rPr>
                <w:sz w:val="17"/>
              </w:rPr>
              <w:t>Carlos Miranda</w:t>
            </w:r>
          </w:p>
        </w:tc>
      </w:tr>
    </w:tbl>
    <w:p>
      <w:r>
        <w:br w:type="page"/>
      </w:r>
    </w:p>
    <w:p>
      <w:pPr>
        <w:pStyle w:val="Heading1"/>
      </w:pPr>
      <w:r>
        <w:t>RESULTADOS OBTENIDOS</w:t>
      </w:r>
    </w:p>
    <w:p>
      <w:pPr>
        <w:pStyle w:val="Heading2"/>
      </w:pPr>
      <w:r>
        <w:t>Pruebas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declaradas: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8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ejecutadas: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8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exitosas: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8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pendientes (fallidas):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0</w:t>
            </w:r>
          </w:p>
        </w:tc>
      </w:tr>
    </w:tbl>
    <w:p>
      <w:pPr>
        <w:spacing w:after="60"/>
      </w:pPr>
    </w:p>
    <w:p>
      <w:pPr>
        <w:spacing w:before="0" w:after="70" w:line="276" w:lineRule="auto"/>
      </w:pPr>
      <w:r>
        <w:rPr>
          <w:b w:val="0"/>
          <w:i w:val="0"/>
        </w:rPr>
        <w:t>Las 8 pruebas de aceptación se ejecutaron satisfactoriamente de forma automatizada mediante xUnit en el proyecto SistemaReservaHotel.Tests. Todos los casos cumplieron al 100 % con sus criterios de aceptación y validaciones de negocio en Azure DevOps y en la suite de pruebas.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84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acept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8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  <w:jc w:val="center"/>
      </w:pPr>
      <w:r>
        <w:rPr>
          <w:b w:val="0"/>
          <w:i/>
          <w:color w:val="595959"/>
          <w:sz w:val="17"/>
        </w:rPr>
        <w:t>Evidencia 1. Seguimiento de las pruebas de aceptación en la plantilla de casos de prueba (8 de 8 exitosas).</w:t>
      </w:r>
    </w:p>
    <w:p>
      <w:r>
        <w:br w:type="page"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849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test_suite_cas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4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  <w:jc w:val="center"/>
      </w:pPr>
      <w:r>
        <w:rPr>
          <w:b w:val="0"/>
          <w:i/>
          <w:color w:val="595959"/>
          <w:sz w:val="17"/>
        </w:rPr>
        <w:t>Evidencia 2. Test Suite #1055 en Azure Test Plans con los 8 casos de aceptación.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878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progress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  <w:jc w:val="center"/>
      </w:pPr>
      <w:r>
        <w:rPr>
          <w:b w:val="0"/>
          <w:i/>
          <w:color w:val="595959"/>
          <w:sz w:val="17"/>
        </w:rPr>
        <w:t>Evidencia 3. Progress Report de Azure Test Plans (8 de 8 puntos de prueba ejecutados, 100 % aprobados).</w:t>
      </w:r>
    </w:p>
    <w:p>
      <w:r>
        <w:br w:type="page"/>
      </w:r>
    </w:p>
    <w:p>
      <w:pPr>
        <w:pStyle w:val="Heading2"/>
      </w:pPr>
      <w:r>
        <w:t>Pruebas de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declaradas: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16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ejecutadas: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16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exitosas: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16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pendientes (fallidas):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0</w:t>
            </w:r>
          </w:p>
        </w:tc>
      </w:tr>
    </w:tbl>
    <w:p>
      <w:pPr>
        <w:spacing w:after="60"/>
      </w:pPr>
    </w:p>
    <w:p>
      <w:pPr>
        <w:spacing w:before="0" w:after="70" w:line="276" w:lineRule="auto"/>
      </w:pPr>
      <w:r>
        <w:rPr>
          <w:b w:val="0"/>
          <w:i w:val="0"/>
        </w:rPr>
        <w:t>Todos los endpoints respondieron con el código esperado: 200 en solicitudes válidas, 400 ante fechas inválidas y 404 ante recursos inexistentes.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345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a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4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  <w:jc w:val="center"/>
      </w:pPr>
      <w:r>
        <w:rPr>
          <w:b w:val="0"/>
          <w:i/>
          <w:color w:val="595959"/>
          <w:sz w:val="17"/>
        </w:rPr>
        <w:t>Evidencia 4. Seguimiento de las pruebas de API en la plantilla de casos de prueba (16 de 16 exitosas).</w:t>
      </w:r>
    </w:p>
    <w:p>
      <w:r>
        <w:br w:type="page"/>
      </w:r>
    </w:p>
    <w:p>
      <w:pPr>
        <w:pStyle w:val="Heading2"/>
      </w:pPr>
      <w:r>
        <w:t>Pruebas Unitarias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declaradas: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21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ejecutadas: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21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exitosas: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21</w:t>
            </w:r>
          </w:p>
        </w:tc>
      </w:tr>
      <w:tr>
        <w:trPr>
          <w:trHeight w:val="360" w:hRule="atLeast"/>
          <w:cantSplit/>
        </w:trPr>
        <w:tc>
          <w:tcPr>
            <w:tcW w:type="dxa" w:w="6912"/>
            <w:shd w:fill="F2F5F9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sz w:val="19"/>
              </w:rPr>
              <w:t>Número de pruebas pendientes (fallidas):</w:t>
            </w:r>
          </w:p>
        </w:tc>
        <w:tc>
          <w:tcPr>
            <w:tcW w:type="dxa" w:w="2736"/>
            <w:shd w:fill="FFFFFF"/>
            <w:vAlign w:val="center"/>
            <w:tcMar>
              <w:top w:w="70" w:type="dxa"/>
              <w:bottom w:w="70" w:type="dxa"/>
              <w:left w:w="160" w:type="dxa"/>
              <w:right w:w="1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</w:rPr>
              <w:t>0</w:t>
            </w:r>
          </w:p>
        </w:tc>
      </w:tr>
    </w:tbl>
    <w:p>
      <w:pPr>
        <w:spacing w:after="60"/>
      </w:pPr>
    </w:p>
    <w:p>
      <w:pPr>
        <w:spacing w:before="0" w:after="70" w:line="276" w:lineRule="auto"/>
      </w:pPr>
      <w:r>
        <w:rPr>
          <w:b w:val="0"/>
          <w:i w:val="0"/>
        </w:rPr>
        <w:t>Las 21 pruebas unitarias se ejecutaron con el comando dotnet test y fueron integradas en el pipeline automatizado de Azure DevOps (Build #18, rama develop), superando el 100 % de las aserciones sin fallos.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40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ruebas_az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40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  <w:jc w:val="center"/>
      </w:pPr>
      <w:r>
        <w:rPr>
          <w:b w:val="0"/>
          <w:i/>
          <w:color w:val="595959"/>
          <w:sz w:val="17"/>
        </w:rPr>
        <w:t>Evidencia 5. Gráfico generado por Azure DevOps Pipelines (Build #18, pestaña Tests) confirmando la ejecución y aprobación del 100 % de las pruebas automatizadas (45 pruebas totales, 45 exitosas, 0 fallidas).</w:t>
      </w:r>
    </w:p>
    <w:p>
      <w:r>
        <w:br w:type="page"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408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unitar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76" w:lineRule="auto"/>
        <w:jc w:val="center"/>
      </w:pPr>
      <w:r>
        <w:rPr>
          <w:b w:val="0"/>
          <w:i/>
          <w:color w:val="595959"/>
          <w:sz w:val="17"/>
        </w:rPr>
        <w:t>Evidencia 6. Seguimiento detallado de las 21 pruebas unitarias en la plantilla de casos de prueba (100 % exitosas).</w:t>
      </w:r>
    </w:p>
    <w:p>
      <w:r>
        <w:br w:type="page"/>
      </w:r>
    </w:p>
    <w:p>
      <w:pPr>
        <w:pStyle w:val="Heading1"/>
      </w:pPr>
      <w:r>
        <w:t>CONCLUSIONES</w:t>
      </w:r>
    </w:p>
    <w:p>
      <w:pPr>
        <w:pStyle w:val="ListBullet"/>
        <w:spacing w:before="0" w:after="30" w:line="276" w:lineRule="auto"/>
      </w:pPr>
      <w:r>
        <w:rPr>
          <w:b/>
        </w:rPr>
        <w:t>Cumplimiento del plan.</w:t>
      </w:r>
      <w:r>
        <w:t xml:space="preserve"> Se ejecutaron las 45 pruebas declaradas (21 unitarias, 16 de API y 8 de aceptación) y todas resultaron exitosas, sin pruebas pendientes.</w:t>
      </w:r>
    </w:p>
    <w:p>
      <w:pPr>
        <w:pStyle w:val="ListBullet"/>
        <w:spacing w:before="0" w:after="30" w:line="276" w:lineRule="auto"/>
      </w:pPr>
      <w:r>
        <w:rPr>
          <w:b/>
        </w:rPr>
        <w:t>Criterios de aceptación.</w:t>
      </w:r>
      <w:r>
        <w:t xml:space="preserve"> Todas las pruebas de aceptación cumplieron al 100 % los criterios definidos para cada Historia de Usuario, verificando los flujos de creación de reservas, cálculo dinámico de tarifas y restricciones de acceso.</w:t>
      </w:r>
    </w:p>
    <w:p>
      <w:pPr>
        <w:pStyle w:val="ListBullet"/>
        <w:spacing w:before="0" w:after="30" w:line="276" w:lineRule="auto"/>
      </w:pPr>
      <w:r>
        <w:rPr>
          <w:b/>
        </w:rPr>
        <w:t>Lógica y servicios.</w:t>
      </w:r>
      <w:r>
        <w:t xml:space="preserve"> Las pruebas unitarias y de API confirman que las reglas de fechas, la disponibilidad y el ciclo de vida de las reservas funcionan según lo especificado, con los códigos HTTP correctos.</w:t>
      </w:r>
    </w:p>
    <w:p>
      <w:pPr>
        <w:pStyle w:val="ListBullet"/>
        <w:spacing w:before="0" w:after="30" w:line="276" w:lineRule="auto"/>
      </w:pPr>
      <w:r>
        <w:rPr>
          <w:b/>
        </w:rPr>
        <w:t>Trazabilidad.</w:t>
      </w:r>
      <w:r>
        <w:t xml:space="preserve"> Organizar los casos por Historia de Usuario en Azure DevOps permitió repartir el trabajo entre los integrantes y dar seguimiento al estado de cada caso.</w:t>
      </w:r>
    </w:p>
    <w:p>
      <w:pPr>
        <w:pStyle w:val="Heading1"/>
      </w:pPr>
      <w:r>
        <w:t>RECOMENDACIONES</w:t>
      </w:r>
    </w:p>
    <w:p>
      <w:pPr>
        <w:pStyle w:val="ListBullet"/>
        <w:spacing w:before="0" w:after="30" w:line="276" w:lineRule="auto"/>
      </w:pPr>
      <w:r>
        <w:rPr>
          <w:b/>
        </w:rPr>
        <w:t>Automatización continua.</w:t>
      </w:r>
      <w:r>
        <w:t xml:space="preserve"> Mantener la integración continua (CI) en Azure DevOps con publicación automática de reportes TRX en cada commit, tal como se configuró exitosamente en la compilación #18.</w:t>
      </w:r>
    </w:p>
    <w:p>
      <w:pPr>
        <w:pStyle w:val="ListBullet"/>
        <w:spacing w:before="0" w:after="30" w:line="276" w:lineRule="auto"/>
      </w:pPr>
      <w:r>
        <w:rPr>
          <w:b/>
        </w:rPr>
        <w:t>Bloquear ante fallos.</w:t>
      </w:r>
      <w:r>
        <w:t xml:space="preserve"> Cambiar failTaskOnFailedTests a verdadero para que el pipeline falle ante cualquier prueba fallida y evitar regresiones en futuros despliegues.</w:t>
      </w:r>
    </w:p>
    <w:p>
      <w:pPr>
        <w:pStyle w:val="ListBullet"/>
        <w:spacing w:before="0" w:after="30" w:line="276" w:lineRule="auto"/>
      </w:pPr>
      <w:r>
        <w:rPr>
          <w:b/>
        </w:rPr>
        <w:t>Mantener la trazabilidad.</w:t>
      </w:r>
      <w:r>
        <w:t xml:space="preserve"> Alinear los nombres y descripciones de los casos de la plantilla de planificación con las pruebas implementadas, de modo que cada caso planificado corresponda a una prueba del código.</w:t>
      </w:r>
    </w:p>
    <w:p>
      <w:pPr>
        <w:pStyle w:val="ListBullet"/>
        <w:spacing w:before="0" w:after="30" w:line="276" w:lineRule="auto"/>
      </w:pPr>
      <w:r>
        <w:rPr>
          <w:b/>
        </w:rPr>
        <w:t>Calidad del código.</w:t>
      </w:r>
      <w:r>
        <w:t xml:space="preserve"> Corregir las advertencias de nulabilidad (CS8618, CS8602, CS8603) de las capas Entities, DataAccess y Business y actualizar los paquetes NuGet con vulnerabilidades reportadas.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