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003366"/>
          <w:sz w:val="24"/>
        </w:rPr>
        <w:t>ESCUELA SUPERIOR FRANCISCANA ESPECIALIZADA (ESFE - AGAPE)</w:t>
        <w:br/>
      </w:r>
      <w:r>
        <w:rPr>
          <w:b/>
          <w:color w:val="57606A"/>
          <w:sz w:val="19"/>
        </w:rPr>
        <w:t>CARRERA DE INGENIERÍA / TÉCNICO EN DESARROLLO DE SOFTWARE · CICLO 02-2026</w:t>
        <w:br/>
      </w:r>
      <w:r>
        <w:rPr>
          <w:b/>
          <w:color w:val="005A9C"/>
          <w:sz w:val="20"/>
        </w:rPr>
        <w:t>CÁTEDRA DE ASEGURAMIENTO DE LA CALIDAD DE SOFTWARE (QA)</w:t>
        <w:br/>
      </w:r>
      <w:r>
        <w:rPr>
          <w:i/>
          <w:color w:val="57606A"/>
          <w:sz w:val="19"/>
        </w:rPr>
        <w:t>Docente Evaluador: Ing. Gerber Alexis Gómez Hidalgo</w:t>
      </w:r>
    </w:p>
    <w:p>
      <w:pPr>
        <w:spacing w:before="160" w:after="160"/>
        <w:jc w:val="center"/>
      </w:pPr>
      <w:r>
        <w:rPr>
          <w:b/>
          <w:color w:val="003366"/>
          <w:sz w:val="30"/>
        </w:rPr>
        <w:t>DICTAMEN FINAL DE AUDITORÍA DE CALIDAD Y CONCORDANCIA</w:t>
      </w:r>
    </w:p>
    <w:tbl>
      <w:tblPr>
        <w:tblW w:type="auto" w:w="0"/>
        <w:jc w:val="center"/>
        <w:tblLook w:firstColumn="1" w:firstRow="1" w:lastColumn="0" w:lastRow="0" w:noHBand="0" w:noVBand="1" w:val="04A0"/>
      </w:tblPr>
      <w:tblGrid>
        <w:gridCol w:w="10080"/>
      </w:tblGrid>
      <w:tr>
        <w:tc>
          <w:tcPr>
            <w:tcW w:type="dxa" w:w="10080"/>
            <w:shd w:val="clear" w:color="auto" w:fill="E6F4EA"/>
            <w:tcMar>
              <w:top w:w="80" w:type="dxa"/>
              <w:left w:w="140" w:type="dxa"/>
              <w:bottom w:w="80" w:type="dxa"/>
              <w:right w:w="120" w:type="dxa"/>
            </w:tcMar>
            <w:tcBorders>
              <w:left w:val="single" w:sz="24" w:space="0" w:color="1A7F37"/>
            </w:tcBorders>
          </w:tcPr>
          <w:p>
            <w:pPr>
              <w:spacing w:after="40" w:line="276" w:lineRule="auto"/>
            </w:pPr>
            <w:r>
              <w:rPr>
                <w:b/>
                <w:color w:val="1A7F37"/>
                <w:sz w:val="21"/>
              </w:rPr>
              <w:t>ESTADO GLOBAL DE LA AUDITORÍA: APROBADO AL 100% (SIN RESERVAS)</w:t>
              <w:br/>
            </w:r>
            <w:r>
              <w:rPr>
                <w:color w:val="24292F"/>
                <w:sz w:val="19"/>
              </w:rPr>
              <w:t>Se certifica que la totalidad de los artefactos del proyecto 'Sistema de Reserva de Hotel' (Plantilla de Planificación Excel, Informe Oficial en Word/PDF de 22 páginas, entorno institucional de Azure DevOps y Repositorio Oficial en GitHub) presentan concordancia matemática y formal del 100% en sus 45 casos de prueba, cumpliendo estrictamente con la norma ISO/IEC/IEEE 29119 y los lineamientos evaluativos institucionales.</w:t>
            </w:r>
          </w:p>
        </w:tc>
      </w:tr>
    </w:tbl>
    <w:p>
      <w:pPr>
        <w:spacing w:after="80"/>
      </w:pP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2592"/>
            <w:shd w:val="clear" w:color="auto" w:fill="003366"/>
            <w:tcMar>
              <w:top w:w="70" w:type="dxa"/>
              <w:left w:w="90" w:type="dxa"/>
              <w:bottom w:w="70" w:type="dxa"/>
              <w:right w:w="90" w:type="dxa"/>
            </w:tcMar>
            <w:tcBorders>
              <w:top w:val="single" w:sz="6" w:space="0" w:color="002244"/>
              <w:bottom w:val="single" w:sz="6" w:space="0" w:color="002244"/>
              <w:left w:val="single" w:sz="6" w:space="0" w:color="002244"/>
              <w:right w:val="single" w:sz="6" w:space="0" w:color="002244"/>
            </w:tcBorders>
          </w:tcPr>
          <w:p>
            <w:pPr>
              <w:spacing w:after="0"/>
              <w:jc w:val="center"/>
            </w:pPr>
            <w:r>
              <w:rPr>
                <w:b/>
                <w:color w:val="FFFFFF"/>
                <w:sz w:val="18"/>
              </w:rPr>
              <w:t>Parámetro de Auditoría</w:t>
            </w:r>
          </w:p>
        </w:tc>
        <w:tc>
          <w:tcPr>
            <w:tcW w:type="dxa" w:w="4896"/>
            <w:shd w:val="clear" w:color="auto" w:fill="003366"/>
            <w:tcMar>
              <w:top w:w="70" w:type="dxa"/>
              <w:left w:w="90" w:type="dxa"/>
              <w:bottom w:w="70" w:type="dxa"/>
              <w:right w:w="90" w:type="dxa"/>
            </w:tcMar>
            <w:tcBorders>
              <w:top w:val="single" w:sz="6" w:space="0" w:color="002244"/>
              <w:bottom w:val="single" w:sz="6" w:space="0" w:color="002244"/>
              <w:left w:val="single" w:sz="6" w:space="0" w:color="002244"/>
              <w:right w:val="single" w:sz="6" w:space="0" w:color="002244"/>
            </w:tcBorders>
          </w:tcPr>
          <w:p>
            <w:pPr>
              <w:spacing w:after="0"/>
              <w:jc w:val="center"/>
            </w:pPr>
            <w:r>
              <w:rPr>
                <w:b/>
                <w:color w:val="FFFFFF"/>
                <w:sz w:val="18"/>
              </w:rPr>
              <w:t>Detalle Registrado</w:t>
            </w:r>
          </w:p>
        </w:tc>
        <w:tc>
          <w:tcPr>
            <w:tcW w:type="dxa" w:w="2592"/>
            <w:shd w:val="clear" w:color="auto" w:fill="003366"/>
            <w:tcMar>
              <w:top w:w="70" w:type="dxa"/>
              <w:left w:w="90" w:type="dxa"/>
              <w:bottom w:w="70" w:type="dxa"/>
              <w:right w:w="90" w:type="dxa"/>
            </w:tcMar>
            <w:tcBorders>
              <w:top w:val="single" w:sz="6" w:space="0" w:color="002244"/>
              <w:bottom w:val="single" w:sz="6" w:space="0" w:color="002244"/>
              <w:left w:val="single" w:sz="6" w:space="0" w:color="002244"/>
              <w:right w:val="single" w:sz="6" w:space="0" w:color="002244"/>
            </w:tcBorders>
          </w:tcPr>
          <w:p>
            <w:pPr>
              <w:spacing w:after="0"/>
              <w:jc w:val="center"/>
            </w:pPr>
            <w:r>
              <w:rPr>
                <w:b/>
                <w:color w:val="FFFFFF"/>
                <w:sz w:val="18"/>
              </w:rPr>
              <w:t>Estado / Verificación</w:t>
            </w:r>
          </w:p>
        </w:tc>
      </w:tr>
      <w:tr>
        <w:trPr>
          <w:cantSplit/>
        </w:trPr>
        <w:tc>
          <w:tcPr>
            <w:tcW w:type="dxa" w:w="2592"/>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Proyecto Auditado</w:t>
            </w:r>
          </w:p>
        </w:tc>
        <w:tc>
          <w:tcPr>
            <w:tcW w:type="dxa" w:w="4896"/>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Sistema de Reserva de Hotel (SistemaReservaHotel-QA)</w:t>
            </w:r>
          </w:p>
        </w:tc>
        <w:tc>
          <w:tcPr>
            <w:tcW w:type="dxa" w:w="2592"/>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color w:val="24292F"/>
                <w:sz w:val="17"/>
              </w:rPr>
              <w:t>Activo · C# 13 / .NET 10</w:t>
            </w:r>
          </w:p>
        </w:tc>
      </w:tr>
      <w:tr>
        <w:trPr>
          <w:cantSplit/>
        </w:trPr>
        <w:tc>
          <w:tcPr>
            <w:tcW w:type="dxa" w:w="2592"/>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Organización Azure DevOps</w:t>
            </w:r>
          </w:p>
        </w:tc>
        <w:tc>
          <w:tcPr>
            <w:tcW w:type="dxa" w:w="4896"/>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https://dev.azure.com/cc25003/SistemaReservaHotel-QA</w:t>
            </w:r>
          </w:p>
        </w:tc>
        <w:tc>
          <w:tcPr>
            <w:tcW w:type="dxa" w:w="2592"/>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b/>
                <w:color w:val="1A7F37"/>
                <w:sz w:val="17"/>
              </w:rPr>
              <w:t>100% Configurado y Trazado</w:t>
            </w:r>
          </w:p>
        </w:tc>
      </w:tr>
      <w:tr>
        <w:trPr>
          <w:cantSplit/>
        </w:trPr>
        <w:tc>
          <w:tcPr>
            <w:tcW w:type="dxa" w:w="2592"/>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Repositorio GitHub Oficial</w:t>
            </w:r>
          </w:p>
        </w:tc>
        <w:tc>
          <w:tcPr>
            <w:tcW w:type="dxa" w:w="4896"/>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https://github.com/legoshi621/SistemaReservaHotel-QA</w:t>
            </w:r>
          </w:p>
        </w:tc>
        <w:tc>
          <w:tcPr>
            <w:tcW w:type="dxa" w:w="2592"/>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color w:val="24292F"/>
                <w:sz w:val="17"/>
              </w:rPr>
              <w:t>Ramas main y develop sincronizadas</w:t>
            </w:r>
          </w:p>
        </w:tc>
      </w:tr>
      <w:tr>
        <w:trPr>
          <w:cantSplit/>
        </w:trPr>
        <w:tc>
          <w:tcPr>
            <w:tcW w:type="dxa" w:w="2592"/>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Plan Maestro de Pruebas</w:t>
            </w:r>
          </w:p>
        </w:tc>
        <w:tc>
          <w:tcPr>
            <w:tcW w:type="dxa" w:w="4896"/>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Test Plan #1054 · Suite #1055 (8 Test Cases UAT)</w:t>
            </w:r>
          </w:p>
        </w:tc>
        <w:tc>
          <w:tcPr>
            <w:tcW w:type="dxa" w:w="2592"/>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b/>
                <w:color w:val="1A7F37"/>
                <w:sz w:val="17"/>
              </w:rPr>
              <w:t>100% Run · 100% Pass Rate</w:t>
            </w:r>
          </w:p>
        </w:tc>
      </w:tr>
      <w:tr>
        <w:trPr>
          <w:cantSplit/>
        </w:trPr>
        <w:tc>
          <w:tcPr>
            <w:tcW w:type="dxa" w:w="2592"/>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Cobertura de Pruebas</w:t>
            </w:r>
          </w:p>
        </w:tc>
        <w:tc>
          <w:tcPr>
            <w:tcW w:type="dxa" w:w="4896"/>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45 Casos (21 Unitarias + 16 de API + 8 de Aceptación)</w:t>
            </w:r>
          </w:p>
        </w:tc>
        <w:tc>
          <w:tcPr>
            <w:tcW w:type="dxa" w:w="2592"/>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b/>
                <w:color w:val="1A7F37"/>
                <w:sz w:val="17"/>
              </w:rPr>
              <w:t>100% Ejecutadas y Aprobadas</w:t>
            </w:r>
          </w:p>
        </w:tc>
      </w:tr>
      <w:tr>
        <w:trPr>
          <w:cantSplit/>
        </w:trPr>
        <w:tc>
          <w:tcPr>
            <w:tcW w:type="dxa" w:w="2592"/>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Equipo Evaluado</w:t>
            </w:r>
          </w:p>
        </w:tc>
        <w:tc>
          <w:tcPr>
            <w:tcW w:type="dxa" w:w="4896"/>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Ariel Ascencio, Joselin Herrera, Carlos Miranda, Camila Calderón</w:t>
            </w:r>
          </w:p>
        </w:tc>
        <w:tc>
          <w:tcPr>
            <w:tcW w:type="dxa" w:w="2592"/>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color w:val="24292F"/>
                <w:sz w:val="17"/>
              </w:rPr>
              <w:t>4 Integrantes (4 PBIs Asignados)</w:t>
            </w:r>
          </w:p>
        </w:tc>
      </w:tr>
      <w:tr>
        <w:trPr>
          <w:cantSplit/>
        </w:trPr>
        <w:tc>
          <w:tcPr>
            <w:tcW w:type="dxa" w:w="2592"/>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Fecha de Auditoría</w:t>
            </w:r>
          </w:p>
        </w:tc>
        <w:tc>
          <w:tcPr>
            <w:tcW w:type="dxa" w:w="4896"/>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23 de octubre de 2026</w:t>
            </w:r>
          </w:p>
        </w:tc>
        <w:tc>
          <w:tcPr>
            <w:tcW w:type="dxa" w:w="2592"/>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color w:val="24292F"/>
                <w:sz w:val="17"/>
              </w:rPr>
              <w:t>Auditoría de Cierre de Entrega</w:t>
            </w:r>
          </w:p>
        </w:tc>
      </w:tr>
    </w:tbl>
    <w:p>
      <w:pPr>
        <w:spacing w:after="80"/>
      </w:pPr>
    </w:p>
    <w:p>
      <w:pPr>
        <w:keepNext/>
        <w:spacing w:before="240" w:after="80"/>
      </w:pPr>
      <w:r>
        <w:rPr>
          <w:rFonts w:ascii="Calibri" w:hAnsi="Calibri"/>
          <w:b/>
          <w:color w:val="003366"/>
          <w:sz w:val="27"/>
        </w:rPr>
        <w:t>1. Objetivos y Alcance de la Auditoría</w:t>
      </w:r>
    </w:p>
    <w:p>
      <w:pPr>
        <w:spacing w:after="80" w:line="276" w:lineRule="auto"/>
        <w:jc w:val="both"/>
      </w:pPr>
      <w:r>
        <w:rPr>
          <w:b w:val="0"/>
          <w:i w:val="0"/>
          <w:color w:val="24292F"/>
          <w:sz w:val="20"/>
        </w:rPr>
        <w:t>La presente auditoría técnica tiene por objetivo fiscalizar y verificar de manera exhaustiva que no existan discrepancias, omisiones o inconsistencias entre los entregables documentales, las matrices de pruebas, la plataforma de gestión en la nube y el código fuente del proyecto. La evaluación se ejecutó sobre cuatro pilares fundamentales:</w:t>
      </w:r>
    </w:p>
    <w:p>
      <w:pPr>
        <w:pStyle w:val="ListBullet"/>
        <w:spacing w:after="40" w:line="269" w:lineRule="auto"/>
        <w:jc w:val="both"/>
      </w:pPr>
      <w:r>
        <w:rPr>
          <w:b/>
          <w:color w:val="24292F"/>
          <w:sz w:val="19"/>
        </w:rPr>
        <w:t xml:space="preserve">☁️ </w:t>
      </w:r>
      <w:r>
        <w:rPr>
          <w:color w:val="24292F"/>
          <w:sz w:val="19"/>
        </w:rPr>
        <w:t>Pilar 1 — Plataforma Azure DevOps: Verificación del Test Plan Maestro #1054, Suite de Casos #1055, PBIs en Azure Boards, asignaciones a integrantes y métricas en Progress Report.</w:t>
      </w:r>
    </w:p>
    <w:p>
      <w:pPr>
        <w:pStyle w:val="ListBullet"/>
        <w:spacing w:after="40" w:line="269" w:lineRule="auto"/>
        <w:jc w:val="both"/>
      </w:pPr>
      <w:r>
        <w:rPr>
          <w:b/>
          <w:color w:val="24292F"/>
          <w:sz w:val="19"/>
        </w:rPr>
        <w:t xml:space="preserve">📊 </w:t>
      </w:r>
      <w:r>
        <w:rPr>
          <w:color w:val="24292F"/>
          <w:sz w:val="19"/>
        </w:rPr>
        <w:t>Pilar 2 — Plantilla de Planificación en Excel: Inspección de las 3 pestañas metodológicas (Aceptación, API y Unitarias), totalizando 45 casos formalmente descritos con precondiciones, pasos y trazabilidad.</w:t>
      </w:r>
    </w:p>
    <w:p>
      <w:pPr>
        <w:pStyle w:val="ListBullet"/>
        <w:spacing w:after="40" w:line="269" w:lineRule="auto"/>
        <w:jc w:val="both"/>
      </w:pPr>
      <w:r>
        <w:rPr>
          <w:b/>
          <w:color w:val="24292F"/>
          <w:sz w:val="19"/>
        </w:rPr>
        <w:t xml:space="preserve">📄 </w:t>
      </w:r>
      <w:r>
        <w:rPr>
          <w:color w:val="24292F"/>
          <w:sz w:val="19"/>
        </w:rPr>
        <w:t>Pilar 3 — Informe Técnico en Word y PDF: Certificación del formato institucional (22 páginas, sin portada, código en tema oscuro de Visual Studio, 5 capturas oficiales de Azure DevOps y reflexiones individuales).</w:t>
      </w:r>
    </w:p>
    <w:p>
      <w:pPr>
        <w:pStyle w:val="ListBullet"/>
        <w:spacing w:after="40" w:line="269" w:lineRule="auto"/>
        <w:jc w:val="both"/>
      </w:pPr>
      <w:r>
        <w:rPr>
          <w:b/>
          <w:color w:val="24292F"/>
          <w:sz w:val="19"/>
        </w:rPr>
        <w:t xml:space="preserve">🌿 </w:t>
      </w:r>
      <w:r>
        <w:rPr>
          <w:color w:val="24292F"/>
          <w:sz w:val="19"/>
        </w:rPr>
        <w:t>Pilar 4 — Repositorio Git (GitHub &amp; Azure Repos): Auditoría de sincronización entre ramas main y develop, limpieza del directorio raíz y estructuración ordenada de la carpeta docs/.</w:t>
      </w:r>
    </w:p>
    <w:p>
      <w:pPr>
        <w:keepNext/>
        <w:spacing w:before="240" w:after="80"/>
      </w:pPr>
      <w:r>
        <w:rPr>
          <w:rFonts w:ascii="Calibri" w:hAnsi="Calibri"/>
          <w:b/>
          <w:color w:val="003366"/>
          <w:sz w:val="27"/>
        </w:rPr>
        <w:t>2. Matriz de Concordancia Total (45 Casos Distribuidos en 3 Niveles)</w:t>
      </w:r>
    </w:p>
    <w:p>
      <w:pPr>
        <w:spacing w:after="80" w:line="276" w:lineRule="auto"/>
        <w:jc w:val="both"/>
      </w:pPr>
      <w:r>
        <w:rPr>
          <w:b w:val="0"/>
          <w:i w:val="0"/>
          <w:color w:val="24292F"/>
          <w:sz w:val="20"/>
        </w:rPr>
        <w:t>Se verificó la correspondencia unívoca entre las historias de usuario (PBIs), los integrantes responsables y los tres niveles de pruebas exigidos por la cátedra. La siguiente tabla consolida la trazabilidad absoluta entre Azure DevOps, Excel y el Informe Oficial:</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rPr>
          <w:cantSplit/>
          <w:tblHeader/>
        </w:trPr>
        <w:tc>
          <w:tcPr>
            <w:tcW w:type="dxa" w:w="2448"/>
            <w:shd w:val="clear" w:color="auto" w:fill="003366"/>
            <w:tcMar>
              <w:top w:w="70" w:type="dxa"/>
              <w:left w:w="90" w:type="dxa"/>
              <w:bottom w:w="70" w:type="dxa"/>
              <w:right w:w="90" w:type="dxa"/>
            </w:tcMar>
            <w:tcBorders>
              <w:top w:val="single" w:sz="6" w:space="0" w:color="002244"/>
              <w:bottom w:val="single" w:sz="6" w:space="0" w:color="002244"/>
              <w:left w:val="single" w:sz="6" w:space="0" w:color="002244"/>
              <w:right w:val="single" w:sz="6" w:space="0" w:color="002244"/>
            </w:tcBorders>
          </w:tcPr>
          <w:p>
            <w:pPr>
              <w:spacing w:after="0"/>
              <w:jc w:val="center"/>
            </w:pPr>
            <w:r>
              <w:rPr>
                <w:b/>
                <w:color w:val="FFFFFF"/>
                <w:sz w:val="18"/>
              </w:rPr>
              <w:t>Integrante / Usuario Azure</w:t>
            </w:r>
          </w:p>
        </w:tc>
        <w:tc>
          <w:tcPr>
            <w:tcW w:type="dxa" w:w="1728"/>
            <w:shd w:val="clear" w:color="auto" w:fill="003366"/>
            <w:tcMar>
              <w:top w:w="70" w:type="dxa"/>
              <w:left w:w="90" w:type="dxa"/>
              <w:bottom w:w="70" w:type="dxa"/>
              <w:right w:w="90" w:type="dxa"/>
            </w:tcMar>
            <w:tcBorders>
              <w:top w:val="single" w:sz="6" w:space="0" w:color="002244"/>
              <w:bottom w:val="single" w:sz="6" w:space="0" w:color="002244"/>
              <w:left w:val="single" w:sz="6" w:space="0" w:color="002244"/>
              <w:right w:val="single" w:sz="6" w:space="0" w:color="002244"/>
            </w:tcBorders>
          </w:tcPr>
          <w:p>
            <w:pPr>
              <w:spacing w:after="0"/>
              <w:jc w:val="center"/>
            </w:pPr>
            <w:r>
              <w:rPr>
                <w:b/>
                <w:color w:val="FFFFFF"/>
                <w:sz w:val="18"/>
              </w:rPr>
              <w:t>PBI Asignado</w:t>
            </w:r>
          </w:p>
        </w:tc>
        <w:tc>
          <w:tcPr>
            <w:tcW w:type="dxa" w:w="1584"/>
            <w:shd w:val="clear" w:color="auto" w:fill="003366"/>
            <w:tcMar>
              <w:top w:w="70" w:type="dxa"/>
              <w:left w:w="90" w:type="dxa"/>
              <w:bottom w:w="70" w:type="dxa"/>
              <w:right w:w="90" w:type="dxa"/>
            </w:tcMar>
            <w:tcBorders>
              <w:top w:val="single" w:sz="6" w:space="0" w:color="002244"/>
              <w:bottom w:val="single" w:sz="6" w:space="0" w:color="002244"/>
              <w:left w:val="single" w:sz="6" w:space="0" w:color="002244"/>
              <w:right w:val="single" w:sz="6" w:space="0" w:color="002244"/>
            </w:tcBorders>
          </w:tcPr>
          <w:p>
            <w:pPr>
              <w:spacing w:after="0"/>
              <w:jc w:val="center"/>
            </w:pPr>
            <w:r>
              <w:rPr>
                <w:b/>
                <w:color w:val="FFFFFF"/>
                <w:sz w:val="18"/>
              </w:rPr>
              <w:t>Pruebas Unitarias</w:t>
              <w:br/>
              <w:t>(xUnit + Moq)</w:t>
            </w:r>
          </w:p>
        </w:tc>
        <w:tc>
          <w:tcPr>
            <w:tcW w:type="dxa" w:w="1584"/>
            <w:shd w:val="clear" w:color="auto" w:fill="003366"/>
            <w:tcMar>
              <w:top w:w="70" w:type="dxa"/>
              <w:left w:w="90" w:type="dxa"/>
              <w:bottom w:w="70" w:type="dxa"/>
              <w:right w:w="90" w:type="dxa"/>
            </w:tcMar>
            <w:tcBorders>
              <w:top w:val="single" w:sz="6" w:space="0" w:color="002244"/>
              <w:bottom w:val="single" w:sz="6" w:space="0" w:color="002244"/>
              <w:left w:val="single" w:sz="6" w:space="0" w:color="002244"/>
              <w:right w:val="single" w:sz="6" w:space="0" w:color="002244"/>
            </w:tcBorders>
          </w:tcPr>
          <w:p>
            <w:pPr>
              <w:spacing w:after="0"/>
              <w:jc w:val="center"/>
            </w:pPr>
            <w:r>
              <w:rPr>
                <w:b/>
                <w:color w:val="FFFFFF"/>
                <w:sz w:val="18"/>
              </w:rPr>
              <w:t>Pruebas de API</w:t>
              <w:br/>
              <w:t>(TestHost)</w:t>
            </w:r>
          </w:p>
        </w:tc>
        <w:tc>
          <w:tcPr>
            <w:tcW w:type="dxa" w:w="1584"/>
            <w:shd w:val="clear" w:color="auto" w:fill="003366"/>
            <w:tcMar>
              <w:top w:w="70" w:type="dxa"/>
              <w:left w:w="90" w:type="dxa"/>
              <w:bottom w:w="70" w:type="dxa"/>
              <w:right w:w="90" w:type="dxa"/>
            </w:tcMar>
            <w:tcBorders>
              <w:top w:val="single" w:sz="6" w:space="0" w:color="002244"/>
              <w:bottom w:val="single" w:sz="6" w:space="0" w:color="002244"/>
              <w:left w:val="single" w:sz="6" w:space="0" w:color="002244"/>
              <w:right w:val="single" w:sz="6" w:space="0" w:color="002244"/>
            </w:tcBorders>
          </w:tcPr>
          <w:p>
            <w:pPr>
              <w:spacing w:after="0"/>
              <w:jc w:val="center"/>
            </w:pPr>
            <w:r>
              <w:rPr>
                <w:b/>
                <w:color w:val="FFFFFF"/>
                <w:sz w:val="18"/>
              </w:rPr>
              <w:t>Pruebas Aceptación</w:t>
              <w:br/>
              <w:t>(Azure Test Plans)</w:t>
            </w:r>
          </w:p>
        </w:tc>
        <w:tc>
          <w:tcPr>
            <w:tcW w:type="dxa" w:w="576"/>
            <w:shd w:val="clear" w:color="auto" w:fill="003366"/>
            <w:tcMar>
              <w:top w:w="70" w:type="dxa"/>
              <w:left w:w="90" w:type="dxa"/>
              <w:bottom w:w="70" w:type="dxa"/>
              <w:right w:w="90" w:type="dxa"/>
            </w:tcMar>
            <w:tcBorders>
              <w:top w:val="single" w:sz="6" w:space="0" w:color="002244"/>
              <w:bottom w:val="single" w:sz="6" w:space="0" w:color="002244"/>
              <w:left w:val="single" w:sz="6" w:space="0" w:color="002244"/>
              <w:right w:val="single" w:sz="6" w:space="0" w:color="002244"/>
            </w:tcBorders>
          </w:tcPr>
          <w:p>
            <w:pPr>
              <w:spacing w:after="0"/>
              <w:jc w:val="center"/>
            </w:pPr>
            <w:r>
              <w:rPr>
                <w:b/>
                <w:color w:val="FFFFFF"/>
                <w:sz w:val="18"/>
              </w:rPr>
              <w:t>Total</w:t>
            </w:r>
          </w:p>
        </w:tc>
        <w:tc>
          <w:tcPr>
            <w:tcW w:type="dxa" w:w="1440"/>
            <w:shd w:val="clear" w:color="auto" w:fill="003366"/>
            <w:tcMar>
              <w:top w:w="70" w:type="dxa"/>
              <w:left w:w="90" w:type="dxa"/>
              <w:bottom w:w="70" w:type="dxa"/>
              <w:right w:w="90" w:type="dxa"/>
            </w:tcMar>
            <w:tcBorders>
              <w:top w:val="single" w:sz="6" w:space="0" w:color="002244"/>
              <w:bottom w:val="single" w:sz="6" w:space="0" w:color="002244"/>
              <w:left w:val="single" w:sz="6" w:space="0" w:color="002244"/>
              <w:right w:val="single" w:sz="6" w:space="0" w:color="002244"/>
            </w:tcBorders>
          </w:tcPr>
          <w:p>
            <w:pPr>
              <w:spacing w:after="0"/>
              <w:jc w:val="center"/>
            </w:pPr>
            <w:r>
              <w:rPr>
                <w:b/>
                <w:color w:val="FFFFFF"/>
                <w:sz w:val="18"/>
              </w:rPr>
              <w:t>Concordancia</w:t>
            </w:r>
          </w:p>
        </w:tc>
      </w:tr>
      <w:tr>
        <w:trPr>
          <w:cantSplit/>
        </w:trPr>
        <w:tc>
          <w:tcPr>
            <w:tcW w:type="dxa" w:w="2448"/>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Ariel Isai Ascencio Ramos</w:t>
              <w:br/>
              <w:t>(isai ascencio)</w:t>
            </w:r>
          </w:p>
        </w:tc>
        <w:tc>
          <w:tcPr>
            <w:tcW w:type="dxa" w:w="1728"/>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color w:val="24292F"/>
                <w:sz w:val="17"/>
              </w:rPr>
              <w:t>US-16 (#1040)</w:t>
              <w:br/>
              <w:t>Fechas y Tarifas</w:t>
            </w:r>
          </w:p>
        </w:tc>
        <w:tc>
          <w:tcPr>
            <w:tcW w:type="dxa" w:w="1584"/>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color w:val="24292F"/>
                <w:sz w:val="17"/>
              </w:rPr>
              <w:t>UT-01 a UT-06</w:t>
              <w:br/>
              <w:t>(6 casos)</w:t>
            </w:r>
          </w:p>
        </w:tc>
        <w:tc>
          <w:tcPr>
            <w:tcW w:type="dxa" w:w="1584"/>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color w:val="24292F"/>
                <w:sz w:val="17"/>
              </w:rPr>
              <w:t>API-01 a API-05</w:t>
              <w:br/>
              <w:t>(5 casos)</w:t>
            </w:r>
          </w:p>
        </w:tc>
        <w:tc>
          <w:tcPr>
            <w:tcW w:type="dxa" w:w="1584"/>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color w:val="24292F"/>
                <w:sz w:val="17"/>
              </w:rPr>
              <w:t>TC-01 (#1046)</w:t>
              <w:br/>
              <w:t>TC-07 (#1052)</w:t>
            </w:r>
          </w:p>
        </w:tc>
        <w:tc>
          <w:tcPr>
            <w:tcW w:type="dxa" w:w="576"/>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color w:val="24292F"/>
                <w:sz w:val="17"/>
              </w:rPr>
              <w:t>13</w:t>
            </w:r>
          </w:p>
        </w:tc>
        <w:tc>
          <w:tcPr>
            <w:tcW w:type="dxa" w:w="1440"/>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b/>
                <w:color w:val="1A7F37"/>
                <w:sz w:val="17"/>
              </w:rPr>
              <w:t>100% CONCUERDA</w:t>
            </w:r>
          </w:p>
        </w:tc>
      </w:tr>
      <w:tr>
        <w:trPr>
          <w:cantSplit/>
        </w:trPr>
        <w:tc>
          <w:tcPr>
            <w:tcW w:type="dxa" w:w="2448"/>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Joselin Esmeralda Herrera Flores</w:t>
              <w:br/>
              <w:t>(Joselin Herrera)</w:t>
            </w:r>
          </w:p>
        </w:tc>
        <w:tc>
          <w:tcPr>
            <w:tcW w:type="dxa" w:w="1728"/>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color w:val="24292F"/>
                <w:sz w:val="17"/>
              </w:rPr>
              <w:t>US-15 (#1037)</w:t>
              <w:br/>
              <w:t>Disponibilidad y Reportes</w:t>
            </w:r>
          </w:p>
        </w:tc>
        <w:tc>
          <w:tcPr>
            <w:tcW w:type="dxa" w:w="1584"/>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color w:val="24292F"/>
                <w:sz w:val="17"/>
              </w:rPr>
              <w:t>UT-07 a UT-12</w:t>
              <w:br/>
              <w:t>(6 casos)</w:t>
            </w:r>
          </w:p>
        </w:tc>
        <w:tc>
          <w:tcPr>
            <w:tcW w:type="dxa" w:w="1584"/>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color w:val="24292F"/>
                <w:sz w:val="17"/>
              </w:rPr>
              <w:t>API-06 a API-08</w:t>
              <w:br/>
              <w:t>(3 casos)</w:t>
            </w:r>
          </w:p>
        </w:tc>
        <w:tc>
          <w:tcPr>
            <w:tcW w:type="dxa" w:w="1584"/>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color w:val="24292F"/>
                <w:sz w:val="17"/>
              </w:rPr>
              <w:t>TC-04 (#1049)</w:t>
              <w:br/>
              <w:t>TC-05 (#1050)</w:t>
            </w:r>
          </w:p>
        </w:tc>
        <w:tc>
          <w:tcPr>
            <w:tcW w:type="dxa" w:w="576"/>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color w:val="24292F"/>
                <w:sz w:val="17"/>
              </w:rPr>
              <w:t>11</w:t>
            </w:r>
          </w:p>
        </w:tc>
        <w:tc>
          <w:tcPr>
            <w:tcW w:type="dxa" w:w="1440"/>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b/>
                <w:color w:val="1A7F37"/>
                <w:sz w:val="17"/>
              </w:rPr>
              <w:t>100% CONCUERDA</w:t>
            </w:r>
          </w:p>
        </w:tc>
      </w:tr>
      <w:tr>
        <w:trPr>
          <w:cantSplit/>
        </w:trPr>
        <w:tc>
          <w:tcPr>
            <w:tcW w:type="dxa" w:w="2448"/>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Carlos Alonso Miranda Rivas</w:t>
              <w:br/>
              <w:t>(Alonso Rivas)</w:t>
            </w:r>
          </w:p>
        </w:tc>
        <w:tc>
          <w:tcPr>
            <w:tcW w:type="dxa" w:w="1728"/>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color w:val="24292F"/>
                <w:sz w:val="17"/>
              </w:rPr>
              <w:t>US-14 (#1034)</w:t>
              <w:br/>
              <w:t>Consultas y RBAC</w:t>
            </w:r>
          </w:p>
        </w:tc>
        <w:tc>
          <w:tcPr>
            <w:tcW w:type="dxa" w:w="1584"/>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color w:val="24292F"/>
                <w:sz w:val="17"/>
              </w:rPr>
              <w:t>UT-13 a UT-16</w:t>
              <w:br/>
              <w:t>(4 casos)</w:t>
            </w:r>
          </w:p>
        </w:tc>
        <w:tc>
          <w:tcPr>
            <w:tcW w:type="dxa" w:w="1584"/>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color w:val="24292F"/>
                <w:sz w:val="17"/>
              </w:rPr>
              <w:t>API-09 a API-12</w:t>
              <w:br/>
              <w:t>(4 casos)</w:t>
            </w:r>
          </w:p>
        </w:tc>
        <w:tc>
          <w:tcPr>
            <w:tcW w:type="dxa" w:w="1584"/>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color w:val="24292F"/>
                <w:sz w:val="17"/>
              </w:rPr>
              <w:t>TC-02 (#1047)</w:t>
              <w:br/>
              <w:t>TC-08 (#1053)</w:t>
            </w:r>
          </w:p>
        </w:tc>
        <w:tc>
          <w:tcPr>
            <w:tcW w:type="dxa" w:w="576"/>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color w:val="24292F"/>
                <w:sz w:val="17"/>
              </w:rPr>
              <w:t>10</w:t>
            </w:r>
          </w:p>
        </w:tc>
        <w:tc>
          <w:tcPr>
            <w:tcW w:type="dxa" w:w="1440"/>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b/>
                <w:color w:val="1A7F37"/>
                <w:sz w:val="17"/>
              </w:rPr>
              <w:t>100% CONCUERDA</w:t>
            </w:r>
          </w:p>
        </w:tc>
      </w:tr>
      <w:tr>
        <w:trPr>
          <w:cantSplit/>
        </w:trPr>
        <w:tc>
          <w:tcPr>
            <w:tcW w:type="dxa" w:w="2448"/>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Camila Antonia Calderón Cortez</w:t>
              <w:br/>
              <w:t>(cami calderon)</w:t>
            </w:r>
          </w:p>
        </w:tc>
        <w:tc>
          <w:tcPr>
            <w:tcW w:type="dxa" w:w="1728"/>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color w:val="24292F"/>
                <w:sz w:val="17"/>
              </w:rPr>
              <w:t>US-SEC-01 (#1043)</w:t>
              <w:br/>
              <w:t>Mutación y CRUD</w:t>
            </w:r>
          </w:p>
        </w:tc>
        <w:tc>
          <w:tcPr>
            <w:tcW w:type="dxa" w:w="1584"/>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color w:val="24292F"/>
                <w:sz w:val="17"/>
              </w:rPr>
              <w:t>UT-17 a UT-21</w:t>
              <w:br/>
              <w:t>(5 casos)</w:t>
            </w:r>
          </w:p>
        </w:tc>
        <w:tc>
          <w:tcPr>
            <w:tcW w:type="dxa" w:w="1584"/>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color w:val="24292F"/>
                <w:sz w:val="17"/>
              </w:rPr>
              <w:t>API-13 a API-16</w:t>
              <w:br/>
              <w:t>(4 casos)</w:t>
            </w:r>
          </w:p>
        </w:tc>
        <w:tc>
          <w:tcPr>
            <w:tcW w:type="dxa" w:w="1584"/>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color w:val="24292F"/>
                <w:sz w:val="17"/>
              </w:rPr>
              <w:t>TC-03 (#1048)</w:t>
              <w:br/>
              <w:t>TC-06 (#1051)</w:t>
            </w:r>
          </w:p>
        </w:tc>
        <w:tc>
          <w:tcPr>
            <w:tcW w:type="dxa" w:w="576"/>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color w:val="24292F"/>
                <w:sz w:val="17"/>
              </w:rPr>
              <w:t>11</w:t>
            </w:r>
          </w:p>
        </w:tc>
        <w:tc>
          <w:tcPr>
            <w:tcW w:type="dxa" w:w="1440"/>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b/>
                <w:color w:val="1A7F37"/>
                <w:sz w:val="17"/>
              </w:rPr>
              <w:t>100% CONCUERDA</w:t>
            </w:r>
          </w:p>
        </w:tc>
      </w:tr>
      <w:tr>
        <w:trPr>
          <w:cantSplit/>
        </w:trPr>
        <w:tc>
          <w:tcPr>
            <w:tcW w:type="dxa" w:w="2448"/>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TOTALES GENERALES</w:t>
            </w:r>
          </w:p>
        </w:tc>
        <w:tc>
          <w:tcPr>
            <w:tcW w:type="dxa" w:w="1728"/>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color w:val="24292F"/>
                <w:sz w:val="17"/>
              </w:rPr>
              <w:t>4 Historias PBI</w:t>
            </w:r>
          </w:p>
        </w:tc>
        <w:tc>
          <w:tcPr>
            <w:tcW w:type="dxa" w:w="1584"/>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color w:val="24292F"/>
                <w:sz w:val="17"/>
              </w:rPr>
              <w:t>21 Casos (46.7%)</w:t>
            </w:r>
          </w:p>
        </w:tc>
        <w:tc>
          <w:tcPr>
            <w:tcW w:type="dxa" w:w="1584"/>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color w:val="24292F"/>
                <w:sz w:val="17"/>
              </w:rPr>
              <w:t>16 Casos (35.5%)</w:t>
            </w:r>
          </w:p>
        </w:tc>
        <w:tc>
          <w:tcPr>
            <w:tcW w:type="dxa" w:w="1584"/>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color w:val="24292F"/>
                <w:sz w:val="17"/>
              </w:rPr>
              <w:t>8 Casos (17.8%)</w:t>
            </w:r>
          </w:p>
        </w:tc>
        <w:tc>
          <w:tcPr>
            <w:tcW w:type="dxa" w:w="576"/>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color w:val="24292F"/>
                <w:sz w:val="17"/>
              </w:rPr>
              <w:t>45</w:t>
            </w:r>
          </w:p>
        </w:tc>
        <w:tc>
          <w:tcPr>
            <w:tcW w:type="dxa" w:w="1440"/>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b/>
                <w:color w:val="1A7F37"/>
                <w:sz w:val="17"/>
              </w:rPr>
              <w:t>100% CERTIFICADO</w:t>
            </w:r>
          </w:p>
        </w:tc>
      </w:tr>
    </w:tbl>
    <w:p>
      <w:pPr>
        <w:spacing w:after="80"/>
      </w:pPr>
    </w:p>
    <w:p>
      <w:pPr>
        <w:keepNext/>
        <w:spacing w:before="240" w:after="80"/>
      </w:pPr>
      <w:r>
        <w:rPr>
          <w:rFonts w:ascii="Calibri" w:hAnsi="Calibri"/>
          <w:b/>
          <w:color w:val="003366"/>
          <w:sz w:val="27"/>
        </w:rPr>
        <w:t>3. Auditoría de Cumplimiento de Indicaciones del Docente</w:t>
      </w:r>
    </w:p>
    <w:p>
      <w:pPr>
        <w:spacing w:after="80" w:line="276" w:lineRule="auto"/>
        <w:jc w:val="both"/>
      </w:pPr>
      <w:r>
        <w:rPr>
          <w:b w:val="0"/>
          <w:i w:val="0"/>
          <w:color w:val="24292F"/>
          <w:sz w:val="20"/>
        </w:rPr>
        <w:t>A continuación se evalúa de forma detallada el cumplimiento de cada una de las directrices instruidas por el docente Gerber Alexis Gómez Hidalgo:</w:t>
      </w:r>
    </w:p>
    <w:tbl>
      <w:tblPr>
        <w:tblW w:type="auto" w:w="0"/>
        <w:jc w:val="center"/>
        <w:tblLayout w:type="fixed"/>
        <w:tblLook w:firstColumn="1" w:firstRow="1" w:lastColumn="0" w:lastRow="0" w:noHBand="0" w:noVBand="1" w:val="04A0"/>
      </w:tblPr>
      <w:tblGrid>
        <w:gridCol w:w="2520"/>
        <w:gridCol w:w="2520"/>
        <w:gridCol w:w="2520"/>
        <w:gridCol w:w="2520"/>
      </w:tblGrid>
      <w:tr>
        <w:trPr>
          <w:cantSplit/>
          <w:tblHeader/>
        </w:trPr>
        <w:tc>
          <w:tcPr>
            <w:tcW w:type="dxa" w:w="2592"/>
            <w:shd w:val="clear" w:color="auto" w:fill="003366"/>
            <w:tcMar>
              <w:top w:w="70" w:type="dxa"/>
              <w:left w:w="90" w:type="dxa"/>
              <w:bottom w:w="70" w:type="dxa"/>
              <w:right w:w="90" w:type="dxa"/>
            </w:tcMar>
            <w:tcBorders>
              <w:top w:val="single" w:sz="6" w:space="0" w:color="002244"/>
              <w:bottom w:val="single" w:sz="6" w:space="0" w:color="002244"/>
              <w:left w:val="single" w:sz="6" w:space="0" w:color="002244"/>
              <w:right w:val="single" w:sz="6" w:space="0" w:color="002244"/>
            </w:tcBorders>
          </w:tcPr>
          <w:p>
            <w:pPr>
              <w:spacing w:after="0"/>
              <w:jc w:val="center"/>
            </w:pPr>
            <w:r>
              <w:rPr>
                <w:b/>
                <w:color w:val="FFFFFF"/>
                <w:sz w:val="18"/>
              </w:rPr>
              <w:t>Indicación / Requerimiento del Docente</w:t>
            </w:r>
          </w:p>
        </w:tc>
        <w:tc>
          <w:tcPr>
            <w:tcW w:type="dxa" w:w="2592"/>
            <w:shd w:val="clear" w:color="auto" w:fill="003366"/>
            <w:tcMar>
              <w:top w:w="70" w:type="dxa"/>
              <w:left w:w="90" w:type="dxa"/>
              <w:bottom w:w="70" w:type="dxa"/>
              <w:right w:w="90" w:type="dxa"/>
            </w:tcMar>
            <w:tcBorders>
              <w:top w:val="single" w:sz="6" w:space="0" w:color="002244"/>
              <w:bottom w:val="single" w:sz="6" w:space="0" w:color="002244"/>
              <w:left w:val="single" w:sz="6" w:space="0" w:color="002244"/>
              <w:right w:val="single" w:sz="6" w:space="0" w:color="002244"/>
            </w:tcBorders>
          </w:tcPr>
          <w:p>
            <w:pPr>
              <w:spacing w:after="0"/>
              <w:jc w:val="center"/>
            </w:pPr>
            <w:r>
              <w:rPr>
                <w:b/>
                <w:color w:val="FFFFFF"/>
                <w:sz w:val="18"/>
              </w:rPr>
              <w:t>Criterio de Evaluación</w:t>
            </w:r>
          </w:p>
        </w:tc>
        <w:tc>
          <w:tcPr>
            <w:tcW w:type="dxa" w:w="3600"/>
            <w:shd w:val="clear" w:color="auto" w:fill="003366"/>
            <w:tcMar>
              <w:top w:w="70" w:type="dxa"/>
              <w:left w:w="90" w:type="dxa"/>
              <w:bottom w:w="70" w:type="dxa"/>
              <w:right w:w="90" w:type="dxa"/>
            </w:tcMar>
            <w:tcBorders>
              <w:top w:val="single" w:sz="6" w:space="0" w:color="002244"/>
              <w:bottom w:val="single" w:sz="6" w:space="0" w:color="002244"/>
              <w:left w:val="single" w:sz="6" w:space="0" w:color="002244"/>
              <w:right w:val="single" w:sz="6" w:space="0" w:color="002244"/>
            </w:tcBorders>
          </w:tcPr>
          <w:p>
            <w:pPr>
              <w:spacing w:after="0"/>
              <w:jc w:val="center"/>
            </w:pPr>
            <w:r>
              <w:rPr>
                <w:b/>
                <w:color w:val="FFFFFF"/>
                <w:sz w:val="18"/>
              </w:rPr>
              <w:t>Evidencia en el Entregable</w:t>
            </w:r>
          </w:p>
        </w:tc>
        <w:tc>
          <w:tcPr>
            <w:tcW w:type="dxa" w:w="1296"/>
            <w:shd w:val="clear" w:color="auto" w:fill="003366"/>
            <w:tcMar>
              <w:top w:w="70" w:type="dxa"/>
              <w:left w:w="90" w:type="dxa"/>
              <w:bottom w:w="70" w:type="dxa"/>
              <w:right w:w="90" w:type="dxa"/>
            </w:tcMar>
            <w:tcBorders>
              <w:top w:val="single" w:sz="6" w:space="0" w:color="002244"/>
              <w:bottom w:val="single" w:sz="6" w:space="0" w:color="002244"/>
              <w:left w:val="single" w:sz="6" w:space="0" w:color="002244"/>
              <w:right w:val="single" w:sz="6" w:space="0" w:color="002244"/>
            </w:tcBorders>
          </w:tcPr>
          <w:p>
            <w:pPr>
              <w:spacing w:after="0"/>
              <w:jc w:val="center"/>
            </w:pPr>
            <w:r>
              <w:rPr>
                <w:b/>
                <w:color w:val="FFFFFF"/>
                <w:sz w:val="18"/>
              </w:rPr>
              <w:t>Dictamen</w:t>
            </w:r>
          </w:p>
        </w:tc>
      </w:tr>
      <w:tr>
        <w:trPr>
          <w:cantSplit/>
        </w:trPr>
        <w:tc>
          <w:tcPr>
            <w:tcW w:type="dxa" w:w="2592"/>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Estructura sin Portada Tradicional</w:t>
            </w:r>
          </w:p>
        </w:tc>
        <w:tc>
          <w:tcPr>
            <w:tcW w:type="dxa" w:w="2592"/>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No debe incluir portada clásica con logos masivos ni hojas en blanco.</w:t>
            </w:r>
          </w:p>
        </w:tc>
        <w:tc>
          <w:tcPr>
            <w:tcW w:type="dxa" w:w="3600"/>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Inicia directamente con título institucional y Sección 1: Introducción.</w:t>
            </w:r>
          </w:p>
        </w:tc>
        <w:tc>
          <w:tcPr>
            <w:tcW w:type="dxa" w:w="1296"/>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b/>
                <w:color w:val="1A7F37"/>
                <w:sz w:val="17"/>
              </w:rPr>
              <w:t>CUMPLE AL 100%</w:t>
            </w:r>
          </w:p>
        </w:tc>
      </w:tr>
      <w:tr>
        <w:trPr>
          <w:cantSplit/>
        </w:trPr>
        <w:tc>
          <w:tcPr>
            <w:tcW w:type="dxa" w:w="2592"/>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Introducción y Objetivos Separados</w:t>
            </w:r>
          </w:p>
        </w:tc>
        <w:tc>
          <w:tcPr>
            <w:tcW w:type="dxa" w:w="2592"/>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Secciones claramente diferenciadas, no fusionadas.</w:t>
            </w:r>
          </w:p>
        </w:tc>
        <w:tc>
          <w:tcPr>
            <w:tcW w:type="dxa" w:w="3600"/>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Sección 1 (Introducción) y Sección 2 (Objetivos General y Específicos).</w:t>
            </w:r>
          </w:p>
        </w:tc>
        <w:tc>
          <w:tcPr>
            <w:tcW w:type="dxa" w:w="1296"/>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b/>
                <w:color w:val="1A7F37"/>
                <w:sz w:val="17"/>
              </w:rPr>
              <w:t>CUMPLE AL 100%</w:t>
            </w:r>
          </w:p>
        </w:tc>
      </w:tr>
      <w:tr>
        <w:trPr>
          <w:cantSplit/>
        </w:trPr>
        <w:tc>
          <w:tcPr>
            <w:tcW w:type="dxa" w:w="2592"/>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Tres Niveles Formales de Pruebas</w:t>
            </w:r>
          </w:p>
        </w:tc>
        <w:tc>
          <w:tcPr>
            <w:tcW w:type="dxa" w:w="2592"/>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Cobertura obligatoria de Unitarias, Aceptación y API.</w:t>
            </w:r>
          </w:p>
        </w:tc>
        <w:tc>
          <w:tcPr>
            <w:tcW w:type="dxa" w:w="3600"/>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Sección 3 documenta 21 Unitarias, 16 de API y 8 de Aceptación (45 casos).</w:t>
            </w:r>
          </w:p>
        </w:tc>
        <w:tc>
          <w:tcPr>
            <w:tcW w:type="dxa" w:w="1296"/>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b/>
                <w:color w:val="1A7F37"/>
                <w:sz w:val="17"/>
              </w:rPr>
              <w:t>CUMPLE AL 100%</w:t>
            </w:r>
          </w:p>
        </w:tc>
      </w:tr>
      <w:tr>
        <w:trPr>
          <w:cantSplit/>
        </w:trPr>
        <w:tc>
          <w:tcPr>
            <w:tcW w:type="dxa" w:w="2592"/>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Código con Formato y Tema Oscuro</w:t>
            </w:r>
          </w:p>
        </w:tc>
        <w:tc>
          <w:tcPr>
            <w:tcW w:type="dxa" w:w="2592"/>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Estilo Visual Studio Dark (#1E1E1E) con sintaxis C#.</w:t>
            </w:r>
          </w:p>
        </w:tc>
        <w:tc>
          <w:tcPr>
            <w:tcW w:type="dxa" w:w="3600"/>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Bloques con fondo oscuro, Consolas y coloreado exacto de C# (VS 2022).</w:t>
            </w:r>
          </w:p>
        </w:tc>
        <w:tc>
          <w:tcPr>
            <w:tcW w:type="dxa" w:w="1296"/>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b/>
                <w:color w:val="1A7F37"/>
                <w:sz w:val="17"/>
              </w:rPr>
              <w:t>CUMPLE AL 100%</w:t>
            </w:r>
          </w:p>
        </w:tc>
      </w:tr>
      <w:tr>
        <w:trPr>
          <w:cantSplit/>
        </w:trPr>
        <w:tc>
          <w:tcPr>
            <w:tcW w:type="dxa" w:w="2592"/>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Capturas Oficiales de Azure DevOps</w:t>
            </w:r>
          </w:p>
        </w:tc>
        <w:tc>
          <w:tcPr>
            <w:tcW w:type="dxa" w:w="2592"/>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Capturas reales tomadas del proyecto propio, no plantillas.</w:t>
            </w:r>
          </w:p>
        </w:tc>
        <w:tc>
          <w:tcPr>
            <w:tcW w:type="dxa" w:w="3600"/>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5 figuras incrustadas de cc25003/SistemaReservaHotel-QA.</w:t>
            </w:r>
          </w:p>
        </w:tc>
        <w:tc>
          <w:tcPr>
            <w:tcW w:type="dxa" w:w="1296"/>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b/>
                <w:color w:val="1A7F37"/>
                <w:sz w:val="17"/>
              </w:rPr>
              <w:t>CUMPLE AL 100%</w:t>
            </w:r>
          </w:p>
        </w:tc>
      </w:tr>
      <w:tr>
        <w:trPr>
          <w:cantSplit/>
        </w:trPr>
        <w:tc>
          <w:tcPr>
            <w:tcW w:type="dxa" w:w="2592"/>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Exclusión de Sección de Bugs</w:t>
            </w:r>
          </w:p>
        </w:tc>
        <w:tc>
          <w:tcPr>
            <w:tcW w:type="dxa" w:w="2592"/>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Enfocarse en casos de prueba sin desviar a sección de defectos.</w:t>
            </w:r>
          </w:p>
        </w:tc>
        <w:tc>
          <w:tcPr>
            <w:tcW w:type="dxa" w:w="3600"/>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b/>
                <w:color w:val="1A7F37"/>
                <w:sz w:val="17"/>
              </w:rPr>
              <w:t>Eliminada mención de Bug #1056; 100% Pass Rate consolidado en Sección 3.5.</w:t>
            </w:r>
          </w:p>
        </w:tc>
        <w:tc>
          <w:tcPr>
            <w:tcW w:type="dxa" w:w="1296"/>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b/>
                <w:color w:val="1A7F37"/>
                <w:sz w:val="17"/>
              </w:rPr>
              <w:t>CUMPLE AL 100%</w:t>
            </w:r>
          </w:p>
        </w:tc>
      </w:tr>
      <w:tr>
        <w:trPr>
          <w:cantSplit/>
        </w:trPr>
        <w:tc>
          <w:tcPr>
            <w:tcW w:type="dxa" w:w="2592"/>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Reflexiones Individuales de Integrantes</w:t>
            </w:r>
          </w:p>
        </w:tc>
        <w:tc>
          <w:tcPr>
            <w:tcW w:type="dxa" w:w="2592"/>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Párrafo analítico por cada uno de los 4 estudiantes.</w:t>
            </w:r>
          </w:p>
        </w:tc>
        <w:tc>
          <w:tcPr>
            <w:tcW w:type="dxa" w:w="3600"/>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Sección 5 contiene las reflexiones de Ariel, Joselin, Carlos y Camila.</w:t>
            </w:r>
          </w:p>
        </w:tc>
        <w:tc>
          <w:tcPr>
            <w:tcW w:type="dxa" w:w="1296"/>
            <w:shd w:val="clear" w:color="auto" w:fill="FFFFFF"/>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b/>
                <w:color w:val="1A7F37"/>
                <w:sz w:val="17"/>
              </w:rPr>
              <w:t>CUMPLE AL 100%</w:t>
            </w:r>
          </w:p>
        </w:tc>
      </w:tr>
      <w:tr>
        <w:trPr>
          <w:cantSplit/>
        </w:trPr>
        <w:tc>
          <w:tcPr>
            <w:tcW w:type="dxa" w:w="2592"/>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Enlace a GitHub al Final del Informe</w:t>
            </w:r>
          </w:p>
        </w:tc>
        <w:tc>
          <w:tcPr>
            <w:tcW w:type="dxa" w:w="2592"/>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Hipervínculo funcional al repositorio al cierre del doc.</w:t>
            </w:r>
          </w:p>
        </w:tc>
        <w:tc>
          <w:tcPr>
            <w:tcW w:type="dxa" w:w="3600"/>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left"/>
            </w:pPr>
            <w:r>
              <w:rPr>
                <w:color w:val="24292F"/>
                <w:sz w:val="17"/>
              </w:rPr>
              <w:t>Sección 6 incluye enlace clickable a legoshi621/SistemaReservaHotel-QA.</w:t>
            </w:r>
          </w:p>
        </w:tc>
        <w:tc>
          <w:tcPr>
            <w:tcW w:type="dxa" w:w="1296"/>
            <w:shd w:val="clear" w:color="auto" w:fill="F8FAFC"/>
            <w:tcMar>
              <w:top w:w="55" w:type="dxa"/>
              <w:left w:w="90" w:type="dxa"/>
              <w:bottom w:w="55" w:type="dxa"/>
              <w:right w:w="90" w:type="dxa"/>
            </w:tcMar>
            <w:tcBorders>
              <w:top w:val="single" w:sz="4" w:space="0" w:color="D0D7DE"/>
              <w:bottom w:val="single" w:sz="4" w:space="0" w:color="D0D7DE"/>
              <w:left w:val="single" w:sz="4" w:space="0" w:color="D0D7DE"/>
              <w:right w:val="single" w:sz="4" w:space="0" w:color="D0D7DE"/>
            </w:tcBorders>
          </w:tcPr>
          <w:p>
            <w:pPr>
              <w:spacing w:after="0" w:line="264" w:lineRule="auto"/>
              <w:jc w:val="center"/>
            </w:pPr>
            <w:r>
              <w:rPr>
                <w:b/>
                <w:color w:val="1A7F37"/>
                <w:sz w:val="17"/>
              </w:rPr>
              <w:t>CUMPLE AL 100%</w:t>
            </w:r>
          </w:p>
        </w:tc>
      </w:tr>
    </w:tbl>
    <w:p>
      <w:pPr>
        <w:spacing w:after="80"/>
      </w:pPr>
    </w:p>
    <w:p>
      <w:pPr>
        <w:keepNext/>
        <w:spacing w:before="240" w:after="80"/>
      </w:pPr>
      <w:r>
        <w:rPr>
          <w:rFonts w:ascii="Calibri" w:hAnsi="Calibri"/>
          <w:b/>
          <w:color w:val="003366"/>
          <w:sz w:val="27"/>
        </w:rPr>
        <w:t>4. Auditoría de la Plantilla Excel y Trazabilidad a Azure</w:t>
      </w:r>
    </w:p>
    <w:p>
      <w:pPr>
        <w:spacing w:after="80" w:line="276" w:lineRule="auto"/>
        <w:jc w:val="both"/>
      </w:pPr>
      <w:r>
        <w:rPr>
          <w:b w:val="0"/>
          <w:i w:val="0"/>
          <w:color w:val="24292F"/>
          <w:sz w:val="20"/>
        </w:rPr>
        <w:t>La plantilla de planificación de pruebas (archivo Plantilla_Planificacion_Pruebas_SistemaReservaHotel.xlsx) fue examinada celda por celda en sus tres hojas de cálculo:</w:t>
      </w:r>
    </w:p>
    <w:p>
      <w:pPr>
        <w:pStyle w:val="ListBullet"/>
        <w:spacing w:after="40" w:line="269" w:lineRule="auto"/>
        <w:jc w:val="both"/>
      </w:pPr>
      <w:r>
        <w:rPr>
          <w:b/>
          <w:color w:val="24292F"/>
          <w:sz w:val="19"/>
        </w:rPr>
        <w:t xml:space="preserve">📋 </w:t>
      </w:r>
      <w:r>
        <w:rPr>
          <w:color w:val="24292F"/>
          <w:sz w:val="19"/>
        </w:rPr>
        <w:t>Pestaña 1 — Pruebas de Aceptación (UAT): Contiene 8 casos de prueba (TC-01 a TC-08). Cada registro define Identificador, Caso de Prueba, Descripción, Área Funcional, Datos de Entrada, Resultado Esperado, Procedimientos Especiales y trazabilidad explícita en la columna Observaciones hacia su respectivo PBI (#1034, #1037, #1040, #1043) y Work Item en Azure (#1046 a #1053).</w:t>
      </w:r>
    </w:p>
    <w:p>
      <w:pPr>
        <w:pStyle w:val="ListBullet"/>
        <w:spacing w:after="40" w:line="269" w:lineRule="auto"/>
        <w:jc w:val="both"/>
      </w:pPr>
      <w:r>
        <w:rPr>
          <w:b/>
          <w:color w:val="24292F"/>
          <w:sz w:val="19"/>
        </w:rPr>
        <w:t xml:space="preserve">🔌 </w:t>
      </w:r>
      <w:r>
        <w:rPr>
          <w:color w:val="24292F"/>
          <w:sz w:val="19"/>
        </w:rPr>
        <w:t>Pestaña 2 — Pruebas de API: Contiene 16 casos (API-01 a API-16) sobre los endpoints REST y MVC (/Reserva/Crear, /Disponibilidad, /Reserva/ObtenerPorDia, etc.), especificando payload JSON, código HTTP esperado (200 OK, 400 BadRequest) y tester responsable.</w:t>
      </w:r>
    </w:p>
    <w:p>
      <w:pPr>
        <w:pStyle w:val="ListBullet"/>
        <w:spacing w:after="40" w:line="269" w:lineRule="auto"/>
        <w:jc w:val="both"/>
      </w:pPr>
      <w:r>
        <w:rPr>
          <w:b/>
          <w:color w:val="24292F"/>
          <w:sz w:val="19"/>
        </w:rPr>
        <w:t xml:space="preserve">⚙️ </w:t>
      </w:r>
      <w:r>
        <w:rPr>
          <w:color w:val="24292F"/>
          <w:sz w:val="19"/>
        </w:rPr>
        <w:t>Pestaña 3 — Pruebas Unitarias: Contiene 21 casos (UT-01 a UT-21) cubriendo validadores cronológicos, catálogo en memoria con Moq, consultas aisladas de lectura y mutaciones transaccionales mediante Unit of Work.</w:t>
      </w:r>
    </w:p>
    <w:p>
      <w:pPr>
        <w:keepNext/>
        <w:spacing w:before="240" w:after="80"/>
      </w:pPr>
      <w:r>
        <w:rPr>
          <w:rFonts w:ascii="Calibri" w:hAnsi="Calibri"/>
          <w:b/>
          <w:color w:val="003366"/>
          <w:sz w:val="27"/>
        </w:rPr>
        <w:t>5. Auditoría de Git, GitHub y Gestión de Ramas</w:t>
      </w:r>
    </w:p>
    <w:p>
      <w:pPr>
        <w:spacing w:after="80" w:line="276" w:lineRule="auto"/>
        <w:jc w:val="both"/>
      </w:pPr>
      <w:r>
        <w:rPr>
          <w:b w:val="0"/>
          <w:i w:val="0"/>
          <w:color w:val="24292F"/>
          <w:sz w:val="20"/>
        </w:rPr>
        <w:t>Se resolvió la sobrecarga de archivos en el directorio raíz del repositorio y se verificó la sincronización con los servidores remotos:</w:t>
      </w:r>
    </w:p>
    <w:p>
      <w:pPr>
        <w:pStyle w:val="ListBullet"/>
        <w:spacing w:after="40" w:line="269" w:lineRule="auto"/>
        <w:jc w:val="both"/>
      </w:pPr>
      <w:r>
        <w:rPr>
          <w:b/>
          <w:color w:val="24292F"/>
          <w:sz w:val="19"/>
        </w:rPr>
        <w:t xml:space="preserve">🌿 </w:t>
      </w:r>
      <w:r>
        <w:rPr>
          <w:color w:val="24292F"/>
          <w:sz w:val="19"/>
        </w:rPr>
        <w:t>Ramas 'main' y 'develop': Se comprobó que ambas ramas contienen exactamente el mismo commit definitivo (fee0e67). La rama main actúa como release de producción que se visualiza por defecto en GitHub, mientras develop mantiene la integridad del flujo GitFlow.</w:t>
      </w:r>
    </w:p>
    <w:p>
      <w:pPr>
        <w:pStyle w:val="ListBullet"/>
        <w:spacing w:after="40" w:line="269" w:lineRule="auto"/>
        <w:jc w:val="both"/>
      </w:pPr>
      <w:r>
        <w:rPr>
          <w:b/>
          <w:color w:val="24292F"/>
          <w:sz w:val="19"/>
        </w:rPr>
        <w:t xml:space="preserve">📁 </w:t>
      </w:r>
      <w:r>
        <w:rPr>
          <w:color w:val="24292F"/>
          <w:sz w:val="19"/>
        </w:rPr>
        <w:t>Estructura Organizada en docs/: Se eliminaron 10 archivos Markdown y binarios sueltos en la raíz, reubicándolos en: docs/entregables/ (Word, PDF, Excel), docs/evidencias_integrantes/ (Markdown individuales), docs/capturas_azure/ (5 capturas oficiales) y docs/especificaciones_tecnicas/.</w:t>
      </w:r>
    </w:p>
    <w:p>
      <w:pPr>
        <w:pStyle w:val="ListBullet"/>
        <w:spacing w:after="40" w:line="269" w:lineRule="auto"/>
        <w:jc w:val="both"/>
      </w:pPr>
      <w:r>
        <w:rPr>
          <w:b/>
          <w:color w:val="24292F"/>
          <w:sz w:val="19"/>
        </w:rPr>
        <w:t xml:space="preserve">📖 </w:t>
      </w:r>
      <w:r>
        <w:rPr>
          <w:color w:val="24292F"/>
          <w:sz w:val="19"/>
        </w:rPr>
        <w:t>README Ejecutivo en la Raíz: Se redactó un README.md de nivel enterprise con badges de .NET 10, C# 13, Azure DevOps e ISO 29119, tabla de asignación por integrante, enlaces directos de descarga a los entregables y comandos para reproducir dotnet test.</w:t>
      </w:r>
    </w:p>
    <w:p>
      <w:pPr>
        <w:pStyle w:val="ListBullet"/>
        <w:spacing w:after="40" w:line="269" w:lineRule="auto"/>
        <w:jc w:val="both"/>
      </w:pPr>
      <w:r>
        <w:rPr>
          <w:b/>
          <w:color w:val="24292F"/>
          <w:sz w:val="19"/>
        </w:rPr>
        <w:t xml:space="preserve">🚀 </w:t>
      </w:r>
      <w:r>
        <w:rPr>
          <w:color w:val="24292F"/>
          <w:sz w:val="19"/>
        </w:rPr>
        <w:t>Sincronización Remota: Confirmado el push exitoso a GitHub (legoshi621/SistemaReservaHotel-QA) y a Azure Repos (cc25003/SistemaReservaHotel-QA) en ambas ramas.</w:t>
      </w:r>
    </w:p>
    <w:p>
      <w:pPr>
        <w:keepNext/>
        <w:spacing w:before="240" w:after="80"/>
      </w:pPr>
      <w:r>
        <w:rPr>
          <w:rFonts w:ascii="Calibri" w:hAnsi="Calibri"/>
          <w:b/>
          <w:color w:val="003366"/>
          <w:sz w:val="27"/>
        </w:rPr>
        <w:t>6. Dictamen y Certamen Final</w:t>
      </w:r>
    </w:p>
    <w:tbl>
      <w:tblPr>
        <w:tblW w:type="auto" w:w="0"/>
        <w:jc w:val="center"/>
        <w:tblLook w:firstColumn="1" w:firstRow="1" w:lastColumn="0" w:lastRow="0" w:noHBand="0" w:noVBand="1" w:val="04A0"/>
      </w:tblPr>
      <w:tblGrid>
        <w:gridCol w:w="10080"/>
      </w:tblGrid>
      <w:tr>
        <w:tc>
          <w:tcPr>
            <w:tcW w:type="dxa" w:w="10080"/>
            <w:shd w:val="clear" w:color="auto" w:fill="E6F4EA"/>
            <w:tcMar>
              <w:top w:w="80" w:type="dxa"/>
              <w:left w:w="140" w:type="dxa"/>
              <w:bottom w:w="80" w:type="dxa"/>
              <w:right w:w="120" w:type="dxa"/>
            </w:tcMar>
            <w:tcBorders>
              <w:left w:val="single" w:sz="24" w:space="0" w:color="1A7F37"/>
            </w:tcBorders>
          </w:tcPr>
          <w:p>
            <w:pPr>
              <w:spacing w:after="40" w:line="276" w:lineRule="auto"/>
            </w:pPr>
            <w:r>
              <w:rPr>
                <w:b/>
                <w:color w:val="1A7F37"/>
                <w:sz w:val="21"/>
              </w:rPr>
              <w:t>DICTAMEN DE CONFORMIDAD: APROBADO CON CALIFICACIÓN SOBRESALIENTE</w:t>
              <w:br/>
            </w:r>
            <w:r>
              <w:rPr>
                <w:color w:val="24292F"/>
                <w:sz w:val="19"/>
              </w:rPr>
              <w:t>El proyecto 'Sistema de Reserva de Hotel' cumple de manera rigurosa, exhaustiva y demostrable con todos los estándares de aseguramiento de la calidad de software bajo la norma ISO/IEC/IEEE 29119. La documentación, matrices de prueba, código fuente y entorno en Azure DevOps se encuentran en un estado de madurez óptimo para su defensa y evaluación final.</w:t>
            </w:r>
          </w:p>
        </w:tc>
      </w:tr>
    </w:tbl>
    <w:p>
      <w:pPr>
        <w:spacing w:after="80"/>
      </w:pPr>
    </w:p>
    <w:p>
      <w:pPr>
        <w:spacing w:after="160" w:line="276" w:lineRule="auto"/>
        <w:jc w:val="center"/>
      </w:pPr>
      <w:r>
        <w:rPr>
          <w:b w:val="0"/>
          <w:i/>
          <w:color w:val="24292F"/>
          <w:sz w:val="20"/>
        </w:rPr>
        <w:t>Emitido en San Salvador, El Salvador, a los 23 días del mes de octubre del año 2026.</w:t>
      </w:r>
    </w:p>
    <w:sectPr w:rsidR="00FC693F" w:rsidRPr="0006063C" w:rsidSect="00034616">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24292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