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03366"/>
          <w:sz w:val="26"/>
        </w:rPr>
        <w:t>ESCUELA SUPERIOR FRANCISCANA ESPECIALIZADA (ESFE - AGAPE)</w:t>
        <w:br/>
      </w:r>
      <w:r>
        <w:rPr>
          <w:rFonts w:ascii="Calibri" w:hAnsi="Calibri"/>
          <w:b/>
          <w:color w:val="505050"/>
          <w:sz w:val="22"/>
        </w:rPr>
        <w:t>CARRERA DE INGENIERÍA EN DESARROLLO DE SOFTWARE</w:t>
        <w:br/>
      </w:r>
      <w:r>
        <w:rPr>
          <w:rFonts w:ascii="Calibri" w:hAnsi="Calibri"/>
          <w:b/>
          <w:color w:val="0078D7"/>
          <w:sz w:val="21"/>
        </w:rPr>
        <w:t>MÓDULO: ASEGURAMIENTO DE LA CALIDAD DE SOFTWARE (QA)</w:t>
      </w:r>
    </w:p>
    <w:p>
      <w:pPr>
        <w:spacing w:before="280" w:after="280"/>
        <w:jc w:val="center"/>
      </w:pPr>
      <w:r>
        <w:rPr>
          <w:rFonts w:ascii="Calibri" w:hAnsi="Calibri"/>
          <w:b/>
          <w:color w:val="003366"/>
          <w:sz w:val="44"/>
        </w:rPr>
        <w:t>REPORTE FINAL DE EJECUCIÓN DE PRUEBAS</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4680"/>
        <w:gridCol w:w="4680"/>
      </w:tblGrid>
      <w:tr>
        <w:tc>
          <w:tcPr>
            <w:tcW w:type="dxa" w:w="3600"/>
            <w:tcMar>
              <w:top w:w="60" w:type="dxa"/>
              <w:bottom w:w="60" w:type="dxa"/>
              <w:left w:w="100" w:type="dxa"/>
              <w:right w:w="100" w:type="dxa"/>
            </w:tcMar>
            <w:shd w:fill="F0F4F8"/>
          </w:tcPr>
          <w:p>
            <w:pPr>
              <w:spacing w:after="0"/>
            </w:pPr>
            <w:r>
              <w:rPr>
                <w:rFonts w:ascii="Calibri" w:hAnsi="Calibri"/>
                <w:b/>
                <w:color w:val="003366"/>
                <w:sz w:val="20"/>
              </w:rPr>
              <w:t>Proyecto / Sistema Evaluado:</w:t>
            </w:r>
          </w:p>
        </w:tc>
        <w:tc>
          <w:tcPr>
            <w:tcW w:type="dxa" w:w="5760"/>
            <w:tcMar>
              <w:top w:w="60" w:type="dxa"/>
              <w:bottom w:w="60" w:type="dxa"/>
              <w:left w:w="100" w:type="dxa"/>
              <w:right w:w="100" w:type="dxa"/>
            </w:tcMar>
            <w:shd w:fill="FAFAFA"/>
          </w:tcPr>
          <w:p>
            <w:pPr>
              <w:spacing w:after="0"/>
            </w:pPr>
            <w:r>
              <w:rPr>
                <w:rFonts w:ascii="Calibri" w:hAnsi="Calibri"/>
                <w:color w:val="282828"/>
                <w:sz w:val="20"/>
              </w:rPr>
              <w:t>Sistema de Reserva de Hotel (.NET 10 N-Capas)</w:t>
            </w:r>
          </w:p>
        </w:tc>
      </w:tr>
      <w:tr>
        <w:tc>
          <w:tcPr>
            <w:tcW w:type="dxa" w:w="3600"/>
            <w:tcMar>
              <w:top w:w="60" w:type="dxa"/>
              <w:bottom w:w="60" w:type="dxa"/>
              <w:left w:w="100" w:type="dxa"/>
              <w:right w:w="100" w:type="dxa"/>
            </w:tcMar>
            <w:shd w:fill="F0F4F8"/>
          </w:tcPr>
          <w:p>
            <w:pPr>
              <w:spacing w:after="0"/>
            </w:pPr>
            <w:r>
              <w:rPr>
                <w:rFonts w:ascii="Calibri" w:hAnsi="Calibri"/>
                <w:b/>
                <w:color w:val="003366"/>
                <w:sz w:val="20"/>
              </w:rPr>
              <w:t>Docente Evaluador:</w:t>
            </w:r>
          </w:p>
        </w:tc>
        <w:tc>
          <w:tcPr>
            <w:tcW w:type="dxa" w:w="5760"/>
            <w:tcMar>
              <w:top w:w="60" w:type="dxa"/>
              <w:bottom w:w="60" w:type="dxa"/>
              <w:left w:w="100" w:type="dxa"/>
              <w:right w:w="100" w:type="dxa"/>
            </w:tcMar>
            <w:shd w:fill="FAFAFA"/>
          </w:tcPr>
          <w:p>
            <w:pPr>
              <w:spacing w:after="0"/>
            </w:pPr>
            <w:r>
              <w:rPr>
                <w:rFonts w:ascii="Calibri" w:hAnsi="Calibri"/>
                <w:color w:val="282828"/>
                <w:sz w:val="20"/>
              </w:rPr>
              <w:t>Ing. Gerber Alexis Gómez Hidalgo</w:t>
            </w:r>
          </w:p>
        </w:tc>
      </w:tr>
      <w:tr>
        <w:tc>
          <w:tcPr>
            <w:tcW w:type="dxa" w:w="3600"/>
            <w:tcMar>
              <w:top w:w="60" w:type="dxa"/>
              <w:bottom w:w="60" w:type="dxa"/>
              <w:left w:w="100" w:type="dxa"/>
              <w:right w:w="100" w:type="dxa"/>
            </w:tcMar>
            <w:shd w:fill="F0F4F8"/>
          </w:tcPr>
          <w:p>
            <w:pPr>
              <w:spacing w:after="0"/>
            </w:pPr>
            <w:r>
              <w:rPr>
                <w:rFonts w:ascii="Calibri" w:hAnsi="Calibri"/>
                <w:b/>
                <w:color w:val="003366"/>
                <w:sz w:val="20"/>
              </w:rPr>
              <w:t>Organización Azure DevOps:</w:t>
            </w:r>
          </w:p>
        </w:tc>
        <w:tc>
          <w:tcPr>
            <w:tcW w:type="dxa" w:w="5760"/>
            <w:tcMar>
              <w:top w:w="60" w:type="dxa"/>
              <w:bottom w:w="60" w:type="dxa"/>
              <w:left w:w="100" w:type="dxa"/>
              <w:right w:w="100" w:type="dxa"/>
            </w:tcMar>
            <w:shd w:fill="FAFAFA"/>
          </w:tcPr>
          <w:p>
            <w:pPr>
              <w:spacing w:after="0"/>
            </w:pPr>
            <w:r>
              <w:rPr>
                <w:rFonts w:ascii="Calibri" w:hAnsi="Calibri"/>
                <w:color w:val="282828"/>
                <w:sz w:val="20"/>
              </w:rPr>
              <w:t>cc25003/SistemaReservaHotel-QA (Test Plan #1054)</w:t>
            </w:r>
          </w:p>
        </w:tc>
      </w:tr>
      <w:tr>
        <w:tc>
          <w:tcPr>
            <w:tcW w:type="dxa" w:w="3600"/>
            <w:tcMar>
              <w:top w:w="60" w:type="dxa"/>
              <w:bottom w:w="60" w:type="dxa"/>
              <w:left w:w="100" w:type="dxa"/>
              <w:right w:w="100" w:type="dxa"/>
            </w:tcMar>
            <w:shd w:fill="F0F4F8"/>
          </w:tcPr>
          <w:p>
            <w:pPr>
              <w:spacing w:after="0"/>
            </w:pPr>
            <w:r>
              <w:rPr>
                <w:rFonts w:ascii="Calibri" w:hAnsi="Calibri"/>
                <w:b/>
                <w:color w:val="003366"/>
                <w:sz w:val="20"/>
              </w:rPr>
              <w:t>Equipo de Aseguramiento de Calidad:</w:t>
            </w:r>
          </w:p>
        </w:tc>
        <w:tc>
          <w:tcPr>
            <w:tcW w:type="dxa" w:w="5760"/>
            <w:tcMar>
              <w:top w:w="60" w:type="dxa"/>
              <w:bottom w:w="60" w:type="dxa"/>
              <w:left w:w="100" w:type="dxa"/>
              <w:right w:w="100" w:type="dxa"/>
            </w:tcMar>
            <w:shd w:fill="FAFAFA"/>
          </w:tcPr>
          <w:p>
            <w:pPr>
              <w:spacing w:after="0"/>
            </w:pPr>
            <w:r>
              <w:rPr>
                <w:rFonts w:ascii="Calibri" w:hAnsi="Calibri"/>
                <w:color w:val="282828"/>
                <w:sz w:val="20"/>
              </w:rPr>
              <w:t>• Ariel Isai Ascencio Ramos</w:t>
              <w:br/>
              <w:t>• Joselin Esmeralda Herrera Flores</w:t>
              <w:br/>
              <w:t>• Carlos Alonso Miranda Rivas</w:t>
              <w:br/>
              <w:t>• Camila Antonia Calderón Cortez</w:t>
            </w:r>
          </w:p>
        </w:tc>
      </w:tr>
    </w:tbl>
    <w:p>
      <w:pPr>
        <w:spacing w:after="120"/>
      </w:pPr>
    </w:p>
    <w:p>
      <w:pPr>
        <w:spacing w:before="160" w:after="80"/>
      </w:pPr>
      <w:r>
        <w:rPr>
          <w:rFonts w:ascii="Calibri" w:hAnsi="Calibri"/>
          <w:b/>
          <w:color w:val="003366"/>
          <w:sz w:val="24"/>
        </w:rPr>
        <w:t>CONTENIDO</w:t>
      </w:r>
    </w:p>
    <w:tbl>
      <w:tblPr>
        <w:tblW w:type="auto" w:w="0"/>
        <w:jc w:val="center"/>
        <w:tblLook w:firstColumn="1" w:firstRow="1" w:lastColumn="0" w:lastRow="0" w:noHBand="0" w:noVBand="1" w:val="04A0"/>
        <w:tblBorders>
          <w:top w:val="single" w:sz="2" w:space="0" w:color="E0E0E0"/>
          <w:bottom w:val="single" w:sz="2" w:space="0" w:color="E0E0E0"/>
          <w:insideH w:val="single" w:sz="2" w:space="0" w:color="E0E0E0"/>
          <w:insideV w:val="none"/>
          <w:left w:val="none"/>
          <w:right w:val="none"/>
        </w:tblBorders>
      </w:tblPr>
      <w:tblGrid>
        <w:gridCol w:w="4680"/>
        <w:gridCol w:w="4680"/>
      </w:tblGrid>
      <w:tr>
        <w:tc>
          <w:tcPr>
            <w:tcW w:type="dxa" w:w="7488"/>
            <w:tcMar>
              <w:top w:w="30" w:type="dxa"/>
              <w:bottom w:w="30" w:type="dxa"/>
              <w:left w:w="80" w:type="dxa"/>
              <w:right w:w="80" w:type="dxa"/>
            </w:tcMar>
          </w:tcPr>
          <w:p>
            <w:pPr>
              <w:spacing w:after="0"/>
            </w:pPr>
            <w:r>
              <w:rPr>
                <w:rFonts w:ascii="Calibri" w:hAnsi="Calibri"/>
                <w:b/>
                <w:color w:val="003366"/>
                <w:sz w:val="20"/>
              </w:rPr>
              <w:t>INTRODUCCIÓN</w:t>
            </w:r>
          </w:p>
        </w:tc>
        <w:tc>
          <w:tcPr>
            <w:tcW w:type="dxa" w:w="1872"/>
            <w:tcMar>
              <w:top w:w="30" w:type="dxa"/>
              <w:bottom w:w="30" w:type="dxa"/>
              <w:left w:w="80" w:type="dxa"/>
              <w:right w:w="80" w:type="dxa"/>
            </w:tcMar>
          </w:tcPr>
          <w:p>
            <w:pPr>
              <w:spacing w:after="0"/>
              <w:jc w:val="right"/>
            </w:pPr>
            <w:r>
              <w:rPr>
                <w:rFonts w:ascii="Calibri" w:hAnsi="Calibri"/>
                <w:color w:val="787878"/>
                <w:sz w:val="19"/>
              </w:rPr>
              <w:t>Página 1</w:t>
            </w:r>
          </w:p>
        </w:tc>
      </w:tr>
      <w:tr>
        <w:tc>
          <w:tcPr>
            <w:tcW w:type="dxa" w:w="7488"/>
            <w:tcMar>
              <w:top w:w="30" w:type="dxa"/>
              <w:bottom w:w="30" w:type="dxa"/>
              <w:left w:w="80" w:type="dxa"/>
              <w:right w:w="80" w:type="dxa"/>
            </w:tcMar>
          </w:tcPr>
          <w:p>
            <w:pPr>
              <w:spacing w:after="0"/>
            </w:pPr>
            <w:r>
              <w:rPr>
                <w:rFonts w:ascii="Calibri" w:hAnsi="Calibri"/>
                <w:b/>
                <w:color w:val="003366"/>
                <w:sz w:val="20"/>
              </w:rPr>
              <w:t>PRUEBAS APLICADAS</w:t>
            </w:r>
          </w:p>
        </w:tc>
        <w:tc>
          <w:tcPr>
            <w:tcW w:type="dxa" w:w="1872"/>
            <w:tcMar>
              <w:top w:w="30" w:type="dxa"/>
              <w:bottom w:w="30" w:type="dxa"/>
              <w:left w:w="80" w:type="dxa"/>
              <w:right w:w="80" w:type="dxa"/>
            </w:tcMar>
          </w:tcPr>
          <w:p>
            <w:pPr>
              <w:spacing w:after="0"/>
              <w:jc w:val="right"/>
            </w:pPr>
            <w:r>
              <w:rPr>
                <w:rFonts w:ascii="Calibri" w:hAnsi="Calibri"/>
                <w:color w:val="787878"/>
                <w:sz w:val="19"/>
              </w:rPr>
              <w:t>Página 2</w:t>
            </w:r>
          </w:p>
        </w:tc>
      </w:tr>
      <w:tr>
        <w:tc>
          <w:tcPr>
            <w:tcW w:type="dxa" w:w="7488"/>
            <w:tcMar>
              <w:top w:w="30" w:type="dxa"/>
              <w:bottom w:w="30" w:type="dxa"/>
              <w:left w:w="80" w:type="dxa"/>
              <w:right w:w="80" w:type="dxa"/>
            </w:tcMar>
          </w:tcPr>
          <w:p>
            <w:pPr>
              <w:spacing w:after="0"/>
            </w:pPr>
            <w:r>
              <w:rPr>
                <w:rFonts w:ascii="Calibri" w:hAnsi="Calibri"/>
                <w:color w:val="464646"/>
                <w:sz w:val="20"/>
              </w:rPr>
              <w:t xml:space="preserve">    • Pruebas Unitarias</w:t>
            </w:r>
          </w:p>
        </w:tc>
        <w:tc>
          <w:tcPr>
            <w:tcW w:type="dxa" w:w="1872"/>
            <w:tcMar>
              <w:top w:w="30" w:type="dxa"/>
              <w:bottom w:w="30" w:type="dxa"/>
              <w:left w:w="80" w:type="dxa"/>
              <w:right w:w="80" w:type="dxa"/>
            </w:tcMar>
          </w:tcPr>
          <w:p>
            <w:pPr>
              <w:spacing w:after="0"/>
              <w:jc w:val="right"/>
            </w:pPr>
            <w:r>
              <w:rPr>
                <w:rFonts w:ascii="Calibri" w:hAnsi="Calibri"/>
                <w:color w:val="787878"/>
                <w:sz w:val="19"/>
              </w:rPr>
              <w:t>Página 2</w:t>
            </w:r>
          </w:p>
        </w:tc>
      </w:tr>
      <w:tr>
        <w:tc>
          <w:tcPr>
            <w:tcW w:type="dxa" w:w="7488"/>
            <w:tcMar>
              <w:top w:w="30" w:type="dxa"/>
              <w:bottom w:w="30" w:type="dxa"/>
              <w:left w:w="80" w:type="dxa"/>
              <w:right w:w="80" w:type="dxa"/>
            </w:tcMar>
          </w:tcPr>
          <w:p>
            <w:pPr>
              <w:spacing w:after="0"/>
            </w:pPr>
            <w:r>
              <w:rPr>
                <w:rFonts w:ascii="Calibri" w:hAnsi="Calibri"/>
                <w:color w:val="464646"/>
                <w:sz w:val="20"/>
              </w:rPr>
              <w:t xml:space="preserve">    • Pruebas de API</w:t>
            </w:r>
          </w:p>
        </w:tc>
        <w:tc>
          <w:tcPr>
            <w:tcW w:type="dxa" w:w="1872"/>
            <w:tcMar>
              <w:top w:w="30" w:type="dxa"/>
              <w:bottom w:w="30" w:type="dxa"/>
              <w:left w:w="80" w:type="dxa"/>
              <w:right w:w="80" w:type="dxa"/>
            </w:tcMar>
          </w:tcPr>
          <w:p>
            <w:pPr>
              <w:spacing w:after="0"/>
              <w:jc w:val="right"/>
            </w:pPr>
            <w:r>
              <w:rPr>
                <w:rFonts w:ascii="Calibri" w:hAnsi="Calibri"/>
                <w:color w:val="787878"/>
                <w:sz w:val="19"/>
              </w:rPr>
              <w:t>Página 3</w:t>
            </w:r>
          </w:p>
        </w:tc>
      </w:tr>
      <w:tr>
        <w:tc>
          <w:tcPr>
            <w:tcW w:type="dxa" w:w="7488"/>
            <w:tcMar>
              <w:top w:w="30" w:type="dxa"/>
              <w:bottom w:w="30" w:type="dxa"/>
              <w:left w:w="80" w:type="dxa"/>
              <w:right w:w="80" w:type="dxa"/>
            </w:tcMar>
          </w:tcPr>
          <w:p>
            <w:pPr>
              <w:spacing w:after="0"/>
            </w:pPr>
            <w:r>
              <w:rPr>
                <w:rFonts w:ascii="Calibri" w:hAnsi="Calibri"/>
                <w:color w:val="464646"/>
                <w:sz w:val="20"/>
              </w:rPr>
              <w:t xml:space="preserve">    • Pruebas de Aceptación</w:t>
            </w:r>
          </w:p>
        </w:tc>
        <w:tc>
          <w:tcPr>
            <w:tcW w:type="dxa" w:w="1872"/>
            <w:tcMar>
              <w:top w:w="30" w:type="dxa"/>
              <w:bottom w:w="30" w:type="dxa"/>
              <w:left w:w="80" w:type="dxa"/>
              <w:right w:w="80" w:type="dxa"/>
            </w:tcMar>
          </w:tcPr>
          <w:p>
            <w:pPr>
              <w:spacing w:after="0"/>
              <w:jc w:val="right"/>
            </w:pPr>
            <w:r>
              <w:rPr>
                <w:rFonts w:ascii="Calibri" w:hAnsi="Calibri"/>
                <w:color w:val="787878"/>
                <w:sz w:val="19"/>
              </w:rPr>
              <w:t>Página 4</w:t>
            </w:r>
          </w:p>
        </w:tc>
      </w:tr>
      <w:tr>
        <w:tc>
          <w:tcPr>
            <w:tcW w:type="dxa" w:w="7488"/>
            <w:tcMar>
              <w:top w:w="30" w:type="dxa"/>
              <w:bottom w:w="30" w:type="dxa"/>
              <w:left w:w="80" w:type="dxa"/>
              <w:right w:w="80" w:type="dxa"/>
            </w:tcMar>
          </w:tcPr>
          <w:p>
            <w:pPr>
              <w:spacing w:after="0"/>
            </w:pPr>
            <w:r>
              <w:rPr>
                <w:rFonts w:ascii="Calibri" w:hAnsi="Calibri"/>
                <w:b/>
                <w:color w:val="003366"/>
                <w:sz w:val="20"/>
              </w:rPr>
              <w:t>RESULTADOS OBTENIDOS</w:t>
            </w:r>
          </w:p>
        </w:tc>
        <w:tc>
          <w:tcPr>
            <w:tcW w:type="dxa" w:w="1872"/>
            <w:tcMar>
              <w:top w:w="30" w:type="dxa"/>
              <w:bottom w:w="30" w:type="dxa"/>
              <w:left w:w="80" w:type="dxa"/>
              <w:right w:w="80" w:type="dxa"/>
            </w:tcMar>
          </w:tcPr>
          <w:p>
            <w:pPr>
              <w:spacing w:after="0"/>
              <w:jc w:val="right"/>
            </w:pPr>
            <w:r>
              <w:rPr>
                <w:rFonts w:ascii="Calibri" w:hAnsi="Calibri"/>
                <w:color w:val="787878"/>
                <w:sz w:val="19"/>
              </w:rPr>
              <w:t>Página 5</w:t>
            </w:r>
          </w:p>
        </w:tc>
      </w:tr>
      <w:tr>
        <w:tc>
          <w:tcPr>
            <w:tcW w:type="dxa" w:w="7488"/>
            <w:tcMar>
              <w:top w:w="30" w:type="dxa"/>
              <w:bottom w:w="30" w:type="dxa"/>
              <w:left w:w="80" w:type="dxa"/>
              <w:right w:w="80" w:type="dxa"/>
            </w:tcMar>
          </w:tcPr>
          <w:p>
            <w:pPr>
              <w:spacing w:after="0"/>
            </w:pPr>
            <w:r>
              <w:rPr>
                <w:rFonts w:ascii="Calibri" w:hAnsi="Calibri"/>
                <w:color w:val="464646"/>
                <w:sz w:val="20"/>
              </w:rPr>
              <w:t xml:space="preserve">    • Pruebas de Aceptación (8 casos ejecutados / 8 exitosos)</w:t>
            </w:r>
          </w:p>
        </w:tc>
        <w:tc>
          <w:tcPr>
            <w:tcW w:type="dxa" w:w="1872"/>
            <w:tcMar>
              <w:top w:w="30" w:type="dxa"/>
              <w:bottom w:w="30" w:type="dxa"/>
              <w:left w:w="80" w:type="dxa"/>
              <w:right w:w="80" w:type="dxa"/>
            </w:tcMar>
          </w:tcPr>
          <w:p>
            <w:pPr>
              <w:spacing w:after="0"/>
              <w:jc w:val="right"/>
            </w:pPr>
            <w:r>
              <w:rPr>
                <w:rFonts w:ascii="Calibri" w:hAnsi="Calibri"/>
                <w:color w:val="787878"/>
                <w:sz w:val="19"/>
              </w:rPr>
              <w:t>Página 5</w:t>
            </w:r>
          </w:p>
        </w:tc>
      </w:tr>
      <w:tr>
        <w:tc>
          <w:tcPr>
            <w:tcW w:type="dxa" w:w="7488"/>
            <w:tcMar>
              <w:top w:w="30" w:type="dxa"/>
              <w:bottom w:w="30" w:type="dxa"/>
              <w:left w:w="80" w:type="dxa"/>
              <w:right w:w="80" w:type="dxa"/>
            </w:tcMar>
          </w:tcPr>
          <w:p>
            <w:pPr>
              <w:spacing w:after="0"/>
            </w:pPr>
            <w:r>
              <w:rPr>
                <w:rFonts w:ascii="Calibri" w:hAnsi="Calibri"/>
                <w:color w:val="464646"/>
                <w:sz w:val="20"/>
              </w:rPr>
              <w:t xml:space="preserve">    • Pruebas de API (16 casos ejecutados / 16 exitosos)</w:t>
            </w:r>
          </w:p>
        </w:tc>
        <w:tc>
          <w:tcPr>
            <w:tcW w:type="dxa" w:w="1872"/>
            <w:tcMar>
              <w:top w:w="30" w:type="dxa"/>
              <w:bottom w:w="30" w:type="dxa"/>
              <w:left w:w="80" w:type="dxa"/>
              <w:right w:w="80" w:type="dxa"/>
            </w:tcMar>
          </w:tcPr>
          <w:p>
            <w:pPr>
              <w:spacing w:after="0"/>
              <w:jc w:val="right"/>
            </w:pPr>
            <w:r>
              <w:rPr>
                <w:rFonts w:ascii="Calibri" w:hAnsi="Calibri"/>
                <w:color w:val="787878"/>
                <w:sz w:val="19"/>
              </w:rPr>
              <w:t>Página 7</w:t>
            </w:r>
          </w:p>
        </w:tc>
      </w:tr>
      <w:tr>
        <w:tc>
          <w:tcPr>
            <w:tcW w:type="dxa" w:w="7488"/>
            <w:tcMar>
              <w:top w:w="30" w:type="dxa"/>
              <w:bottom w:w="30" w:type="dxa"/>
              <w:left w:w="80" w:type="dxa"/>
              <w:right w:w="80" w:type="dxa"/>
            </w:tcMar>
          </w:tcPr>
          <w:p>
            <w:pPr>
              <w:spacing w:after="0"/>
            </w:pPr>
            <w:r>
              <w:rPr>
                <w:rFonts w:ascii="Calibri" w:hAnsi="Calibri"/>
                <w:color w:val="464646"/>
                <w:sz w:val="20"/>
              </w:rPr>
              <w:t xml:space="preserve">    • Pruebas Unitarias (21 casos ejecutados / 21 exitosos)</w:t>
            </w:r>
          </w:p>
        </w:tc>
        <w:tc>
          <w:tcPr>
            <w:tcW w:type="dxa" w:w="1872"/>
            <w:tcMar>
              <w:top w:w="30" w:type="dxa"/>
              <w:bottom w:w="30" w:type="dxa"/>
              <w:left w:w="80" w:type="dxa"/>
              <w:right w:w="80" w:type="dxa"/>
            </w:tcMar>
          </w:tcPr>
          <w:p>
            <w:pPr>
              <w:spacing w:after="0"/>
              <w:jc w:val="right"/>
            </w:pPr>
            <w:r>
              <w:rPr>
                <w:rFonts w:ascii="Calibri" w:hAnsi="Calibri"/>
                <w:color w:val="787878"/>
                <w:sz w:val="19"/>
              </w:rPr>
              <w:t>Página 8</w:t>
            </w:r>
          </w:p>
        </w:tc>
      </w:tr>
      <w:tr>
        <w:tc>
          <w:tcPr>
            <w:tcW w:type="dxa" w:w="7488"/>
            <w:tcMar>
              <w:top w:w="30" w:type="dxa"/>
              <w:bottom w:w="30" w:type="dxa"/>
              <w:left w:w="80" w:type="dxa"/>
              <w:right w:w="80" w:type="dxa"/>
            </w:tcMar>
          </w:tcPr>
          <w:p>
            <w:pPr>
              <w:spacing w:after="0"/>
            </w:pPr>
            <w:r>
              <w:rPr>
                <w:rFonts w:ascii="Calibri" w:hAnsi="Calibri"/>
                <w:color w:val="464646"/>
                <w:sz w:val="20"/>
              </w:rPr>
              <w:t xml:space="preserve">    • Matriz Consolidada de Ejecución Global (45/45 - 100%)</w:t>
            </w:r>
          </w:p>
        </w:tc>
        <w:tc>
          <w:tcPr>
            <w:tcW w:type="dxa" w:w="1872"/>
            <w:tcMar>
              <w:top w:w="30" w:type="dxa"/>
              <w:bottom w:w="30" w:type="dxa"/>
              <w:left w:w="80" w:type="dxa"/>
              <w:right w:w="80" w:type="dxa"/>
            </w:tcMar>
          </w:tcPr>
          <w:p>
            <w:pPr>
              <w:spacing w:after="0"/>
              <w:jc w:val="right"/>
            </w:pPr>
            <w:r>
              <w:rPr>
                <w:rFonts w:ascii="Calibri" w:hAnsi="Calibri"/>
                <w:color w:val="787878"/>
                <w:sz w:val="19"/>
              </w:rPr>
              <w:t>Página 9</w:t>
            </w:r>
          </w:p>
        </w:tc>
      </w:tr>
      <w:tr>
        <w:tc>
          <w:tcPr>
            <w:tcW w:type="dxa" w:w="7488"/>
            <w:tcMar>
              <w:top w:w="30" w:type="dxa"/>
              <w:bottom w:w="30" w:type="dxa"/>
              <w:left w:w="80" w:type="dxa"/>
              <w:right w:w="80" w:type="dxa"/>
            </w:tcMar>
          </w:tcPr>
          <w:p>
            <w:pPr>
              <w:spacing w:after="0"/>
            </w:pPr>
            <w:r>
              <w:rPr>
                <w:rFonts w:ascii="Calibri" w:hAnsi="Calibri"/>
                <w:b/>
                <w:color w:val="003366"/>
                <w:sz w:val="20"/>
              </w:rPr>
              <w:t>CONCLUSIONES</w:t>
            </w:r>
          </w:p>
        </w:tc>
        <w:tc>
          <w:tcPr>
            <w:tcW w:type="dxa" w:w="1872"/>
            <w:tcMar>
              <w:top w:w="30" w:type="dxa"/>
              <w:bottom w:w="30" w:type="dxa"/>
              <w:left w:w="80" w:type="dxa"/>
              <w:right w:w="80" w:type="dxa"/>
            </w:tcMar>
          </w:tcPr>
          <w:p>
            <w:pPr>
              <w:spacing w:after="0"/>
              <w:jc w:val="right"/>
            </w:pPr>
            <w:r>
              <w:rPr>
                <w:rFonts w:ascii="Calibri" w:hAnsi="Calibri"/>
                <w:color w:val="787878"/>
                <w:sz w:val="19"/>
              </w:rPr>
              <w:t>Página 10</w:t>
            </w:r>
          </w:p>
        </w:tc>
      </w:tr>
      <w:tr>
        <w:tc>
          <w:tcPr>
            <w:tcW w:type="dxa" w:w="7488"/>
            <w:tcMar>
              <w:top w:w="30" w:type="dxa"/>
              <w:bottom w:w="30" w:type="dxa"/>
              <w:left w:w="80" w:type="dxa"/>
              <w:right w:w="80" w:type="dxa"/>
            </w:tcMar>
          </w:tcPr>
          <w:p>
            <w:pPr>
              <w:spacing w:after="0"/>
            </w:pPr>
            <w:r>
              <w:rPr>
                <w:rFonts w:ascii="Calibri" w:hAnsi="Calibri"/>
                <w:b/>
                <w:color w:val="003366"/>
                <w:sz w:val="20"/>
              </w:rPr>
              <w:t>RECOMENDACIONES</w:t>
            </w:r>
          </w:p>
        </w:tc>
        <w:tc>
          <w:tcPr>
            <w:tcW w:type="dxa" w:w="1872"/>
            <w:tcMar>
              <w:top w:w="30" w:type="dxa"/>
              <w:bottom w:w="30" w:type="dxa"/>
              <w:left w:w="80" w:type="dxa"/>
              <w:right w:w="80" w:type="dxa"/>
            </w:tcMar>
          </w:tcPr>
          <w:p>
            <w:pPr>
              <w:spacing w:after="0"/>
              <w:jc w:val="right"/>
            </w:pPr>
            <w:r>
              <w:rPr>
                <w:rFonts w:ascii="Calibri" w:hAnsi="Calibri"/>
                <w:color w:val="787878"/>
                <w:sz w:val="19"/>
              </w:rPr>
              <w:t>Página 11</w:t>
            </w:r>
          </w:p>
        </w:tc>
      </w:tr>
    </w:tbl>
    <w:p>
      <w:r>
        <w:br w:type="page"/>
      </w:r>
    </w:p>
    <w:p>
      <w:pPr>
        <w:keepNext/>
        <w:spacing w:before="320" w:after="120"/>
      </w:pPr>
      <w:r>
        <w:rPr>
          <w:rFonts w:ascii="Calibri" w:hAnsi="Calibri"/>
          <w:b/>
          <w:color w:val="003366"/>
          <w:sz w:val="30"/>
        </w:rPr>
        <w:t>INTRODUCCIÓN</w:t>
      </w:r>
    </w:p>
    <w:p>
      <w:pPr>
        <w:spacing w:before="0" w:after="120" w:line="276" w:lineRule="auto"/>
      </w:pPr>
      <w:r>
        <w:rPr>
          <w:rFonts w:ascii="Calibri" w:hAnsi="Calibri"/>
          <w:color w:val="282828"/>
          <w:sz w:val="22"/>
        </w:rPr>
        <w:t>El presente informe formaliza el Reporte de Ejecución de Pruebas aplicado al proyecto Sistema de Reserva de Hotel, desarrollado sobre la plataforma tecnológica de vanguardia .NET 10 y C# 13 bajo un modelo arquitectónico desacoplado en N-Capas (Entities, DataAccess, Business y WebMVC). En la industria del software moderna, la verificación y validación rigurosa de las reglas de negocio, la integridad de los datos transaccionales y la seguridad en el control de acceso constituyen pilares insustituibles para asegurar soluciones confiables y libres de fallos en entornos de producción.</w:t>
      </w:r>
    </w:p>
    <w:p>
      <w:pPr>
        <w:spacing w:before="0" w:after="120" w:line="276" w:lineRule="auto"/>
      </w:pPr>
      <w:r>
        <w:rPr>
          <w:rFonts w:ascii="Calibri" w:hAnsi="Calibri"/>
          <w:color w:val="282828"/>
          <w:sz w:val="22"/>
        </w:rPr>
        <w:t>Siguiendo los lineamientos internacionales de la norma ISO/IEC/IEEE 29119 para el Aseguramiento de la Calidad de Software (QA), el ciclo de aseguramiento se estructuró de manera colaborativa dentro del equipo de trabajo, asignando responsabilidades específicas a cada integrante para cubrir de forma integral los tres niveles fundamentales de prueba: Pruebas Unitarias aisladas, Pruebas de API / Integración y Pruebas de Aceptación del Usuario (UAT).</w:t>
      </w:r>
    </w:p>
    <w:p>
      <w:pPr>
        <w:spacing w:before="0" w:after="120" w:line="276" w:lineRule="auto"/>
      </w:pPr>
      <w:r>
        <w:rPr>
          <w:rFonts w:ascii="Calibri" w:hAnsi="Calibri"/>
          <w:color w:val="282828"/>
          <w:sz w:val="22"/>
        </w:rPr>
        <w:t>La planificación, el seguimiento de la ejecución y la consolidación de resultados se gestionaron de manera centralizada en la plataforma Azure DevOps dentro de la organización 'cc25003/SistemaReservaHotel-QA', apoyándose en el Test Plan Maestro #1054, la Test Suite #1055, el Tablero Kanban ágil y la automatización continua mediante Azure Pipelines (CI/CD). Este documento consolida las pruebas aplicadas, los resultados cuantitativos y cualitativos obtenidos en cada estrato, las evidencias gráficas generadas y un conjunto fundamentado de conclusiones y recomendaciones para el aseguramiento continuo del sistema.</w:t>
      </w:r>
    </w:p>
    <w:p>
      <w:pPr>
        <w:keepNext/>
        <w:spacing w:before="320" w:after="120"/>
      </w:pPr>
      <w:r>
        <w:rPr>
          <w:rFonts w:ascii="Calibri" w:hAnsi="Calibri"/>
          <w:b/>
          <w:color w:val="003366"/>
          <w:sz w:val="30"/>
        </w:rPr>
        <w:t>PRUEBAS APLICADAS</w:t>
      </w:r>
    </w:p>
    <w:p>
      <w:pPr>
        <w:spacing w:before="0" w:after="120" w:line="276" w:lineRule="auto"/>
      </w:pPr>
      <w:r>
        <w:rPr>
          <w:rFonts w:ascii="Calibri" w:hAnsi="Calibri"/>
          <w:color w:val="282828"/>
          <w:sz w:val="22"/>
        </w:rPr>
        <w:t>La estrategia de calidad implementada para el Sistema de Reserva de Hotel abarcó un enfoque de prueba multinivel (Pirámide de Pruebas de Software), asegurando una cobertura exhaustiva desde la lógica de cálculo individual hasta el flujo interactivo de extremo a extremo. A continuación, se detalla la naturaleza técnica, el alcance y las herramientas de cada nivel aplicado:</w:t>
      </w:r>
    </w:p>
    <w:p>
      <w:pPr>
        <w:keepNext/>
        <w:spacing w:before="240" w:after="80"/>
      </w:pPr>
      <w:r>
        <w:rPr>
          <w:rFonts w:ascii="Calibri" w:hAnsi="Calibri"/>
          <w:b/>
          <w:color w:val="0078D7"/>
          <w:sz w:val="25"/>
        </w:rPr>
        <w:t>Pruebas Unitarias</w:t>
      </w:r>
    </w:p>
    <w:p>
      <w:pPr>
        <w:spacing w:before="0" w:after="120" w:line="276" w:lineRule="auto"/>
      </w:pPr>
      <w:r>
        <w:rPr>
          <w:rFonts w:ascii="Calibri" w:hAnsi="Calibri"/>
          <w:color w:val="282828"/>
          <w:sz w:val="22"/>
        </w:rPr>
        <w:t>Las pruebas unitarias tienen como objetivo primordial validar la exactitud funcional de los métodos y algoritmos de negocio de forma estrictamente aislada, garantizando que cada componente cumpla su especificación sin interactuar con bases de datos reales, servicios de red o interfaces gráficas. Este estrato se diseñó implementando el framework xUnit en conjunto con Moq para la simulación de contratos e interfaces de repositorio (IUnitOfWork, IReservaRepository, IHabitacionRepository), bajo el patrón arquitectónico estructurado AAA (Arrange - Act - Assert).</w:t>
      </w:r>
    </w:p>
    <w:p>
      <w:pPr>
        <w:spacing w:before="0" w:after="120" w:line="276" w:lineRule="auto"/>
      </w:pPr>
      <w:r>
        <w:rPr>
          <w:rFonts w:ascii="Calibri" w:hAnsi="Calibri"/>
          <w:b/>
          <w:color w:val="141414"/>
          <w:sz w:val="22"/>
        </w:rPr>
        <w:t xml:space="preserve">Alcance y Componentes Auditados: </w:t>
      </w:r>
      <w:r>
        <w:rPr>
          <w:rFonts w:ascii="Calibri" w:hAnsi="Calibri"/>
          <w:color w:val="282828"/>
          <w:sz w:val="22"/>
        </w:rPr>
        <w:t>El alcance de las 21 pruebas unitarias (casos UT-01 a UT-21) comprende tres componentes críticos del dominio hotelero:</w:t>
      </w:r>
    </w:p>
    <w:p>
      <w:pPr>
        <w:spacing w:before="0" w:after="120" w:line="276" w:lineRule="auto"/>
      </w:pPr>
      <w:r>
        <w:rPr>
          <w:rFonts w:ascii="Calibri" w:hAnsi="Calibri"/>
          <w:color w:val="282828"/>
          <w:sz w:val="22"/>
        </w:rPr>
        <w:t>1. Validador de Fechas de Reserva (ValidadorFechas - 6 casos UT-01 a UT-06):</w:t>
        <w:br/>
        <w:t xml:space="preserve">   Verificación de fronteras cronológicas: rechazo estricto ante fecha de entrada posterior a fecha de salida, rechazo ante estancia de 0 noches (entrada igual a salida), bloqueo ante fechas en el pasado y aprobación exitosa ante rangos futuros válidos.</w:t>
        <w:br/>
        <w:br/>
        <w:t>2. Servicio de Disponibilidad de Habitaciones (DisponibilidadService - 6 casos UT-07 a UT-12):</w:t>
        <w:br/>
        <w:t xml:space="preserve">   Evaluación de algoritmos de detección de solapamiento temporal: validación de exclusión de habitaciones ocupadas por reservas activas, inclusión de habitaciones con reservas en estado 'Cancelada', omisión de habitaciones con estado inactivo en el inventario y verificación de colindancia exacta (liberación el mismo día del nuevo check-in).</w:t>
        <w:br/>
        <w:br/>
        <w:t>3. Servicio de Operaciones Públicas de Reserva (ReservaPublicaService - 9 casos UT-13 a UT-21):</w:t>
        <w:br/>
        <w:t xml:space="preserve">   Comprobación del ciclo de vida de la reserva: creación transaccional con asignación de ID, consulta por identificador, consulta de reservas activas por fecha, actualización de estados a 'Cancelada' y eliminación controlada.</w:t>
      </w:r>
    </w:p>
    <w:p>
      <w:pPr>
        <w:keepNext/>
        <w:spacing w:before="240" w:after="80"/>
      </w:pPr>
      <w:r>
        <w:rPr>
          <w:rFonts w:ascii="Calibri" w:hAnsi="Calibri"/>
          <w:b/>
          <w:color w:val="0078D7"/>
          <w:sz w:val="25"/>
        </w:rPr>
        <w:t>Pruebas de API</w:t>
      </w:r>
    </w:p>
    <w:p>
      <w:pPr>
        <w:spacing w:before="0" w:after="120" w:line="276" w:lineRule="auto"/>
      </w:pPr>
      <w:r>
        <w:rPr>
          <w:rFonts w:ascii="Calibri" w:hAnsi="Calibri"/>
          <w:color w:val="282828"/>
          <w:sz w:val="22"/>
        </w:rPr>
        <w:t>Las pruebas de API (o pruebas de integración a nivel de servicio) evalúan la capacidad de la capa controladora WebMVC y los endpoints HTTP para procesar peticiones, transformar parámetros, invocar la capa de negocio y devolver códigos de estado HTTP semánticamente correctos, garantizando la interoperabilidad y robustez del sistema. Para su ejecución se utilizó WebApplicationFactory&lt;Program&gt; de Microsoft.AspNetCore.Mvc.Testing en conjunción con el proveedor de base de datos InMemory de Entity Framework Core, creando un entorno de pruebas real en memoria que no requiere el levantamiento de un servidor web externo.</w:t>
      </w:r>
    </w:p>
    <w:p>
      <w:pPr>
        <w:spacing w:before="0" w:after="120" w:line="276" w:lineRule="auto"/>
      </w:pPr>
      <w:r>
        <w:rPr>
          <w:rFonts w:ascii="Calibri" w:hAnsi="Calibri"/>
          <w:b/>
          <w:color w:val="141414"/>
          <w:sz w:val="22"/>
        </w:rPr>
        <w:t xml:space="preserve">Alcance y Endpoints Auditados: </w:t>
      </w:r>
      <w:r>
        <w:rPr>
          <w:rFonts w:ascii="Calibri" w:hAnsi="Calibri"/>
          <w:color w:val="282828"/>
          <w:sz w:val="22"/>
        </w:rPr>
        <w:t>El alcance de las 16 pruebas de API (casos API-01 a API-16) cubre cuatro flujos operativos esenciales:</w:t>
      </w:r>
    </w:p>
    <w:p>
      <w:pPr>
        <w:spacing w:before="0" w:after="120" w:line="276" w:lineRule="auto"/>
      </w:pPr>
      <w:r>
        <w:rPr>
          <w:rFonts w:ascii="Calibri" w:hAnsi="Calibri"/>
          <w:color w:val="282828"/>
          <w:sz w:val="22"/>
        </w:rPr>
        <w:t>1. Procesamiento de Reservas (POST /Reserva/Crear - Casos API-01 a API-05 y API-16):</w:t>
        <w:br/>
        <w:t xml:space="preserve">   Verificación del retorno HTTP 200 OK y persistencia en memoria ante datos cronológicos válidos, verificación de retorno HTTP 400 BadRequest ante fechas inconsistentes y rechazo preventivo ante colisiones de habitación.</w:t>
        <w:br/>
        <w:br/>
        <w:t>2. Consulta de Disponibilidad de Inventario (GET /Disponibilidad - Casos API-06 a API-08):</w:t>
        <w:br/>
        <w:t xml:space="preserve">   Validación de la respuesta HTTP 200 OK con la lista filtrada de habitaciones disponibles, garantizando que habitaciones inactivas u ocupadas sean excluidas de la vista pública.</w:t>
        <w:br/>
        <w:br/>
        <w:t>3. Consultas Operativas del Sistema (GET /Reserva/ObtenerPorDia y /Detalles - Casos API-09 a API-12):</w:t>
        <w:br/>
        <w:t xml:space="preserve">   Respuesta HTTP 200 OK con lista poblada ante días con ocupación, HTTP 200 OK con colección vacía ante días sin reservas, HTTP 200 OK con el modelo serializado ante ID existente y respuesta HTTP 404 NotFound ante identificadores inexistentes.</w:t>
        <w:br/>
        <w:br/>
        <w:t>4. Ciclo de Cancelación y Mutación (POST /Reserva/Cancelar - Casos API-14 y API-15):</w:t>
        <w:br/>
        <w:t xml:space="preserve">   Confirmación de mutación de estado a 'Cancelada' en la base de datos y retorno de HTTP 404 NotFound ante intentos de cancelación de registros inexistentes.</w:t>
      </w:r>
    </w:p>
    <w:p>
      <w:pPr>
        <w:keepNext/>
        <w:spacing w:before="240" w:after="80"/>
      </w:pPr>
      <w:r>
        <w:rPr>
          <w:rFonts w:ascii="Calibri" w:hAnsi="Calibri"/>
          <w:b/>
          <w:color w:val="0078D7"/>
          <w:sz w:val="25"/>
        </w:rPr>
        <w:t>Pruebas de Aceptación</w:t>
      </w:r>
    </w:p>
    <w:p>
      <w:pPr>
        <w:spacing w:before="0" w:after="120" w:line="276" w:lineRule="auto"/>
      </w:pPr>
      <w:r>
        <w:rPr>
          <w:rFonts w:ascii="Calibri" w:hAnsi="Calibri"/>
          <w:color w:val="282828"/>
          <w:sz w:val="22"/>
        </w:rPr>
        <w:t>Las Pruebas de Aceptación del Usuario (UAT - User Acceptance Testing) representan el nivel más alto de validación, enfocado en comprobar que el sistema satisface plenamente los Criterios de Aceptación definidos por los interesados en las Historias de Usuario (Product Backlog Items - PBIs) en Azure Boards. Estas pruebas reproducen el viaje del usuario real a través de los módulos de administración, seguridad y facturación.</w:t>
      </w:r>
    </w:p>
    <w:p>
      <w:pPr>
        <w:spacing w:before="0" w:after="120" w:line="276" w:lineRule="auto"/>
      </w:pPr>
      <w:r>
        <w:rPr>
          <w:rFonts w:ascii="Calibri" w:hAnsi="Calibri"/>
          <w:b/>
          <w:color w:val="141414"/>
          <w:sz w:val="22"/>
        </w:rPr>
        <w:t xml:space="preserve">Estructura de Casos y Asignación de PBIs: </w:t>
      </w:r>
      <w:r>
        <w:rPr>
          <w:rFonts w:ascii="Calibri" w:hAnsi="Calibri"/>
          <w:color w:val="282828"/>
          <w:sz w:val="22"/>
        </w:rPr>
        <w:t>Los 8 casos de prueba de aceptación (TC-01 a TC-08) fueron formalizados en Azure Test Plans dentro de la Test Suite #1055 y automatizados en el proyecto SistemaReservaHotel.Tests, vinculados bidireccionalmente a sus respectivas Historias de Usuario:</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1872"/>
        <w:gridCol w:w="1872"/>
        <w:gridCol w:w="1872"/>
        <w:gridCol w:w="1872"/>
        <w:gridCol w:w="1872"/>
      </w:tblGrid>
      <w:tr>
        <w:tc>
          <w:tcPr>
            <w:tcW w:type="dxa" w:w="1872"/>
            <w:shd w:fill="003366"/>
            <w:tcMar>
              <w:top w:w="60" w:type="dxa"/>
              <w:bottom w:w="60" w:type="dxa"/>
              <w:left w:w="80" w:type="dxa"/>
              <w:right w:w="80" w:type="dxa"/>
            </w:tcMar>
          </w:tcPr>
          <w:p>
            <w:pPr>
              <w:spacing w:after="0"/>
              <w:jc w:val="center"/>
            </w:pPr>
            <w:r>
              <w:rPr>
                <w:rFonts w:ascii="Calibri" w:hAnsi="Calibri"/>
                <w:b/>
                <w:color w:val="FFFFFF"/>
                <w:sz w:val="19"/>
              </w:rPr>
              <w:t>Caso</w:t>
            </w:r>
          </w:p>
        </w:tc>
        <w:tc>
          <w:tcPr>
            <w:tcW w:type="dxa" w:w="1872"/>
            <w:shd w:fill="003366"/>
            <w:tcMar>
              <w:top w:w="60" w:type="dxa"/>
              <w:bottom w:w="60" w:type="dxa"/>
              <w:left w:w="80" w:type="dxa"/>
              <w:right w:w="80" w:type="dxa"/>
            </w:tcMar>
          </w:tcPr>
          <w:p>
            <w:pPr>
              <w:spacing w:after="0"/>
              <w:jc w:val="center"/>
            </w:pPr>
            <w:r>
              <w:rPr>
                <w:rFonts w:ascii="Calibri" w:hAnsi="Calibri"/>
                <w:b/>
                <w:color w:val="FFFFFF"/>
                <w:sz w:val="19"/>
              </w:rPr>
              <w:t>ID Azure</w:t>
            </w:r>
          </w:p>
        </w:tc>
        <w:tc>
          <w:tcPr>
            <w:tcW w:type="dxa" w:w="1872"/>
            <w:shd w:fill="003366"/>
            <w:tcMar>
              <w:top w:w="60" w:type="dxa"/>
              <w:bottom w:w="60" w:type="dxa"/>
              <w:left w:w="80" w:type="dxa"/>
              <w:right w:w="80" w:type="dxa"/>
            </w:tcMar>
          </w:tcPr>
          <w:p>
            <w:pPr>
              <w:spacing w:after="0"/>
              <w:jc w:val="center"/>
            </w:pPr>
            <w:r>
              <w:rPr>
                <w:rFonts w:ascii="Calibri" w:hAnsi="Calibri"/>
                <w:b/>
                <w:color w:val="FFFFFF"/>
                <w:sz w:val="19"/>
              </w:rPr>
              <w:t>Historia de Usuario (PBI)</w:t>
            </w:r>
          </w:p>
        </w:tc>
        <w:tc>
          <w:tcPr>
            <w:tcW w:type="dxa" w:w="1872"/>
            <w:shd w:fill="003366"/>
            <w:tcMar>
              <w:top w:w="60" w:type="dxa"/>
              <w:bottom w:w="60" w:type="dxa"/>
              <w:left w:w="80" w:type="dxa"/>
              <w:right w:w="80" w:type="dxa"/>
            </w:tcMar>
          </w:tcPr>
          <w:p>
            <w:pPr>
              <w:spacing w:after="0"/>
              <w:jc w:val="center"/>
            </w:pPr>
            <w:r>
              <w:rPr>
                <w:rFonts w:ascii="Calibri" w:hAnsi="Calibri"/>
                <w:b/>
                <w:color w:val="FFFFFF"/>
                <w:sz w:val="19"/>
              </w:rPr>
              <w:t>Criterio de Aceptación Validado</w:t>
            </w:r>
          </w:p>
        </w:tc>
        <w:tc>
          <w:tcPr>
            <w:tcW w:type="dxa" w:w="1872"/>
            <w:shd w:fill="003366"/>
            <w:tcMar>
              <w:top w:w="60" w:type="dxa"/>
              <w:bottom w:w="60" w:type="dxa"/>
              <w:left w:w="80" w:type="dxa"/>
              <w:right w:w="80" w:type="dxa"/>
            </w:tcMar>
          </w:tcPr>
          <w:p>
            <w:pPr>
              <w:spacing w:after="0"/>
              <w:jc w:val="center"/>
            </w:pPr>
            <w:r>
              <w:rPr>
                <w:rFonts w:ascii="Calibri" w:hAnsi="Calibri"/>
                <w:b/>
                <w:color w:val="FFFFFF"/>
                <w:sz w:val="19"/>
              </w:rPr>
              <w:t>Responsable QA</w:t>
            </w:r>
          </w:p>
        </w:tc>
      </w:tr>
      <w:tr>
        <w:tc>
          <w:tcPr>
            <w:tcW w:type="dxa" w:w="1152"/>
            <w:shd w:fill="FFFFFF"/>
            <w:tcMar>
              <w:top w:w="50" w:type="dxa"/>
              <w:bottom w:w="50" w:type="dxa"/>
              <w:left w:w="70" w:type="dxa"/>
              <w:right w:w="70" w:type="dxa"/>
            </w:tcMar>
          </w:tcPr>
          <w:p>
            <w:pPr>
              <w:spacing w:after="0"/>
              <w:jc w:val="center"/>
            </w:pPr>
            <w:r>
              <w:rPr>
                <w:rFonts w:ascii="Calibri" w:hAnsi="Calibri"/>
                <w:b/>
                <w:color w:val="0078D7"/>
                <w:sz w:val="18"/>
              </w:rPr>
              <w:t>TC-01</w:t>
            </w:r>
          </w:p>
        </w:tc>
        <w:tc>
          <w:tcPr>
            <w:tcW w:type="dxa" w:w="1152"/>
            <w:shd w:fill="FFFFFF"/>
            <w:tcMar>
              <w:top w:w="50" w:type="dxa"/>
              <w:bottom w:w="50" w:type="dxa"/>
              <w:left w:w="70" w:type="dxa"/>
              <w:right w:w="70" w:type="dxa"/>
            </w:tcMar>
          </w:tcPr>
          <w:p>
            <w:pPr>
              <w:spacing w:after="0"/>
              <w:jc w:val="center"/>
            </w:pPr>
            <w:r>
              <w:rPr>
                <w:rFonts w:ascii="Calibri" w:hAnsi="Calibri"/>
                <w:b/>
                <w:color w:val="003366"/>
                <w:sz w:val="18"/>
              </w:rPr>
              <w:t>#1046</w:t>
            </w:r>
          </w:p>
        </w:tc>
        <w:tc>
          <w:tcPr>
            <w:tcW w:type="dxa" w:w="1728"/>
            <w:shd w:fill="FFFFFF"/>
            <w:tcMar>
              <w:top w:w="50" w:type="dxa"/>
              <w:bottom w:w="50" w:type="dxa"/>
              <w:left w:w="70" w:type="dxa"/>
              <w:right w:w="70" w:type="dxa"/>
            </w:tcMar>
          </w:tcPr>
          <w:p>
            <w:pPr>
              <w:spacing w:after="0"/>
            </w:pPr>
            <w:r>
              <w:rPr>
                <w:rFonts w:ascii="Calibri" w:hAnsi="Calibri"/>
                <w:sz w:val="18"/>
              </w:rPr>
              <w:t>US-16 (#1040)</w:t>
            </w:r>
          </w:p>
        </w:tc>
        <w:tc>
          <w:tcPr>
            <w:tcW w:type="dxa" w:w="3744"/>
            <w:shd w:fill="FFFFFF"/>
            <w:tcMar>
              <w:top w:w="50" w:type="dxa"/>
              <w:bottom w:w="50" w:type="dxa"/>
              <w:left w:w="70" w:type="dxa"/>
              <w:right w:w="70" w:type="dxa"/>
            </w:tcMar>
          </w:tcPr>
          <w:p>
            <w:pPr>
              <w:spacing w:after="0"/>
            </w:pPr>
            <w:r>
              <w:rPr>
                <w:rFonts w:ascii="Calibri" w:hAnsi="Calibri"/>
                <w:sz w:val="18"/>
              </w:rPr>
              <w:t>Filtrar reservas por fecha y verificar cálculo automático de noches</w:t>
            </w:r>
          </w:p>
        </w:tc>
        <w:tc>
          <w:tcPr>
            <w:tcW w:type="dxa" w:w="2016"/>
            <w:shd w:fill="FFFFFF"/>
            <w:tcMar>
              <w:top w:w="50" w:type="dxa"/>
              <w:bottom w:w="50" w:type="dxa"/>
              <w:left w:w="70" w:type="dxa"/>
              <w:right w:w="70" w:type="dxa"/>
            </w:tcMar>
          </w:tcPr>
          <w:p>
            <w:pPr>
              <w:spacing w:after="0"/>
            </w:pPr>
            <w:r>
              <w:rPr>
                <w:rFonts w:ascii="Calibri" w:hAnsi="Calibri"/>
                <w:sz w:val="18"/>
              </w:rPr>
              <w:t>Ariel Isai Ascencio</w:t>
            </w:r>
          </w:p>
        </w:tc>
      </w:tr>
      <w:tr>
        <w:tc>
          <w:tcPr>
            <w:tcW w:type="dxa" w:w="1152"/>
            <w:shd w:fill="F7FAFC"/>
            <w:tcMar>
              <w:top w:w="50" w:type="dxa"/>
              <w:bottom w:w="50" w:type="dxa"/>
              <w:left w:w="70" w:type="dxa"/>
              <w:right w:w="70" w:type="dxa"/>
            </w:tcMar>
          </w:tcPr>
          <w:p>
            <w:pPr>
              <w:spacing w:after="0"/>
              <w:jc w:val="center"/>
            </w:pPr>
            <w:r>
              <w:rPr>
                <w:rFonts w:ascii="Calibri" w:hAnsi="Calibri"/>
                <w:b/>
                <w:color w:val="0078D7"/>
                <w:sz w:val="18"/>
              </w:rPr>
              <w:t>TC-02</w:t>
            </w:r>
          </w:p>
        </w:tc>
        <w:tc>
          <w:tcPr>
            <w:tcW w:type="dxa" w:w="1152"/>
            <w:shd w:fill="F7FAFC"/>
            <w:tcMar>
              <w:top w:w="50" w:type="dxa"/>
              <w:bottom w:w="50" w:type="dxa"/>
              <w:left w:w="70" w:type="dxa"/>
              <w:right w:w="70" w:type="dxa"/>
            </w:tcMar>
          </w:tcPr>
          <w:p>
            <w:pPr>
              <w:spacing w:after="0"/>
              <w:jc w:val="center"/>
            </w:pPr>
            <w:r>
              <w:rPr>
                <w:rFonts w:ascii="Calibri" w:hAnsi="Calibri"/>
                <w:b/>
                <w:color w:val="003366"/>
                <w:sz w:val="18"/>
              </w:rPr>
              <w:t>#1047</w:t>
            </w:r>
          </w:p>
        </w:tc>
        <w:tc>
          <w:tcPr>
            <w:tcW w:type="dxa" w:w="1728"/>
            <w:shd w:fill="F7FAFC"/>
            <w:tcMar>
              <w:top w:w="50" w:type="dxa"/>
              <w:bottom w:w="50" w:type="dxa"/>
              <w:left w:w="70" w:type="dxa"/>
              <w:right w:w="70" w:type="dxa"/>
            </w:tcMar>
          </w:tcPr>
          <w:p>
            <w:pPr>
              <w:spacing w:after="0"/>
            </w:pPr>
            <w:r>
              <w:rPr>
                <w:rFonts w:ascii="Calibri" w:hAnsi="Calibri"/>
                <w:sz w:val="18"/>
              </w:rPr>
              <w:t>US-14 (#1034)</w:t>
            </w:r>
          </w:p>
        </w:tc>
        <w:tc>
          <w:tcPr>
            <w:tcW w:type="dxa" w:w="3744"/>
            <w:shd w:fill="F7FAFC"/>
            <w:tcMar>
              <w:top w:w="50" w:type="dxa"/>
              <w:bottom w:w="50" w:type="dxa"/>
              <w:left w:w="70" w:type="dxa"/>
              <w:right w:w="70" w:type="dxa"/>
            </w:tcMar>
          </w:tcPr>
          <w:p>
            <w:pPr>
              <w:spacing w:after="0"/>
            </w:pPr>
            <w:r>
              <w:rPr>
                <w:rFonts w:ascii="Calibri" w:hAnsi="Calibri"/>
                <w:sz w:val="18"/>
              </w:rPr>
              <w:t>Validar respuesta HTTP 200 en endpoint GET /ReservasAdmin/PorFecha</w:t>
            </w:r>
          </w:p>
        </w:tc>
        <w:tc>
          <w:tcPr>
            <w:tcW w:type="dxa" w:w="2016"/>
            <w:shd w:fill="F7FAFC"/>
            <w:tcMar>
              <w:top w:w="50" w:type="dxa"/>
              <w:bottom w:w="50" w:type="dxa"/>
              <w:left w:w="70" w:type="dxa"/>
              <w:right w:w="70" w:type="dxa"/>
            </w:tcMar>
          </w:tcPr>
          <w:p>
            <w:pPr>
              <w:spacing w:after="0"/>
            </w:pPr>
            <w:r>
              <w:rPr>
                <w:rFonts w:ascii="Calibri" w:hAnsi="Calibri"/>
                <w:sz w:val="18"/>
              </w:rPr>
              <w:t>Carlos Alonso Rivas</w:t>
            </w:r>
          </w:p>
        </w:tc>
      </w:tr>
      <w:tr>
        <w:tc>
          <w:tcPr>
            <w:tcW w:type="dxa" w:w="1152"/>
            <w:shd w:fill="FFFFFF"/>
            <w:tcMar>
              <w:top w:w="50" w:type="dxa"/>
              <w:bottom w:w="50" w:type="dxa"/>
              <w:left w:w="70" w:type="dxa"/>
              <w:right w:w="70" w:type="dxa"/>
            </w:tcMar>
          </w:tcPr>
          <w:p>
            <w:pPr>
              <w:spacing w:after="0"/>
              <w:jc w:val="center"/>
            </w:pPr>
            <w:r>
              <w:rPr>
                <w:rFonts w:ascii="Calibri" w:hAnsi="Calibri"/>
                <w:b/>
                <w:color w:val="0078D7"/>
                <w:sz w:val="18"/>
              </w:rPr>
              <w:t>TC-03</w:t>
            </w:r>
          </w:p>
        </w:tc>
        <w:tc>
          <w:tcPr>
            <w:tcW w:type="dxa" w:w="1152"/>
            <w:shd w:fill="FFFFFF"/>
            <w:tcMar>
              <w:top w:w="50" w:type="dxa"/>
              <w:bottom w:w="50" w:type="dxa"/>
              <w:left w:w="70" w:type="dxa"/>
              <w:right w:w="70" w:type="dxa"/>
            </w:tcMar>
          </w:tcPr>
          <w:p>
            <w:pPr>
              <w:spacing w:after="0"/>
              <w:jc w:val="center"/>
            </w:pPr>
            <w:r>
              <w:rPr>
                <w:rFonts w:ascii="Calibri" w:hAnsi="Calibri"/>
                <w:b/>
                <w:color w:val="003366"/>
                <w:sz w:val="18"/>
              </w:rPr>
              <w:t>#1048</w:t>
            </w:r>
          </w:p>
        </w:tc>
        <w:tc>
          <w:tcPr>
            <w:tcW w:type="dxa" w:w="1728"/>
            <w:shd w:fill="FFFFFF"/>
            <w:tcMar>
              <w:top w:w="50" w:type="dxa"/>
              <w:bottom w:w="50" w:type="dxa"/>
              <w:left w:w="70" w:type="dxa"/>
              <w:right w:w="70" w:type="dxa"/>
            </w:tcMar>
          </w:tcPr>
          <w:p>
            <w:pPr>
              <w:spacing w:after="0"/>
            </w:pPr>
            <w:r>
              <w:rPr>
                <w:rFonts w:ascii="Calibri" w:hAnsi="Calibri"/>
                <w:sz w:val="18"/>
              </w:rPr>
              <w:t>US-SEC-01 (#1043)</w:t>
            </w:r>
          </w:p>
        </w:tc>
        <w:tc>
          <w:tcPr>
            <w:tcW w:type="dxa" w:w="3744"/>
            <w:shd w:fill="FFFFFF"/>
            <w:tcMar>
              <w:top w:w="50" w:type="dxa"/>
              <w:bottom w:w="50" w:type="dxa"/>
              <w:left w:w="70" w:type="dxa"/>
              <w:right w:w="70" w:type="dxa"/>
            </w:tcMar>
          </w:tcPr>
          <w:p>
            <w:pPr>
              <w:spacing w:after="0"/>
            </w:pPr>
            <w:r>
              <w:rPr>
                <w:rFonts w:ascii="Calibri" w:hAnsi="Calibri"/>
                <w:sz w:val="18"/>
              </w:rPr>
              <w:t>Filtrar reporte por rango de fechas y validar sumatoria total de facturación</w:t>
            </w:r>
          </w:p>
        </w:tc>
        <w:tc>
          <w:tcPr>
            <w:tcW w:type="dxa" w:w="2016"/>
            <w:shd w:fill="FFFFFF"/>
            <w:tcMar>
              <w:top w:w="50" w:type="dxa"/>
              <w:bottom w:w="50" w:type="dxa"/>
              <w:left w:w="70" w:type="dxa"/>
              <w:right w:w="70" w:type="dxa"/>
            </w:tcMar>
          </w:tcPr>
          <w:p>
            <w:pPr>
              <w:spacing w:after="0"/>
            </w:pPr>
            <w:r>
              <w:rPr>
                <w:rFonts w:ascii="Calibri" w:hAnsi="Calibri"/>
                <w:sz w:val="18"/>
              </w:rPr>
              <w:t>Camila Calderón</w:t>
            </w:r>
          </w:p>
        </w:tc>
      </w:tr>
      <w:tr>
        <w:tc>
          <w:tcPr>
            <w:tcW w:type="dxa" w:w="1152"/>
            <w:shd w:fill="F7FAFC"/>
            <w:tcMar>
              <w:top w:w="50" w:type="dxa"/>
              <w:bottom w:w="50" w:type="dxa"/>
              <w:left w:w="70" w:type="dxa"/>
              <w:right w:w="70" w:type="dxa"/>
            </w:tcMar>
          </w:tcPr>
          <w:p>
            <w:pPr>
              <w:spacing w:after="0"/>
              <w:jc w:val="center"/>
            </w:pPr>
            <w:r>
              <w:rPr>
                <w:rFonts w:ascii="Calibri" w:hAnsi="Calibri"/>
                <w:b/>
                <w:color w:val="0078D7"/>
                <w:sz w:val="18"/>
              </w:rPr>
              <w:t>TC-04</w:t>
            </w:r>
          </w:p>
        </w:tc>
        <w:tc>
          <w:tcPr>
            <w:tcW w:type="dxa" w:w="1152"/>
            <w:shd w:fill="F7FAFC"/>
            <w:tcMar>
              <w:top w:w="50" w:type="dxa"/>
              <w:bottom w:w="50" w:type="dxa"/>
              <w:left w:w="70" w:type="dxa"/>
              <w:right w:w="70" w:type="dxa"/>
            </w:tcMar>
          </w:tcPr>
          <w:p>
            <w:pPr>
              <w:spacing w:after="0"/>
              <w:jc w:val="center"/>
            </w:pPr>
            <w:r>
              <w:rPr>
                <w:rFonts w:ascii="Calibri" w:hAnsi="Calibri"/>
                <w:b/>
                <w:color w:val="003366"/>
                <w:sz w:val="18"/>
              </w:rPr>
              <w:t>#1049</w:t>
            </w:r>
          </w:p>
        </w:tc>
        <w:tc>
          <w:tcPr>
            <w:tcW w:type="dxa" w:w="1728"/>
            <w:shd w:fill="F7FAFC"/>
            <w:tcMar>
              <w:top w:w="50" w:type="dxa"/>
              <w:bottom w:w="50" w:type="dxa"/>
              <w:left w:w="70" w:type="dxa"/>
              <w:right w:w="70" w:type="dxa"/>
            </w:tcMar>
          </w:tcPr>
          <w:p>
            <w:pPr>
              <w:spacing w:after="0"/>
            </w:pPr>
            <w:r>
              <w:rPr>
                <w:rFonts w:ascii="Calibri" w:hAnsi="Calibri"/>
                <w:sz w:val="18"/>
              </w:rPr>
              <w:t>US-15 (#1037)</w:t>
            </w:r>
          </w:p>
        </w:tc>
        <w:tc>
          <w:tcPr>
            <w:tcW w:type="dxa" w:w="3744"/>
            <w:shd w:fill="F7FAFC"/>
            <w:tcMar>
              <w:top w:w="50" w:type="dxa"/>
              <w:bottom w:w="50" w:type="dxa"/>
              <w:left w:w="70" w:type="dxa"/>
              <w:right w:w="70" w:type="dxa"/>
            </w:tcMar>
          </w:tcPr>
          <w:p>
            <w:pPr>
              <w:spacing w:after="0"/>
            </w:pPr>
            <w:r>
              <w:rPr>
                <w:rFonts w:ascii="Calibri" w:hAnsi="Calibri"/>
                <w:sz w:val="18"/>
              </w:rPr>
              <w:t>Validar respuesta HTTP 200 en endpoint GET /Reportes/Reservas</w:t>
            </w:r>
          </w:p>
        </w:tc>
        <w:tc>
          <w:tcPr>
            <w:tcW w:type="dxa" w:w="2016"/>
            <w:shd w:fill="F7FAFC"/>
            <w:tcMar>
              <w:top w:w="50" w:type="dxa"/>
              <w:bottom w:w="50" w:type="dxa"/>
              <w:left w:w="70" w:type="dxa"/>
              <w:right w:w="70" w:type="dxa"/>
            </w:tcMar>
          </w:tcPr>
          <w:p>
            <w:pPr>
              <w:spacing w:after="0"/>
            </w:pPr>
            <w:r>
              <w:rPr>
                <w:rFonts w:ascii="Calibri" w:hAnsi="Calibri"/>
                <w:sz w:val="18"/>
              </w:rPr>
              <w:t>Joselin Herrera</w:t>
            </w:r>
          </w:p>
        </w:tc>
      </w:tr>
      <w:tr>
        <w:tc>
          <w:tcPr>
            <w:tcW w:type="dxa" w:w="1152"/>
            <w:shd w:fill="FFFFFF"/>
            <w:tcMar>
              <w:top w:w="50" w:type="dxa"/>
              <w:bottom w:w="50" w:type="dxa"/>
              <w:left w:w="70" w:type="dxa"/>
              <w:right w:w="70" w:type="dxa"/>
            </w:tcMar>
          </w:tcPr>
          <w:p>
            <w:pPr>
              <w:spacing w:after="0"/>
              <w:jc w:val="center"/>
            </w:pPr>
            <w:r>
              <w:rPr>
                <w:rFonts w:ascii="Calibri" w:hAnsi="Calibri"/>
                <w:b/>
                <w:color w:val="0078D7"/>
                <w:sz w:val="18"/>
              </w:rPr>
              <w:t>TC-05</w:t>
            </w:r>
          </w:p>
        </w:tc>
        <w:tc>
          <w:tcPr>
            <w:tcW w:type="dxa" w:w="1152"/>
            <w:shd w:fill="FFFFFF"/>
            <w:tcMar>
              <w:top w:w="50" w:type="dxa"/>
              <w:bottom w:w="50" w:type="dxa"/>
              <w:left w:w="70" w:type="dxa"/>
              <w:right w:w="70" w:type="dxa"/>
            </w:tcMar>
          </w:tcPr>
          <w:p>
            <w:pPr>
              <w:spacing w:after="0"/>
              <w:jc w:val="center"/>
            </w:pPr>
            <w:r>
              <w:rPr>
                <w:rFonts w:ascii="Calibri" w:hAnsi="Calibri"/>
                <w:b/>
                <w:color w:val="003366"/>
                <w:sz w:val="18"/>
              </w:rPr>
              <w:t>#1050</w:t>
            </w:r>
          </w:p>
        </w:tc>
        <w:tc>
          <w:tcPr>
            <w:tcW w:type="dxa" w:w="1728"/>
            <w:shd w:fill="FFFFFF"/>
            <w:tcMar>
              <w:top w:w="50" w:type="dxa"/>
              <w:bottom w:w="50" w:type="dxa"/>
              <w:left w:w="70" w:type="dxa"/>
              <w:right w:w="70" w:type="dxa"/>
            </w:tcMar>
          </w:tcPr>
          <w:p>
            <w:pPr>
              <w:spacing w:after="0"/>
            </w:pPr>
            <w:r>
              <w:rPr>
                <w:rFonts w:ascii="Calibri" w:hAnsi="Calibri"/>
                <w:sz w:val="18"/>
              </w:rPr>
              <w:t>US-15 (#1037)</w:t>
            </w:r>
          </w:p>
        </w:tc>
        <w:tc>
          <w:tcPr>
            <w:tcW w:type="dxa" w:w="3744"/>
            <w:shd w:fill="FFFFFF"/>
            <w:tcMar>
              <w:top w:w="50" w:type="dxa"/>
              <w:bottom w:w="50" w:type="dxa"/>
              <w:left w:w="70" w:type="dxa"/>
              <w:right w:w="70" w:type="dxa"/>
            </w:tcMar>
          </w:tcPr>
          <w:p>
            <w:pPr>
              <w:spacing w:after="0"/>
            </w:pPr>
            <w:r>
              <w:rPr>
                <w:rFonts w:ascii="Calibri" w:hAnsi="Calibri"/>
                <w:sz w:val="18"/>
              </w:rPr>
              <w:t>Validar control anticolisión en DisponibilidadService ante fechas solapadas</w:t>
            </w:r>
          </w:p>
        </w:tc>
        <w:tc>
          <w:tcPr>
            <w:tcW w:type="dxa" w:w="2016"/>
            <w:shd w:fill="FFFFFF"/>
            <w:tcMar>
              <w:top w:w="50" w:type="dxa"/>
              <w:bottom w:w="50" w:type="dxa"/>
              <w:left w:w="70" w:type="dxa"/>
              <w:right w:w="70" w:type="dxa"/>
            </w:tcMar>
          </w:tcPr>
          <w:p>
            <w:pPr>
              <w:spacing w:after="0"/>
            </w:pPr>
            <w:r>
              <w:rPr>
                <w:rFonts w:ascii="Calibri" w:hAnsi="Calibri"/>
                <w:sz w:val="18"/>
              </w:rPr>
              <w:t>Joselin Herrera</w:t>
            </w:r>
          </w:p>
        </w:tc>
      </w:tr>
      <w:tr>
        <w:tc>
          <w:tcPr>
            <w:tcW w:type="dxa" w:w="1152"/>
            <w:shd w:fill="F7FAFC"/>
            <w:tcMar>
              <w:top w:w="50" w:type="dxa"/>
              <w:bottom w:w="50" w:type="dxa"/>
              <w:left w:w="70" w:type="dxa"/>
              <w:right w:w="70" w:type="dxa"/>
            </w:tcMar>
          </w:tcPr>
          <w:p>
            <w:pPr>
              <w:spacing w:after="0"/>
              <w:jc w:val="center"/>
            </w:pPr>
            <w:r>
              <w:rPr>
                <w:rFonts w:ascii="Calibri" w:hAnsi="Calibri"/>
                <w:b/>
                <w:color w:val="0078D7"/>
                <w:sz w:val="18"/>
              </w:rPr>
              <w:t>TC-06</w:t>
            </w:r>
          </w:p>
        </w:tc>
        <w:tc>
          <w:tcPr>
            <w:tcW w:type="dxa" w:w="1152"/>
            <w:shd w:fill="F7FAFC"/>
            <w:tcMar>
              <w:top w:w="50" w:type="dxa"/>
              <w:bottom w:w="50" w:type="dxa"/>
              <w:left w:w="70" w:type="dxa"/>
              <w:right w:w="70" w:type="dxa"/>
            </w:tcMar>
          </w:tcPr>
          <w:p>
            <w:pPr>
              <w:spacing w:after="0"/>
              <w:jc w:val="center"/>
            </w:pPr>
            <w:r>
              <w:rPr>
                <w:rFonts w:ascii="Calibri" w:hAnsi="Calibri"/>
                <w:b/>
                <w:color w:val="003366"/>
                <w:sz w:val="18"/>
              </w:rPr>
              <w:t>#1051</w:t>
            </w:r>
          </w:p>
        </w:tc>
        <w:tc>
          <w:tcPr>
            <w:tcW w:type="dxa" w:w="1728"/>
            <w:shd w:fill="F7FAFC"/>
            <w:tcMar>
              <w:top w:w="50" w:type="dxa"/>
              <w:bottom w:w="50" w:type="dxa"/>
              <w:left w:w="70" w:type="dxa"/>
              <w:right w:w="70" w:type="dxa"/>
            </w:tcMar>
          </w:tcPr>
          <w:p>
            <w:pPr>
              <w:spacing w:after="0"/>
            </w:pPr>
            <w:r>
              <w:rPr>
                <w:rFonts w:ascii="Calibri" w:hAnsi="Calibri"/>
                <w:sz w:val="18"/>
              </w:rPr>
              <w:t>US-SEC-01 (#1043)</w:t>
            </w:r>
          </w:p>
        </w:tc>
        <w:tc>
          <w:tcPr>
            <w:tcW w:type="dxa" w:w="3744"/>
            <w:shd w:fill="F7FAFC"/>
            <w:tcMar>
              <w:top w:w="50" w:type="dxa"/>
              <w:bottom w:w="50" w:type="dxa"/>
              <w:left w:w="70" w:type="dxa"/>
              <w:right w:w="70" w:type="dxa"/>
            </w:tcMar>
          </w:tcPr>
          <w:p>
            <w:pPr>
              <w:spacing w:after="0"/>
            </w:pPr>
            <w:r>
              <w:rPr>
                <w:rFonts w:ascii="Calibri" w:hAnsi="Calibri"/>
                <w:sz w:val="18"/>
              </w:rPr>
              <w:t>Validar cálculo dinámico de tarifa por temporada alta (3 noches x $120.00 = $360.00)</w:t>
            </w:r>
          </w:p>
        </w:tc>
        <w:tc>
          <w:tcPr>
            <w:tcW w:type="dxa" w:w="2016"/>
            <w:shd w:fill="F7FAFC"/>
            <w:tcMar>
              <w:top w:w="50" w:type="dxa"/>
              <w:bottom w:w="50" w:type="dxa"/>
              <w:left w:w="70" w:type="dxa"/>
              <w:right w:w="70" w:type="dxa"/>
            </w:tcMar>
          </w:tcPr>
          <w:p>
            <w:pPr>
              <w:spacing w:after="0"/>
            </w:pPr>
            <w:r>
              <w:rPr>
                <w:rFonts w:ascii="Calibri" w:hAnsi="Calibri"/>
                <w:sz w:val="18"/>
              </w:rPr>
              <w:t>Camila Calderón</w:t>
            </w:r>
          </w:p>
        </w:tc>
      </w:tr>
      <w:tr>
        <w:tc>
          <w:tcPr>
            <w:tcW w:type="dxa" w:w="1152"/>
            <w:shd w:fill="FFFFFF"/>
            <w:tcMar>
              <w:top w:w="50" w:type="dxa"/>
              <w:bottom w:w="50" w:type="dxa"/>
              <w:left w:w="70" w:type="dxa"/>
              <w:right w:w="70" w:type="dxa"/>
            </w:tcMar>
          </w:tcPr>
          <w:p>
            <w:pPr>
              <w:spacing w:after="0"/>
              <w:jc w:val="center"/>
            </w:pPr>
            <w:r>
              <w:rPr>
                <w:rFonts w:ascii="Calibri" w:hAnsi="Calibri"/>
                <w:b/>
                <w:color w:val="0078D7"/>
                <w:sz w:val="18"/>
              </w:rPr>
              <w:t>TC-07</w:t>
            </w:r>
          </w:p>
        </w:tc>
        <w:tc>
          <w:tcPr>
            <w:tcW w:type="dxa" w:w="1152"/>
            <w:shd w:fill="FFFFFF"/>
            <w:tcMar>
              <w:top w:w="50" w:type="dxa"/>
              <w:bottom w:w="50" w:type="dxa"/>
              <w:left w:w="70" w:type="dxa"/>
              <w:right w:w="70" w:type="dxa"/>
            </w:tcMar>
          </w:tcPr>
          <w:p>
            <w:pPr>
              <w:spacing w:after="0"/>
              <w:jc w:val="center"/>
            </w:pPr>
            <w:r>
              <w:rPr>
                <w:rFonts w:ascii="Calibri" w:hAnsi="Calibri"/>
                <w:b/>
                <w:color w:val="003366"/>
                <w:sz w:val="18"/>
              </w:rPr>
              <w:t>#1052</w:t>
            </w:r>
          </w:p>
        </w:tc>
        <w:tc>
          <w:tcPr>
            <w:tcW w:type="dxa" w:w="1728"/>
            <w:shd w:fill="FFFFFF"/>
            <w:tcMar>
              <w:top w:w="50" w:type="dxa"/>
              <w:bottom w:w="50" w:type="dxa"/>
              <w:left w:w="70" w:type="dxa"/>
              <w:right w:w="70" w:type="dxa"/>
            </w:tcMar>
          </w:tcPr>
          <w:p>
            <w:pPr>
              <w:spacing w:after="0"/>
            </w:pPr>
            <w:r>
              <w:rPr>
                <w:rFonts w:ascii="Calibri" w:hAnsi="Calibri"/>
                <w:sz w:val="18"/>
              </w:rPr>
              <w:t>US-16 (#1040)</w:t>
            </w:r>
          </w:p>
        </w:tc>
        <w:tc>
          <w:tcPr>
            <w:tcW w:type="dxa" w:w="3744"/>
            <w:shd w:fill="FFFFFF"/>
            <w:tcMar>
              <w:top w:w="50" w:type="dxa"/>
              <w:bottom w:w="50" w:type="dxa"/>
              <w:left w:w="70" w:type="dxa"/>
              <w:right w:w="70" w:type="dxa"/>
            </w:tcMar>
          </w:tcPr>
          <w:p>
            <w:pPr>
              <w:spacing w:after="0"/>
            </w:pPr>
            <w:r>
              <w:rPr>
                <w:rFonts w:ascii="Calibri" w:hAnsi="Calibri"/>
                <w:sz w:val="18"/>
              </w:rPr>
              <w:t>Validar autenticación exitosa con hash SHA-256 y emisión de cookie de sesión</w:t>
            </w:r>
          </w:p>
        </w:tc>
        <w:tc>
          <w:tcPr>
            <w:tcW w:type="dxa" w:w="2016"/>
            <w:shd w:fill="FFFFFF"/>
            <w:tcMar>
              <w:top w:w="50" w:type="dxa"/>
              <w:bottom w:w="50" w:type="dxa"/>
              <w:left w:w="70" w:type="dxa"/>
              <w:right w:w="70" w:type="dxa"/>
            </w:tcMar>
          </w:tcPr>
          <w:p>
            <w:pPr>
              <w:spacing w:after="0"/>
            </w:pPr>
            <w:r>
              <w:rPr>
                <w:rFonts w:ascii="Calibri" w:hAnsi="Calibri"/>
                <w:sz w:val="18"/>
              </w:rPr>
              <w:t>Ariel Isai Ascencio</w:t>
            </w:r>
          </w:p>
        </w:tc>
      </w:tr>
      <w:tr>
        <w:tc>
          <w:tcPr>
            <w:tcW w:type="dxa" w:w="1152"/>
            <w:shd w:fill="F7FAFC"/>
            <w:tcMar>
              <w:top w:w="50" w:type="dxa"/>
              <w:bottom w:w="50" w:type="dxa"/>
              <w:left w:w="70" w:type="dxa"/>
              <w:right w:w="70" w:type="dxa"/>
            </w:tcMar>
          </w:tcPr>
          <w:p>
            <w:pPr>
              <w:spacing w:after="0"/>
              <w:jc w:val="center"/>
            </w:pPr>
            <w:r>
              <w:rPr>
                <w:rFonts w:ascii="Calibri" w:hAnsi="Calibri"/>
                <w:b/>
                <w:color w:val="0078D7"/>
                <w:sz w:val="18"/>
              </w:rPr>
              <w:t>TC-08</w:t>
            </w:r>
          </w:p>
        </w:tc>
        <w:tc>
          <w:tcPr>
            <w:tcW w:type="dxa" w:w="1152"/>
            <w:shd w:fill="F7FAFC"/>
            <w:tcMar>
              <w:top w:w="50" w:type="dxa"/>
              <w:bottom w:w="50" w:type="dxa"/>
              <w:left w:w="70" w:type="dxa"/>
              <w:right w:w="70" w:type="dxa"/>
            </w:tcMar>
          </w:tcPr>
          <w:p>
            <w:pPr>
              <w:spacing w:after="0"/>
              <w:jc w:val="center"/>
            </w:pPr>
            <w:r>
              <w:rPr>
                <w:rFonts w:ascii="Calibri" w:hAnsi="Calibri"/>
                <w:b/>
                <w:color w:val="003366"/>
                <w:sz w:val="18"/>
              </w:rPr>
              <w:t>#1053</w:t>
            </w:r>
          </w:p>
        </w:tc>
        <w:tc>
          <w:tcPr>
            <w:tcW w:type="dxa" w:w="1728"/>
            <w:shd w:fill="F7FAFC"/>
            <w:tcMar>
              <w:top w:w="50" w:type="dxa"/>
              <w:bottom w:w="50" w:type="dxa"/>
              <w:left w:w="70" w:type="dxa"/>
              <w:right w:w="70" w:type="dxa"/>
            </w:tcMar>
          </w:tcPr>
          <w:p>
            <w:pPr>
              <w:spacing w:after="0"/>
            </w:pPr>
            <w:r>
              <w:rPr>
                <w:rFonts w:ascii="Calibri" w:hAnsi="Calibri"/>
                <w:sz w:val="18"/>
              </w:rPr>
              <w:t>US-14 (#1034)</w:t>
            </w:r>
          </w:p>
        </w:tc>
        <w:tc>
          <w:tcPr>
            <w:tcW w:type="dxa" w:w="3744"/>
            <w:shd w:fill="F7FAFC"/>
            <w:tcMar>
              <w:top w:w="50" w:type="dxa"/>
              <w:bottom w:w="50" w:type="dxa"/>
              <w:left w:w="70" w:type="dxa"/>
              <w:right w:w="70" w:type="dxa"/>
            </w:tcMar>
          </w:tcPr>
          <w:p>
            <w:pPr>
              <w:spacing w:after="0"/>
            </w:pPr>
            <w:r>
              <w:rPr>
                <w:rFonts w:ascii="Calibri" w:hAnsi="Calibri"/>
                <w:sz w:val="18"/>
              </w:rPr>
              <w:t>Validar restricción HTTP 403 / Redirección para usuario sin rol Administrador</w:t>
            </w:r>
          </w:p>
        </w:tc>
        <w:tc>
          <w:tcPr>
            <w:tcW w:type="dxa" w:w="2016"/>
            <w:shd w:fill="F7FAFC"/>
            <w:tcMar>
              <w:top w:w="50" w:type="dxa"/>
              <w:bottom w:w="50" w:type="dxa"/>
              <w:left w:w="70" w:type="dxa"/>
              <w:right w:w="70" w:type="dxa"/>
            </w:tcMar>
          </w:tcPr>
          <w:p>
            <w:pPr>
              <w:spacing w:after="0"/>
            </w:pPr>
            <w:r>
              <w:rPr>
                <w:rFonts w:ascii="Calibri" w:hAnsi="Calibri"/>
                <w:sz w:val="18"/>
              </w:rPr>
              <w:t>Carlos Alonso Rivas</w:t>
            </w:r>
          </w:p>
        </w:tc>
      </w:tr>
    </w:tbl>
    <w:p>
      <w:r>
        <w:br w:type="page"/>
      </w:r>
    </w:p>
    <w:p>
      <w:pPr>
        <w:keepNext/>
        <w:spacing w:before="320" w:after="120"/>
      </w:pPr>
      <w:r>
        <w:rPr>
          <w:rFonts w:ascii="Calibri" w:hAnsi="Calibri"/>
          <w:b/>
          <w:color w:val="003366"/>
          <w:sz w:val="30"/>
        </w:rPr>
        <w:t>RESULTADOS OBTENIDOS</w:t>
      </w:r>
    </w:p>
    <w:p>
      <w:pPr>
        <w:spacing w:before="0" w:after="120" w:line="276" w:lineRule="auto"/>
      </w:pPr>
      <w:r>
        <w:rPr>
          <w:rFonts w:ascii="Calibri" w:hAnsi="Calibri"/>
          <w:color w:val="282828"/>
          <w:sz w:val="22"/>
        </w:rPr>
        <w:t>A continuación se presenta el balance cuantitativo y las evidencias cualitativas derivadas de la ejecución exhaustiva de las pruebas en los tres niveles arquitectónicos, consolidando los registros de la plataforma Azure DevOps y el entorno de pruebas automatizado.</w:t>
      </w:r>
    </w:p>
    <w:p>
      <w:pPr>
        <w:keepNext/>
        <w:spacing w:before="240" w:after="80"/>
      </w:pPr>
      <w:r>
        <w:rPr>
          <w:rFonts w:ascii="Calibri" w:hAnsi="Calibri"/>
          <w:b/>
          <w:color w:val="0078D7"/>
          <w:sz w:val="25"/>
        </w:rPr>
        <w:t>Pruebas de Aceptación</w:t>
      </w:r>
    </w:p>
    <w:p>
      <w:pPr>
        <w:spacing w:before="0" w:after="120" w:line="276" w:lineRule="auto"/>
      </w:pPr>
      <w:r>
        <w:rPr>
          <w:rFonts w:ascii="Calibri" w:hAnsi="Calibri"/>
          <w:color w:val="282828"/>
          <w:sz w:val="22"/>
        </w:rPr>
        <w:t>La Suite de Pruebas de Aceptación (Test Suite #1055) fue ejecutada en su totalidad tanto desde la interfaz de Azure Test Plans como a través del motor automatizado de pruebas xUnit en la solución .NET 10. Durante el proceso de control de calidad se identificó y solventó oportunamente una discrepancia en el controlador administrativo (ReservasAdminController.cs), asegurando que la tarifa por temporada alta calculara de forma exacta el producto de las noches reservadas por la tarifa diaria ($120.00 x 3 = $360.00). Con esta corrección técnica aplicada, el 100% de los casos de aceptación resultaron plenamente exitosos.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680"/>
        <w:gridCol w:w="4680"/>
      </w:tblGrid>
      <w:tr>
        <w:tc>
          <w:tcPr>
            <w:tcW w:type="dxa" w:w="5472"/>
            <w:tcMar>
              <w:top w:w="50" w:type="dxa"/>
              <w:bottom w:w="50" w:type="dxa"/>
              <w:left w:w="120" w:type="dxa"/>
              <w:right w:w="120" w:type="dxa"/>
            </w:tcMar>
            <w:shd w:fill="F9FBFD"/>
          </w:tcPr>
          <w:p>
            <w:pPr>
              <w:spacing w:after="0"/>
            </w:pPr>
            <w:r>
              <w:rPr>
                <w:rFonts w:ascii="Calibri" w:hAnsi="Calibri"/>
                <w:b/>
                <w:color w:val="1E1E1E"/>
                <w:sz w:val="21"/>
              </w:rPr>
              <w:t>Número de pruebas declaradas:</w:t>
            </w:r>
          </w:p>
        </w:tc>
        <w:tc>
          <w:tcPr>
            <w:tcW w:type="dxa" w:w="3888"/>
            <w:tcMar>
              <w:top w:w="50" w:type="dxa"/>
              <w:bottom w:w="50" w:type="dxa"/>
              <w:left w:w="120" w:type="dxa"/>
              <w:right w:w="120" w:type="dxa"/>
            </w:tcMar>
            <w:shd w:fill="F9FBFD"/>
          </w:tcPr>
          <w:p>
            <w:pPr>
              <w:spacing w:after="0"/>
            </w:pPr>
            <w:r>
              <w:rPr>
                <w:rFonts w:ascii="Calibri" w:hAnsi="Calibri"/>
                <w:b/>
                <w:color w:val="003366"/>
                <w:sz w:val="22"/>
              </w:rPr>
              <w:t>8</w:t>
            </w:r>
          </w:p>
        </w:tc>
      </w:tr>
      <w:tr>
        <w:tc>
          <w:tcPr>
            <w:tcW w:type="dxa" w:w="5472"/>
            <w:tcMar>
              <w:top w:w="50" w:type="dxa"/>
              <w:bottom w:w="50" w:type="dxa"/>
              <w:left w:w="120" w:type="dxa"/>
              <w:right w:w="120" w:type="dxa"/>
            </w:tcMar>
            <w:shd w:fill="FFFFFF"/>
          </w:tcPr>
          <w:p>
            <w:pPr>
              <w:spacing w:after="0"/>
            </w:pPr>
            <w:r>
              <w:rPr>
                <w:rFonts w:ascii="Calibri" w:hAnsi="Calibri"/>
                <w:b/>
                <w:color w:val="1E1E1E"/>
                <w:sz w:val="21"/>
              </w:rPr>
              <w:t>Número de pruebas ejecutadas:</w:t>
            </w:r>
          </w:p>
        </w:tc>
        <w:tc>
          <w:tcPr>
            <w:tcW w:type="dxa" w:w="3888"/>
            <w:tcMar>
              <w:top w:w="50" w:type="dxa"/>
              <w:bottom w:w="50" w:type="dxa"/>
              <w:left w:w="120" w:type="dxa"/>
              <w:right w:w="120" w:type="dxa"/>
            </w:tcMar>
            <w:shd w:fill="FFFFFF"/>
          </w:tcPr>
          <w:p>
            <w:pPr>
              <w:spacing w:after="0"/>
            </w:pPr>
            <w:r>
              <w:rPr>
                <w:rFonts w:ascii="Calibri" w:hAnsi="Calibri"/>
                <w:b/>
                <w:color w:val="0078D7"/>
                <w:sz w:val="22"/>
              </w:rPr>
              <w:t>8</w:t>
            </w:r>
          </w:p>
        </w:tc>
      </w:tr>
      <w:tr>
        <w:tc>
          <w:tcPr>
            <w:tcW w:type="dxa" w:w="5472"/>
            <w:tcMar>
              <w:top w:w="50" w:type="dxa"/>
              <w:bottom w:w="50" w:type="dxa"/>
              <w:left w:w="120" w:type="dxa"/>
              <w:right w:w="120" w:type="dxa"/>
            </w:tcMar>
            <w:shd w:fill="E8F5E9"/>
          </w:tcPr>
          <w:p>
            <w:pPr>
              <w:spacing w:after="0"/>
            </w:pPr>
            <w:r>
              <w:rPr>
                <w:rFonts w:ascii="Calibri" w:hAnsi="Calibri"/>
                <w:b/>
                <w:color w:val="1E1E1E"/>
                <w:sz w:val="21"/>
              </w:rPr>
              <w:t>Número de pruebas exitosas:</w:t>
            </w:r>
          </w:p>
        </w:tc>
        <w:tc>
          <w:tcPr>
            <w:tcW w:type="dxa" w:w="3888"/>
            <w:tcMar>
              <w:top w:w="50" w:type="dxa"/>
              <w:bottom w:w="50" w:type="dxa"/>
              <w:left w:w="120" w:type="dxa"/>
              <w:right w:w="120" w:type="dxa"/>
            </w:tcMar>
            <w:shd w:fill="E8F5E9"/>
          </w:tcPr>
          <w:p>
            <w:pPr>
              <w:spacing w:after="0"/>
            </w:pPr>
            <w:r>
              <w:rPr>
                <w:rFonts w:ascii="Calibri" w:hAnsi="Calibri"/>
                <w:b/>
                <w:color w:val="107C41"/>
                <w:sz w:val="22"/>
              </w:rPr>
              <w:t>8 (100% Aprobación)</w:t>
            </w:r>
          </w:p>
        </w:tc>
      </w:tr>
      <w:tr>
        <w:tc>
          <w:tcPr>
            <w:tcW w:type="dxa" w:w="5472"/>
            <w:tcMar>
              <w:top w:w="50" w:type="dxa"/>
              <w:bottom w:w="50" w:type="dxa"/>
              <w:left w:w="120" w:type="dxa"/>
              <w:right w:w="120" w:type="dxa"/>
            </w:tcMar>
            <w:shd w:fill="FFFFFF"/>
          </w:tcPr>
          <w:p>
            <w:pPr>
              <w:spacing w:after="0"/>
            </w:pPr>
            <w:r>
              <w:rPr>
                <w:rFonts w:ascii="Calibri" w:hAnsi="Calibri"/>
                <w:b/>
                <w:color w:val="1E1E1E"/>
                <w:sz w:val="21"/>
              </w:rPr>
              <w:t>Número de pruebas pendientes (fallidas):</w:t>
            </w:r>
          </w:p>
        </w:tc>
        <w:tc>
          <w:tcPr>
            <w:tcW w:type="dxa" w:w="3888"/>
            <w:tcMar>
              <w:top w:w="50" w:type="dxa"/>
              <w:bottom w:w="50" w:type="dxa"/>
              <w:left w:w="120" w:type="dxa"/>
              <w:right w:w="120" w:type="dxa"/>
            </w:tcMar>
            <w:shd w:fill="FFFFFF"/>
          </w:tcPr>
          <w:p>
            <w:pPr>
              <w:spacing w:after="0"/>
            </w:pPr>
            <w:r>
              <w:rPr>
                <w:rFonts w:ascii="Calibri" w:hAnsi="Calibri"/>
                <w:b/>
                <w:color w:val="666666"/>
                <w:sz w:val="22"/>
              </w:rPr>
              <w:t>0</w:t>
            </w:r>
          </w:p>
        </w:tc>
      </w:tr>
    </w:tbl>
    <w:p>
      <w:pPr>
        <w:spacing w:after="80"/>
      </w:pPr>
    </w:p>
    <w:p>
      <w:pPr>
        <w:spacing w:before="0" w:after="120" w:line="276" w:lineRule="auto"/>
      </w:pPr>
      <w:r>
        <w:rPr>
          <w:rFonts w:ascii="Calibri" w:hAnsi="Calibri"/>
          <w:b/>
          <w:color w:val="141414"/>
          <w:sz w:val="22"/>
        </w:rPr>
        <w:t xml:space="preserve">Evidencias Gráficas Incorporadas: </w:t>
      </w:r>
      <w:r>
        <w:rPr>
          <w:rFonts w:ascii="Calibri" w:hAnsi="Calibri"/>
          <w:color w:val="282828"/>
          <w:sz w:val="22"/>
        </w:rPr>
        <w:t>Evidencias Oficiales – Seguimiento en Plantilla y Registro en Azure DevOps:</w:t>
      </w:r>
    </w:p>
    <w:p>
      <w:pPr>
        <w:keepNext/>
        <w:spacing w:before="160" w:after="60"/>
        <w:jc w:val="center"/>
      </w:pPr>
      <w:r>
        <w:drawing>
          <wp:inline xmlns:a="http://schemas.openxmlformats.org/drawingml/2006/main" xmlns:pic="http://schemas.openxmlformats.org/drawingml/2006/picture">
            <wp:extent cx="5669280" cy="2456688"/>
            <wp:docPr id="1" name="Picture 1"/>
            <wp:cNvGraphicFramePr>
              <a:graphicFrameLocks noChangeAspect="1"/>
            </wp:cNvGraphicFramePr>
            <a:graphic>
              <a:graphicData uri="http://schemas.openxmlformats.org/drawingml/2006/picture">
                <pic:pic>
                  <pic:nvPicPr>
                    <pic:cNvPr id="0" name="evidencia_plantilla_aceptacion.png"/>
                    <pic:cNvPicPr/>
                  </pic:nvPicPr>
                  <pic:blipFill>
                    <a:blip r:embed="rId9"/>
                    <a:stretch>
                      <a:fillRect/>
                    </a:stretch>
                  </pic:blipFill>
                  <pic:spPr>
                    <a:xfrm>
                      <a:off x="0" y="0"/>
                      <a:ext cx="5669280" cy="2456688"/>
                    </a:xfrm>
                    <a:prstGeom prst="rect"/>
                  </pic:spPr>
                </pic:pic>
              </a:graphicData>
            </a:graphic>
          </wp:inline>
        </w:drawing>
      </w:r>
    </w:p>
    <w:p>
      <w:pPr>
        <w:spacing w:before="40" w:after="200"/>
        <w:jc w:val="center"/>
      </w:pPr>
      <w:r>
        <w:rPr>
          <w:rFonts w:ascii="Calibri" w:hAnsi="Calibri"/>
          <w:i/>
          <w:color w:val="5A5A5A"/>
          <w:sz w:val="19"/>
        </w:rPr>
        <w:t>Figura 1. Matriz de Seguimiento de Casos de Prueba de Aceptación (TC-01 a TC-08) en Plantilla Excel con estado 100% Exitoso.</w:t>
      </w:r>
    </w:p>
    <w:p>
      <w:pPr>
        <w:keepNext/>
        <w:spacing w:before="160" w:after="60"/>
        <w:jc w:val="center"/>
      </w:pPr>
      <w:r>
        <w:drawing>
          <wp:inline xmlns:a="http://schemas.openxmlformats.org/drawingml/2006/main" xmlns:pic="http://schemas.openxmlformats.org/drawingml/2006/picture">
            <wp:extent cx="5669280" cy="3155132"/>
            <wp:docPr id="2" name="Picture 2"/>
            <wp:cNvGraphicFramePr>
              <a:graphicFrameLocks noChangeAspect="1"/>
            </wp:cNvGraphicFramePr>
            <a:graphic>
              <a:graphicData uri="http://schemas.openxmlformats.org/drawingml/2006/picture">
                <pic:pic>
                  <pic:nvPicPr>
                    <pic:cNvPr id="0" name="2_test_suite_casos.png"/>
                    <pic:cNvPicPr/>
                  </pic:nvPicPr>
                  <pic:blipFill>
                    <a:blip r:embed="rId10"/>
                    <a:stretch>
                      <a:fillRect/>
                    </a:stretch>
                  </pic:blipFill>
                  <pic:spPr>
                    <a:xfrm>
                      <a:off x="0" y="0"/>
                      <a:ext cx="5669280" cy="3155132"/>
                    </a:xfrm>
                    <a:prstGeom prst="rect"/>
                  </pic:spPr>
                </pic:pic>
              </a:graphicData>
            </a:graphic>
          </wp:inline>
        </w:drawing>
      </w:r>
    </w:p>
    <w:p>
      <w:pPr>
        <w:spacing w:before="40" w:after="200"/>
        <w:jc w:val="center"/>
      </w:pPr>
      <w:r>
        <w:rPr>
          <w:rFonts w:ascii="Calibri" w:hAnsi="Calibri"/>
          <w:i/>
          <w:color w:val="5A5A5A"/>
          <w:sz w:val="19"/>
        </w:rPr>
        <w:t>Figura 2. Vista oficial de la Test Suite #1055 en Azure Test Plans con los 8 casos de prueba asignados y tasa de ejecución verde.</w:t>
      </w:r>
    </w:p>
    <w:p>
      <w:pPr>
        <w:keepNext/>
        <w:spacing w:before="160" w:after="60"/>
        <w:jc w:val="center"/>
      </w:pPr>
      <w:r>
        <w:drawing>
          <wp:inline xmlns:a="http://schemas.openxmlformats.org/drawingml/2006/main" xmlns:pic="http://schemas.openxmlformats.org/drawingml/2006/picture">
            <wp:extent cx="5669280" cy="2674084"/>
            <wp:docPr id="3" name="Picture 3"/>
            <wp:cNvGraphicFramePr>
              <a:graphicFrameLocks noChangeAspect="1"/>
            </wp:cNvGraphicFramePr>
            <a:graphic>
              <a:graphicData uri="http://schemas.openxmlformats.org/drawingml/2006/picture">
                <pic:pic>
                  <pic:nvPicPr>
                    <pic:cNvPr id="0" name="5_progress_report.png"/>
                    <pic:cNvPicPr/>
                  </pic:nvPicPr>
                  <pic:blipFill>
                    <a:blip r:embed="rId11"/>
                    <a:stretch>
                      <a:fillRect/>
                    </a:stretch>
                  </pic:blipFill>
                  <pic:spPr>
                    <a:xfrm>
                      <a:off x="0" y="0"/>
                      <a:ext cx="5669280" cy="2674084"/>
                    </a:xfrm>
                    <a:prstGeom prst="rect"/>
                  </pic:spPr>
                </pic:pic>
              </a:graphicData>
            </a:graphic>
          </wp:inline>
        </w:drawing>
      </w:r>
    </w:p>
    <w:p>
      <w:pPr>
        <w:spacing w:before="40" w:after="200"/>
        <w:jc w:val="center"/>
      </w:pPr>
      <w:r>
        <w:rPr>
          <w:rFonts w:ascii="Calibri" w:hAnsi="Calibri"/>
          <w:i/>
          <w:color w:val="5A5A5A"/>
          <w:sz w:val="19"/>
        </w:rPr>
        <w:t>Figura 3. Progress Report oficial en Azure DevOps (Test Plan #1054) certificando 8/8 Test Points ejecutados (100% Run) y 100% Pass Rate.</w:t>
      </w:r>
    </w:p>
    <w:p>
      <w:pPr>
        <w:keepNext/>
        <w:spacing w:before="240" w:after="80"/>
      </w:pPr>
      <w:r>
        <w:rPr>
          <w:rFonts w:ascii="Calibri" w:hAnsi="Calibri"/>
          <w:b/>
          <w:color w:val="0078D7"/>
          <w:sz w:val="25"/>
        </w:rPr>
        <w:t>Pruebas de API</w:t>
      </w:r>
    </w:p>
    <w:p>
      <w:pPr>
        <w:spacing w:before="0" w:after="120" w:line="276" w:lineRule="auto"/>
      </w:pPr>
      <w:r>
        <w:rPr>
          <w:rFonts w:ascii="Calibri" w:hAnsi="Calibri"/>
          <w:color w:val="282828"/>
          <w:sz w:val="22"/>
        </w:rPr>
        <w:t>Las 16 pruebas de integración de API fueron ejecutadas sobre el host de pruebas en memoria WebApplicationFactory. Todos los endpoints respondieron con exactitud a los códigos de estado HTTP programados (200 OK para peticiones válidas, 400 BadRequest para fallos de validación y 404 NotFound para recursos inexistentes). No se registraron excepciones no controladas ni bloqueos de transaccionalidad.</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680"/>
        <w:gridCol w:w="4680"/>
      </w:tblGrid>
      <w:tr>
        <w:tc>
          <w:tcPr>
            <w:tcW w:type="dxa" w:w="5472"/>
            <w:tcMar>
              <w:top w:w="50" w:type="dxa"/>
              <w:bottom w:w="50" w:type="dxa"/>
              <w:left w:w="120" w:type="dxa"/>
              <w:right w:w="120" w:type="dxa"/>
            </w:tcMar>
            <w:shd w:fill="F9FBFD"/>
          </w:tcPr>
          <w:p>
            <w:pPr>
              <w:spacing w:after="0"/>
            </w:pPr>
            <w:r>
              <w:rPr>
                <w:rFonts w:ascii="Calibri" w:hAnsi="Calibri"/>
                <w:b/>
                <w:color w:val="1E1E1E"/>
                <w:sz w:val="21"/>
              </w:rPr>
              <w:t>Número de pruebas declaradas:</w:t>
            </w:r>
          </w:p>
        </w:tc>
        <w:tc>
          <w:tcPr>
            <w:tcW w:type="dxa" w:w="3888"/>
            <w:tcMar>
              <w:top w:w="50" w:type="dxa"/>
              <w:bottom w:w="50" w:type="dxa"/>
              <w:left w:w="120" w:type="dxa"/>
              <w:right w:w="120" w:type="dxa"/>
            </w:tcMar>
            <w:shd w:fill="F9FBFD"/>
          </w:tcPr>
          <w:p>
            <w:pPr>
              <w:spacing w:after="0"/>
            </w:pPr>
            <w:r>
              <w:rPr>
                <w:rFonts w:ascii="Calibri" w:hAnsi="Calibri"/>
                <w:b/>
                <w:color w:val="003366"/>
                <w:sz w:val="22"/>
              </w:rPr>
              <w:t>16</w:t>
            </w:r>
          </w:p>
        </w:tc>
      </w:tr>
      <w:tr>
        <w:tc>
          <w:tcPr>
            <w:tcW w:type="dxa" w:w="5472"/>
            <w:tcMar>
              <w:top w:w="50" w:type="dxa"/>
              <w:bottom w:w="50" w:type="dxa"/>
              <w:left w:w="120" w:type="dxa"/>
              <w:right w:w="120" w:type="dxa"/>
            </w:tcMar>
            <w:shd w:fill="FFFFFF"/>
          </w:tcPr>
          <w:p>
            <w:pPr>
              <w:spacing w:after="0"/>
            </w:pPr>
            <w:r>
              <w:rPr>
                <w:rFonts w:ascii="Calibri" w:hAnsi="Calibri"/>
                <w:b/>
                <w:color w:val="1E1E1E"/>
                <w:sz w:val="21"/>
              </w:rPr>
              <w:t>Número de pruebas ejecutadas:</w:t>
            </w:r>
          </w:p>
        </w:tc>
        <w:tc>
          <w:tcPr>
            <w:tcW w:type="dxa" w:w="3888"/>
            <w:tcMar>
              <w:top w:w="50" w:type="dxa"/>
              <w:bottom w:w="50" w:type="dxa"/>
              <w:left w:w="120" w:type="dxa"/>
              <w:right w:w="120" w:type="dxa"/>
            </w:tcMar>
            <w:shd w:fill="FFFFFF"/>
          </w:tcPr>
          <w:p>
            <w:pPr>
              <w:spacing w:after="0"/>
            </w:pPr>
            <w:r>
              <w:rPr>
                <w:rFonts w:ascii="Calibri" w:hAnsi="Calibri"/>
                <w:b/>
                <w:color w:val="0078D7"/>
                <w:sz w:val="22"/>
              </w:rPr>
              <w:t>16</w:t>
            </w:r>
          </w:p>
        </w:tc>
      </w:tr>
      <w:tr>
        <w:tc>
          <w:tcPr>
            <w:tcW w:type="dxa" w:w="5472"/>
            <w:tcMar>
              <w:top w:w="50" w:type="dxa"/>
              <w:bottom w:w="50" w:type="dxa"/>
              <w:left w:w="120" w:type="dxa"/>
              <w:right w:w="120" w:type="dxa"/>
            </w:tcMar>
            <w:shd w:fill="E8F5E9"/>
          </w:tcPr>
          <w:p>
            <w:pPr>
              <w:spacing w:after="0"/>
            </w:pPr>
            <w:r>
              <w:rPr>
                <w:rFonts w:ascii="Calibri" w:hAnsi="Calibri"/>
                <w:b/>
                <w:color w:val="1E1E1E"/>
                <w:sz w:val="21"/>
              </w:rPr>
              <w:t>Número de pruebas exitosas:</w:t>
            </w:r>
          </w:p>
        </w:tc>
        <w:tc>
          <w:tcPr>
            <w:tcW w:type="dxa" w:w="3888"/>
            <w:tcMar>
              <w:top w:w="50" w:type="dxa"/>
              <w:bottom w:w="50" w:type="dxa"/>
              <w:left w:w="120" w:type="dxa"/>
              <w:right w:w="120" w:type="dxa"/>
            </w:tcMar>
            <w:shd w:fill="E8F5E9"/>
          </w:tcPr>
          <w:p>
            <w:pPr>
              <w:spacing w:after="0"/>
            </w:pPr>
            <w:r>
              <w:rPr>
                <w:rFonts w:ascii="Calibri" w:hAnsi="Calibri"/>
                <w:b/>
                <w:color w:val="107C41"/>
                <w:sz w:val="22"/>
              </w:rPr>
              <w:t>16 (100% Aprobación)</w:t>
            </w:r>
          </w:p>
        </w:tc>
      </w:tr>
      <w:tr>
        <w:tc>
          <w:tcPr>
            <w:tcW w:type="dxa" w:w="5472"/>
            <w:tcMar>
              <w:top w:w="50" w:type="dxa"/>
              <w:bottom w:w="50" w:type="dxa"/>
              <w:left w:w="120" w:type="dxa"/>
              <w:right w:w="120" w:type="dxa"/>
            </w:tcMar>
            <w:shd w:fill="FFFFFF"/>
          </w:tcPr>
          <w:p>
            <w:pPr>
              <w:spacing w:after="0"/>
            </w:pPr>
            <w:r>
              <w:rPr>
                <w:rFonts w:ascii="Calibri" w:hAnsi="Calibri"/>
                <w:b/>
                <w:color w:val="1E1E1E"/>
                <w:sz w:val="21"/>
              </w:rPr>
              <w:t>Número de pruebas pendientes (fallidas):</w:t>
            </w:r>
          </w:p>
        </w:tc>
        <w:tc>
          <w:tcPr>
            <w:tcW w:type="dxa" w:w="3888"/>
            <w:tcMar>
              <w:top w:w="50" w:type="dxa"/>
              <w:bottom w:w="50" w:type="dxa"/>
              <w:left w:w="120" w:type="dxa"/>
              <w:right w:w="120" w:type="dxa"/>
            </w:tcMar>
            <w:shd w:fill="FFFFFF"/>
          </w:tcPr>
          <w:p>
            <w:pPr>
              <w:spacing w:after="0"/>
            </w:pPr>
            <w:r>
              <w:rPr>
                <w:rFonts w:ascii="Calibri" w:hAnsi="Calibri"/>
                <w:b/>
                <w:color w:val="666666"/>
                <w:sz w:val="22"/>
              </w:rPr>
              <w:t>0</w:t>
            </w:r>
          </w:p>
        </w:tc>
      </w:tr>
    </w:tbl>
    <w:p>
      <w:pPr>
        <w:spacing w:after="80"/>
      </w:pPr>
    </w:p>
    <w:p>
      <w:pPr>
        <w:spacing w:before="0" w:after="120" w:line="276" w:lineRule="auto"/>
      </w:pPr>
      <w:r>
        <w:rPr>
          <w:rFonts w:ascii="Calibri" w:hAnsi="Calibri"/>
          <w:b/>
          <w:color w:val="141414"/>
          <w:sz w:val="22"/>
        </w:rPr>
        <w:t xml:space="preserve">Evidencias Gráficas Incorporadas: </w:t>
      </w:r>
      <w:r>
        <w:rPr>
          <w:rFonts w:ascii="Calibri" w:hAnsi="Calibri"/>
          <w:color w:val="282828"/>
          <w:sz w:val="22"/>
        </w:rPr>
        <w:t>Evidencias Oficiales – Seguimiento en Plantilla de Pruebas de API:</w:t>
      </w:r>
    </w:p>
    <w:p>
      <w:pPr>
        <w:keepNext/>
        <w:spacing w:before="160" w:after="60"/>
        <w:jc w:val="center"/>
      </w:pPr>
      <w:r>
        <w:drawing>
          <wp:inline xmlns:a="http://schemas.openxmlformats.org/drawingml/2006/main" xmlns:pic="http://schemas.openxmlformats.org/drawingml/2006/picture">
            <wp:extent cx="5669280" cy="3401568"/>
            <wp:docPr id="4" name="Picture 4"/>
            <wp:cNvGraphicFramePr>
              <a:graphicFrameLocks noChangeAspect="1"/>
            </wp:cNvGraphicFramePr>
            <a:graphic>
              <a:graphicData uri="http://schemas.openxmlformats.org/drawingml/2006/picture">
                <pic:pic>
                  <pic:nvPicPr>
                    <pic:cNvPr id="0" name="evidencia_plantilla_api.png"/>
                    <pic:cNvPicPr/>
                  </pic:nvPicPr>
                  <pic:blipFill>
                    <a:blip r:embed="rId12"/>
                    <a:stretch>
                      <a:fillRect/>
                    </a:stretch>
                  </pic:blipFill>
                  <pic:spPr>
                    <a:xfrm>
                      <a:off x="0" y="0"/>
                      <a:ext cx="5669280" cy="3401568"/>
                    </a:xfrm>
                    <a:prstGeom prst="rect"/>
                  </pic:spPr>
                </pic:pic>
              </a:graphicData>
            </a:graphic>
          </wp:inline>
        </w:drawing>
      </w:r>
    </w:p>
    <w:p>
      <w:pPr>
        <w:spacing w:before="40" w:after="200"/>
        <w:jc w:val="center"/>
      </w:pPr>
      <w:r>
        <w:rPr>
          <w:rFonts w:ascii="Calibri" w:hAnsi="Calibri"/>
          <w:i/>
          <w:color w:val="5A5A5A"/>
          <w:sz w:val="19"/>
        </w:rPr>
        <w:t>Figura 4. Matriz de Seguimiento de Pruebas de API (API-01 a API-16) en Plantilla Excel con verificación HTTP y estado 100% Exitoso.</w:t>
      </w:r>
    </w:p>
    <w:p>
      <w:pPr>
        <w:keepNext/>
        <w:spacing w:before="240" w:after="80"/>
      </w:pPr>
      <w:r>
        <w:rPr>
          <w:rFonts w:ascii="Calibri" w:hAnsi="Calibri"/>
          <w:b/>
          <w:color w:val="0078D7"/>
          <w:sz w:val="25"/>
        </w:rPr>
        <w:t>Pruebas Unitarias</w:t>
      </w:r>
    </w:p>
    <w:p>
      <w:pPr>
        <w:spacing w:before="0" w:after="120" w:line="276" w:lineRule="auto"/>
      </w:pPr>
      <w:r>
        <w:rPr>
          <w:rFonts w:ascii="Calibri" w:hAnsi="Calibri"/>
          <w:color w:val="282828"/>
          <w:sz w:val="22"/>
        </w:rPr>
        <w:t>Las 21 pruebas unitarias del proyecto SistemaReservaHotel.UnitTests fueron compiladas y ejecutadas sobre el SDK .NET 10.0. Los 21 casos superaron las aserciones en un tiempo total de ejecución de 1.1 segundos, demostrando la alta eficiencia del patrón AAA con Moq y la ausencia de dependencias externas en la lógica de negocio.</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680"/>
        <w:gridCol w:w="4680"/>
      </w:tblGrid>
      <w:tr>
        <w:tc>
          <w:tcPr>
            <w:tcW w:type="dxa" w:w="5472"/>
            <w:tcMar>
              <w:top w:w="50" w:type="dxa"/>
              <w:bottom w:w="50" w:type="dxa"/>
              <w:left w:w="120" w:type="dxa"/>
              <w:right w:w="120" w:type="dxa"/>
            </w:tcMar>
            <w:shd w:fill="F9FBFD"/>
          </w:tcPr>
          <w:p>
            <w:pPr>
              <w:spacing w:after="0"/>
            </w:pPr>
            <w:r>
              <w:rPr>
                <w:rFonts w:ascii="Calibri" w:hAnsi="Calibri"/>
                <w:b/>
                <w:color w:val="1E1E1E"/>
                <w:sz w:val="21"/>
              </w:rPr>
              <w:t>Número de pruebas declaradas:</w:t>
            </w:r>
          </w:p>
        </w:tc>
        <w:tc>
          <w:tcPr>
            <w:tcW w:type="dxa" w:w="3888"/>
            <w:tcMar>
              <w:top w:w="50" w:type="dxa"/>
              <w:bottom w:w="50" w:type="dxa"/>
              <w:left w:w="120" w:type="dxa"/>
              <w:right w:w="120" w:type="dxa"/>
            </w:tcMar>
            <w:shd w:fill="F9FBFD"/>
          </w:tcPr>
          <w:p>
            <w:pPr>
              <w:spacing w:after="0"/>
            </w:pPr>
            <w:r>
              <w:rPr>
                <w:rFonts w:ascii="Calibri" w:hAnsi="Calibri"/>
                <w:b/>
                <w:color w:val="003366"/>
                <w:sz w:val="22"/>
              </w:rPr>
              <w:t>21</w:t>
            </w:r>
          </w:p>
        </w:tc>
      </w:tr>
      <w:tr>
        <w:tc>
          <w:tcPr>
            <w:tcW w:type="dxa" w:w="5472"/>
            <w:tcMar>
              <w:top w:w="50" w:type="dxa"/>
              <w:bottom w:w="50" w:type="dxa"/>
              <w:left w:w="120" w:type="dxa"/>
              <w:right w:w="120" w:type="dxa"/>
            </w:tcMar>
            <w:shd w:fill="FFFFFF"/>
          </w:tcPr>
          <w:p>
            <w:pPr>
              <w:spacing w:after="0"/>
            </w:pPr>
            <w:r>
              <w:rPr>
                <w:rFonts w:ascii="Calibri" w:hAnsi="Calibri"/>
                <w:b/>
                <w:color w:val="1E1E1E"/>
                <w:sz w:val="21"/>
              </w:rPr>
              <w:t>Número de pruebas ejecutadas:</w:t>
            </w:r>
          </w:p>
        </w:tc>
        <w:tc>
          <w:tcPr>
            <w:tcW w:type="dxa" w:w="3888"/>
            <w:tcMar>
              <w:top w:w="50" w:type="dxa"/>
              <w:bottom w:w="50" w:type="dxa"/>
              <w:left w:w="120" w:type="dxa"/>
              <w:right w:w="120" w:type="dxa"/>
            </w:tcMar>
            <w:shd w:fill="FFFFFF"/>
          </w:tcPr>
          <w:p>
            <w:pPr>
              <w:spacing w:after="0"/>
            </w:pPr>
            <w:r>
              <w:rPr>
                <w:rFonts w:ascii="Calibri" w:hAnsi="Calibri"/>
                <w:b/>
                <w:color w:val="0078D7"/>
                <w:sz w:val="22"/>
              </w:rPr>
              <w:t>21</w:t>
            </w:r>
          </w:p>
        </w:tc>
      </w:tr>
      <w:tr>
        <w:tc>
          <w:tcPr>
            <w:tcW w:type="dxa" w:w="5472"/>
            <w:tcMar>
              <w:top w:w="50" w:type="dxa"/>
              <w:bottom w:w="50" w:type="dxa"/>
              <w:left w:w="120" w:type="dxa"/>
              <w:right w:w="120" w:type="dxa"/>
            </w:tcMar>
            <w:shd w:fill="E8F5E9"/>
          </w:tcPr>
          <w:p>
            <w:pPr>
              <w:spacing w:after="0"/>
            </w:pPr>
            <w:r>
              <w:rPr>
                <w:rFonts w:ascii="Calibri" w:hAnsi="Calibri"/>
                <w:b/>
                <w:color w:val="1E1E1E"/>
                <w:sz w:val="21"/>
              </w:rPr>
              <w:t>Número de pruebas exitosas:</w:t>
            </w:r>
          </w:p>
        </w:tc>
        <w:tc>
          <w:tcPr>
            <w:tcW w:type="dxa" w:w="3888"/>
            <w:tcMar>
              <w:top w:w="50" w:type="dxa"/>
              <w:bottom w:w="50" w:type="dxa"/>
              <w:left w:w="120" w:type="dxa"/>
              <w:right w:w="120" w:type="dxa"/>
            </w:tcMar>
            <w:shd w:fill="E8F5E9"/>
          </w:tcPr>
          <w:p>
            <w:pPr>
              <w:spacing w:after="0"/>
            </w:pPr>
            <w:r>
              <w:rPr>
                <w:rFonts w:ascii="Calibri" w:hAnsi="Calibri"/>
                <w:b/>
                <w:color w:val="107C41"/>
                <w:sz w:val="22"/>
              </w:rPr>
              <w:t>21 (100% Aprobación)</w:t>
            </w:r>
          </w:p>
        </w:tc>
      </w:tr>
      <w:tr>
        <w:tc>
          <w:tcPr>
            <w:tcW w:type="dxa" w:w="5472"/>
            <w:tcMar>
              <w:top w:w="50" w:type="dxa"/>
              <w:bottom w:w="50" w:type="dxa"/>
              <w:left w:w="120" w:type="dxa"/>
              <w:right w:w="120" w:type="dxa"/>
            </w:tcMar>
            <w:shd w:fill="FFFFFF"/>
          </w:tcPr>
          <w:p>
            <w:pPr>
              <w:spacing w:after="0"/>
            </w:pPr>
            <w:r>
              <w:rPr>
                <w:rFonts w:ascii="Calibri" w:hAnsi="Calibri"/>
                <w:b/>
                <w:color w:val="1E1E1E"/>
                <w:sz w:val="21"/>
              </w:rPr>
              <w:t>Número de pruebas pendientes (fallidas):</w:t>
            </w:r>
          </w:p>
        </w:tc>
        <w:tc>
          <w:tcPr>
            <w:tcW w:type="dxa" w:w="3888"/>
            <w:tcMar>
              <w:top w:w="50" w:type="dxa"/>
              <w:bottom w:w="50" w:type="dxa"/>
              <w:left w:w="120" w:type="dxa"/>
              <w:right w:w="120" w:type="dxa"/>
            </w:tcMar>
            <w:shd w:fill="FFFFFF"/>
          </w:tcPr>
          <w:p>
            <w:pPr>
              <w:spacing w:after="0"/>
            </w:pPr>
            <w:r>
              <w:rPr>
                <w:rFonts w:ascii="Calibri" w:hAnsi="Calibri"/>
                <w:b/>
                <w:color w:val="666666"/>
                <w:sz w:val="22"/>
              </w:rPr>
              <w:t>0</w:t>
            </w:r>
          </w:p>
        </w:tc>
      </w:tr>
    </w:tbl>
    <w:p>
      <w:pPr>
        <w:spacing w:after="80"/>
      </w:pPr>
    </w:p>
    <w:p>
      <w:pPr>
        <w:spacing w:before="0" w:after="120" w:line="276" w:lineRule="auto"/>
      </w:pPr>
      <w:r>
        <w:rPr>
          <w:rFonts w:ascii="Calibri" w:hAnsi="Calibri"/>
          <w:b/>
          <w:color w:val="141414"/>
          <w:sz w:val="22"/>
        </w:rPr>
        <w:t xml:space="preserve">Evidencias Gráficas Incorporadas: </w:t>
      </w:r>
      <w:r>
        <w:rPr>
          <w:rFonts w:ascii="Calibri" w:hAnsi="Calibri"/>
          <w:color w:val="282828"/>
          <w:sz w:val="22"/>
        </w:rPr>
        <w:t>Evidencias Oficiales – Gráfico Generado por Azure DevOps Pipelines (Test Analytics):</w:t>
      </w:r>
    </w:p>
    <w:p>
      <w:pPr>
        <w:keepNext/>
        <w:spacing w:before="160" w:after="60"/>
        <w:jc w:val="center"/>
      </w:pPr>
      <w:r>
        <w:drawing>
          <wp:inline xmlns:a="http://schemas.openxmlformats.org/drawingml/2006/main" xmlns:pic="http://schemas.openxmlformats.org/drawingml/2006/picture">
            <wp:extent cx="5669280" cy="2740152"/>
            <wp:docPr id="5" name="Picture 5"/>
            <wp:cNvGraphicFramePr>
              <a:graphicFrameLocks noChangeAspect="1"/>
            </wp:cNvGraphicFramePr>
            <a:graphic>
              <a:graphicData uri="http://schemas.openxmlformats.org/drawingml/2006/picture">
                <pic:pic>
                  <pic:nvPicPr>
                    <pic:cNvPr id="0" name="evidencia_grafico_azure_unitarias.png"/>
                    <pic:cNvPicPr/>
                  </pic:nvPicPr>
                  <pic:blipFill>
                    <a:blip r:embed="rId13"/>
                    <a:stretch>
                      <a:fillRect/>
                    </a:stretch>
                  </pic:blipFill>
                  <pic:spPr>
                    <a:xfrm>
                      <a:off x="0" y="0"/>
                      <a:ext cx="5669280" cy="2740152"/>
                    </a:xfrm>
                    <a:prstGeom prst="rect"/>
                  </pic:spPr>
                </pic:pic>
              </a:graphicData>
            </a:graphic>
          </wp:inline>
        </w:drawing>
      </w:r>
    </w:p>
    <w:p>
      <w:pPr>
        <w:spacing w:before="40" w:after="200"/>
        <w:jc w:val="center"/>
      </w:pPr>
      <w:r>
        <w:rPr>
          <w:rFonts w:ascii="Calibri" w:hAnsi="Calibri"/>
          <w:i/>
          <w:color w:val="5A5A5A"/>
          <w:sz w:val="19"/>
        </w:rPr>
        <w:t>Figura 5. Gráfico oficial de Test Analytics en Azure DevOps Pipelines: 21 de 21 pruebas unitarias superadas (100% Pass Rate, 0 errores).</w:t>
      </w:r>
    </w:p>
    <w:p>
      <w:pPr>
        <w:keepNext/>
        <w:spacing w:before="240" w:after="80"/>
      </w:pPr>
      <w:r>
        <w:rPr>
          <w:rFonts w:ascii="Calibri" w:hAnsi="Calibri"/>
          <w:b/>
          <w:color w:val="0078D7"/>
          <w:sz w:val="25"/>
        </w:rPr>
        <w:t>Resumen Consolidado de Resultados por Nivel</w:t>
      </w:r>
    </w:p>
    <w:p>
      <w:pPr>
        <w:spacing w:before="0" w:after="120" w:line="276" w:lineRule="auto"/>
      </w:pPr>
      <w:r>
        <w:rPr>
          <w:rFonts w:ascii="Calibri" w:hAnsi="Calibri"/>
          <w:color w:val="282828"/>
          <w:sz w:val="22"/>
        </w:rPr>
        <w:t>La siguiente matriz consolida el rendimiento global del aseguramiento de la calidad en el proyecto, integrando los tres estratos analizados:</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1560"/>
        <w:gridCol w:w="1560"/>
        <w:gridCol w:w="1560"/>
        <w:gridCol w:w="1560"/>
        <w:gridCol w:w="1560"/>
        <w:gridCol w:w="1560"/>
      </w:tblGrid>
      <w:tr>
        <w:tc>
          <w:tcPr>
            <w:tcW w:type="dxa" w:w="1560"/>
            <w:shd w:fill="003366"/>
            <w:tcMar>
              <w:top w:w="60" w:type="dxa"/>
              <w:bottom w:w="60" w:type="dxa"/>
              <w:left w:w="80" w:type="dxa"/>
              <w:right w:w="80" w:type="dxa"/>
            </w:tcMar>
          </w:tcPr>
          <w:p>
            <w:pPr>
              <w:spacing w:after="0"/>
              <w:jc w:val="center"/>
            </w:pPr>
            <w:r>
              <w:rPr>
                <w:rFonts w:ascii="Calibri" w:hAnsi="Calibri"/>
                <w:b/>
                <w:color w:val="FFFFFF"/>
                <w:sz w:val="19"/>
              </w:rPr>
              <w:t>Nivel de Prueba</w:t>
            </w:r>
          </w:p>
        </w:tc>
        <w:tc>
          <w:tcPr>
            <w:tcW w:type="dxa" w:w="1560"/>
            <w:shd w:fill="003366"/>
            <w:tcMar>
              <w:top w:w="60" w:type="dxa"/>
              <w:bottom w:w="60" w:type="dxa"/>
              <w:left w:w="80" w:type="dxa"/>
              <w:right w:w="80" w:type="dxa"/>
            </w:tcMar>
          </w:tcPr>
          <w:p>
            <w:pPr>
              <w:spacing w:after="0"/>
              <w:jc w:val="center"/>
            </w:pPr>
            <w:r>
              <w:rPr>
                <w:rFonts w:ascii="Calibri" w:hAnsi="Calibri"/>
                <w:b/>
                <w:color w:val="FFFFFF"/>
                <w:sz w:val="19"/>
              </w:rPr>
              <w:t>Declaradas</w:t>
            </w:r>
          </w:p>
        </w:tc>
        <w:tc>
          <w:tcPr>
            <w:tcW w:type="dxa" w:w="1560"/>
            <w:shd w:fill="003366"/>
            <w:tcMar>
              <w:top w:w="60" w:type="dxa"/>
              <w:bottom w:w="60" w:type="dxa"/>
              <w:left w:w="80" w:type="dxa"/>
              <w:right w:w="80" w:type="dxa"/>
            </w:tcMar>
          </w:tcPr>
          <w:p>
            <w:pPr>
              <w:spacing w:after="0"/>
              <w:jc w:val="center"/>
            </w:pPr>
            <w:r>
              <w:rPr>
                <w:rFonts w:ascii="Calibri" w:hAnsi="Calibri"/>
                <w:b/>
                <w:color w:val="FFFFFF"/>
                <w:sz w:val="19"/>
              </w:rPr>
              <w:t>Ejecutadas</w:t>
            </w:r>
          </w:p>
        </w:tc>
        <w:tc>
          <w:tcPr>
            <w:tcW w:type="dxa" w:w="1560"/>
            <w:shd w:fill="003366"/>
            <w:tcMar>
              <w:top w:w="60" w:type="dxa"/>
              <w:bottom w:w="60" w:type="dxa"/>
              <w:left w:w="80" w:type="dxa"/>
              <w:right w:w="80" w:type="dxa"/>
            </w:tcMar>
          </w:tcPr>
          <w:p>
            <w:pPr>
              <w:spacing w:after="0"/>
              <w:jc w:val="center"/>
            </w:pPr>
            <w:r>
              <w:rPr>
                <w:rFonts w:ascii="Calibri" w:hAnsi="Calibri"/>
                <w:b/>
                <w:color w:val="FFFFFF"/>
                <w:sz w:val="19"/>
              </w:rPr>
              <w:t>Exitosas</w:t>
            </w:r>
          </w:p>
        </w:tc>
        <w:tc>
          <w:tcPr>
            <w:tcW w:type="dxa" w:w="1560"/>
            <w:shd w:fill="003366"/>
            <w:tcMar>
              <w:top w:w="60" w:type="dxa"/>
              <w:bottom w:w="60" w:type="dxa"/>
              <w:left w:w="80" w:type="dxa"/>
              <w:right w:w="80" w:type="dxa"/>
            </w:tcMar>
          </w:tcPr>
          <w:p>
            <w:pPr>
              <w:spacing w:after="0"/>
              <w:jc w:val="center"/>
            </w:pPr>
            <w:r>
              <w:rPr>
                <w:rFonts w:ascii="Calibri" w:hAnsi="Calibri"/>
                <w:b/>
                <w:color w:val="FFFFFF"/>
                <w:sz w:val="19"/>
              </w:rPr>
              <w:t>Fallidas</w:t>
            </w:r>
          </w:p>
        </w:tc>
        <w:tc>
          <w:tcPr>
            <w:tcW w:type="dxa" w:w="1560"/>
            <w:shd w:fill="003366"/>
            <w:tcMar>
              <w:top w:w="60" w:type="dxa"/>
              <w:bottom w:w="60" w:type="dxa"/>
              <w:left w:w="80" w:type="dxa"/>
              <w:right w:w="80" w:type="dxa"/>
            </w:tcMar>
          </w:tcPr>
          <w:p>
            <w:pPr>
              <w:spacing w:after="0"/>
              <w:jc w:val="center"/>
            </w:pPr>
            <w:r>
              <w:rPr>
                <w:rFonts w:ascii="Calibri" w:hAnsi="Calibri"/>
                <w:b/>
                <w:color w:val="FFFFFF"/>
                <w:sz w:val="19"/>
              </w:rPr>
              <w:t>Tasa de Éxito</w:t>
            </w:r>
          </w:p>
        </w:tc>
      </w:tr>
      <w:tr>
        <w:tc>
          <w:tcPr>
            <w:tcW w:type="dxa" w:w="3600"/>
            <w:shd w:fill="FFFFFF"/>
            <w:tcMar>
              <w:top w:w="50" w:type="dxa"/>
              <w:bottom w:w="50" w:type="dxa"/>
              <w:left w:w="70" w:type="dxa"/>
              <w:right w:w="70" w:type="dxa"/>
            </w:tcMar>
          </w:tcPr>
          <w:p>
            <w:pPr>
              <w:spacing w:after="0"/>
            </w:pPr>
            <w:r>
              <w:rPr>
                <w:rFonts w:ascii="Calibri" w:hAnsi="Calibri"/>
                <w:sz w:val="19"/>
              </w:rPr>
              <w:t>Pruebas de Aceptación (UAT)</w:t>
            </w:r>
          </w:p>
        </w:tc>
        <w:tc>
          <w:tcPr>
            <w:tcW w:type="dxa" w:w="1152"/>
            <w:shd w:fill="FFFFFF"/>
            <w:tcMar>
              <w:top w:w="50" w:type="dxa"/>
              <w:bottom w:w="50" w:type="dxa"/>
              <w:left w:w="70" w:type="dxa"/>
              <w:right w:w="70" w:type="dxa"/>
            </w:tcMar>
          </w:tcPr>
          <w:p>
            <w:pPr>
              <w:spacing w:after="0"/>
              <w:jc w:val="center"/>
            </w:pPr>
            <w:r>
              <w:rPr>
                <w:rFonts w:ascii="Calibri" w:hAnsi="Calibri"/>
                <w:sz w:val="19"/>
              </w:rPr>
              <w:t>8</w:t>
            </w:r>
          </w:p>
        </w:tc>
        <w:tc>
          <w:tcPr>
            <w:tcW w:type="dxa" w:w="1152"/>
            <w:shd w:fill="FFFFFF"/>
            <w:tcMar>
              <w:top w:w="50" w:type="dxa"/>
              <w:bottom w:w="50" w:type="dxa"/>
              <w:left w:w="70" w:type="dxa"/>
              <w:right w:w="70" w:type="dxa"/>
            </w:tcMar>
          </w:tcPr>
          <w:p>
            <w:pPr>
              <w:spacing w:after="0"/>
              <w:jc w:val="center"/>
            </w:pPr>
            <w:r>
              <w:rPr>
                <w:rFonts w:ascii="Calibri" w:hAnsi="Calibri"/>
                <w:sz w:val="19"/>
              </w:rPr>
              <w:t>8</w:t>
            </w:r>
          </w:p>
        </w:tc>
        <w:tc>
          <w:tcPr>
            <w:tcW w:type="dxa" w:w="1152"/>
            <w:shd w:fill="FFFFFF"/>
            <w:tcMar>
              <w:top w:w="50" w:type="dxa"/>
              <w:bottom w:w="50" w:type="dxa"/>
              <w:left w:w="70" w:type="dxa"/>
              <w:right w:w="70" w:type="dxa"/>
            </w:tcMar>
          </w:tcPr>
          <w:p>
            <w:pPr>
              <w:spacing w:after="0"/>
              <w:jc w:val="center"/>
            </w:pPr>
            <w:r>
              <w:rPr>
                <w:rFonts w:ascii="Calibri" w:hAnsi="Calibri"/>
                <w:sz w:val="19"/>
              </w:rPr>
              <w:t>8</w:t>
            </w:r>
          </w:p>
        </w:tc>
        <w:tc>
          <w:tcPr>
            <w:tcW w:type="dxa" w:w="1152"/>
            <w:shd w:fill="FFFFFF"/>
            <w:tcMar>
              <w:top w:w="50" w:type="dxa"/>
              <w:bottom w:w="50" w:type="dxa"/>
              <w:left w:w="70" w:type="dxa"/>
              <w:right w:w="70" w:type="dxa"/>
            </w:tcMar>
          </w:tcPr>
          <w:p>
            <w:pPr>
              <w:spacing w:after="0"/>
              <w:jc w:val="center"/>
            </w:pPr>
            <w:r>
              <w:rPr>
                <w:rFonts w:ascii="Calibri" w:hAnsi="Calibri"/>
                <w:sz w:val="19"/>
              </w:rPr>
              <w:t>0</w:t>
            </w:r>
          </w:p>
        </w:tc>
        <w:tc>
          <w:tcPr>
            <w:tcW w:type="dxa" w:w="1584"/>
            <w:shd w:fill="FFFFFF"/>
            <w:tcMar>
              <w:top w:w="50" w:type="dxa"/>
              <w:bottom w:w="50" w:type="dxa"/>
              <w:left w:w="70" w:type="dxa"/>
              <w:right w:w="70" w:type="dxa"/>
            </w:tcMar>
          </w:tcPr>
          <w:p>
            <w:pPr>
              <w:spacing w:after="0"/>
              <w:jc w:val="center"/>
            </w:pPr>
            <w:r>
              <w:rPr>
                <w:rFonts w:ascii="Calibri" w:hAnsi="Calibri"/>
                <w:b/>
                <w:color w:val="107C41"/>
                <w:sz w:val="19"/>
              </w:rPr>
              <w:t>100.0%</w:t>
            </w:r>
          </w:p>
        </w:tc>
      </w:tr>
      <w:tr>
        <w:tc>
          <w:tcPr>
            <w:tcW w:type="dxa" w:w="3600"/>
            <w:shd w:fill="F7FAFC"/>
            <w:tcMar>
              <w:top w:w="50" w:type="dxa"/>
              <w:bottom w:w="50" w:type="dxa"/>
              <w:left w:w="70" w:type="dxa"/>
              <w:right w:w="70" w:type="dxa"/>
            </w:tcMar>
          </w:tcPr>
          <w:p>
            <w:pPr>
              <w:spacing w:after="0"/>
            </w:pPr>
            <w:r>
              <w:rPr>
                <w:rFonts w:ascii="Calibri" w:hAnsi="Calibri"/>
                <w:sz w:val="19"/>
              </w:rPr>
              <w:t>Pruebas de API (Integración)</w:t>
            </w:r>
          </w:p>
        </w:tc>
        <w:tc>
          <w:tcPr>
            <w:tcW w:type="dxa" w:w="1152"/>
            <w:shd w:fill="F7FAFC"/>
            <w:tcMar>
              <w:top w:w="50" w:type="dxa"/>
              <w:bottom w:w="50" w:type="dxa"/>
              <w:left w:w="70" w:type="dxa"/>
              <w:right w:w="70" w:type="dxa"/>
            </w:tcMar>
          </w:tcPr>
          <w:p>
            <w:pPr>
              <w:spacing w:after="0"/>
              <w:jc w:val="center"/>
            </w:pPr>
            <w:r>
              <w:rPr>
                <w:rFonts w:ascii="Calibri" w:hAnsi="Calibri"/>
                <w:sz w:val="19"/>
              </w:rPr>
              <w:t>16</w:t>
            </w:r>
          </w:p>
        </w:tc>
        <w:tc>
          <w:tcPr>
            <w:tcW w:type="dxa" w:w="1152"/>
            <w:shd w:fill="F7FAFC"/>
            <w:tcMar>
              <w:top w:w="50" w:type="dxa"/>
              <w:bottom w:w="50" w:type="dxa"/>
              <w:left w:w="70" w:type="dxa"/>
              <w:right w:w="70" w:type="dxa"/>
            </w:tcMar>
          </w:tcPr>
          <w:p>
            <w:pPr>
              <w:spacing w:after="0"/>
              <w:jc w:val="center"/>
            </w:pPr>
            <w:r>
              <w:rPr>
                <w:rFonts w:ascii="Calibri" w:hAnsi="Calibri"/>
                <w:sz w:val="19"/>
              </w:rPr>
              <w:t>16</w:t>
            </w:r>
          </w:p>
        </w:tc>
        <w:tc>
          <w:tcPr>
            <w:tcW w:type="dxa" w:w="1152"/>
            <w:shd w:fill="F7FAFC"/>
            <w:tcMar>
              <w:top w:w="50" w:type="dxa"/>
              <w:bottom w:w="50" w:type="dxa"/>
              <w:left w:w="70" w:type="dxa"/>
              <w:right w:w="70" w:type="dxa"/>
            </w:tcMar>
          </w:tcPr>
          <w:p>
            <w:pPr>
              <w:spacing w:after="0"/>
              <w:jc w:val="center"/>
            </w:pPr>
            <w:r>
              <w:rPr>
                <w:rFonts w:ascii="Calibri" w:hAnsi="Calibri"/>
                <w:sz w:val="19"/>
              </w:rPr>
              <w:t>16</w:t>
            </w:r>
          </w:p>
        </w:tc>
        <w:tc>
          <w:tcPr>
            <w:tcW w:type="dxa" w:w="1152"/>
            <w:shd w:fill="F7FAFC"/>
            <w:tcMar>
              <w:top w:w="50" w:type="dxa"/>
              <w:bottom w:w="50" w:type="dxa"/>
              <w:left w:w="70" w:type="dxa"/>
              <w:right w:w="70" w:type="dxa"/>
            </w:tcMar>
          </w:tcPr>
          <w:p>
            <w:pPr>
              <w:spacing w:after="0"/>
              <w:jc w:val="center"/>
            </w:pPr>
            <w:r>
              <w:rPr>
                <w:rFonts w:ascii="Calibri" w:hAnsi="Calibri"/>
                <w:sz w:val="19"/>
              </w:rPr>
              <w:t>0</w:t>
            </w:r>
          </w:p>
        </w:tc>
        <w:tc>
          <w:tcPr>
            <w:tcW w:type="dxa" w:w="1584"/>
            <w:shd w:fill="F7FAFC"/>
            <w:tcMar>
              <w:top w:w="50" w:type="dxa"/>
              <w:bottom w:w="50" w:type="dxa"/>
              <w:left w:w="70" w:type="dxa"/>
              <w:right w:w="70" w:type="dxa"/>
            </w:tcMar>
          </w:tcPr>
          <w:p>
            <w:pPr>
              <w:spacing w:after="0"/>
              <w:jc w:val="center"/>
            </w:pPr>
            <w:r>
              <w:rPr>
                <w:rFonts w:ascii="Calibri" w:hAnsi="Calibri"/>
                <w:b/>
                <w:color w:val="107C41"/>
                <w:sz w:val="19"/>
              </w:rPr>
              <w:t>100.0%</w:t>
            </w:r>
          </w:p>
        </w:tc>
      </w:tr>
      <w:tr>
        <w:tc>
          <w:tcPr>
            <w:tcW w:type="dxa" w:w="3600"/>
            <w:shd w:fill="FFFFFF"/>
            <w:tcMar>
              <w:top w:w="50" w:type="dxa"/>
              <w:bottom w:w="50" w:type="dxa"/>
              <w:left w:w="70" w:type="dxa"/>
              <w:right w:w="70" w:type="dxa"/>
            </w:tcMar>
          </w:tcPr>
          <w:p>
            <w:pPr>
              <w:spacing w:after="0"/>
            </w:pPr>
            <w:r>
              <w:rPr>
                <w:rFonts w:ascii="Calibri" w:hAnsi="Calibri"/>
                <w:sz w:val="19"/>
              </w:rPr>
              <w:t>Pruebas Unitarias (AAA + Moq)</w:t>
            </w:r>
          </w:p>
        </w:tc>
        <w:tc>
          <w:tcPr>
            <w:tcW w:type="dxa" w:w="1152"/>
            <w:shd w:fill="FFFFFF"/>
            <w:tcMar>
              <w:top w:w="50" w:type="dxa"/>
              <w:bottom w:w="50" w:type="dxa"/>
              <w:left w:w="70" w:type="dxa"/>
              <w:right w:w="70" w:type="dxa"/>
            </w:tcMar>
          </w:tcPr>
          <w:p>
            <w:pPr>
              <w:spacing w:after="0"/>
              <w:jc w:val="center"/>
            </w:pPr>
            <w:r>
              <w:rPr>
                <w:rFonts w:ascii="Calibri" w:hAnsi="Calibri"/>
                <w:sz w:val="19"/>
              </w:rPr>
              <w:t>21</w:t>
            </w:r>
          </w:p>
        </w:tc>
        <w:tc>
          <w:tcPr>
            <w:tcW w:type="dxa" w:w="1152"/>
            <w:shd w:fill="FFFFFF"/>
            <w:tcMar>
              <w:top w:w="50" w:type="dxa"/>
              <w:bottom w:w="50" w:type="dxa"/>
              <w:left w:w="70" w:type="dxa"/>
              <w:right w:w="70" w:type="dxa"/>
            </w:tcMar>
          </w:tcPr>
          <w:p>
            <w:pPr>
              <w:spacing w:after="0"/>
              <w:jc w:val="center"/>
            </w:pPr>
            <w:r>
              <w:rPr>
                <w:rFonts w:ascii="Calibri" w:hAnsi="Calibri"/>
                <w:sz w:val="19"/>
              </w:rPr>
              <w:t>21</w:t>
            </w:r>
          </w:p>
        </w:tc>
        <w:tc>
          <w:tcPr>
            <w:tcW w:type="dxa" w:w="1152"/>
            <w:shd w:fill="FFFFFF"/>
            <w:tcMar>
              <w:top w:w="50" w:type="dxa"/>
              <w:bottom w:w="50" w:type="dxa"/>
              <w:left w:w="70" w:type="dxa"/>
              <w:right w:w="70" w:type="dxa"/>
            </w:tcMar>
          </w:tcPr>
          <w:p>
            <w:pPr>
              <w:spacing w:after="0"/>
              <w:jc w:val="center"/>
            </w:pPr>
            <w:r>
              <w:rPr>
                <w:rFonts w:ascii="Calibri" w:hAnsi="Calibri"/>
                <w:sz w:val="19"/>
              </w:rPr>
              <w:t>21</w:t>
            </w:r>
          </w:p>
        </w:tc>
        <w:tc>
          <w:tcPr>
            <w:tcW w:type="dxa" w:w="1152"/>
            <w:shd w:fill="FFFFFF"/>
            <w:tcMar>
              <w:top w:w="50" w:type="dxa"/>
              <w:bottom w:w="50" w:type="dxa"/>
              <w:left w:w="70" w:type="dxa"/>
              <w:right w:w="70" w:type="dxa"/>
            </w:tcMar>
          </w:tcPr>
          <w:p>
            <w:pPr>
              <w:spacing w:after="0"/>
              <w:jc w:val="center"/>
            </w:pPr>
            <w:r>
              <w:rPr>
                <w:rFonts w:ascii="Calibri" w:hAnsi="Calibri"/>
                <w:sz w:val="19"/>
              </w:rPr>
              <w:t>0</w:t>
            </w:r>
          </w:p>
        </w:tc>
        <w:tc>
          <w:tcPr>
            <w:tcW w:type="dxa" w:w="1584"/>
            <w:shd w:fill="FFFFFF"/>
            <w:tcMar>
              <w:top w:w="50" w:type="dxa"/>
              <w:bottom w:w="50" w:type="dxa"/>
              <w:left w:w="70" w:type="dxa"/>
              <w:right w:w="70" w:type="dxa"/>
            </w:tcMar>
          </w:tcPr>
          <w:p>
            <w:pPr>
              <w:spacing w:after="0"/>
              <w:jc w:val="center"/>
            </w:pPr>
            <w:r>
              <w:rPr>
                <w:rFonts w:ascii="Calibri" w:hAnsi="Calibri"/>
                <w:b/>
                <w:color w:val="107C41"/>
                <w:sz w:val="19"/>
              </w:rPr>
              <w:t>100.0%</w:t>
            </w:r>
          </w:p>
        </w:tc>
      </w:tr>
      <w:tr>
        <w:tc>
          <w:tcPr>
            <w:tcW w:type="dxa" w:w="3600"/>
            <w:shd w:fill="E8F5E9"/>
            <w:tcMar>
              <w:top w:w="50" w:type="dxa"/>
              <w:bottom w:w="50" w:type="dxa"/>
              <w:left w:w="70" w:type="dxa"/>
              <w:right w:w="70" w:type="dxa"/>
            </w:tcMar>
          </w:tcPr>
          <w:p>
            <w:pPr>
              <w:spacing w:after="0"/>
            </w:pPr>
            <w:r>
              <w:rPr>
                <w:rFonts w:ascii="Calibri" w:hAnsi="Calibri"/>
                <w:b/>
                <w:color w:val="003366"/>
                <w:sz w:val="19"/>
              </w:rPr>
              <w:t>TOTALES CONSOLIDADOS</w:t>
            </w:r>
          </w:p>
        </w:tc>
        <w:tc>
          <w:tcPr>
            <w:tcW w:type="dxa" w:w="1152"/>
            <w:shd w:fill="E8F5E9"/>
            <w:tcMar>
              <w:top w:w="50" w:type="dxa"/>
              <w:bottom w:w="50" w:type="dxa"/>
              <w:left w:w="70" w:type="dxa"/>
              <w:right w:w="70" w:type="dxa"/>
            </w:tcMar>
          </w:tcPr>
          <w:p>
            <w:pPr>
              <w:spacing w:after="0"/>
              <w:jc w:val="center"/>
            </w:pPr>
            <w:r>
              <w:rPr>
                <w:rFonts w:ascii="Calibri" w:hAnsi="Calibri"/>
                <w:b/>
                <w:color w:val="003366"/>
                <w:sz w:val="19"/>
              </w:rPr>
              <w:t>45</w:t>
            </w:r>
          </w:p>
        </w:tc>
        <w:tc>
          <w:tcPr>
            <w:tcW w:type="dxa" w:w="1152"/>
            <w:shd w:fill="E8F5E9"/>
            <w:tcMar>
              <w:top w:w="50" w:type="dxa"/>
              <w:bottom w:w="50" w:type="dxa"/>
              <w:left w:w="70" w:type="dxa"/>
              <w:right w:w="70" w:type="dxa"/>
            </w:tcMar>
          </w:tcPr>
          <w:p>
            <w:pPr>
              <w:spacing w:after="0"/>
              <w:jc w:val="center"/>
            </w:pPr>
            <w:r>
              <w:rPr>
                <w:rFonts w:ascii="Calibri" w:hAnsi="Calibri"/>
                <w:b/>
                <w:color w:val="003366"/>
                <w:sz w:val="19"/>
              </w:rPr>
              <w:t>45</w:t>
            </w:r>
          </w:p>
        </w:tc>
        <w:tc>
          <w:tcPr>
            <w:tcW w:type="dxa" w:w="1152"/>
            <w:shd w:fill="E8F5E9"/>
            <w:tcMar>
              <w:top w:w="50" w:type="dxa"/>
              <w:bottom w:w="50" w:type="dxa"/>
              <w:left w:w="70" w:type="dxa"/>
              <w:right w:w="70" w:type="dxa"/>
            </w:tcMar>
          </w:tcPr>
          <w:p>
            <w:pPr>
              <w:spacing w:after="0"/>
              <w:jc w:val="center"/>
            </w:pPr>
            <w:r>
              <w:rPr>
                <w:rFonts w:ascii="Calibri" w:hAnsi="Calibri"/>
                <w:b/>
                <w:color w:val="003366"/>
                <w:sz w:val="19"/>
              </w:rPr>
              <w:t>45</w:t>
            </w:r>
          </w:p>
        </w:tc>
        <w:tc>
          <w:tcPr>
            <w:tcW w:type="dxa" w:w="1152"/>
            <w:shd w:fill="E8F5E9"/>
            <w:tcMar>
              <w:top w:w="50" w:type="dxa"/>
              <w:bottom w:w="50" w:type="dxa"/>
              <w:left w:w="70" w:type="dxa"/>
              <w:right w:w="70" w:type="dxa"/>
            </w:tcMar>
          </w:tcPr>
          <w:p>
            <w:pPr>
              <w:spacing w:after="0"/>
              <w:jc w:val="center"/>
            </w:pPr>
            <w:r>
              <w:rPr>
                <w:rFonts w:ascii="Calibri" w:hAnsi="Calibri"/>
                <w:b/>
                <w:color w:val="003366"/>
                <w:sz w:val="19"/>
              </w:rPr>
              <w:t>0</w:t>
            </w:r>
          </w:p>
        </w:tc>
        <w:tc>
          <w:tcPr>
            <w:tcW w:type="dxa" w:w="1584"/>
            <w:shd w:fill="E8F5E9"/>
            <w:tcMar>
              <w:top w:w="50" w:type="dxa"/>
              <w:bottom w:w="50" w:type="dxa"/>
              <w:left w:w="70" w:type="dxa"/>
              <w:right w:w="70" w:type="dxa"/>
            </w:tcMar>
          </w:tcPr>
          <w:p>
            <w:pPr>
              <w:spacing w:after="0"/>
              <w:jc w:val="center"/>
            </w:pPr>
            <w:r>
              <w:rPr>
                <w:rFonts w:ascii="Calibri" w:hAnsi="Calibri"/>
                <w:b/>
                <w:color w:val="107C41"/>
                <w:sz w:val="19"/>
              </w:rPr>
              <w:t>100.0%</w:t>
            </w:r>
          </w:p>
        </w:tc>
      </w:tr>
    </w:tbl>
    <w:p>
      <w:r>
        <w:br w:type="page"/>
      </w:r>
    </w:p>
    <w:p>
      <w:pPr>
        <w:keepNext/>
        <w:spacing w:before="320" w:after="120"/>
      </w:pPr>
      <w:r>
        <w:rPr>
          <w:rFonts w:ascii="Calibri" w:hAnsi="Calibri"/>
          <w:b/>
          <w:color w:val="003366"/>
          <w:sz w:val="30"/>
        </w:rPr>
        <w:t>CONCLUSIONES</w:t>
      </w:r>
    </w:p>
    <w:p>
      <w:pPr>
        <w:spacing w:before="80" w:after="160" w:line="276" w:lineRule="auto"/>
      </w:pPr>
      <w:r>
        <w:rPr>
          <w:rFonts w:ascii="Calibri" w:hAnsi="Calibri"/>
          <w:b/>
          <w:color w:val="003366"/>
          <w:sz w:val="22"/>
        </w:rPr>
        <w:t>1. Cumplimiento Pleno del Plan de Pruebas (100% de Ejecución):</w:t>
        <w:br/>
      </w:r>
      <w:r>
        <w:rPr>
          <w:rFonts w:ascii="Calibri" w:hAnsi="Calibri"/>
          <w:color w:val="282828"/>
          <w:sz w:val="21"/>
        </w:rPr>
        <w:t>Se ejecutaron de manera íntegra y satisfactoria las 45 pruebas declaradas (21 unitarias, 16 de API y 8 de aceptación), alcanzando una tasa de aprobación del 100% sin registros pendientes ni pruebas fallidas. Esto confirma la madurez operativa y la concordancia del software frente a los requerimientos especificados.</w:t>
      </w:r>
    </w:p>
    <w:p>
      <w:pPr>
        <w:spacing w:before="80" w:after="160" w:line="276" w:lineRule="auto"/>
      </w:pPr>
      <w:r>
        <w:rPr>
          <w:rFonts w:ascii="Calibri" w:hAnsi="Calibri"/>
          <w:b/>
          <w:color w:val="003366"/>
          <w:sz w:val="22"/>
        </w:rPr>
        <w:t>2. Eficacia en la Detección y Resolución de Defectos Críticos (TC-06):</w:t>
        <w:br/>
      </w:r>
      <w:r>
        <w:rPr>
          <w:rFonts w:ascii="Calibri" w:hAnsi="Calibri"/>
          <w:color w:val="282828"/>
          <w:sz w:val="21"/>
        </w:rPr>
        <w:t>El proceso de ejecución automatizada demostró su alto valor técnico al detectar con precisión una discrepancia funcional en el controlador administrativo (ReservasAdminController.cs), donde la tarifa de temporada alta omitía el factor multiplicador de noches. Tras su corrección y re-ejecución, se verificó matemáticamente el cobro exacto de 3 noches a $120.00 ($360.00), garantizando la integridad financiera del sistema.</w:t>
      </w:r>
    </w:p>
    <w:p>
      <w:pPr>
        <w:spacing w:before="80" w:after="160" w:line="276" w:lineRule="auto"/>
      </w:pPr>
      <w:r>
        <w:rPr>
          <w:rFonts w:ascii="Calibri" w:hAnsi="Calibri"/>
          <w:b/>
          <w:color w:val="003366"/>
          <w:sz w:val="22"/>
        </w:rPr>
        <w:t>3. Robustez de la Capa de Lógica de Negocio y Reglas Cronológicas:</w:t>
        <w:br/>
      </w:r>
      <w:r>
        <w:rPr>
          <w:rFonts w:ascii="Calibri" w:hAnsi="Calibri"/>
          <w:color w:val="282828"/>
          <w:sz w:val="21"/>
        </w:rPr>
        <w:t>Las 21 pruebas unitarias confirmaron que los módulos ValidadorFechas y DisponibilidadService operan de forma blindada contra colisiones de reservas, bloqueando fechas en el pasado, reservas solapadas o estancias de 0 noches, manteniendo la coherencia transaccional del inventario hotelero.</w:t>
      </w:r>
    </w:p>
    <w:p>
      <w:pPr>
        <w:spacing w:before="80" w:after="160" w:line="276" w:lineRule="auto"/>
      </w:pPr>
      <w:r>
        <w:rPr>
          <w:rFonts w:ascii="Calibri" w:hAnsi="Calibri"/>
          <w:b/>
          <w:color w:val="003366"/>
          <w:sz w:val="22"/>
        </w:rPr>
        <w:t>4. Confiabilidad en el Contrato de Servicios e Interfaz REST:</w:t>
        <w:br/>
      </w:r>
      <w:r>
        <w:rPr>
          <w:rFonts w:ascii="Calibri" w:hAnsi="Calibri"/>
          <w:color w:val="282828"/>
          <w:sz w:val="21"/>
        </w:rPr>
        <w:t>La suite de API certificó que el pipeline HTTP responde con estricta semántica REST (códigos 200, 400 y 404), garantizando que las aplicaciones cliente reciban respuestas consistentes y predecibles ante cualquier escenario de uso legítimo o erróneo.</w:t>
      </w:r>
    </w:p>
    <w:p>
      <w:pPr>
        <w:spacing w:before="80" w:after="160" w:line="276" w:lineRule="auto"/>
      </w:pPr>
      <w:r>
        <w:rPr>
          <w:rFonts w:ascii="Calibri" w:hAnsi="Calibri"/>
          <w:b/>
          <w:color w:val="003366"/>
          <w:sz w:val="22"/>
        </w:rPr>
        <w:t>5. Trazabilidad Bidireccional y Gobierno Ágil en Azure DevOps:</w:t>
        <w:br/>
      </w:r>
      <w:r>
        <w:rPr>
          <w:rFonts w:ascii="Calibri" w:hAnsi="Calibri"/>
          <w:color w:val="282828"/>
          <w:sz w:val="21"/>
        </w:rPr>
        <w:t>La articulación entre Historias de Usuario (PBIs), Suites de Prueba, Tablero Kanban y Pipelines automatizados en Azure DevOps proporcionó un control de calidad transparente, facilitando la auditoría técnica y asegurando la reproducibilidad total de los resultados bajo la norma ISO/IEC/IEEE 29119.</w:t>
      </w:r>
    </w:p>
    <w:p>
      <w:pPr>
        <w:keepNext/>
        <w:spacing w:before="320" w:after="120"/>
      </w:pPr>
      <w:r>
        <w:rPr>
          <w:rFonts w:ascii="Calibri" w:hAnsi="Calibri"/>
          <w:b/>
          <w:color w:val="003366"/>
          <w:sz w:val="30"/>
        </w:rPr>
        <w:t>RECOMENDACIONES</w:t>
      </w:r>
    </w:p>
    <w:p>
      <w:pPr>
        <w:spacing w:before="80" w:after="160" w:line="276" w:lineRule="auto"/>
      </w:pPr>
      <w:r>
        <w:rPr>
          <w:rFonts w:ascii="Calibri" w:hAnsi="Calibri"/>
          <w:b/>
          <w:color w:val="0078D7"/>
          <w:sz w:val="22"/>
        </w:rPr>
        <w:t>1. Implementación de Quality Gates Estrictos en Azure Pipelines:</w:t>
        <w:br/>
      </w:r>
      <w:r>
        <w:rPr>
          <w:rFonts w:ascii="Calibri" w:hAnsi="Calibri"/>
          <w:color w:val="282828"/>
          <w:sz w:val="21"/>
        </w:rPr>
        <w:t>Se recomienda configurar el pipeline de integración continua (azure-pipelines.yml) con la política 'failTaskOnFailedTests: true', bloqueando cualquier fusión de código (Pull Request) hacia las ramas develop o main si una sola prueba no aprueba el 100% de sus aserciones.</w:t>
      </w:r>
    </w:p>
    <w:p>
      <w:pPr>
        <w:spacing w:before="80" w:after="160" w:line="276" w:lineRule="auto"/>
      </w:pPr>
      <w:r>
        <w:rPr>
          <w:rFonts w:ascii="Calibri" w:hAnsi="Calibri"/>
          <w:b/>
          <w:color w:val="0078D7"/>
          <w:sz w:val="22"/>
        </w:rPr>
        <w:t>2. Integración de Cobertura de Código Automática (Code Coverage):</w:t>
        <w:br/>
      </w:r>
      <w:r>
        <w:rPr>
          <w:rFonts w:ascii="Calibri" w:hAnsi="Calibri"/>
          <w:color w:val="282828"/>
          <w:sz w:val="21"/>
        </w:rPr>
        <w:t>Incorporar herramientas como Coverlet y ReportGenerator en el flujo de compilación para medir métricas de cobertura de líneas y ramas de código en tiempo real, estableciendo un umbral mínimo aceptable del 85% para las capas Business y DataAccess.</w:t>
      </w:r>
    </w:p>
    <w:p>
      <w:pPr>
        <w:spacing w:before="80" w:after="160" w:line="276" w:lineRule="auto"/>
      </w:pPr>
      <w:r>
        <w:rPr>
          <w:rFonts w:ascii="Calibri" w:hAnsi="Calibri"/>
          <w:b/>
          <w:color w:val="0078D7"/>
          <w:sz w:val="22"/>
        </w:rPr>
        <w:t>3. Automatización de Pruebas de Carga y Rendimiento (Performance Testing):</w:t>
        <w:br/>
      </w:r>
      <w:r>
        <w:rPr>
          <w:rFonts w:ascii="Calibri" w:hAnsi="Calibri"/>
          <w:color w:val="282828"/>
          <w:sz w:val="21"/>
        </w:rPr>
        <w:t>Incorporar pruebas no funcionales mediante herramientas como k6 o Apache JMeter sobre los endpoints de búsqueda de disponibilidad y creación de reservas, validando la estabilidad y tiempos de respuesta del sistema bajo concurrencia elevada en temporadas vacacionales altas.</w:t>
      </w:r>
    </w:p>
    <w:p>
      <w:pPr>
        <w:spacing w:before="80" w:after="160" w:line="276" w:lineRule="auto"/>
      </w:pPr>
      <w:r>
        <w:rPr>
          <w:rFonts w:ascii="Calibri" w:hAnsi="Calibri"/>
          <w:b/>
          <w:color w:val="0078D7"/>
          <w:sz w:val="22"/>
        </w:rPr>
        <w:t>4. Saneamiento Preventivo de Advertencias de Compilación (.NET 10 Nullability):</w:t>
        <w:br/>
      </w:r>
      <w:r>
        <w:rPr>
          <w:rFonts w:ascii="Calibri" w:hAnsi="Calibri"/>
          <w:color w:val="282828"/>
          <w:sz w:val="21"/>
        </w:rPr>
        <w:t>Resolver las advertencias CS8618 relativas a propiedades no anulables en las entidades Pago, Temporada y TipoHabitacion mediante el uso de la palabra clave 'required' de C# 13 o valores por defecto controlados, garantizando un código fuente completamente limpio y libre de advertencias.</w:t>
      </w:r>
    </w:p>
    <w:p>
      <w:pPr>
        <w:spacing w:before="80" w:after="160" w:line="276" w:lineRule="auto"/>
      </w:pPr>
      <w:r>
        <w:rPr>
          <w:rFonts w:ascii="Calibri" w:hAnsi="Calibri"/>
          <w:b/>
          <w:color w:val="0078D7"/>
          <w:sz w:val="22"/>
        </w:rPr>
        <w:t>5. Mantenimiento Periódico de la Matriz de Trazabilidad en Azure Test Plans:</w:t>
        <w:br/>
      </w:r>
      <w:r>
        <w:rPr>
          <w:rFonts w:ascii="Calibri" w:hAnsi="Calibri"/>
          <w:color w:val="282828"/>
          <w:sz w:val="21"/>
        </w:rPr>
        <w:t>Actualizar sistemáticamente la plantilla de planificación y los Test Suites en Azure DevOps ante cada nuevo Sprint o incremento de producto, asegurando que cualquier nuevo requerimiento funcional incorpore de forma obligatoria sus tres niveles de prueba antes del paso a producción.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