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Heatworks Installation Handbook</w:t>
      </w:r>
    </w:p>
    <w:p>
      <w:r>
        <w:t>Controlled document IH-4.1 · Effective 10 February 2026</w:t>
      </w:r>
    </w:p>
    <w:p>
      <w:r>
        <w:t>Applies to Aster 8 and Aster 12 installations. Fictional demonstration document.</w:t>
      </w:r>
    </w:p>
    <w:p>
      <w:pPr>
        <w:pStyle w:val="Heading1"/>
      </w:pPr>
      <w:r>
        <w:t>1. Responsibility and qualification</w:t>
      </w:r>
    </w:p>
    <w:p>
      <w:r>
        <w:t>Only an Atlas-certified installer may commission an Aster system. Tomas Reed, Technical Training Lead, owns installer certification and this handbook. Electrical and refrigerant work must follow applicable local rules and the equipment safety labels.</w:t>
      </w:r>
    </w:p>
    <w:p>
      <w:pPr>
        <w:pStyle w:val="Heading1"/>
      </w:pPr>
      <w:r>
        <w:t>2. Pre-installation survey</w:t>
      </w:r>
    </w:p>
    <w:p>
      <w:pPr>
        <w:pStyle w:val="ListBullet"/>
      </w:pPr>
      <w:r>
        <w:t>Complete a room-by-room heat-loss calculation; catalog nominal output is not a substitute for sizing.</w:t>
      </w:r>
    </w:p>
    <w:p>
      <w:pPr>
        <w:pStyle w:val="ListBullet"/>
      </w:pPr>
      <w:r>
        <w:t>Confirm the number of heating zones and the required domestic-hot-water capacity.</w:t>
      </w:r>
    </w:p>
    <w:p>
      <w:pPr>
        <w:pStyle w:val="ListBullet"/>
      </w:pPr>
      <w:r>
        <w:t>Record the outdoor-unit location, condensate route, electrical isolation point, and service access.</w:t>
      </w:r>
    </w:p>
    <w:p>
      <w:pPr>
        <w:pStyle w:val="ListBullet"/>
      </w:pPr>
      <w:r>
        <w:t>Verify that the selected service hub can reach the installation postcode.</w:t>
      </w:r>
    </w:p>
    <w:p>
      <w:pPr>
        <w:pStyle w:val="ListBullet"/>
      </w:pPr>
      <w:r>
        <w:t>Obtain the customer's approval of equipment position and expected noise envelope.</w:t>
      </w:r>
    </w:p>
    <w:p>
      <w:pPr>
        <w:pStyle w:val="Heading1"/>
      </w:pPr>
      <w:r>
        <w:t>3. Model-specific clearances</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Aster 8</w:t>
            </w:r>
          </w:p>
        </w:tc>
        <w:tc>
          <w:tcPr>
            <w:tcW w:type="dxa" w:w="2880"/>
          </w:tcPr>
          <w:p>
            <w:r>
              <w:t>Aster 12</w:t>
            </w:r>
          </w:p>
        </w:tc>
      </w:tr>
      <w:tr>
        <w:tc>
          <w:tcPr>
            <w:tcW w:type="dxa" w:w="2880"/>
          </w:tcPr>
          <w:p>
            <w:r>
              <w:t>Rear service clearance</w:t>
            </w:r>
          </w:p>
        </w:tc>
        <w:tc>
          <w:tcPr>
            <w:tcW w:type="dxa" w:w="2880"/>
          </w:tcPr>
          <w:p>
            <w:r>
              <w:t>300 mm</w:t>
            </w:r>
          </w:p>
        </w:tc>
        <w:tc>
          <w:tcPr>
            <w:tcW w:type="dxa" w:w="2880"/>
          </w:tcPr>
          <w:p>
            <w:r>
              <w:t>350 mm</w:t>
            </w:r>
          </w:p>
        </w:tc>
      </w:tr>
      <w:tr>
        <w:tc>
          <w:tcPr>
            <w:tcW w:type="dxa" w:w="2880"/>
          </w:tcPr>
          <w:p>
            <w:r>
              <w:t>Front airflow clearance</w:t>
            </w:r>
          </w:p>
        </w:tc>
        <w:tc>
          <w:tcPr>
            <w:tcW w:type="dxa" w:w="2880"/>
          </w:tcPr>
          <w:p>
            <w:r>
              <w:t>1,000 mm</w:t>
            </w:r>
          </w:p>
        </w:tc>
        <w:tc>
          <w:tcPr>
            <w:tcW w:type="dxa" w:w="2880"/>
          </w:tcPr>
          <w:p>
            <w:r>
              <w:t>1,200 mm</w:t>
            </w:r>
          </w:p>
        </w:tc>
      </w:tr>
      <w:tr>
        <w:tc>
          <w:tcPr>
            <w:tcW w:type="dxa" w:w="2880"/>
          </w:tcPr>
          <w:p>
            <w:r>
              <w:t>Minimum primary pipe diameter</w:t>
            </w:r>
          </w:p>
        </w:tc>
        <w:tc>
          <w:tcPr>
            <w:tcW w:type="dxa" w:w="2880"/>
          </w:tcPr>
          <w:p>
            <w:r>
              <w:t>22 mm</w:t>
            </w:r>
          </w:p>
        </w:tc>
        <w:tc>
          <w:tcPr>
            <w:tcW w:type="dxa" w:w="2880"/>
          </w:tcPr>
          <w:p>
            <w:r>
              <w:t>28 mm</w:t>
            </w:r>
          </w:p>
        </w:tc>
      </w:tr>
      <w:tr>
        <w:tc>
          <w:tcPr>
            <w:tcW w:type="dxa" w:w="2880"/>
          </w:tcPr>
          <w:p>
            <w:r>
              <w:t>Standard cylinder</w:t>
            </w:r>
          </w:p>
        </w:tc>
        <w:tc>
          <w:tcPr>
            <w:tcW w:type="dxa" w:w="2880"/>
          </w:tcPr>
          <w:p>
            <w:r>
              <w:t>180 litres</w:t>
            </w:r>
          </w:p>
        </w:tc>
        <w:tc>
          <w:tcPr>
            <w:tcW w:type="dxa" w:w="2880"/>
          </w:tcPr>
          <w:p>
            <w:r>
              <w:t>250 litres</w:t>
            </w:r>
          </w:p>
        </w:tc>
      </w:tr>
    </w:tbl>
    <w:p>
      <w:pPr>
        <w:pStyle w:val="Heading1"/>
      </w:pPr>
      <w:r>
        <w:t>4. Installation sequence</w:t>
      </w:r>
    </w:p>
    <w:p>
      <w:pPr>
        <w:pStyle w:val="ListNumber"/>
      </w:pPr>
      <w:r>
        <w:t>Isolate electrical and hydraulic supplies and document the lockout.</w:t>
      </w:r>
    </w:p>
    <w:p>
      <w:pPr>
        <w:pStyle w:val="ListNumber"/>
      </w:pPr>
      <w:r>
        <w:t>Position and level the outdoor unit; verify clearances and condensate fall.</w:t>
      </w:r>
    </w:p>
    <w:p>
      <w:pPr>
        <w:pStyle w:val="ListNumber"/>
      </w:pPr>
      <w:r>
        <w:t>Install primary pipework, strainers, isolation valves, and the selected cylinder.</w:t>
      </w:r>
    </w:p>
    <w:p>
      <w:pPr>
        <w:pStyle w:val="ListNumber"/>
      </w:pPr>
      <w:r>
        <w:t>Pressure-test the hydraulic circuit and record the test result before insulation.</w:t>
      </w:r>
    </w:p>
    <w:p>
      <w:pPr>
        <w:pStyle w:val="ListNumber"/>
      </w:pPr>
      <w:r>
        <w:t>Connect the Atlas Link controller and label every heating zone.</w:t>
      </w:r>
    </w:p>
    <w:p>
      <w:pPr>
        <w:pStyle w:val="ListNumber"/>
      </w:pPr>
      <w:r>
        <w:t>Complete electrical safety tests before energising the system.</w:t>
      </w:r>
    </w:p>
    <w:p>
      <w:pPr>
        <w:pStyle w:val="Heading1"/>
      </w:pPr>
      <w:r>
        <w:t>5. Commissioning gate</w:t>
      </w:r>
    </w:p>
    <w:p>
      <w:r>
        <w:t>Before commissioning, the installer must confirm correct water pressure, verified flow rate, successful electrical safety tests, unobstructed airflow, functional condensate drainage, and a completed controller configuration. A refrigerant alarm or failed safety test blocks commissioning.</w:t>
      </w:r>
    </w:p>
    <w:p>
      <w:r>
        <w:t>The commissioning date starts the standard five-year product warranty. Registration for CarePlus must be submitted within 30 calendar days of that date.</w:t>
      </w:r>
    </w:p>
    <w:p>
      <w:pPr>
        <w:pStyle w:val="Heading1"/>
      </w:pPr>
      <w:r>
        <w:t>6. Handover records</w:t>
      </w:r>
    </w:p>
    <w:p>
      <w:pPr>
        <w:pStyle w:val="ListBullet"/>
      </w:pPr>
      <w:r>
        <w:t>Signed commissioning record, including measured flow and electrical test results.</w:t>
      </w:r>
    </w:p>
    <w:p>
      <w:pPr>
        <w:pStyle w:val="ListBullet"/>
      </w:pPr>
      <w:r>
        <w:t>Model and serial numbers for the outdoor unit, controller, and cylinder.</w:t>
      </w:r>
    </w:p>
    <w:p>
      <w:pPr>
        <w:pStyle w:val="ListBullet"/>
      </w:pPr>
      <w:r>
        <w:t>Customer demonstration of normal controls and emergency shutdown.</w:t>
      </w:r>
    </w:p>
    <w:p>
      <w:pPr>
        <w:pStyle w:val="ListBullet"/>
      </w:pPr>
      <w:r>
        <w:t>First annual preventive-maintenance due date.</w:t>
      </w:r>
    </w:p>
    <w:p>
      <w:pPr>
        <w:pStyle w:val="ListBullet"/>
      </w:pPr>
      <w:r>
        <w:t>Photographs of installed clearances and labelled isolation points.</w:t>
      </w:r>
    </w:p>
    <w:p>
      <w:r>
        <w:br w:type="page"/>
      </w:r>
    </w:p>
    <w:p>
      <w:pPr>
        <w:pStyle w:val="Heading1"/>
      </w:pPr>
      <w:r>
        <w:t>7. Escalation</w:t>
      </w:r>
    </w:p>
    <w:p>
      <w:r>
        <w:t>Technical deviations require written approval from the Technical Training Lead before commissioning. Warranty exceptions are outside this handbook and remain the responsibility of the Operations Director under the Customer Support and Warranty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Heatworks Installation Handbook</dc:title>
  <dc:subject>Aster 8 and Aster 12 installation and commissioning</dc:subject>
  <dc:creator>Tomas Reed, Technical Training Lead</dc:creator>
  <cp:keywords/>
  <dc:description>generated by python-docx</dc:description>
  <cp:lastModifiedBy/>
  <cp:revision>1</cp:revision>
  <dcterms:created xsi:type="dcterms:W3CDTF">2013-12-23T23:15:00Z</dcterms:created>
  <dcterms:modified xsi:type="dcterms:W3CDTF">2013-12-23T23:15:00Z</dcterms:modified>
  <cp:category/>
</cp:coreProperties>
</file>