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  <w:rtl w:val="0"/>
        </w:rPr>
        <w:t xml:space="preserve">RÚBRICA DE EVALUACIÓN DE ENTREGAS D</w:t>
      </w:r>
      <w:r w:rsidDel="00000000" w:rsidR="00000000" w:rsidRPr="00000000"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  <w:rtl w:val="0"/>
        </w:rPr>
        <w:t xml:space="preserve">EL P</w:t>
      </w:r>
      <w:r w:rsidDel="00000000" w:rsidR="00000000" w:rsidRPr="00000000">
        <w:rPr>
          <w:rFonts w:ascii="Anton" w:cs="Anton" w:eastAsia="Anton" w:hAnsi="Anton"/>
          <w:i w:val="1"/>
          <w:color w:val="434343"/>
          <w:sz w:val="60"/>
          <w:szCs w:val="60"/>
          <w:shd w:fill="e0ff00" w:val="clear"/>
          <w:rtl w:val="0"/>
        </w:rPr>
        <w:t xml:space="preserve">ROYECTO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nton" w:cs="Anton" w:eastAsia="Anton" w:hAnsi="Anton"/>
          <w:i w:val="1"/>
          <w:color w:val="434343"/>
          <w:sz w:val="40"/>
          <w:szCs w:val="40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DATA ANALYTICS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Anton" w:cs="Anton" w:eastAsia="Anton" w:hAnsi="Anton"/>
          <w:i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Una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rúbrica 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es un conjunto de criterios y normas que sirven para evaluar el nivel de desempeño en una tarea. Es una herramienta de calificación que simplifica la tarea de corrección y permite lograr una evaluación más objetiva y transparente tanto para el evaluador como el evaluado.</w:t>
      </w:r>
    </w:p>
    <w:p w:rsidR="00000000" w:rsidDel="00000000" w:rsidP="00000000" w:rsidRDefault="00000000" w:rsidRPr="00000000" w14:paraId="00000005">
      <w:pPr>
        <w:pageBreakBefore w:val="0"/>
        <w:spacing w:after="240" w:before="240" w:lineRule="auto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Adicionalmente, la rúbrica ayuda a igualar y alinear los criterios de evaluación entre los diferentes docentes y tutores.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Helvetica Neue" w:cs="Helvetica Neue" w:eastAsia="Helvetica Neue" w:hAnsi="Helvetica Neue"/>
          <w:b w:val="1"/>
          <w:color w:val="434343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2"/>
          <w:szCs w:val="32"/>
          <w:rtl w:val="0"/>
        </w:rPr>
        <w:t xml:space="preserve">En resumen, la rúbrica:</w:t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6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Define los criterios de evaluación de cada entrega de proyecto final.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6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Describe y detalla los puntos clave que debe tener cada entrega.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6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Facilita y transparenta la corrección de cada trabajo. </w:t>
      </w:r>
    </w:p>
    <w:p w:rsidR="00000000" w:rsidDel="00000000" w:rsidP="00000000" w:rsidRDefault="00000000" w:rsidRPr="00000000" w14:paraId="0000000B">
      <w:pPr>
        <w:pageBreakBefore w:val="0"/>
        <w:rPr>
          <w:rFonts w:ascii="Didact Gothic" w:cs="Didact Gothic" w:eastAsia="Didact Gothic" w:hAnsi="Didact Gothic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rFonts w:ascii="Anton" w:cs="Anton" w:eastAsia="Anton" w:hAnsi="Anton"/>
          <w:i w:val="1"/>
          <w:color w:val="434343"/>
          <w:sz w:val="40"/>
          <w:szCs w:val="40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rtl w:val="0"/>
        </w:rPr>
        <w:t xml:space="preserve">¿CÓMO SE UTILIZA LA RÚBRICA?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240" w:before="240" w:lineRule="auto"/>
        <w:ind w:left="720" w:hanging="360"/>
        <w:jc w:val="both"/>
        <w:rPr>
          <w:rFonts w:ascii="Helvetica Neue Light" w:cs="Helvetica Neue Light" w:eastAsia="Helvetica Neue Light" w:hAnsi="Helvetica Neue Light"/>
          <w:i w:val="1"/>
          <w:color w:val="434343"/>
          <w:sz w:val="32"/>
          <w:szCs w:val="32"/>
        </w:rPr>
      </w:pPr>
      <w:hyperlink r:id="rId6">
        <w:r w:rsidDel="00000000" w:rsidR="00000000" w:rsidRPr="00000000">
          <w:rPr>
            <w:rFonts w:ascii="Helvetica Neue Light" w:cs="Helvetica Neue Light" w:eastAsia="Helvetica Neue Light" w:hAnsi="Helvetica Neue Light"/>
            <w:i w:val="1"/>
            <w:color w:val="1155cc"/>
            <w:sz w:val="32"/>
            <w:szCs w:val="32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40" w:before="240" w:lineRule="auto"/>
        <w:ind w:left="720" w:firstLine="0"/>
        <w:jc w:val="center"/>
        <w:rPr>
          <w:rFonts w:ascii="Anton" w:cs="Anton" w:eastAsia="Anton" w:hAnsi="Anton"/>
          <w:i w:val="1"/>
          <w:sz w:val="60"/>
          <w:szCs w:val="6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60"/>
          <w:szCs w:val="6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0F">
      <w:pPr>
        <w:pageBreakBefore w:val="0"/>
        <w:jc w:val="center"/>
        <w:rPr>
          <w:rFonts w:ascii="Anton" w:cs="Anton" w:eastAsia="Anton" w:hAnsi="Anton"/>
          <w:i w:val="1"/>
          <w:color w:val="434343"/>
          <w:sz w:val="50"/>
          <w:szCs w:val="5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rFonts w:ascii="Helvetica Neue Light" w:cs="Helvetica Neue Light" w:eastAsia="Helvetica Neue Light" w:hAnsi="Helvetica Neue Light"/>
          <w:color w:val="434343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6"/>
          <w:szCs w:val="36"/>
          <w:rtl w:val="0"/>
        </w:rPr>
        <w:t xml:space="preserve">Componentes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6"/>
          <w:szCs w:val="36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7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Documentación del proyecto. 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7"/>
        </w:numPr>
        <w:ind w:left="720" w:hanging="360"/>
        <w:rPr>
          <w:rFonts w:ascii="Helvetica Neue Light" w:cs="Helvetica Neue Light" w:eastAsia="Helvetica Neue Light" w:hAnsi="Helvetica Neue Light"/>
          <w:color w:val="434343"/>
          <w:sz w:val="32"/>
          <w:szCs w:val="32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2"/>
          <w:szCs w:val="32"/>
          <w:rtl w:val="0"/>
        </w:rPr>
        <w:t xml:space="preserve">Tablero en Power BI 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color w:val="434343"/>
          <w:sz w:val="40"/>
          <w:szCs w:val="40"/>
          <w:shd w:fill="e0ff00" w:val="clear"/>
          <w:rtl w:val="0"/>
        </w:rPr>
        <w:t xml:space="preserve">INVESTIGACIÓN INICIAL DEL PROYECTO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Formato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El entregable debe constar de dos archivos con los siguientes formatos: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-</w:t>
        <w:tab/>
        <w:t xml:space="preserve">Documentación: archivo doc o pdf.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-</w:t>
        <w:tab/>
        <w:t xml:space="preserve">Tablero: .pbix.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rFonts w:ascii="Didact Gothic" w:cs="Didact Gothic" w:eastAsia="Didact Gothic" w:hAnsi="Didact Gothic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Objetivo del desafío: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8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Exponer de forma clara los componentes técnicos y funcionales del proyecto final para que cualquier lector sin importar el nivel de experiencia en análisis de datos pueda entender la temática del proyecto, los indicadores, las fuentes de datos y la funcionalidad del tablero.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8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Desarrollar un tablero de control que sirva como herramienta de análisis de información para usuarios de cualquier nivel de experiencia en análisis de datos.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rPr>
          <w:rFonts w:ascii="Helvetica Neue Light" w:cs="Helvetica Neue Light" w:eastAsia="Helvetica Neue Light" w:hAnsi="Helvetica Neue Light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434343"/>
          <w:sz w:val="30"/>
          <w:szCs w:val="30"/>
          <w:rtl w:val="0"/>
        </w:rPr>
        <w:t xml:space="preserve">Incluir</w:t>
      </w: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: 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Documentación del proyecto. Se debe incluir la documentación desarrollada en la primera entrega del proyecto final.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Objetivo del proyecto.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Alcance.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2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Usuario final y nivel de aplicación del análisis.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Descripción de la temática de los datos que serán usados en el proyecto final.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Diagrama de entidad relación de las tablas que contienen la información a analizar.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1440" w:hanging="360"/>
        <w:rPr>
          <w:rFonts w:ascii="Helvetica Neue Light" w:cs="Helvetica Neue Light" w:eastAsia="Helvetica Neue Light" w:hAnsi="Helvetica Neue Light"/>
          <w:color w:val="434343"/>
          <w:sz w:val="30"/>
          <w:szCs w:val="30"/>
          <w:u w:val="none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Listado de las tablas. Cada tabla debe tener una descripción de la misma, y también la definición    de cada llave primaria y foránea, según corresponda. Así como también describir la relación entre tablas.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Listado de las columnas de cada tabla. Cada columna debe tener: nombre, definición y tipo de datos.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Transformaciones realizadas.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Medidas calculadas generadas y sus fórmulas.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Segmentaciones elegidas.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 w:firstLine="0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Tablero: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Al menos tres solapas definidas.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Modelo de datos relacional.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Tabla de calendario.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Indicadores generados como medidas calculadas, en tabla de medidas.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Segmentaciones definidas.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Gráficos específicos de acuerdo al tipo de variables.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Diseño que permita una comunicación efectiva (orden de lectura de los objetos)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Tipografia uniforme.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Paleta de colores uniforme.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Helvetica Neue Light" w:cs="Helvetica Neue Light" w:eastAsia="Helvetica Neue Light" w:hAnsi="Helvetica Neue Light"/>
          <w:color w:val="434343"/>
          <w:sz w:val="30"/>
          <w:szCs w:val="30"/>
        </w:rPr>
      </w:pPr>
      <w:r w:rsidDel="00000000" w:rsidR="00000000" w:rsidRPr="00000000">
        <w:rPr>
          <w:rFonts w:ascii="Helvetica Neue Light" w:cs="Helvetica Neue Light" w:eastAsia="Helvetica Neue Light" w:hAnsi="Helvetica Neue Light"/>
          <w:color w:val="434343"/>
          <w:sz w:val="30"/>
          <w:szCs w:val="30"/>
          <w:rtl w:val="0"/>
        </w:rPr>
        <w:t xml:space="preserve">Logos e imágenes.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RÚBRICAS DE EVALUACIÓN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jc w:val="center"/>
        <w:rPr>
          <w:rFonts w:ascii="Anton" w:cs="Anton" w:eastAsia="Anton" w:hAnsi="Anton"/>
          <w:i w:val="1"/>
          <w:sz w:val="40"/>
          <w:szCs w:val="40"/>
          <w:shd w:fill="e0ff00" w:val="clear"/>
        </w:rPr>
      </w:pPr>
      <w:r w:rsidDel="00000000" w:rsidR="00000000" w:rsidRPr="00000000">
        <w:rPr>
          <w:rFonts w:ascii="Anton" w:cs="Anton" w:eastAsia="Anton" w:hAnsi="Anton"/>
          <w:i w:val="1"/>
          <w:sz w:val="40"/>
          <w:szCs w:val="40"/>
          <w:shd w:fill="e0ff00" w:val="clear"/>
          <w:rtl w:val="0"/>
        </w:rPr>
        <w:t xml:space="preserve">2DA ENTREGA DEL PROYECTO FINAL</w:t>
      </w:r>
    </w:p>
    <w:p w:rsidR="00000000" w:rsidDel="00000000" w:rsidP="00000000" w:rsidRDefault="00000000" w:rsidRPr="00000000" w14:paraId="00000037">
      <w:pPr>
        <w:pageBreakBefore w:val="0"/>
        <w:rPr>
          <w:rFonts w:ascii="Didact Gothic" w:cs="Didact Gothic" w:eastAsia="Didact Gothic" w:hAnsi="Didact Gothic"/>
          <w:b w:val="1"/>
          <w:color w:val="43434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45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915"/>
        <w:gridCol w:w="3960"/>
        <w:gridCol w:w="3870"/>
        <w:tblGridChange w:id="0">
          <w:tblGrid>
            <w:gridCol w:w="3705"/>
            <w:gridCol w:w="3915"/>
            <w:gridCol w:w="3960"/>
            <w:gridCol w:w="38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Style w:val="Heading3"/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bookmarkStart w:colFirst="0" w:colLast="0" w:name="_5ejfs2o1tkk9" w:id="0"/>
            <w:bookmarkEnd w:id="0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Desafío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: Documentación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Sección funcional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alcance del proyecto no es claro y es aspiracional, con lo cual el MVP no refleja lo documentado. 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nivel de aplicación de análisis no se justifica de forma clara.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alcance del proyecto es realista y acotado a la temática y base de datos, sin embargo el tablero no refleja en su totalidad el alcance documentado.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nivel de aplicación de análisis se justifica en la documentación, pero el despliegue del tablero no se ajusta al nivel expuesto.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alcance del proyecto se ajusta completamente a la temática y a la base de datos, por esta razón el tablero permite hacer un análisis completo de la información relevada.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nivel de aplicación de análisis es claro y se justifica correctamente, además el tablero se ajusta completamente a lo definido.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Sección técnica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documentan de forma clara las transformaciones realizadas sobre tablas y/o columnas. No se incluyen nombres de tablas, campo. No se incluyen descripciones de los pasos implementados para aplicar las modificaciones necesarias. 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documenta de forma clara la composición de las medidas y columnas calculadas y no se explica para qué sirve cada una. 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campos elegidos como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segmentadores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(filtros, categorías) no son descritos de forma clara y no se presentan ejemplos de cómo permiten agrupar los indicadores.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documentan las transformaciones realizadas, sin embargo no se evidencian completamente en el tablero. 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Se enlistan las medidas y las columnas calculadas y se explica para qué sirve cada una, sin embargo el tablero incluye algunas que no están documentadas.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campos implementados como segmentadores son explicados de forma clara y se exponen ejemplos de cómo permiten categorizar los indicadores, sin embargo el tablero incluye algunos campos que segmentan pero no están documentados.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transformaciones documentadas son completamente claras y se evidencian en su totalidad en el tablero. 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medidas y los campos calculados se exponen de forma clara y la cantidad en lista corresponde con la implementada en el tablero. 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implementación de los campos para segmentación en la documentación y en el tablero coinciden correctamente. 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Didact Gothic" w:cs="Didact Gothic" w:eastAsia="Didact Gothic" w:hAnsi="Didact Gothic"/>
          <w:b w:val="1"/>
          <w:color w:val="434343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5450.0" w:type="dxa"/>
        <w:jc w:val="left"/>
        <w:tblInd w:w="-5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05"/>
        <w:gridCol w:w="3915"/>
        <w:gridCol w:w="3960"/>
        <w:gridCol w:w="3870"/>
        <w:tblGridChange w:id="0">
          <w:tblGrid>
            <w:gridCol w:w="3705"/>
            <w:gridCol w:w="3915"/>
            <w:gridCol w:w="3960"/>
            <w:gridCol w:w="38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gridSpan w:val="4"/>
            <w:shd w:fill="e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Style w:val="Heading3"/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</w:rPr>
            </w:pPr>
            <w:bookmarkStart w:colFirst="0" w:colLast="0" w:name="_4ytc36c7g1q5" w:id="1"/>
            <w:bookmarkEnd w:id="1"/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rtl w:val="0"/>
              </w:rPr>
              <w:t xml:space="preserve">Desafío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rtl w:val="0"/>
              </w:rPr>
              <w:t xml:space="preserve">: Tablero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Criterios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Bajo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Falta más profundización. Es confuso.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Correcto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Acorde pero con errores puntuales.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434343"/>
                <w:sz w:val="32"/>
                <w:szCs w:val="32"/>
                <w:rtl w:val="0"/>
              </w:rPr>
              <w:t xml:space="preserve">Óptimo</w:t>
            </w:r>
          </w:p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Es claro y pertinente.</w:t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Modelado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medidas calculadas no se encuentran en tablas independientes.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campos agregados (medidas calculadas y campos calculados) no cuentan con nomenclatura clara.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modelo relacional no coincide con lo expuesto en el DER documentado.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ind w:left="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Algunas medidas calculadas se encuentran en tablas independientes y otras en tablas originales. 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nomenclatura de algunos campos agregados es clara e intuitiva, sin embargo se puede evidenciar que algunos campos no tienen correcta nomenclatura. 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Algunas tablas del modelo relacional no coinciden con las que se presentan en el 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medidas calculadas se encuentran en tablas independientes. </w:t>
            </w:r>
          </w:p>
          <w:p w:rsidR="00000000" w:rsidDel="00000000" w:rsidP="00000000" w:rsidRDefault="00000000" w:rsidRPr="00000000" w14:paraId="00000071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nomenclatura de todos los campos agregados es clara e intuitiva.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tablas del modelo relacional coinciden con las que se presentan en el DER. 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ind w:left="0" w:firstLine="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7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Transformaciones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tabla calendario no es independiente y cuenta con campos innecesarios.</w:t>
            </w:r>
          </w:p>
          <w:p w:rsidR="00000000" w:rsidDel="00000000" w:rsidP="00000000" w:rsidRDefault="00000000" w:rsidRPr="00000000" w14:paraId="00000076">
            <w:pPr>
              <w:pageBreakBefore w:val="0"/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tablas no cuentan con transformaciones, con lo cual los valores de algunos campos no son claros.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tabla calendario es independiente, sin embargo tiene algunos campos que no son necesarios.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Las tablas cuentan con algunas transformaciones, sin embargo algunos campos que necesitan el proceso, no lo tienen  implementado.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tabla calendario es independiente y cuenta con los campos necesarios para el análisis. </w:t>
            </w:r>
          </w:p>
          <w:p w:rsidR="00000000" w:rsidDel="00000000" w:rsidP="00000000" w:rsidRDefault="00000000" w:rsidRPr="00000000" w14:paraId="0000007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Todos los campos cuentan con las transformaciones necesarias.</w:t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8"/>
                <w:szCs w:val="28"/>
                <w:rtl w:val="0"/>
              </w:rPr>
              <w:t xml:space="preserve">Storytelling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fuente no es uniforme o no mantiene una jerarquía de mayor a menor (títulos, subtítulos, etiquetas)</w:t>
            </w:r>
          </w:p>
          <w:p w:rsidR="00000000" w:rsidDel="00000000" w:rsidP="00000000" w:rsidRDefault="00000000" w:rsidRPr="00000000" w14:paraId="0000007D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Hay imágenes no reflejan la temática del objeto que complementan. 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expresa la información con la secuencia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 global - intermedio - detalle.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F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No se mantienen los colores de cada variable cualitativa o cuantitativa. </w:t>
            </w:r>
          </w:p>
          <w:p w:rsidR="00000000" w:rsidDel="00000000" w:rsidP="00000000" w:rsidRDefault="00000000" w:rsidRPr="00000000" w14:paraId="00000080">
            <w:pPr>
              <w:pageBreakBefore w:val="0"/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Los objetos o gráficos implementados no exponen correctamente la temática, tipo de variable o análisis de información que se quiere presentar.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fuente es uniforme y mantiene jerarquía, sin embargo en algunos espacios del tablero no se cumple completamente la premisa. </w:t>
            </w:r>
          </w:p>
          <w:p w:rsidR="00000000" w:rsidDel="00000000" w:rsidP="00000000" w:rsidRDefault="00000000" w:rsidRPr="00000000" w14:paraId="00000082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Algunas imágenes no reflejan la temática del objeto que complementan. </w:t>
            </w:r>
          </w:p>
          <w:p w:rsidR="00000000" w:rsidDel="00000000" w:rsidP="00000000" w:rsidRDefault="00000000" w:rsidRPr="00000000" w14:paraId="00000083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inicio del tablero es global, cuenta con un intermedio, pero incluye detalles que deberían estar en la última solapa. 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Algunos objetos del tablero no implementan de forma completa la paleta de colores general. </w:t>
            </w:r>
          </w:p>
          <w:p w:rsidR="00000000" w:rsidDel="00000000" w:rsidP="00000000" w:rsidRDefault="00000000" w:rsidRPr="00000000" w14:paraId="00000085">
            <w:pPr>
              <w:pageBreakBefore w:val="0"/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Algunos objetos permiten analizar de forma fácil y rápida la información, sin embargo algunos objetos o gráficos implementados no exponen correctamente la temática, tipo de variable o análisis de información que se quiere presentar.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fuente es uniforme y mantiene jerarquía de mayor a menor.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Todas las imágenes reflejan la información del objeto que complementan.</w:t>
            </w:r>
          </w:p>
          <w:p w:rsidR="00000000" w:rsidDel="00000000" w:rsidP="00000000" w:rsidRDefault="00000000" w:rsidRPr="00000000" w14:paraId="00000088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El tablero permite analizar la información en secuencia </w:t>
            </w:r>
            <w:r w:rsidDel="00000000" w:rsidR="00000000" w:rsidRPr="00000000">
              <w:rPr>
                <w:rFonts w:ascii="Helvetica Neue Light" w:cs="Helvetica Neue Light" w:eastAsia="Helvetica Neue Light" w:hAnsi="Helvetica Neue Light"/>
                <w:i w:val="1"/>
                <w:color w:val="434343"/>
                <w:sz w:val="24"/>
                <w:szCs w:val="24"/>
                <w:rtl w:val="0"/>
              </w:rPr>
              <w:t xml:space="preserve">global - intermedio - detalle.</w:t>
            </w:r>
          </w:p>
          <w:p w:rsidR="00000000" w:rsidDel="00000000" w:rsidP="00000000" w:rsidRDefault="00000000" w:rsidRPr="00000000" w14:paraId="00000089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La paleta de colores es homogénea y se mantiene en cada variable. 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Helvetica Neue Light" w:cs="Helvetica Neue Light" w:eastAsia="Helvetica Neue Light" w:hAnsi="Helvetica Neue Light"/>
                <w:color w:val="434343"/>
                <w:sz w:val="24"/>
                <w:szCs w:val="24"/>
                <w:rtl w:val="0"/>
              </w:rPr>
              <w:t xml:space="preserve">Todos los objetos y gráficos permiten analizar la información de una forma eficiente.</w:t>
            </w:r>
          </w:p>
        </w:tc>
      </w:tr>
    </w:tbl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ton">
    <w:embedRegular w:fontKey="{00000000-0000-0000-0000-000000000000}" r:id="rId1" w:subsetted="0"/>
  </w:font>
  <w:font w:name="Didact Gothic">
    <w:embedRegular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Helvetica Neue Light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1528763" cy="5715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84877" t="0"/>
                  <a:stretch>
                    <a:fillRect/>
                  </a:stretch>
                </pic:blipFill>
                <pic:spPr>
                  <a:xfrm>
                    <a:off x="0" y="0"/>
                    <a:ext cx="1528763" cy="571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pageBreakBefore w:val="0"/>
      <w:ind w:left="-708.6614173228347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pageBreakBefore w:val="0"/>
      <w:ind w:left="-708.6614173228347" w:firstLine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e0ff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rFonts w:ascii="Helvetica Neue" w:cs="Helvetica Neue" w:eastAsia="Helvetica Neue" w:hAnsi="Helvetica Neue"/>
      <w:b w:val="1"/>
      <w:color w:val="434343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oom.com/share/ad487462a0bc424cb10355989ae7abe2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ton-regular.ttf"/><Relationship Id="rId2" Type="http://schemas.openxmlformats.org/officeDocument/2006/relationships/font" Target="fonts/DidactGothic-regular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HelveticaNeueLight-boldItalic.ttf"/><Relationship Id="rId9" Type="http://schemas.openxmlformats.org/officeDocument/2006/relationships/font" Target="fonts/HelveticaNeueLight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HelveticaNeueLight-regular.ttf"/><Relationship Id="rId8" Type="http://schemas.openxmlformats.org/officeDocument/2006/relationships/font" Target="fonts/HelveticaNeueLight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