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QUAN NGHIỆP VỤ (BRD)</w:t>
      </w:r>
    </w:p>
    <w:p>
      <w:r>
        <w:rPr>
          <w:b/>
        </w:rPr>
        <w:t>Viện Sau Đại học – Trường Đại học Văn Lang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Mã tài liệu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BRD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Phiên bản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v0.1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Trạng thái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Draft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Ngày lập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2026-09-04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Người phê duyệt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Phân loại nguồn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Xác nhận tài liệu / Quan sát hệ thống / Đề xuất BA / Cần xác nhận</w:t>
            </w:r>
          </w:p>
        </w:tc>
      </w:tr>
    </w:tbl>
    <w:p/>
    <w:p>
      <w:pPr>
        <w:pStyle w:val="IntenseQuote"/>
      </w:pPr>
      <w:r>
        <w:t>Lưu ý: Tài liệu không chứa mật khẩu, token, khóa API hoặc dữ liệu cá nhân không cần thiết.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388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Thay đổi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Phê duyệt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v0.1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2026-09-04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Draft</w:t>
            </w:r>
          </w:p>
        </w:tc>
        <w:tc>
          <w:tcPr>
            <w:tcW w:type="dxa" w:w="3888"/>
            <w:vAlign w:val="center"/>
          </w:tcPr>
          <w:p>
            <w:pPr>
              <w:keepLines/>
              <w:spacing w:after="40" w:before="40"/>
            </w:pPr>
            <w:r>
              <w:t>Khởi tạo từ khảo sát repository và giao diện/mã nguồn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</w:tbl>
    <w:p/>
    <w:p>
      <w:pPr>
        <w:pStyle w:val="Heading2"/>
      </w:pPr>
      <w:r>
        <w:t>Nguồn tham chiếu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288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403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SRC-01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README.md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Tổng quan, cấu trúc, vai trò và hướng dẫn chạy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SRC-02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PROJECT_CONTEXT.md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Kiến trúc, route, module và mô hình dữ liệu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SRC-03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docs/handover/*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Triển khai, bảo mật, sao lưu, vận hành; các tuyên bố nghiệm thu chưa có minh chứng được đánh dấu cần xác nhận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SRC-04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backend/prisma/schema.prisma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Mô hình dữ liệu và enum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SRC-05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backend/src/modules/*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API, validation, RBAC và luồng xử lý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SRC-06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admin/src/app và admin/src/components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Màn hình quản trị, trình soạn thảo, upload, phân quyền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SRC-07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nguồn/Giao diện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frontend/src/app và frontend/src/features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Trang công khai, biểu mẫu, song ngữ và điều hướng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SRC-08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Cấu hình công khai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package.json, compose.yaml, *.env.example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Phụ thuộc kỹ thuật; không đọc giá trị bí mật trong .env</w:t>
            </w:r>
          </w:p>
        </w:tc>
      </w:tr>
    </w:tbl>
    <w:p/>
    <w:p>
      <w:pPr>
        <w:pStyle w:val="Heading1"/>
      </w:pPr>
      <w:r>
        <w:t>1. Bối cảnh và bài toán</w:t>
      </w:r>
    </w:p>
    <w:p>
      <w:r>
        <w:t>VGG Platform là nền tảng cổng thông tin và quản trị cho đào tạo sau đại học, kết hợp website công khai, CMS/CRM quản trị và API tập trung. Nhu cầu nghiệp vụ quan sát được là cung cấp thông tin chương trình, tuyển sinh, nghiên cứu, tin tức và tài nguyên; đồng thời giúp cán bộ quản lý nội dung, yêu cầu tư vấn và tài khoản vận hành.</w:t>
      </w:r>
    </w:p>
    <w:p>
      <w:r>
        <w:t>Chưa có biên bản phê duyệt nhu cầu nghiệp vụ/charter trong nguồn đã khảo sát. Vì vậy các mục tiêu dưới đây là tổng hợp từ tài liệu hiện có và hành vi hệ thống, ở trạng thái Draft.</w:t>
      </w:r>
    </w:p>
    <w:p>
      <w:pPr>
        <w:pStyle w:val="Heading1"/>
      </w:pPr>
      <w:r>
        <w:t>2. Mục tiêu và tiêu chí thành công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316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Mục tiêu</w:t>
            </w:r>
          </w:p>
        </w:tc>
        <w:tc>
          <w:tcPr>
            <w:tcW w:type="dxa" w:w="48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Tiêu chí thành công Draft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OBJ-01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Cung cấp thông tin sau đại học nhất quán, song ngữ</w:t>
            </w:r>
          </w:p>
        </w:tc>
        <w:tc>
          <w:tcPr>
            <w:tcW w:type="dxa" w:w="4896"/>
            <w:vAlign w:val="center"/>
          </w:tcPr>
          <w:p>
            <w:pPr>
              <w:keepLines/>
              <w:spacing w:after="40" w:before="40"/>
            </w:pPr>
            <w:r>
              <w:t>Người dùng truy cập được các trang trọng yếu VI/EN; mức bao phủ nội dung TBD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OBJ-02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Rút ngắn vận hành xuất bản nội dung</w:t>
            </w:r>
          </w:p>
        </w:tc>
        <w:tc>
          <w:tcPr>
            <w:tcW w:type="dxa" w:w="4896"/>
            <w:vAlign w:val="center"/>
          </w:tcPr>
          <w:p>
            <w:pPr>
              <w:keepLines/>
              <w:spacing w:after="40" w:before="40"/>
            </w:pPr>
            <w:r>
              <w:t>Cán bộ có quyền tạo, sửa, công bố và lưu trữ nội dung; SLA/TAT TBD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OBJ-03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Quản lý tập trung yêu cầu tư vấn</w:t>
            </w:r>
          </w:p>
        </w:tc>
        <w:tc>
          <w:tcPr>
            <w:tcW w:type="dxa" w:w="4896"/>
            <w:vAlign w:val="center"/>
          </w:tcPr>
          <w:p>
            <w:pPr>
              <w:keepLines/>
              <w:spacing w:after="40" w:before="40"/>
            </w:pPr>
            <w:r>
              <w:t>Yêu cầu hợp lệ được ghi nhận, phân công/theo dõi; SLA liên hệ TBD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OBJ-04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Bảo vệ dữ liệu và truy vết thao tác</w:t>
            </w:r>
          </w:p>
        </w:tc>
        <w:tc>
          <w:tcPr>
            <w:tcW w:type="dxa" w:w="4896"/>
            <w:vAlign w:val="center"/>
          </w:tcPr>
          <w:p>
            <w:pPr>
              <w:keepLines/>
              <w:spacing w:after="40" w:before="40"/>
            </w:pPr>
            <w:r>
              <w:t>RBAC server-side, phiên an toàn, audit các thao tác trọng yếu; retention TBD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OBJ-05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40" w:before="40"/>
            </w:pPr>
            <w:r>
              <w:t>Sẵn sàng bàn giao vận hành</w:t>
            </w:r>
          </w:p>
        </w:tc>
        <w:tc>
          <w:tcPr>
            <w:tcW w:type="dxa" w:w="4896"/>
            <w:vAlign w:val="center"/>
          </w:tcPr>
          <w:p>
            <w:pPr>
              <w:keepLines/>
              <w:spacing w:after="40" w:before="40"/>
            </w:pPr>
            <w:r>
              <w:t>Có hướng dẫn triển khai, sao lưu/phục hồi và đầu mối; RPO/RTO TBD</w:t>
            </w:r>
          </w:p>
        </w:tc>
      </w:tr>
    </w:tbl>
    <w:p/>
    <w:p>
      <w:pPr>
        <w:pStyle w:val="Heading1"/>
      </w:pPr>
      <w:r>
        <w:t>3. Stakeholder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345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Vai trò/Lợi ích</w:t>
            </w:r>
          </w:p>
        </w:tc>
        <w:tc>
          <w:tcPr>
            <w:tcW w:type="dxa" w:w="360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Trách nhiệm cần xác nhận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Lãnh đạo Viện/Business Owner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Định hướng nội dung, tuyển sinh, KPI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Phê duyệt phạm vi, quy tắc và UAT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Phòng/nhóm nội dung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Biên soạn tin, tài nguyên, nội dung web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Chủ sở hữu nội dung và lịch xuất bản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Nhóm tuyển sinh/tư vấn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Tiếp nhận và xử lý lead/hồ sơ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SLA, phân công, trạng thái và báo cáo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IT/DevOps nhà trường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Hạ tầng, vận hành, backup, an toàn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SLO, RPO/RTO, giám sát, incident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Người học/khách truy cập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Tra cứu, tải tài liệu, gửi tư vấn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Cung cấp dữ liệu hợp lệ và đồng ý xử lý</w:t>
            </w:r>
          </w:p>
        </w:tc>
      </w:tr>
      <w:tr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Nhóm phát triển/bảo trì</w:t>
            </w:r>
          </w:p>
        </w:tc>
        <w:tc>
          <w:tcPr>
            <w:tcW w:type="dxa" w:w="3456"/>
            <w:vAlign w:val="center"/>
          </w:tcPr>
          <w:p>
            <w:pPr>
              <w:keepLines/>
              <w:spacing w:after="40" w:before="40"/>
            </w:pPr>
            <w:r>
              <w:t>Sửa lỗi, nâng cấp, hỗ trợ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Quản lý thay đổi và phát hành</w:t>
            </w:r>
          </w:p>
        </w:tc>
      </w:tr>
    </w:tbl>
    <w:p/>
    <w:p>
      <w:pPr>
        <w:pStyle w:val="Heading1"/>
      </w:pPr>
      <w:r>
        <w:t>4. Phạm vi</w:t>
      </w:r>
    </w:p>
    <w:p>
      <w:pPr>
        <w:pStyle w:val="Heading2"/>
      </w:pPr>
      <w:r>
        <w:t>4.1 In scope Draft</w:t>
      </w:r>
    </w:p>
    <w:p>
      <w:pPr>
        <w:pStyle w:val="ListBullet"/>
      </w:pPr>
      <w:r>
        <w:t>Website công khai VI/EN: giới thiệu, chương trình, tuyển sinh, nghiên cứu, trải nghiệm, tin, tài nguyên.</w:t>
      </w:r>
    </w:p>
    <w:p>
      <w:pPr>
        <w:pStyle w:val="ListBullet"/>
      </w:pPr>
      <w:r>
        <w:t>Biểu mẫu tư vấn và quản lý vòng đời yêu cầu tư vấn.</w:t>
      </w:r>
    </w:p>
    <w:p>
      <w:pPr>
        <w:pStyle w:val="ListBullet"/>
      </w:pPr>
      <w:r>
        <w:t>CMS tin tức, ảnh, tài nguyên và danh mục.</w:t>
      </w:r>
    </w:p>
    <w:p>
      <w:pPr>
        <w:pStyle w:val="ListBullet"/>
      </w:pPr>
      <w:r>
        <w:t>Xác thực, phiên, RBAC, quản lý tài khoản quản trị.</w:t>
      </w:r>
    </w:p>
    <w:p>
      <w:pPr>
        <w:pStyle w:val="ListBullet"/>
      </w:pPr>
      <w:r>
        <w:t>Dashboard, nội dung website dạng key-value, hồ sơ ứng tuyển ở mức quan sát được.</w:t>
      </w:r>
    </w:p>
    <w:p>
      <w:pPr>
        <w:pStyle w:val="ListBullet"/>
      </w:pPr>
      <w:r>
        <w:t>PostgreSQL, MinIO, triển khai và bàn giao vận hành.</w:t>
      </w:r>
    </w:p>
    <w:p>
      <w:pPr>
        <w:pStyle w:val="Heading2"/>
      </w:pPr>
      <w:r>
        <w:t>4.2 Out of scope Draft</w:t>
      </w:r>
    </w:p>
    <w:p>
      <w:pPr>
        <w:pStyle w:val="ListBullet"/>
      </w:pPr>
      <w:r>
        <w:t>Hệ thống tuyển sinh đầu-cuối, thanh toán học phí và LMS.</w:t>
      </w:r>
    </w:p>
    <w:p>
      <w:pPr>
        <w:pStyle w:val="ListBullet"/>
      </w:pPr>
      <w:r>
        <w:t>Tích hợp chính thức với CRM/ERP/SIS/email khi chưa có đặc tả và chủ hệ thống.</w:t>
      </w:r>
    </w:p>
    <w:p>
      <w:pPr>
        <w:pStyle w:val="ListBullet"/>
      </w:pPr>
      <w:r>
        <w:t>Cam kết SLA/SLO, RPO/RTO hoặc số liệu tải khi chưa được phê duyệt.</w:t>
      </w:r>
    </w:p>
    <w:p>
      <w:pPr>
        <w:pStyle w:val="ListBullet"/>
      </w:pPr>
      <w:r>
        <w:t>Nội dung marketing, bản dịch và tính chính xác học thuật do đơn vị nghiệp vụ sở hữu.</w:t>
      </w:r>
    </w:p>
    <w:p>
      <w:pPr>
        <w:pStyle w:val="Heading1"/>
      </w:pPr>
      <w:r>
        <w:t>5. Giả định, ràng buộc và phụ thuộc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619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Nội dung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Trạng thái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Giả định</w:t>
            </w:r>
          </w:p>
        </w:tc>
        <w:tc>
          <w:tcPr>
            <w:tcW w:type="dxa" w:w="6192"/>
            <w:vAlign w:val="center"/>
          </w:tcPr>
          <w:p>
            <w:pPr>
              <w:keepLines/>
              <w:spacing w:after="40" w:before="40"/>
            </w:pPr>
            <w:r>
              <w:t>Nhà trường cung cấp hạ tầng PostgreSQL và object storage tương thích S3.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Ràng buộc</w:t>
            </w:r>
          </w:p>
        </w:tc>
        <w:tc>
          <w:tcPr>
            <w:tcW w:type="dxa" w:w="6192"/>
            <w:vAlign w:val="center"/>
          </w:tcPr>
          <w:p>
            <w:pPr>
              <w:keepLines/>
              <w:spacing w:after="40" w:before="40"/>
            </w:pPr>
            <w:r>
              <w:t>Node.js &gt;=22.13, npm workspaces, Next.js/Fastify/Prisma.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Theo tài liệu/code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Phụ thuộc</w:t>
            </w:r>
          </w:p>
        </w:tc>
        <w:tc>
          <w:tcPr>
            <w:tcW w:type="dxa" w:w="6192"/>
            <w:vAlign w:val="center"/>
          </w:tcPr>
          <w:p>
            <w:pPr>
              <w:keepLines/>
              <w:spacing w:after="40" w:before="40"/>
            </w:pPr>
            <w:r>
              <w:t>DNS/TLS, SMTP/CRM nếu kích hoạt, chính sách dữ liệu và đầu mối vận hành.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Ràng buộc</w:t>
            </w:r>
          </w:p>
        </w:tc>
        <w:tc>
          <w:tcPr>
            <w:tcW w:type="dxa" w:w="6192"/>
            <w:vAlign w:val="center"/>
          </w:tcPr>
          <w:p>
            <w:pPr>
              <w:keepLines/>
              <w:spacing w:after="40" w:before="40"/>
            </w:pPr>
            <w:r>
              <w:t>Không đưa secret vào tài liệu/repository; cấu hình qua biến môi trường.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Theo tài liệu</w:t>
            </w:r>
          </w:p>
        </w:tc>
      </w:tr>
      <w:tr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>
              <w:t>Phụ thuộc</w:t>
            </w:r>
          </w:p>
        </w:tc>
        <w:tc>
          <w:tcPr>
            <w:tcW w:type="dxa" w:w="6192"/>
            <w:vAlign w:val="center"/>
          </w:tcPr>
          <w:p>
            <w:pPr>
              <w:keepLines/>
              <w:spacing w:after="40" w:before="40"/>
            </w:pPr>
            <w:r>
              <w:t>Dữ liệu chương trình/nội dung tĩnh cần owner và quy trình cập nhật.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</w:tbl>
    <w:p/>
    <w:p>
      <w:pPr>
        <w:pStyle w:val="Heading1"/>
      </w:pPr>
      <w:r>
        <w:t>6. Rủi 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60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Rủi ro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Tác động</w:t>
            </w:r>
          </w:p>
        </w:tc>
        <w:tc>
          <w:tcPr>
            <w:tcW w:type="dxa" w:w="244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Ứng phó đề xuất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RSK-01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Chưa có owner/phê duyệt và quy trình duyệt nội dung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Sai phạm vi/nội dung công khai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Chốt RACI và workflow trước UAT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RSK-02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Ngưỡng upload tài nguyên 25/50 MB không nhất quán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Lỗi vận hành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Thống nhất một ngưỡng, kiểm thử end-to-end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RSK-03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Hard delete tài nguyên chưa rõ retention/object cleanup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Mất dữ liệu hoặc rác kho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Chốt chính sách soft-delete/retention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RSK-04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Dữ liệu liên hệ chưa có consent/retention rõ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Rủi ro tuân thủ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Phê duyệt notice, retention, quyền truy cập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RSK-05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SLO/RPO/RTO và tải chưa xác định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Không đánh giá được sẵn sàng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Đặt ngưỡng và chạy thử có minh chứng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RSK-06</w:t>
            </w:r>
          </w:p>
        </w:tc>
        <w:tc>
          <w:tcPr>
            <w:tcW w:type="dxa" w:w="3600"/>
            <w:vAlign w:val="center"/>
          </w:tcPr>
          <w:p>
            <w:pPr>
              <w:keepLines/>
              <w:spacing w:after="40" w:before="40"/>
            </w:pPr>
            <w:r>
              <w:t>Khẳng định “đã kiểm thử” trong handover thiếu evidence đính kèm</w:t>
            </w:r>
          </w:p>
        </w:tc>
        <w:tc>
          <w:tcPr>
            <w:tcW w:type="dxa" w:w="2160"/>
            <w:vAlign w:val="center"/>
          </w:tcPr>
          <w:p>
            <w:pPr>
              <w:keepLines/>
              <w:spacing w:after="40" w:before="40"/>
            </w:pPr>
            <w:r>
              <w:t>Nghiệm thu sai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Thực hiện UAT độc lập, không tự đánh dấu Pass</w:t>
            </w:r>
          </w:p>
        </w:tc>
      </w:tr>
    </w:tbl>
    <w:p/>
    <w:p>
      <w:pPr>
        <w:pStyle w:val="Heading1"/>
      </w:pPr>
      <w:r>
        <w:t>7. Quyết định cần đưa 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691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Quyết định</w:t>
            </w:r>
          </w:p>
        </w:tc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Ưu tiên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OQ-001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Ai là Business Owner và ai có quyền phê duyệt BRD/SRS/UAT?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OQ-002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Có quy trình duyệt 4 mắt trước khi xuất bản tin/tài nguyên không?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OQ-003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Ma trận chuyển trạng thái, SLA liên hệ và quy tắc phân công là gì?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OQ-004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Cơ sở pháp lý, nội dung consent, retention và quyền xóa/xuất dữ liệu là gì?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OQ-005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Chọn ngưỡng upload tài nguyên 25 MB hay 50 MB; có quét malware không?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OQ-006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Xóa tài nguyên là soft delete hay hard delete; có xóa object MinIO không?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OQ-007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Nguồn tạo Application và quy trình xử lý/nghiệm thu module này?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OQ-008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RPO, RTO, uptime, tải đồng thời, retention log và người trực vận hành?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OQ-009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SMTP, CRM webhook, Redis, CDN/domain production nào bắt buộc?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Trung bình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OQ-010</w:t>
            </w:r>
          </w:p>
        </w:tc>
        <w:tc>
          <w:tcPr>
            <w:tcW w:type="dxa" w:w="6912"/>
            <w:vAlign w:val="center"/>
          </w:tcPr>
          <w:p>
            <w:pPr>
              <w:keepLines/>
              <w:spacing w:after="40" w:before="40"/>
            </w:pPr>
            <w:r>
              <w:t>Môi trường UAT, bộ dữ liệu mẫu, thiết bị/trình duyệt và người ký nghiệm thu?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Cao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Tài liệu Draft —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VGG PLATFORM  |  BRD  |  DRAFT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