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rial" w:hAnsi="Arial" w:eastAsia="Arial"/>
          <w:b/>
          <w:i w:val="0"/>
          <w:color w:val="D72134"/>
          <w:sz w:val="20"/>
        </w:rPr>
        <w:t>VAN LANG UNIVERSITY</w:t>
      </w:r>
    </w:p>
    <w:p>
      <w:pPr>
        <w:spacing w:after="120"/>
      </w:pPr>
      <w:r>
        <w:rPr>
          <w:rFonts w:ascii="Arial" w:hAnsi="Arial" w:eastAsia="Arial"/>
          <w:b/>
          <w:i w:val="0"/>
          <w:color w:val="1F2251"/>
          <w:sz w:val="54"/>
        </w:rPr>
        <w:t>BRIEF CHỈNH SỬA LANDING PAGE</w:t>
      </w:r>
    </w:p>
    <w:p>
      <w:pPr>
        <w:spacing w:after="360"/>
      </w:pPr>
      <w:r>
        <w:rPr>
          <w:rFonts w:ascii="Arial" w:hAnsi="Arial" w:eastAsia="Arial"/>
          <w:b/>
          <w:i w:val="0"/>
          <w:color w:val="D72134"/>
          <w:sz w:val="32"/>
        </w:rPr>
        <w:t>HỘI KHAI GIẢNG TRƯỜNG ĐẠI HỌC VĂN LANG 2026</w:t>
      </w:r>
    </w:p>
    <w:tbl>
      <w:tblPr>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2250"/>
        <w:gridCol w:w="7110"/>
      </w:tblGrid>
      <w:tr>
        <w:trPr>
          <w:cantSplit/>
        </w:trPr>
        <w:tc>
          <w:tcPr>
            <w:tcW w:type="dxa" w:w="2250"/>
            <w:shd w:fill="EEF0F7"/>
            <w:tcMar>
              <w:top w:w="90" w:type="dxa"/>
              <w:start w:w="110" w:type="dxa"/>
              <w:bottom w:w="90" w:type="dxa"/>
              <w:end w:w="110" w:type="dxa"/>
            </w:tcMar>
            <w:vAlign w:val="center"/>
          </w:tcPr>
          <w:p>
            <w:pPr>
              <w:spacing w:before="0" w:after="0" w:line="259" w:lineRule="auto"/>
              <w:jc w:val="left"/>
            </w:pPr>
            <w:r/>
            <w:r>
              <w:rPr>
                <w:rFonts w:ascii="Arial" w:hAnsi="Arial" w:eastAsia="Arial"/>
                <w:b/>
                <w:i w:val="0"/>
                <w:color w:val="1F2251"/>
                <w:sz w:val="19"/>
              </w:rPr>
              <w:t>Website rà soát</w:t>
            </w:r>
          </w:p>
        </w:tc>
        <w:tc>
          <w:tcPr>
            <w:tcW w:type="dxa" w:w="71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9"/>
              </w:rPr>
              <w:t>https://vluorgain.vercel.app/#top</w:t>
            </w:r>
          </w:p>
        </w:tc>
      </w:tr>
      <w:tr>
        <w:trPr>
          <w:cantSplit/>
        </w:trPr>
        <w:tc>
          <w:tcPr>
            <w:tcW w:type="dxa" w:w="2250"/>
            <w:shd w:fill="EEF0F7"/>
            <w:tcMar>
              <w:top w:w="90" w:type="dxa"/>
              <w:start w:w="110" w:type="dxa"/>
              <w:bottom w:w="90" w:type="dxa"/>
              <w:end w:w="110" w:type="dxa"/>
            </w:tcMar>
            <w:vAlign w:val="center"/>
          </w:tcPr>
          <w:p>
            <w:pPr>
              <w:spacing w:before="0" w:after="0" w:line="259" w:lineRule="auto"/>
              <w:jc w:val="left"/>
            </w:pPr>
            <w:r/>
            <w:r>
              <w:rPr>
                <w:rFonts w:ascii="Arial" w:hAnsi="Arial" w:eastAsia="Arial"/>
                <w:b/>
                <w:i w:val="0"/>
                <w:color w:val="1F2251"/>
                <w:sz w:val="19"/>
              </w:rPr>
              <w:t>Mục đích</w:t>
            </w:r>
          </w:p>
        </w:tc>
        <w:tc>
          <w:tcPr>
            <w:tcW w:type="dxa" w:w="71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9"/>
              </w:rPr>
              <w:t>Bàn giao câu chữ và yêu cầu kỹ thuật để lập trình viên cập nhật</w:t>
            </w:r>
          </w:p>
        </w:tc>
      </w:tr>
      <w:tr>
        <w:trPr>
          <w:cantSplit/>
        </w:trPr>
        <w:tc>
          <w:tcPr>
            <w:tcW w:type="dxa" w:w="2250"/>
            <w:shd w:fill="EEF0F7"/>
            <w:tcMar>
              <w:top w:w="90" w:type="dxa"/>
              <w:start w:w="110" w:type="dxa"/>
              <w:bottom w:w="90" w:type="dxa"/>
              <w:end w:w="110" w:type="dxa"/>
            </w:tcMar>
            <w:vAlign w:val="center"/>
          </w:tcPr>
          <w:p>
            <w:pPr>
              <w:spacing w:before="0" w:after="0" w:line="259" w:lineRule="auto"/>
              <w:jc w:val="left"/>
            </w:pPr>
            <w:r/>
            <w:r>
              <w:rPr>
                <w:rFonts w:ascii="Arial" w:hAnsi="Arial" w:eastAsia="Arial"/>
                <w:b/>
                <w:i w:val="0"/>
                <w:color w:val="1F2251"/>
                <w:sz w:val="19"/>
              </w:rPr>
              <w:t>Đối tượng sử dụng</w:t>
            </w:r>
          </w:p>
        </w:tc>
        <w:tc>
          <w:tcPr>
            <w:tcW w:type="dxa" w:w="71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9"/>
              </w:rPr>
              <w:t>Lập trình viên, phụ trách nội dung và Ban Tổ chức</w:t>
            </w:r>
          </w:p>
        </w:tc>
      </w:tr>
      <w:tr>
        <w:trPr>
          <w:cantSplit/>
        </w:trPr>
        <w:tc>
          <w:tcPr>
            <w:tcW w:type="dxa" w:w="2250"/>
            <w:shd w:fill="EEF0F7"/>
            <w:tcMar>
              <w:top w:w="90" w:type="dxa"/>
              <w:start w:w="110" w:type="dxa"/>
              <w:bottom w:w="90" w:type="dxa"/>
              <w:end w:w="110" w:type="dxa"/>
            </w:tcMar>
            <w:vAlign w:val="center"/>
          </w:tcPr>
          <w:p>
            <w:pPr>
              <w:spacing w:before="0" w:after="0" w:line="259" w:lineRule="auto"/>
              <w:jc w:val="left"/>
            </w:pPr>
            <w:r/>
            <w:r>
              <w:rPr>
                <w:rFonts w:ascii="Arial" w:hAnsi="Arial" w:eastAsia="Arial"/>
                <w:b/>
                <w:i w:val="0"/>
                <w:color w:val="1F2251"/>
                <w:sz w:val="19"/>
              </w:rPr>
              <w:t>Trạng thái</w:t>
            </w:r>
          </w:p>
        </w:tc>
        <w:tc>
          <w:tcPr>
            <w:tcW w:type="dxa" w:w="71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9"/>
              </w:rPr>
              <w:t>Dự thảo nội bộ – chưa phát hành đối ngoại</w:t>
            </w:r>
          </w:p>
        </w:tc>
      </w:tr>
    </w:tbl>
    <w:p/>
    <w:tbl>
      <w:tblPr>
        <w:tblW w:type="dxa" w:w="9360"/>
        <w:jc w:val="left"/>
        <w:tblLayout w:type="fixed"/>
        <w:tblLook w:firstColumn="1" w:firstRow="1" w:lastColumn="0" w:lastRow="0" w:noHBand="0" w:noVBand="1" w:val="04A0"/>
        <w:tblInd w:w="120" w:type="dxa"/>
        <w:tblBorders>
          <w:top w:val="single" w:sz="8" w:color="D72134"/>
          <w:left w:val="single" w:sz="8" w:color="D72134"/>
          <w:bottom w:val="single" w:sz="8" w:color="D72134"/>
          <w:right w:val="single" w:sz="8" w:color="D72134"/>
          <w:insideH w:val="single" w:sz="8" w:color="D72134"/>
          <w:insideV w:val="single" w:sz="8" w:color="D72134"/>
        </w:tblBorders>
      </w:tblPr>
      <w:tblGrid>
        <w:gridCol w:w="9360"/>
      </w:tblGrid>
      <w:tr>
        <w:trPr>
          <w:cantSplit/>
        </w:trPr>
        <w:tc>
          <w:tcPr>
            <w:tcW w:type="dxa" w:w="9360"/>
            <w:tcMar>
              <w:top w:w="90" w:type="dxa"/>
              <w:start w:w="110" w:type="dxa"/>
              <w:bottom w:w="90" w:type="dxa"/>
              <w:end w:w="110" w:type="dxa"/>
            </w:tcMar>
            <w:vAlign w:val="center"/>
            <w:shd w:fill="FCECEF"/>
          </w:tcPr>
          <w:p>
            <w:pPr>
              <w:spacing w:after="60"/>
            </w:pPr>
            <w:r>
              <w:rPr>
                <w:rFonts w:ascii="Arial" w:hAnsi="Arial" w:eastAsia="Arial"/>
                <w:b/>
                <w:i w:val="0"/>
                <w:color w:val="D72134"/>
                <w:sz w:val="18"/>
              </w:rPr>
              <w:t>KẾT LUẬN RÀ SOÁT</w:t>
            </w:r>
          </w:p>
          <w:p>
            <w:pPr>
              <w:spacing w:after="0" w:line="269" w:lineRule="auto"/>
            </w:pPr>
            <w:r>
              <w:rPr>
                <w:rFonts w:ascii="Arial" w:hAnsi="Arial" w:eastAsia="Arial"/>
                <w:b w:val="0"/>
                <w:i w:val="0"/>
                <w:color w:val="20242B"/>
                <w:sz w:val="20"/>
              </w:rPr>
              <w:t>Khung ý tưởng, hình ảnh và bộ quyền lợi có điểm khác biệt; tuy nhiên cần rút gọn trang, thống nhất thuật ngữ Việt – Anh và điều chỉnh các câu đang mang tính cam kết chắc chắn khi nội dung vẫn là bản dự thảo.</w:t>
            </w:r>
          </w:p>
        </w:tc>
      </w:tr>
    </w:tbl>
    <w:p>
      <w:pPr>
        <w:spacing w:after="20"/>
      </w:pPr>
    </w:p>
    <w:p>
      <w:pPr>
        <w:pStyle w:val="Heading1"/>
      </w:pPr>
      <w:r>
        <w:t>Cách sử dụng tài liệu</w:t>
      </w:r>
    </w:p>
    <w:p>
      <w:pPr>
        <w:pStyle w:val="ListBullet"/>
      </w:pPr>
      <w:r>
        <w:rPr>
          <w:rFonts w:ascii="Arial" w:hAnsi="Arial" w:eastAsia="Arial"/>
          <w:b w:val="0"/>
          <w:i w:val="0"/>
          <w:color w:val="20242B"/>
          <w:sz w:val="21"/>
        </w:rPr>
        <w:t>Lập trình viên triển khai lần lượt theo thứ tự P0 → P1 → P2.</w:t>
      </w:r>
    </w:p>
    <w:p>
      <w:pPr>
        <w:pStyle w:val="ListBullet"/>
      </w:pPr>
      <w:r>
        <w:rPr>
          <w:rFonts w:ascii="Arial" w:hAnsi="Arial" w:eastAsia="Arial"/>
          <w:b w:val="0"/>
          <w:i w:val="0"/>
          <w:color w:val="20242B"/>
          <w:sz w:val="21"/>
        </w:rPr>
        <w:t>Không tự thay đổi số liệu, mức tài trợ, số lượng suất hoặc quyền lợi nếu chưa có xác nhận của Ban Tổ chức.</w:t>
      </w:r>
    </w:p>
    <w:p>
      <w:pPr>
        <w:pStyle w:val="ListBullet"/>
      </w:pPr>
      <w:r>
        <w:rPr>
          <w:rFonts w:ascii="Arial" w:hAnsi="Arial" w:eastAsia="Arial"/>
          <w:b w:val="0"/>
          <w:i w:val="0"/>
          <w:color w:val="20242B"/>
          <w:sz w:val="21"/>
        </w:rPr>
        <w:t>Nội dung trong cột “Nội dung đề xuất” được dùng để thay trực tiếp trên website, trừ các vị trí có ghi “Chờ xác nhận”.</w:t>
      </w:r>
    </w:p>
    <w:p>
      <w:pPr>
        <w:pStyle w:val="ListBullet"/>
      </w:pPr>
      <w:r>
        <w:rPr>
          <w:rFonts w:ascii="Arial" w:hAnsi="Arial" w:eastAsia="Arial"/>
          <w:b w:val="0"/>
          <w:i w:val="0"/>
          <w:color w:val="20242B"/>
          <w:sz w:val="21"/>
        </w:rPr>
        <w:t>Sau khi cập nhật, kiểm tra lại trên desktop, tablet và mobile; đồng thời đối chiếu checklist nghiệm thu cuối tài liệu.</w:t>
      </w:r>
    </w:p>
    <w:p>
      <w:pPr>
        <w:pStyle w:val="Heading2"/>
      </w:pPr>
      <w:r>
        <w:t>Quy ước mức độ ưu tiên</w:t>
      </w:r>
    </w:p>
    <w:tbl>
      <w:tblPr>
        <w:tblW w:type="dxa" w:w="9360"/>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1450"/>
        <w:gridCol w:w="7910"/>
      </w:tblGrid>
      <w:tr>
        <w:trPr>
          <w:cantSplit/>
        </w:trPr>
        <w:tc>
          <w:tcPr>
            <w:tcW w:type="dxa" w:w="14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MỨC ĐỘ</w:t>
            </w:r>
          </w:p>
        </w:tc>
        <w:tc>
          <w:tcPr>
            <w:tcW w:type="dxa" w:w="7910"/>
            <w:shd w:fill="1F2251"/>
            <w:tcMar>
              <w:top w:w="90" w:type="dxa"/>
              <w:start w:w="110" w:type="dxa"/>
              <w:bottom w:w="90" w:type="dxa"/>
              <w:end w:w="110" w:type="dxa"/>
            </w:tcMar>
            <w:vAlign w:val="center"/>
          </w:tcPr>
          <w:p>
            <w:pPr>
              <w:spacing w:before="0" w:after="0" w:line="259" w:lineRule="auto"/>
              <w:jc w:val="left"/>
            </w:pPr>
            <w:r/>
            <w:r>
              <w:rPr>
                <w:rFonts w:ascii="Arial" w:hAnsi="Arial" w:eastAsia="Arial"/>
                <w:b/>
                <w:i w:val="0"/>
                <w:color w:val="FFFFFF"/>
                <w:sz w:val="18"/>
              </w:rPr>
              <w:t>Ý NGHĨA</w:t>
            </w:r>
          </w:p>
        </w:tc>
      </w:tr>
      <w:tr>
        <w:trPr>
          <w:cantSplit/>
        </w:trPr>
        <w:tc>
          <w:tcPr>
            <w:tcW w:type="dxa" w:w="14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P0</w:t>
            </w:r>
          </w:p>
        </w:tc>
        <w:tc>
          <w:tcPr>
            <w:tcW w:type="dxa" w:w="79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Bắt buộc chỉnh trước khi trình lãnh đạo hoặc gửi đối tác</w:t>
            </w:r>
          </w:p>
        </w:tc>
      </w:tr>
      <w:tr>
        <w:trPr>
          <w:cantSplit/>
        </w:trPr>
        <w:tc>
          <w:tcPr>
            <w:tcW w:type="dxa" w:w="14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1F2251"/>
                <w:sz w:val="18"/>
              </w:rPr>
              <w:t>P1</w:t>
            </w:r>
          </w:p>
        </w:tc>
        <w:tc>
          <w:tcPr>
            <w:tcW w:type="dxa" w:w="79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Nên chỉnh để tăng tính rõ ràng, chuyên nghiệp và hạn chế hiểu nhầm</w:t>
            </w:r>
          </w:p>
        </w:tc>
      </w:tr>
      <w:tr>
        <w:trPr>
          <w:cantSplit/>
        </w:trPr>
        <w:tc>
          <w:tcPr>
            <w:tcW w:type="dxa" w:w="14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1F2251"/>
                <w:sz w:val="18"/>
              </w:rPr>
              <w:t>P2</w:t>
            </w:r>
          </w:p>
        </w:tc>
        <w:tc>
          <w:tcPr>
            <w:tcW w:type="dxa" w:w="79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Tối ưu trải nghiệm, giao diện và khả năng vận hành</w:t>
            </w:r>
          </w:p>
        </w:tc>
      </w:tr>
    </w:tbl>
    <w:p>
      <w:r>
        <w:br w:type="page"/>
      </w:r>
    </w:p>
    <w:p>
      <w:pPr>
        <w:pStyle w:val="Heading1"/>
      </w:pPr>
      <w:r>
        <w:t>1. Các nội dung cần chỉnh ngay</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Khối số liệu: “500M+ – Mục tiêu huy động”</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TỪ 500 TRIỆU ĐỒNG</w:t>
              <w:br/>
              <w:t>Mục tiêu vận động tài trợ</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Không dùng “M”. Xác nhận lại đây là tổng mục tiêu hay mục tiêu tài trợ hiện kim tối thiểu.</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Một số vị trí ghi “10.000+ sinh viên”</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10.000+ NGƯỜI THAM DỰ</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Dùng thống nhất toàn trang. Chỉ dùng “7.000+ Tân sinh viên Khóa 32” tại các vị trí nói riêng về tân sinh viên.</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15 nguyên tắc đều ghi “Đã phê duyệt chính thức”</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Nguyên tắc dự kiến áp dụng / Nội dung sẽ được thống nhất trong văn bản hợp tác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Xóa toàn bộ trạng thái “Đã phê duyệt chính thức” cho đến khi có văn bản phê duyệt.</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Bộ lọc mục tiêu còn dùng Kim cương · Vàng · Bạc</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Đối tác Đồng hành Chính · Đối tác Dấu ấn · Đối tác Tác động · Đối tác Trải nghiệm · Đồng hành Hạng mục</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Thống nhất một hệ tên gói P1–P5 trên toàn bộ trang, popup và ma trận.</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Nút tải “VLU-Hoi-Khai-Giang-2026-Proposal-Draft.txt”</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Tải hồ sơ hợp tác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tệp TXT bằng PDF chính thức sau khi duyệt; nếu chưa có PDF thì ẩn nút tải.</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QR minh họa – Kết nối form sau khi duyệt!</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Ẩn toàn bộ khối cho đến khi có QR và form chính thức</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Không để placeholder hoặc ghi chú nội bộ xuất hiện trong bản trình/gửi đối tác.</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Lộ trình bắt đầu 25–28/08</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Cập nhật lộ trình mới theo ngày phê duyệt thực tế</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Các mốc cũ đã hết hạn. Ban Tổ chức xác nhận lịch mới trước khi lập trình viên cập nhật.</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Các nút “Xem full gói”</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Xem đầy đủ quyền lợi</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đồng loạt trên cả 5 thẻ gói.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Hướng dẫn “Click vào bất kỳ dòng nào…”</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Chọn từng nội dung để xem thông tin chi tiết.</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Việt hóa toàn bộ microcopy; hạn chế trộn tiếng Việt và tiếng Anh khi không cần thiết.</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“Báo cáo tương tác khả dụng”</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Báo cáo số lượt tương tác được ghi nhận thực tế</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Mô tả đầu ra cụ thể và không cam kết chỉ số chưa có công cụ đo.</w:t>
            </w:r>
          </w:p>
        </w:tc>
      </w:tr>
    </w:tbl>
    <w:p>
      <w:pPr>
        <w:spacing w:after="40"/>
      </w:pPr>
    </w:p>
    <w:p>
      <w:pPr>
        <w:pStyle w:val="Heading1"/>
      </w:pPr>
      <w:r>
        <w:t>2. Cấu trúc và nội dung theo từng khu vực</w:t>
      </w:r>
    </w:p>
    <w:p>
      <w:pPr>
        <w:pStyle w:val="Heading2"/>
      </w:pPr>
      <w:r>
        <w:t>2.1. Thanh điều hướng</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Câu chuyện</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Câu chuyện</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Giữ nguyên; liên kết đến section giới thiệu.</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Điểm chạm</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Hành trình thương hiệu</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Tên menu nên phản ánh rõ nội dung section.</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Quyền lợi</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Cơ hội đồng hành</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Gom Signature Assets và quyền lợi vào cùng nhóm điều hướng.</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Gói tài trợ</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Gói đồng hành</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Giọng văn cởi mở hơn và đồng nhất với lời mời hợp tác.</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5F6673"/>
                <w:sz w:val="19"/>
              </w:rPr>
              <w:t>P2</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Đăng ký đồng hành</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Trao đổi phương án đồng hành</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Dùng nút chính ở header; trỏ đến form/liên hệ chính thức.</w:t>
            </w:r>
          </w:p>
        </w:tc>
      </w:tr>
    </w:tbl>
    <w:p>
      <w:pPr>
        <w:spacing w:after="40"/>
      </w:pPr>
    </w:p>
    <w:p>
      <w:pPr>
        <w:pStyle w:val="Heading2"/>
      </w:pPr>
      <w:r>
        <w:t>2.2. Màn hình mở đầu (Hero)</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MỞ RA HÀNH TRÌNH MỚI CÙNG VĂN LANG</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KHỞI ĐẦU HÀNH TRÌNH MỚI CÙNG VĂN LANG</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tiêu đề. Giữ cách xuống dòng hiện có nếu không vỡ chữ trên mobile.</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Đồng hành tài trợ cùng VLU, kết nối thương hiệu với hàng nghìn sinh viên và cộng đồng trẻ năng động.</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Đồng hành cùng Văn Lang kiến tạo một khởi đầu đáng nhớ, kết nối thương hiệu với hơn 10.000 người tham dự và cộng đồng sinh viên trẻ, năng động.</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đoạn mô tả; giới hạn chiều rộng để dễ đọc.</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KHÁM PHÁ CƠ HỘI ĐỒNG HÀNH</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KHÁM PHÁ CƠ HỘI ĐỒNG HÀNH</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Giữ nguyên; trỏ đến section “Cơ hội đồng hành”.</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Khối thời gian hiển thị 08:00–21:00; đồng thời có 14:00 ngày 26/09 và 14:00 ngày 27/09</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CHỜ BAN TỔ CHỨC XÁC NHẬN LẠI THỜI GIAN VÀ ĐỊA ĐIỂM TỪNG NGÀY</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Không hiển thị đồng thời các mốc gây hiểu nhầm. Nên tách: ngày – thời gian – địa điểm theo từng dòng.</w:t>
            </w:r>
          </w:p>
        </w:tc>
      </w:tr>
    </w:tbl>
    <w:p>
      <w:pPr>
        <w:spacing w:after="40"/>
      </w:pPr>
    </w:p>
    <w:p>
      <w:pPr>
        <w:pStyle w:val="Heading2"/>
      </w:pPr>
      <w:r>
        <w:t>2.3. Câu chuyện sự kiện</w:t>
      </w:r>
    </w:p>
    <w:tbl>
      <w:tblPr>
        <w:tblW w:type="dxa" w:w="9360"/>
        <w:jc w:val="left"/>
        <w:tblLayout w:type="fixed"/>
        <w:tblLook w:firstColumn="1" w:firstRow="1" w:lastColumn="0" w:lastRow="0" w:noHBand="0" w:noVBand="1" w:val="04A0"/>
        <w:tblInd w:w="120" w:type="dxa"/>
        <w:tblBorders>
          <w:top w:val="single" w:sz="8" w:color="1F2251"/>
          <w:left w:val="single" w:sz="8" w:color="1F2251"/>
          <w:bottom w:val="single" w:sz="8" w:color="1F2251"/>
          <w:right w:val="single" w:sz="8" w:color="1F2251"/>
          <w:insideH w:val="single" w:sz="8" w:color="1F2251"/>
          <w:insideV w:val="single" w:sz="8" w:color="1F2251"/>
        </w:tblBorders>
      </w:tblPr>
      <w:tblGrid>
        <w:gridCol w:w="9360"/>
      </w:tblGrid>
      <w:tr>
        <w:trPr>
          <w:cantSplit/>
        </w:trPr>
        <w:tc>
          <w:tcPr>
            <w:tcW w:type="dxa" w:w="9360"/>
            <w:tcMar>
              <w:top w:w="90" w:type="dxa"/>
              <w:start w:w="110" w:type="dxa"/>
              <w:bottom w:w="90" w:type="dxa"/>
              <w:end w:w="110" w:type="dxa"/>
            </w:tcMar>
            <w:vAlign w:val="center"/>
            <w:shd w:fill="EEF0F7"/>
          </w:tcPr>
          <w:p>
            <w:pPr>
              <w:spacing w:after="60"/>
            </w:pPr>
            <w:r>
              <w:rPr>
                <w:rFonts w:ascii="Arial" w:hAnsi="Arial" w:eastAsia="Arial"/>
                <w:b/>
                <w:i w:val="0"/>
                <w:color w:val="1F2251"/>
                <w:sz w:val="18"/>
              </w:rPr>
              <w:t>NỘI DUNG THAY TRỰC TIẾP</w:t>
            </w:r>
          </w:p>
          <w:p>
            <w:pPr>
              <w:spacing w:after="0" w:line="269" w:lineRule="auto"/>
            </w:pPr>
            <w:r>
              <w:rPr>
                <w:rFonts w:ascii="Arial" w:hAnsi="Arial" w:eastAsia="Arial"/>
                <w:b w:val="0"/>
                <w:i w:val="0"/>
                <w:color w:val="20242B"/>
                <w:sz w:val="20"/>
              </w:rPr>
              <w:t>Hội Khai giảng Trường Đại học Văn Lang 2026 là lời chào chính thức dành cho Tân sinh viên Khóa 32 – nơi mỗi bạn được chào đón, kết nối và truyền cảm hứng để tự tin khởi đầu hành trình học tập, trải nghiệm và trưởng thành tại Văn Lang.</w:t>
              <w:br/>
              <w:br/>
              <w:t>Với thông điệp “Nơi bạn được nhìn thấy”, chương trình hướng đến việc ghi nhận bản sắc riêng của mỗi sinh viên và cùng các đối tác kiến tạo những trải nghiệm thiết thực, ý nghĩa trong ngày đầu tiên của hành trình đại học.</w:t>
            </w:r>
          </w:p>
        </w:tc>
      </w:tr>
    </w:tbl>
    <w:p>
      <w:pPr>
        <w:spacing w:after="20"/>
      </w:pPr>
    </w:p>
    <w:p>
      <w:pPr>
        <w:pStyle w:val="Heading2"/>
      </w:pPr>
      <w:r>
        <w:t>2.4. Quy mô sự kiện</w:t>
      </w:r>
    </w:p>
    <w:tbl>
      <w:tblPr>
        <w:tblW w:type="dxa" w:w="9360"/>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1800"/>
        <w:gridCol w:w="2850"/>
        <w:gridCol w:w="4710"/>
      </w:tblGrid>
      <w:tr>
        <w:trPr>
          <w:tblHeader w:val="true"/>
          <w:cantSplit/>
        </w:trPr>
        <w:tc>
          <w:tcPr>
            <w:tcW w:type="dxa" w:w="180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CHỈ SỐ</w:t>
            </w:r>
          </w:p>
        </w:tc>
        <w:tc>
          <w:tcPr>
            <w:tcW w:type="dxa" w:w="28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NỘI DUNG HIỂN THỊ</w:t>
            </w:r>
          </w:p>
        </w:tc>
        <w:tc>
          <w:tcPr>
            <w:tcW w:type="dxa" w:w="471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DÒNG GIẢI THÍCH</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10.000+</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Người tham dự</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Quy mô dự kiến trong hai ngày tổ chức</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7.000+</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Tân sinh viên Khóa 32</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Nhân vật trung tâm của Hội Khai giảng</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300+</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Khách mời và đại diện đối tác</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Lãnh đạo, giảng viên, khách mời, doanh nghiệp và tổ chức đồng hành</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04</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Cụm hoạt động trải nghiệm</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Câu lạc bộ · Ẩm thực · Thử thách · Nghệ thuật</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02</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Ngày tổ chức</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Ngày 26–27/09/2026</w:t>
            </w:r>
          </w:p>
        </w:tc>
      </w:tr>
      <w:tr>
        <w:trPr>
          <w:cantSplit/>
        </w:trPr>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20"/>
              </w:rPr>
              <w:t>Từ 500 triệu đồng</w:t>
            </w:r>
          </w:p>
        </w:tc>
        <w:tc>
          <w:tcPr>
            <w:tcW w:type="dxa" w:w="285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Mục tiêu vận động tài trợ</w:t>
            </w:r>
          </w:p>
        </w:tc>
        <w:tc>
          <w:tcPr>
            <w:tcW w:type="dxa" w:w="47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Gồm hiện kim, hiện vật và dịch vụ – chờ Ban Tổ chức xác nhận</w:t>
            </w:r>
          </w:p>
        </w:tc>
      </w:tr>
    </w:tbl>
    <w:p>
      <w:pPr>
        <w:pStyle w:val="Heading2"/>
      </w:pPr>
      <w:r>
        <w:t>2.5. Cộng đồng tham dự</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Tân sinh viên Khóa 32</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Thế hệ mới chính thức bắt đầu hành trình học tập và trưởng thành tại Văn Lang.</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Sinh viên Văn Lang</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Cộng đồng trẻ cùng kết nối, truyền cảm hứng và tạo nên sức sống của ngày hội.</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Giảng viên và cán bộ</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Đội ngũ đồng hành cùng sinh viên trong học tập, trải nghiệm và phát triển.</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Lãnh đạo Nhà trường</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Đại diện chào đón, định hướng và truyền cảm hứng cho thế hệ sinh viên mới.</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Khách mời</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Những cá nhân có ảnh hưởng và cùng chia sẻ niềm tin vào giáo dục, thế hệ trẻ và giá trị cộng đồng.</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Doanh nghiệp và đối tác</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Các tổ chức đồng hành kiến tạo những trải nghiệm thiết thực dành cho sinh viên Văn Lang.</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nội dung mô tả; giữ hình ảnh hiện có nếu tải ổn định.</w:t>
            </w:r>
          </w:p>
        </w:tc>
      </w:tr>
    </w:tbl>
    <w:p>
      <w:pPr>
        <w:spacing w:after="40"/>
      </w:pPr>
    </w:p>
    <w:p>
      <w:pPr>
        <w:pStyle w:val="Heading2"/>
      </w:pPr>
      <w:r>
        <w:t>2.6. Hành trình hiện diện của thương hiệu</w:t>
      </w:r>
    </w:p>
    <w:tbl>
      <w:tblPr>
        <w:tblW w:type="dxa" w:w="9360"/>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900"/>
        <w:gridCol w:w="2300"/>
        <w:gridCol w:w="6160"/>
      </w:tblGrid>
      <w:tr>
        <w:trPr>
          <w:tblHeader w:val="true"/>
          <w:cantSplit/>
        </w:trPr>
        <w:tc>
          <w:tcPr>
            <w:tcW w:type="dxa" w:w="90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GIAI ĐOẠN</w:t>
            </w:r>
          </w:p>
        </w:tc>
        <w:tc>
          <w:tcPr>
            <w:tcW w:type="dxa" w:w="230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TÊN HIỂN THỊ</w:t>
            </w:r>
          </w:p>
        </w:tc>
        <w:tc>
          <w:tcPr>
            <w:tcW w:type="dxa" w:w="616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8"/>
              </w:rPr>
              <w:t>ĐIỂM CHẠM</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01</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Trước sự kiện</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Nội dung giới thiệu · Email · Mạng xã hội</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02</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Đón tiếp</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Cổng chào · Check-in · Không gian nhận diện</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03</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Khai mạc</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Sân khấu · Màn hình LED · Khu vực khách mời</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04</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Trải nghiệm</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Gian hàng · Hoạt động tương tác · Sản phẩm dùng thử</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05</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Lan tỏa</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Nội dung mạng xã hội · Hình ảnh · Video</w:t>
            </w:r>
          </w:p>
        </w:tc>
      </w:tr>
      <w:tr>
        <w:trPr>
          <w:cantSplit/>
        </w:trPr>
        <w:tc>
          <w:tcPr>
            <w:tcW w:type="dxa" w:w="9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06</w:t>
            </w:r>
          </w:p>
        </w:tc>
        <w:tc>
          <w:tcPr>
            <w:tcW w:type="dxa" w:w="23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Sau sự kiện</w:t>
            </w:r>
          </w:p>
        </w:tc>
        <w:tc>
          <w:tcPr>
            <w:tcW w:type="dxa" w:w="616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Nội dung tổng kết · Báo cáo · Hồ sơ nghiệm thu</w:t>
            </w:r>
          </w:p>
        </w:tc>
      </w:tr>
    </w:tbl>
    <w:p>
      <w:pPr>
        <w:pStyle w:val="Heading2"/>
      </w:pPr>
      <w:r>
        <w:t>2.7. Thiết kế phương án đồng hành</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Văn Lang không bán một danh sách logo giống nhau cho mọi thương hiệu.</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Văn Lang không áp dụng một danh mục quyền lợi giống nhau cho mọi đối tác. Mỗi phương án đồng hành sẽ được xây dựng dựa trên mục tiêu, ngành hàng và giá trị mà doanh nghiệp mong muốn đóng góp cho sinh viên.</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toàn bộ đoạn dẫn.</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Mỗi gói được thiết kế theo mức độ sở hữu trải nghiệm...</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Mỗi gói đồng hành được xây dựng theo phạm vi hiện diện, mức độ tham gia trải nghiệm và khả năng ghi nhận kết quả. Các quyền lợi cụ thể sẽ được hai bên thống nhất trên cơ sở nhu cầu của đối tác, điều kiện tổ chức thực tế và phê duyệt của Nhà trường.</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Đưa câu này lên đầu section các gói; bỏ dấu ngoặc kép.</w:t>
            </w:r>
          </w:p>
        </w:tc>
      </w:tr>
    </w:tbl>
    <w:p>
      <w:pPr>
        <w:spacing w:after="40"/>
      </w:pPr>
    </w:p>
    <w:p>
      <w:pPr>
        <w:pStyle w:val="Heading2"/>
      </w:pPr>
      <w:r>
        <w:t>2.8. Tên và mô tả các gói</w:t>
      </w:r>
    </w:p>
    <w:tbl>
      <w:tblPr>
        <w:tblW w:type="dxa" w:w="9360"/>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50"/>
        <w:gridCol w:w="2500"/>
        <w:gridCol w:w="1800"/>
        <w:gridCol w:w="4410"/>
      </w:tblGrid>
      <w:tr>
        <w:trPr>
          <w:tblHeader w:val="true"/>
          <w:cantSplit/>
        </w:trPr>
        <w:tc>
          <w:tcPr>
            <w:tcW w:type="dxa" w:w="6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MÃ</w:t>
            </w:r>
          </w:p>
        </w:tc>
        <w:tc>
          <w:tcPr>
            <w:tcW w:type="dxa" w:w="250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TÊN GÓI ĐỀ XUẤT</w:t>
            </w:r>
          </w:p>
        </w:tc>
        <w:tc>
          <w:tcPr>
            <w:tcW w:type="dxa" w:w="180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ĐỒNG HÀNH</w:t>
            </w:r>
          </w:p>
        </w:tc>
        <w:tc>
          <w:tcPr>
            <w:tcW w:type="dxa" w:w="441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MÔ TẢ NGẮN</w:t>
            </w:r>
          </w:p>
        </w:tc>
      </w:tr>
      <w:tr>
        <w:trPr>
          <w:cantSplit/>
        </w:trPr>
        <w:tc>
          <w:tcPr>
            <w:tcW w:type="dxa" w:w="6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P1</w:t>
            </w:r>
          </w:p>
        </w:tc>
        <w:tc>
          <w:tcPr>
            <w:tcW w:type="dxa" w:w="25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Đối tác Đồng hành Chính</w:t>
            </w:r>
          </w:p>
        </w:tc>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20242B"/>
                <w:sz w:val="18"/>
              </w:rPr>
              <w:t>300 triệu đồng</w:t>
            </w:r>
          </w:p>
        </w:tc>
        <w:tc>
          <w:tcPr>
            <w:tcW w:type="dxa" w:w="44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Đồng hành ở cấp độ cao nhất và hiện diện xuyên suốt hành trình sự kiện.</w:t>
            </w:r>
          </w:p>
        </w:tc>
      </w:tr>
      <w:tr>
        <w:trPr>
          <w:cantSplit/>
        </w:trPr>
        <w:tc>
          <w:tcPr>
            <w:tcW w:type="dxa" w:w="6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P2</w:t>
            </w:r>
          </w:p>
        </w:tc>
        <w:tc>
          <w:tcPr>
            <w:tcW w:type="dxa" w:w="25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Đối tác Dấu ấn</w:t>
            </w:r>
          </w:p>
        </w:tc>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20242B"/>
                <w:sz w:val="18"/>
              </w:rPr>
              <w:t>200 triệu đồng</w:t>
            </w:r>
          </w:p>
        </w:tc>
        <w:tc>
          <w:tcPr>
            <w:tcW w:type="dxa" w:w="44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Sở hữu một điểm chạm nổi bật, tạo dấu ấn nhận diện rõ nét.</w:t>
            </w:r>
          </w:p>
        </w:tc>
      </w:tr>
      <w:tr>
        <w:trPr>
          <w:cantSplit/>
        </w:trPr>
        <w:tc>
          <w:tcPr>
            <w:tcW w:type="dxa" w:w="6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P3</w:t>
            </w:r>
          </w:p>
        </w:tc>
        <w:tc>
          <w:tcPr>
            <w:tcW w:type="dxa" w:w="25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Đối tác Tác động</w:t>
            </w:r>
          </w:p>
        </w:tc>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20242B"/>
                <w:sz w:val="18"/>
              </w:rPr>
              <w:t>100 triệu đồng</w:t>
            </w:r>
          </w:p>
        </w:tc>
        <w:tc>
          <w:tcPr>
            <w:tcW w:type="dxa" w:w="44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Cùng Nhà trường tạo ra giá trị thiết thực và câu chuyện tác động dành cho sinh viên.</w:t>
            </w:r>
          </w:p>
        </w:tc>
      </w:tr>
      <w:tr>
        <w:trPr>
          <w:cantSplit/>
        </w:trPr>
        <w:tc>
          <w:tcPr>
            <w:tcW w:type="dxa" w:w="6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P4</w:t>
            </w:r>
          </w:p>
        </w:tc>
        <w:tc>
          <w:tcPr>
            <w:tcW w:type="dxa" w:w="25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Đối tác Trải nghiệm</w:t>
            </w:r>
          </w:p>
        </w:tc>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20242B"/>
                <w:sz w:val="18"/>
              </w:rPr>
              <w:t>50 triệu đồng</w:t>
            </w:r>
          </w:p>
        </w:tc>
        <w:tc>
          <w:tcPr>
            <w:tcW w:type="dxa" w:w="44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Tương tác trực tiếp với sinh viên thông qua không gian và hoạt động trải nghiệm.</w:t>
            </w:r>
          </w:p>
        </w:tc>
      </w:tr>
      <w:tr>
        <w:trPr>
          <w:cantSplit/>
        </w:trPr>
        <w:tc>
          <w:tcPr>
            <w:tcW w:type="dxa" w:w="65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8"/>
              </w:rPr>
              <w:t>P5</w:t>
            </w:r>
          </w:p>
        </w:tc>
        <w:tc>
          <w:tcPr>
            <w:tcW w:type="dxa" w:w="2500"/>
            <w:tcMar>
              <w:top w:w="90" w:type="dxa"/>
              <w:start w:w="110" w:type="dxa"/>
              <w:bottom w:w="90" w:type="dxa"/>
              <w:end w:w="110" w:type="dxa"/>
            </w:tcMar>
            <w:vAlign w:val="center"/>
          </w:tcPr>
          <w:p>
            <w:pPr>
              <w:spacing w:before="0" w:after="0" w:line="259" w:lineRule="auto"/>
              <w:jc w:val="left"/>
            </w:pPr>
            <w:r/>
            <w:r>
              <w:rPr>
                <w:rFonts w:ascii="Arial" w:hAnsi="Arial" w:eastAsia="Arial"/>
                <w:b/>
                <w:i w:val="0"/>
                <w:color w:val="20242B"/>
                <w:sz w:val="18"/>
              </w:rPr>
              <w:t>Đồng hành Hạng mục</w:t>
            </w:r>
          </w:p>
        </w:tc>
        <w:tc>
          <w:tcPr>
            <w:tcW w:type="dxa" w:w="180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20242B"/>
                <w:sz w:val="18"/>
              </w:rPr>
              <w:t>30 triệu đồng</w:t>
            </w:r>
          </w:p>
        </w:tc>
        <w:tc>
          <w:tcPr>
            <w:tcW w:type="dxa" w:w="441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Đồng hành cùng một nhu cầu hoặc hạng mục cụ thể của chương trình.</w:t>
            </w:r>
          </w:p>
        </w:tc>
      </w:tr>
    </w:tbl>
    <w:tbl>
      <w:tblPr>
        <w:tblW w:type="dxa" w:w="9360"/>
        <w:jc w:val="left"/>
        <w:tblLayout w:type="fixed"/>
        <w:tblLook w:firstColumn="1" w:firstRow="1" w:lastColumn="0" w:lastRow="0" w:noHBand="0" w:noVBand="1" w:val="04A0"/>
        <w:tblInd w:w="120" w:type="dxa"/>
        <w:tblBorders>
          <w:top w:val="single" w:sz="8" w:color="8A5A00"/>
          <w:left w:val="single" w:sz="8" w:color="8A5A00"/>
          <w:bottom w:val="single" w:sz="8" w:color="8A5A00"/>
          <w:right w:val="single" w:sz="8" w:color="8A5A00"/>
          <w:insideH w:val="single" w:sz="8" w:color="8A5A00"/>
          <w:insideV w:val="single" w:sz="8" w:color="8A5A00"/>
        </w:tblBorders>
      </w:tblPr>
      <w:tblGrid>
        <w:gridCol w:w="9360"/>
      </w:tblGrid>
      <w:tr>
        <w:trPr>
          <w:cantSplit/>
        </w:trPr>
        <w:tc>
          <w:tcPr>
            <w:tcW w:type="dxa" w:w="9360"/>
            <w:tcMar>
              <w:top w:w="90" w:type="dxa"/>
              <w:start w:w="110" w:type="dxa"/>
              <w:bottom w:w="90" w:type="dxa"/>
              <w:end w:w="110" w:type="dxa"/>
            </w:tcMar>
            <w:vAlign w:val="center"/>
            <w:shd w:fill="FFF2CC"/>
          </w:tcPr>
          <w:p>
            <w:pPr>
              <w:spacing w:after="60"/>
            </w:pPr>
            <w:r>
              <w:rPr>
                <w:rFonts w:ascii="Arial" w:hAnsi="Arial" w:eastAsia="Arial"/>
                <w:b/>
                <w:i w:val="0"/>
                <w:color w:val="8A5A00"/>
                <w:sz w:val="18"/>
              </w:rPr>
              <w:t>GHI CHÚ</w:t>
            </w:r>
          </w:p>
          <w:p>
            <w:pPr>
              <w:spacing w:after="0" w:line="269" w:lineRule="auto"/>
            </w:pPr>
            <w:r>
              <w:rPr>
                <w:rFonts w:ascii="Arial" w:hAnsi="Arial" w:eastAsia="Arial"/>
                <w:b w:val="0"/>
                <w:i w:val="0"/>
                <w:color w:val="20242B"/>
                <w:sz w:val="20"/>
              </w:rPr>
              <w:t>Tên P1 “Đối tác Trình diện” được đề xuất đổi thành “Đối tác Đồng hành Chính” vì tự nhiên, trang trọng và dễ hiểu hơn trong văn phong đối ngoại. Nếu Ban Tổ chức muốn giữ danh xưng tiếng Anh, chỉ ghi “Presenting Partner” trong ngoặc hoặc trong phụ lục.</w:t>
            </w:r>
          </w:p>
        </w:tc>
      </w:tr>
    </w:tbl>
    <w:p>
      <w:pPr>
        <w:spacing w:after="20"/>
      </w:pPr>
    </w:p>
    <w:p>
      <w:pPr>
        <w:pStyle w:val="Heading2"/>
      </w:pPr>
      <w:r>
        <w:t>2.9. Các câu cần giảm mức độ cam kết</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Xuất hiện liên tục trên màn hình LED trong suốt 2 ngày</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Được bố trí nhận diện trên màn hình LED theo thời lượng và kịch bản được Ban Tổ chức phê duyệt.</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R03 và các popup liên quan.</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Toàn quyền 2 ngày sự kiện</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Ưu tiên triển khai hoạt động trong hai ngày theo phương án được thống nhất.</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M04/P1.</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Độc quyền tuyệt đối</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Độc quyền ngành hàng theo phạm vi và điều kiện được hai bên thống nhất.</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M13 và mọi nơi nhắc độc quyền.</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Vị trí đắc địa nhất</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Vị trí ưu tiên theo sơ đồ mặt bằng được phê duyệt.</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quyền lợi gian hàng.</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TVC 60s + Logo trung tâm</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TVC tối đa 60 giây và vị trí logo ưu tiên theo kịch bản chương trình.</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ma trận; kiểm tra tương tự với TVC 30 giây.</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Bộ ảnh nhận diện đã nghiệm thu</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Bộ ảnh ghi nhận quyền lợi phục vụ nghiệm thu.</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đề xuất mục tiêu nhận diện.</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Phân cảnh riêng 4K</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Phân cảnh nhận diện riêng trong video tổng kết, tùy điều kiện sản xuất thực tế.</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tại M14/P1.</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Báo cáo đo lường độc lập</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Báo cáo ghi nhận kết quả thực hiện quyền lợi.</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Không dùng “độc lập” nếu không có đơn vị đo lường bên thứ ba.</w:t>
            </w:r>
          </w:p>
        </w:tc>
      </w:tr>
    </w:tbl>
    <w:p>
      <w:pPr>
        <w:spacing w:after="40"/>
      </w:pPr>
    </w:p>
    <w:p>
      <w:pPr>
        <w:pStyle w:val="Heading2"/>
      </w:pPr>
      <w:r>
        <w:t>2.10. Nguyên tắc hợp tác</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PARTNERSHIP PRINCIPLES – Nguyên tắc hợp tác &amp; Pháp chế</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NGUYÊN TẮC HỢP TÁC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Bỏ từ “Pháp chế” ở tiêu đề landing page; nội dung pháp lý chi tiết để trong hợp đồng/phụ lục.</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15 điều khoản chuẩn mực nhằm bảo đảm...</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Các nguyên tắc dưới đây là cơ sở để xây dựng phương án hợp tác. Nội dung áp dụng chính thức sẽ được thể hiện trong thỏa thuận, hợp đồng hoặc văn bản được Nhà trường phê duyệt.</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Thay đoạn mô tả section.</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Đã phê duyệt chính thức / Không ngoại lệ</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Nguyên tắc bắt buộc / Áp dụng theo phương án được duyệt / Thống nhất trong hợp đồng / Thực hiện theo quy định của Nhà trường</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Gán trạng thái phù hợp cho từng điều; chờ Ban Tổ chức và đơn vị pháp lý xác nhận.</w:t>
            </w:r>
          </w:p>
        </w:tc>
      </w:tr>
    </w:tbl>
    <w:p>
      <w:pPr>
        <w:spacing w:after="40"/>
      </w:pPr>
    </w:p>
    <w:p>
      <w:pPr>
        <w:pStyle w:val="Heading2"/>
      </w:pPr>
      <w:r>
        <w:t>2.11. Lời ngỏ đồng hành</w:t>
      </w:r>
    </w:p>
    <w:p>
      <w:pPr>
        <w:spacing w:after="140" w:line="283" w:lineRule="auto"/>
      </w:pPr>
      <w:r>
        <w:rPr>
          <w:rFonts w:ascii="Arial" w:hAnsi="Arial" w:eastAsia="Arial"/>
          <w:b/>
          <w:i w:val="0"/>
          <w:color w:val="20242B"/>
          <w:sz w:val="20"/>
        </w:rPr>
        <w:t>Kính gửi Quý Doanh nghiệp, Tổ chức và Đối tác,</w:t>
      </w:r>
    </w:p>
    <w:p>
      <w:pPr>
        <w:spacing w:after="140" w:line="283" w:lineRule="auto"/>
      </w:pPr>
      <w:r>
        <w:rPr>
          <w:rFonts w:ascii="Arial" w:hAnsi="Arial" w:eastAsia="Arial"/>
          <w:b w:val="0"/>
          <w:i w:val="0"/>
          <w:color w:val="20242B"/>
          <w:sz w:val="20"/>
        </w:rPr>
        <w:t>Hội Khai giảng Trường Đại học Văn Lang 2026 là dấu mốc chào đón hơn 7.000 Tân sinh viên Khóa 32 chính thức gia nhập cộng đồng Văn Lang, đồng thời là ngày hội kết nối sinh viên, phụ huynh, giảng viên, khách mời và các tổ chức đồng hành.</w:t>
      </w:r>
    </w:p>
    <w:p>
      <w:pPr>
        <w:spacing w:after="140" w:line="283" w:lineRule="auto"/>
      </w:pPr>
      <w:r>
        <w:rPr>
          <w:rFonts w:ascii="Arial" w:hAnsi="Arial" w:eastAsia="Arial"/>
          <w:b w:val="0"/>
          <w:i w:val="0"/>
          <w:color w:val="20242B"/>
          <w:sz w:val="20"/>
        </w:rPr>
        <w:t>Với thông điệp “Nơi bạn được nhìn thấy”, chương trình không chỉ là một nghi lễ khai giảng trang trọng, mà còn là không gian để mỗi tân sinh viên được chào đón, kết nối, trải nghiệm và cảm nhận mình là một phần của cộng đồng Văn Lang.</w:t>
      </w:r>
    </w:p>
    <w:p>
      <w:pPr>
        <w:spacing w:after="140" w:line="283" w:lineRule="auto"/>
      </w:pPr>
      <w:r>
        <w:rPr>
          <w:rFonts w:ascii="Arial" w:hAnsi="Arial" w:eastAsia="Arial"/>
          <w:b w:val="0"/>
          <w:i w:val="0"/>
          <w:color w:val="20242B"/>
          <w:sz w:val="20"/>
        </w:rPr>
        <w:t>Trường Đại học Văn Lang trân trọng mời Quý Đơn vị cùng đồng hành kiến tạo những trải nghiệm thiết thực và ý nghĩa cho thế hệ sinh viên mới. Mỗi sự đóng góp, dù dưới hình thức học bổng, kinh phí, sản phẩm, dịch vụ hay hoạt động trải nghiệm, đều góp phần tạo nên một khởi đầu trọn vẹn hơn cho các bạn sinh viên.</w:t>
      </w:r>
    </w:p>
    <w:p>
      <w:pPr>
        <w:spacing w:after="140" w:line="283" w:lineRule="auto"/>
      </w:pPr>
      <w:r>
        <w:rPr>
          <w:rFonts w:ascii="Arial" w:hAnsi="Arial" w:eastAsia="Arial"/>
          <w:b w:val="0"/>
          <w:i w:val="0"/>
          <w:color w:val="20242B"/>
          <w:sz w:val="20"/>
        </w:rPr>
        <w:t>Chúng tôi tin rằng Hội Khai giảng 2026 sẽ mở ra những kết nối tích cực và bền vững giữa Nhà trường, doanh nghiệp và thế hệ trẻ.</w:t>
      </w:r>
    </w:p>
    <w:p>
      <w:pPr>
        <w:spacing w:after="140" w:line="283" w:lineRule="auto"/>
      </w:pPr>
      <w:r>
        <w:rPr>
          <w:rFonts w:ascii="Arial" w:hAnsi="Arial" w:eastAsia="Arial"/>
          <w:b/>
          <w:i w:val="0"/>
          <w:color w:val="20242B"/>
          <w:sz w:val="20"/>
        </w:rPr>
        <w:t>Trân trọng kính mời Quý Đơn vị cùng Văn Lang kiến tạo một khởi đầu đáng nhớ cho Tân sinh viên Khóa 32.</w:t>
      </w:r>
    </w:p>
    <w:p>
      <w:pPr>
        <w:pStyle w:val="Heading2"/>
      </w:pPr>
      <w:r>
        <w:t>2.12. Đo lường, quy trình và liên hệ</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30–45 ngày – Báo cáo sau sự kiện</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Báo cáo sau sự kiện: thời hạn theo thỏa thuận hợp tác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Nếu vẫn giữ 30–45 ngày, cần xác nhận năng lực bàn giao thực tế của Ban Tổ chức.</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100% quyền lợi được nghiệm thu</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Các quyền lợi đã thống nhất được ghi nhận và nghiệm thu theo hồ sơ thực tế.</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Tránh cam kết tuyệt đối khi còn phụ thuộc điều kiện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Đầu mối tài trợ · Nguyễn Thu Hiền · Trung tâm Hỗ trợ Sinh viên</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Đầu mối hợp tác · Nguyễn Thu Hiền · Trung tâm Hỗ trợ Sinh viên</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Xác nhận chức danh/đơn vị và số điện thoại trước khi phát hành.</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Nút Liên hệ Ban Tổ chức / email / điện thoại</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Mở email hoặc form đăng ký chính thức</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Kiểm tra mailto, tel và form; tránh để nút chỉ cuộn trong trang mà không tạo được hành động.</w:t>
            </w:r>
          </w:p>
        </w:tc>
      </w:tr>
    </w:tbl>
    <w:p>
      <w:pPr>
        <w:spacing w:after="40"/>
      </w:pPr>
    </w:p>
    <w:p>
      <w:r>
        <w:br w:type="page"/>
      </w:r>
    </w:p>
    <w:p>
      <w:pPr>
        <w:pStyle w:val="Heading1"/>
      </w:pPr>
      <w:r>
        <w:t>3. Góp ý về cấu trúc và trải nghiệm</w:t>
      </w:r>
    </w:p>
    <w:tbl>
      <w:tblPr>
        <w:tblW w:type="dxa" w:w="9360"/>
        <w:jc w:val="left"/>
        <w:tblLayout w:type="fixed"/>
        <w:tblLook w:firstColumn="1" w:firstRow="1" w:lastColumn="0" w:lastRow="0" w:noHBand="0" w:noVBand="1" w:val="04A0"/>
        <w:tblInd w:w="120" w:type="dxa"/>
        <w:tblBorders>
          <w:top w:val="single" w:sz="8" w:color="D72134"/>
          <w:left w:val="single" w:sz="8" w:color="D72134"/>
          <w:bottom w:val="single" w:sz="8" w:color="D72134"/>
          <w:right w:val="single" w:sz="8" w:color="D72134"/>
          <w:insideH w:val="single" w:sz="8" w:color="D72134"/>
          <w:insideV w:val="single" w:sz="8" w:color="D72134"/>
        </w:tblBorders>
      </w:tblPr>
      <w:tblGrid>
        <w:gridCol w:w="9360"/>
      </w:tblGrid>
      <w:tr>
        <w:trPr>
          <w:cantSplit/>
        </w:trPr>
        <w:tc>
          <w:tcPr>
            <w:tcW w:type="dxa" w:w="9360"/>
            <w:tcMar>
              <w:top w:w="90" w:type="dxa"/>
              <w:start w:w="110" w:type="dxa"/>
              <w:bottom w:w="90" w:type="dxa"/>
              <w:end w:w="110" w:type="dxa"/>
            </w:tcMar>
            <w:vAlign w:val="center"/>
            <w:shd w:fill="FCECEF"/>
          </w:tcPr>
          <w:p>
            <w:pPr>
              <w:spacing w:after="60"/>
            </w:pPr>
            <w:r>
              <w:rPr>
                <w:rFonts w:ascii="Arial" w:hAnsi="Arial" w:eastAsia="Arial"/>
                <w:b/>
                <w:i w:val="0"/>
                <w:color w:val="D72134"/>
                <w:sz w:val="18"/>
              </w:rPr>
              <w:t>ĐỊNH HƯỚNG</w:t>
            </w:r>
          </w:p>
          <w:p>
            <w:pPr>
              <w:spacing w:after="0" w:line="269" w:lineRule="auto"/>
            </w:pPr>
            <w:r>
              <w:rPr>
                <w:rFonts w:ascii="Arial" w:hAnsi="Arial" w:eastAsia="Arial"/>
                <w:b w:val="0"/>
                <w:i w:val="0"/>
                <w:color w:val="20242B"/>
                <w:sz w:val="20"/>
              </w:rPr>
              <w:t>Trang chính nên thuyết phục doanh nghiệp trước; hồ sơ PDF hoặc popup mới làm nhiệm vụ giải thích chi tiết. Hiện trang đang đưa gần như toàn bộ phụ lục quyền lợi lên landing page nên người xem dễ bị quá tải.</w:t>
            </w:r>
          </w:p>
        </w:tc>
      </w:tr>
    </w:tbl>
    <w:p>
      <w:pPr>
        <w:spacing w:after="20"/>
      </w:pPr>
    </w:p>
    <w:p>
      <w:pPr>
        <w:pStyle w:val="Heading2"/>
      </w:pPr>
      <w:r>
        <w:t>3.1. Cấu trúc trang chính đề xuất</w:t>
      </w:r>
    </w:p>
    <w:p>
      <w:pPr>
        <w:pStyle w:val="ListBullet"/>
      </w:pPr>
      <w:r>
        <w:rPr>
          <w:rFonts w:ascii="Arial" w:hAnsi="Arial" w:eastAsia="Arial"/>
          <w:b w:val="0"/>
          <w:i w:val="0"/>
          <w:color w:val="20242B"/>
          <w:sz w:val="21"/>
        </w:rPr>
        <w:t>Câu chuyện và thông điệp sự kiện</w:t>
      </w:r>
    </w:p>
    <w:p>
      <w:pPr>
        <w:pStyle w:val="ListBullet"/>
      </w:pPr>
      <w:r>
        <w:rPr>
          <w:rFonts w:ascii="Arial" w:hAnsi="Arial" w:eastAsia="Arial"/>
          <w:b w:val="0"/>
          <w:i w:val="0"/>
          <w:color w:val="20242B"/>
          <w:sz w:val="21"/>
        </w:rPr>
        <w:t>Quy mô và cộng đồng tham dự</w:t>
      </w:r>
    </w:p>
    <w:p>
      <w:pPr>
        <w:pStyle w:val="ListBullet"/>
      </w:pPr>
      <w:r>
        <w:rPr>
          <w:rFonts w:ascii="Arial" w:hAnsi="Arial" w:eastAsia="Arial"/>
          <w:b w:val="0"/>
          <w:i w:val="0"/>
          <w:color w:val="20242B"/>
          <w:sz w:val="21"/>
        </w:rPr>
        <w:t>Hành trình hiện diện của thương hiệu</w:t>
      </w:r>
    </w:p>
    <w:p>
      <w:pPr>
        <w:pStyle w:val="ListBullet"/>
      </w:pPr>
      <w:r>
        <w:rPr>
          <w:rFonts w:ascii="Arial" w:hAnsi="Arial" w:eastAsia="Arial"/>
          <w:b w:val="0"/>
          <w:i w:val="0"/>
          <w:color w:val="20242B"/>
          <w:sz w:val="21"/>
        </w:rPr>
        <w:t>Các cơ hội đồng hành ưu tiên</w:t>
      </w:r>
    </w:p>
    <w:p>
      <w:pPr>
        <w:pStyle w:val="ListBullet"/>
      </w:pPr>
      <w:r>
        <w:rPr>
          <w:rFonts w:ascii="Arial" w:hAnsi="Arial" w:eastAsia="Arial"/>
          <w:b w:val="0"/>
          <w:i w:val="0"/>
          <w:color w:val="20242B"/>
          <w:sz w:val="21"/>
        </w:rPr>
        <w:t>Năm gói đồng hành</w:t>
      </w:r>
    </w:p>
    <w:p>
      <w:pPr>
        <w:pStyle w:val="ListBullet"/>
      </w:pPr>
      <w:r>
        <w:rPr>
          <w:rFonts w:ascii="Arial" w:hAnsi="Arial" w:eastAsia="Arial"/>
          <w:b w:val="0"/>
          <w:i w:val="0"/>
          <w:color w:val="20242B"/>
          <w:sz w:val="21"/>
        </w:rPr>
        <w:t>Một số quyền lợi/tài sản nổi bật</w:t>
      </w:r>
    </w:p>
    <w:p>
      <w:pPr>
        <w:pStyle w:val="ListBullet"/>
      </w:pPr>
      <w:r>
        <w:rPr>
          <w:rFonts w:ascii="Arial" w:hAnsi="Arial" w:eastAsia="Arial"/>
          <w:b w:val="0"/>
          <w:i w:val="0"/>
          <w:color w:val="20242B"/>
          <w:sz w:val="21"/>
        </w:rPr>
        <w:t>Nguyên tắc hợp tác rút gọn</w:t>
      </w:r>
    </w:p>
    <w:p>
      <w:pPr>
        <w:pStyle w:val="ListBullet"/>
      </w:pPr>
      <w:r>
        <w:rPr>
          <w:rFonts w:ascii="Arial" w:hAnsi="Arial" w:eastAsia="Arial"/>
          <w:b w:val="0"/>
          <w:i w:val="0"/>
          <w:color w:val="20242B"/>
          <w:sz w:val="21"/>
        </w:rPr>
        <w:t>Quy trình, lộ trình và liên hệ</w:t>
      </w:r>
    </w:p>
    <w:p>
      <w:pPr>
        <w:pStyle w:val="Heading2"/>
      </w:pPr>
      <w:r>
        <w:t>3.2. Nội dung nên đưa sang PDF hoặc popup</w:t>
      </w:r>
    </w:p>
    <w:p>
      <w:pPr>
        <w:pStyle w:val="ListBullet"/>
      </w:pPr>
      <w:r>
        <w:rPr>
          <w:rFonts w:ascii="Arial" w:hAnsi="Arial" w:eastAsia="Arial"/>
          <w:b w:val="0"/>
          <w:i w:val="0"/>
          <w:color w:val="20242B"/>
          <w:sz w:val="21"/>
        </w:rPr>
        <w:t>Toàn bộ 25 quyền lợi nền tảng R01–R25</w:t>
      </w:r>
    </w:p>
    <w:p>
      <w:pPr>
        <w:pStyle w:val="ListBullet"/>
      </w:pPr>
      <w:r>
        <w:rPr>
          <w:rFonts w:ascii="Arial" w:hAnsi="Arial" w:eastAsia="Arial"/>
          <w:b w:val="0"/>
          <w:i w:val="0"/>
          <w:color w:val="20242B"/>
          <w:sz w:val="21"/>
        </w:rPr>
        <w:t>Toàn bộ 12 Signature Assets A01–A12</w:t>
      </w:r>
    </w:p>
    <w:p>
      <w:pPr>
        <w:pStyle w:val="ListBullet"/>
      </w:pPr>
      <w:r>
        <w:rPr>
          <w:rFonts w:ascii="Arial" w:hAnsi="Arial" w:eastAsia="Arial"/>
          <w:b w:val="0"/>
          <w:i w:val="0"/>
          <w:color w:val="20242B"/>
          <w:sz w:val="21"/>
        </w:rPr>
        <w:t>Ma trận 15 tiêu chí M01–M15</w:t>
      </w:r>
    </w:p>
    <w:p>
      <w:pPr>
        <w:pStyle w:val="ListBullet"/>
      </w:pPr>
      <w:r>
        <w:rPr>
          <w:rFonts w:ascii="Arial" w:hAnsi="Arial" w:eastAsia="Arial"/>
          <w:b w:val="0"/>
          <w:i w:val="0"/>
          <w:color w:val="20242B"/>
          <w:sz w:val="21"/>
        </w:rPr>
        <w:t>15 nguyên tắc hợp tác T01–T15</w:t>
      </w:r>
    </w:p>
    <w:p>
      <w:pPr>
        <w:pStyle w:val="ListBullet"/>
      </w:pPr>
      <w:r>
        <w:rPr>
          <w:rFonts w:ascii="Arial" w:hAnsi="Arial" w:eastAsia="Arial"/>
          <w:b w:val="0"/>
          <w:i w:val="0"/>
          <w:color w:val="20242B"/>
          <w:sz w:val="21"/>
        </w:rPr>
        <w:t>Điều kiện áp dụng, đầu ra bàn giao và phương thức nghiệm thu</w:t>
      </w:r>
    </w:p>
    <w:p>
      <w:r>
        <w:br w:type="page"/>
      </w:r>
    </w:p>
    <w:p>
      <w:pPr>
        <w:pStyle w:val="Heading2"/>
      </w:pPr>
      <w:r>
        <w:t>3.3. Yêu cầu kỹ thuật và hiển thị</w:t>
      </w:r>
    </w:p>
    <w:tbl>
      <w:tblPr>
        <w:tblStyle w:val="TableGrid"/>
        <w:tblW w:type="dxa" w:w="9360"/>
        <w:jc w:val="left"/>
        <w:tblLayout w:type="fixed"/>
        <w:tblLook w:firstColumn="1" w:firstRow="1" w:lastColumn="0" w:lastRow="0" w:noHBand="0" w:noVBand="1" w:val="04A0"/>
        <w:tblInd w:w="120" w:type="dxa"/>
        <w:tblBorders>
          <w:top w:val="single" w:sz="5" w:color="D8DCE3"/>
          <w:left w:val="single" w:sz="5" w:color="D8DCE3"/>
          <w:bottom w:val="single" w:sz="5" w:color="D8DCE3"/>
          <w:right w:val="single" w:sz="5" w:color="D8DCE3"/>
          <w:insideH w:val="single" w:sz="5" w:color="D8DCE3"/>
          <w:insideV w:val="single" w:sz="5" w:color="D8DCE3"/>
        </w:tblBorders>
      </w:tblPr>
      <w:tblGrid>
        <w:gridCol w:w="690"/>
        <w:gridCol w:w="2250"/>
        <w:gridCol w:w="3430"/>
        <w:gridCol w:w="2990"/>
      </w:tblGrid>
      <w:tr>
        <w:trPr>
          <w:tblHeader w:val="true"/>
          <w:cantSplit/>
        </w:trPr>
        <w:tc>
          <w:tcPr>
            <w:tcW w:type="dxa" w:w="6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MỨC ĐỘ</w:t>
            </w:r>
          </w:p>
        </w:tc>
        <w:tc>
          <w:tcPr>
            <w:tcW w:type="dxa" w:w="225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VỊ TRÍ / HIỆN TẠI</w:t>
            </w:r>
          </w:p>
        </w:tc>
        <w:tc>
          <w:tcPr>
            <w:tcW w:type="dxa" w:w="343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NỘI DUNG ĐỀ XUẤT</w:t>
            </w:r>
          </w:p>
        </w:tc>
        <w:tc>
          <w:tcPr>
            <w:tcW w:type="dxa" w:w="2990"/>
            <w:shd w:fill="1F2251"/>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FFFFFF"/>
                <w:sz w:val="17"/>
              </w:rPr>
              <w:t>YÊU CẦU TRIỂN KHAI</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Ảnh nội dung</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Một số ảnh ghi nhận naturalWidth/naturalHeight = 0 tại thời điểm kiểm tra.</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Kiểm tra đường dẫn, định dạng tên tệp, chữ hoa/chữ thường, lazy-load và fallback. Không để khối ảnh trống.</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Responsive</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Hero có nhiều chữ lớn và khối thời gian dày.</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Kiểm tra 360 px, 390 px, 768 px, 1024 px và desktop. Không để tiêu đề, số liệu hoặc nút bị cắt.</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Tệp tải xuống</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Đang trỏ tới tệp TXT.</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Chỉ public khi có PDF duyệt; tên tệp rõ ràng, không chứa “Draft” nếu gửi đối tác.</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D72134"/>
                <w:sz w:val="19"/>
              </w:rPr>
              <w:t>P0</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Form/QR</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Đang là placeholder.</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Ẩn trước khi có form chính thức; khi mở lại phải kiểm tra cả QR, nút và tracking.</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Popup/accordion</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Nhiều nút Chi tiết, Xem full gói và dòng ma trận có tương tác.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Kiểm tra focus, đóng bằng ESC, nút đóng rõ ràng, cuộn nội dung và không mất vị trí khi đóng.</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Ngôn ngữ</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Nhiều tiêu đề Anh–Việt và microcopy lẫn tiếng Anh.</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Ưu tiên tiếng Việt; chỉ giữ tên tài sản/danh xưng tiếng Anh khi có giá trị thương hiệu và có giải thích.</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Khả năng truy cập</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Một số button chỉ có biểu tượng hoặc text rỗng.</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Bổ sung aria-label; thứ tự tab hợp lý; độ tương phản đủ; alt ảnh mô tả đúng nội dung.</w:t>
            </w:r>
          </w:p>
        </w:tc>
      </w:tr>
      <w:tr>
        <w:trPr>
          <w:cantSplit/>
        </w:trPr>
        <w:tc>
          <w:tcPr>
            <w:tcW w:type="dxa" w:w="690"/>
            <w:shd w:fill="FAFAFB"/>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C47F00"/>
                <w:sz w:val="19"/>
              </w:rPr>
              <w:t>P1</w:t>
            </w:r>
          </w:p>
        </w:tc>
        <w:tc>
          <w:tcPr>
            <w:tcW w:type="dxa" w:w="225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Hiệu năng</w:t>
            </w:r>
          </w:p>
        </w:tc>
        <w:tc>
          <w:tcPr>
            <w:tcW w:type="dxa" w:w="343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Trang dài và nhiều ảnh độ phân giải lớn.</w:t>
            </w:r>
          </w:p>
        </w:tc>
        <w:tc>
          <w:tcPr>
            <w:tcW w:type="dxa" w:w="2990"/>
            <w:shd w:fill="FAFAFB"/>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Nén WebP/AVIF, đặt width/height, lazy-load ảnh dưới fold và kiểm soát cumulative layout shift.</w:t>
            </w:r>
          </w:p>
        </w:tc>
      </w:tr>
      <w:tr>
        <w:trPr>
          <w:cantSplit/>
        </w:trPr>
        <w:tc>
          <w:tcPr>
            <w:tcW w:type="dxa" w:w="690"/>
            <w:tcMar>
              <w:top w:w="90" w:type="dxa"/>
              <w:start w:w="110" w:type="dxa"/>
              <w:bottom w:w="90" w:type="dxa"/>
              <w:end w:w="110" w:type="dxa"/>
            </w:tcMar>
            <w:vAlign w:val="center"/>
          </w:tcPr>
          <w:p>
            <w:pPr>
              <w:spacing w:before="0" w:after="0" w:line="259" w:lineRule="auto"/>
              <w:jc w:val="center"/>
            </w:pPr>
            <w:r/>
            <w:r>
              <w:rPr>
                <w:rFonts w:ascii="Arial" w:hAnsi="Arial" w:eastAsia="Arial"/>
                <w:b/>
                <w:i w:val="0"/>
                <w:color w:val="5F6673"/>
                <w:sz w:val="19"/>
              </w:rPr>
              <w:t>P2</w:t>
            </w:r>
          </w:p>
        </w:tc>
        <w:tc>
          <w:tcPr>
            <w:tcW w:type="dxa" w:w="225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SEO/chia sẻ</w:t>
            </w:r>
          </w:p>
        </w:tc>
        <w:tc>
          <w:tcPr>
            <w:tcW w:type="dxa" w:w="343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Cần kiểm tra metadata trước khi public.</w:t>
            </w:r>
          </w:p>
        </w:tc>
        <w:tc>
          <w:tcPr>
            <w:tcW w:type="dxa" w:w="2990"/>
            <w:tcMar>
              <w:top w:w="90" w:type="dxa"/>
              <w:start w:w="110" w:type="dxa"/>
              <w:bottom w:w="90" w:type="dxa"/>
              <w:end w:w="110" w:type="dxa"/>
            </w:tcMar>
            <w:vAlign w:val="center"/>
          </w:tcPr>
          <w:p>
            <w:pPr>
              <w:spacing w:before="0" w:after="0" w:line="259" w:lineRule="auto"/>
              <w:jc w:val="left"/>
            </w:pPr>
            <w:r/>
            <w:r>
              <w:rPr>
                <w:rFonts w:ascii="Arial" w:hAnsi="Arial" w:eastAsia="Arial"/>
                <w:b w:val="0"/>
                <w:i w:val="0"/>
                <w:color w:val="20242B"/>
                <w:sz w:val="18"/>
              </w:rPr>
              <w:t>Cập nhật title, description, Open Graph image, favicon và canonical URL chính thức.</w:t>
            </w:r>
          </w:p>
        </w:tc>
      </w:tr>
    </w:tbl>
    <w:p>
      <w:pPr>
        <w:spacing w:after="40"/>
      </w:pPr>
    </w:p>
    <w:p>
      <w:r>
        <w:br w:type="page"/>
      </w:r>
    </w:p>
    <w:p>
      <w:pPr>
        <w:pStyle w:val="Heading1"/>
      </w:pPr>
      <w:r>
        <w:t>4. Nội dung cần Ban Tổ chức xác nhận</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Thời gian và địa điểm chính xác của từng ngày 26–27/09/2026.</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Quy mô 10.000+ người tham dự và 7.000+ Tân sinh viên Khóa 32.</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Mục tiêu từ 500 triệu đồng gồm hiện kim hay tổng giá trị quy đổi hiện kim, hiện vật và dịch vụ.</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Tên chính thức của 5 gói đồng hành và số lượng suất tối đa từng gói.</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Danh sách quyền lợi đã được phép công bố; quyền lợi nào chỉ là đề xuất đàm phán.</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Phạm vi độc quyền ngành hàng và điều kiện áp dụng.</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Tỷ lệ tối đa tài trợ hiện vật 30% có được phê duyệt áp dụng hay chưa.</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Thời hạn nghiệm thu và bàn giao báo cáo sau sự kiện.</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Thông tin đầu mối, form đăng ký, QR và hồ sơ PDF chính thức.</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Lộ trình triển khai mới sau ngày 29/08/2026.</w:t>
      </w:r>
    </w:p>
    <w:p>
      <w:pPr>
        <w:pStyle w:val="Heading1"/>
      </w:pPr>
      <w:r>
        <w:t>5. Checklist nghiệm thu sau khi lập trình viên cập nhật</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thay toàn bộ nội dung P0 và không còn ghi “Đã phê duyệt chính thức” trong bản dự thảo.</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thống nhất tên P1–P5; không còn Kim cương, Vàng, Bạc ở bất kỳ section/popup nào.</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dùng thống nhất 10.000+ người tham dự và 7.000+ Tân sinh viên Khóa 32.</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cập nhật đúng thời gian, địa điểm và lộ trình mới theo xác nhận của Ban Tổ chức.</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thay/ẩn nút tải TXT; chỉ còn tệp PDF chính thức.</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thay/ẩn QR và form placeholder.</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Tất cả nút điều hướng, popup, accordion, bộ lọc và liên hệ hoạt động đúng.</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Tất cả hình ảnh tải thành công; không có khối trắng hoặc ảnh méo.</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Không có câu cam kết tuyệt đối ngoài nội dung đã được phê duyệt bằng văn bản.</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Website hiển thị tốt ở mobile 360/390 px, tablet 768/1024 px và desktop.</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kiểm tra chính tả, dấu câu, viết hoa “Tân sinh viên Khóa 32” và cách viết “Trường Đại học Văn Lang”.</w:t>
      </w:r>
    </w:p>
    <w:p>
      <w:pPr>
        <w:pStyle w:val="ListBullet"/>
      </w:pPr>
      <w:r>
        <w:rPr>
          <w:rFonts w:ascii="Arial" w:hAnsi="Arial" w:eastAsia="Arial"/>
          <w:b w:val="0"/>
          <w:i w:val="0"/>
          <w:color w:val="D72134"/>
          <w:sz w:val="22"/>
        </w:rPr>
        <w:t xml:space="preserve">☐ </w:t>
      </w:r>
      <w:r>
        <w:rPr>
          <w:rFonts w:ascii="Arial" w:hAnsi="Arial" w:eastAsia="Arial"/>
          <w:b w:val="0"/>
          <w:i w:val="0"/>
          <w:color w:val="20242B"/>
          <w:sz w:val="21"/>
        </w:rPr>
        <w:t>Đã kiểm tra metadata, Open Graph, favicon và URL chia sẻ trước khi phát hành.</w:t>
      </w:r>
    </w:p>
    <w:p>
      <w:pPr>
        <w:pStyle w:val="Heading1"/>
      </w:pPr>
      <w:r>
        <w:t>6. Thứ tự triển khai đề xuất</w:t>
      </w:r>
    </w:p>
    <w:p>
      <w:pPr>
        <w:pStyle w:val="ListNumber"/>
      </w:pPr>
      <w:r>
        <w:rPr>
          <w:rFonts w:ascii="Arial" w:hAnsi="Arial" w:eastAsia="Arial"/>
          <w:b w:val="0"/>
          <w:i w:val="0"/>
          <w:color w:val="20242B"/>
          <w:sz w:val="21"/>
        </w:rPr>
        <w:t>Chốt các thông tin cần Ban Tổ chức xác nhận.</w:t>
      </w:r>
    </w:p>
    <w:p>
      <w:pPr>
        <w:pStyle w:val="ListNumber"/>
      </w:pPr>
      <w:r>
        <w:rPr>
          <w:rFonts w:ascii="Arial" w:hAnsi="Arial" w:eastAsia="Arial"/>
          <w:b w:val="0"/>
          <w:i w:val="0"/>
          <w:color w:val="20242B"/>
          <w:sz w:val="21"/>
        </w:rPr>
        <w:t>Sửa toàn bộ nội dung và lỗi P0.</w:t>
      </w:r>
    </w:p>
    <w:p>
      <w:pPr>
        <w:pStyle w:val="ListNumber"/>
      </w:pPr>
      <w:r>
        <w:rPr>
          <w:rFonts w:ascii="Arial" w:hAnsi="Arial" w:eastAsia="Arial"/>
          <w:b w:val="0"/>
          <w:i w:val="0"/>
          <w:color w:val="20242B"/>
          <w:sz w:val="21"/>
        </w:rPr>
        <w:t>Thống nhất hệ tên gói, câu chữ quyền lợi và nguyên tắc hợp tác.</w:t>
      </w:r>
    </w:p>
    <w:p>
      <w:pPr>
        <w:pStyle w:val="ListNumber"/>
      </w:pPr>
      <w:r>
        <w:rPr>
          <w:rFonts w:ascii="Arial" w:hAnsi="Arial" w:eastAsia="Arial"/>
          <w:b w:val="0"/>
          <w:i w:val="0"/>
          <w:color w:val="20242B"/>
          <w:sz w:val="21"/>
        </w:rPr>
        <w:t>Rút gọn cấu trúc trang; chuyển nội dung chi tiết sang PDF/popup.</w:t>
      </w:r>
    </w:p>
    <w:p>
      <w:pPr>
        <w:pStyle w:val="ListNumber"/>
      </w:pPr>
      <w:r>
        <w:rPr>
          <w:rFonts w:ascii="Arial" w:hAnsi="Arial" w:eastAsia="Arial"/>
          <w:b w:val="0"/>
          <w:i w:val="0"/>
          <w:color w:val="20242B"/>
          <w:sz w:val="21"/>
        </w:rPr>
        <w:t>Sửa lỗi ảnh, form, QR, tệp tải xuống và responsive.</w:t>
      </w:r>
    </w:p>
    <w:p>
      <w:pPr>
        <w:pStyle w:val="ListNumber"/>
      </w:pPr>
      <w:r>
        <w:rPr>
          <w:rFonts w:ascii="Arial" w:hAnsi="Arial" w:eastAsia="Arial"/>
          <w:b w:val="0"/>
          <w:i w:val="0"/>
          <w:color w:val="20242B"/>
          <w:sz w:val="21"/>
        </w:rPr>
        <w:t>Kiểm thử trên các kích thước màn hình và duyệt nội bộ lần cuối.</w:t>
      </w:r>
    </w:p>
    <w:p>
      <w:pPr>
        <w:pStyle w:val="ListNumber"/>
      </w:pPr>
      <w:r>
        <w:rPr>
          <w:rFonts w:ascii="Arial" w:hAnsi="Arial" w:eastAsia="Arial"/>
          <w:b w:val="0"/>
          <w:i w:val="0"/>
          <w:color w:val="20242B"/>
          <w:sz w:val="21"/>
        </w:rPr>
        <w:t>Bỏ nhãn “Dự thảo – Không phát hành” sau khi có phê duyệt chính thức.</w:t>
      </w:r>
    </w:p>
    <w:tbl>
      <w:tblPr>
        <w:tblW w:type="dxa" w:w="9360"/>
        <w:jc w:val="left"/>
        <w:tblLayout w:type="fixed"/>
        <w:tblLook w:firstColumn="1" w:firstRow="1" w:lastColumn="0" w:lastRow="0" w:noHBand="0" w:noVBand="1" w:val="04A0"/>
        <w:tblInd w:w="120" w:type="dxa"/>
        <w:tblBorders>
          <w:top w:val="single" w:sz="8" w:color="D72134"/>
          <w:left w:val="single" w:sz="8" w:color="D72134"/>
          <w:bottom w:val="single" w:sz="8" w:color="D72134"/>
          <w:right w:val="single" w:sz="8" w:color="D72134"/>
          <w:insideH w:val="single" w:sz="8" w:color="D72134"/>
          <w:insideV w:val="single" w:sz="8" w:color="D72134"/>
        </w:tblBorders>
      </w:tblPr>
      <w:tblGrid>
        <w:gridCol w:w="9360"/>
      </w:tblGrid>
      <w:tr>
        <w:trPr>
          <w:cantSplit/>
        </w:trPr>
        <w:tc>
          <w:tcPr>
            <w:tcW w:type="dxa" w:w="9360"/>
            <w:tcMar>
              <w:top w:w="90" w:type="dxa"/>
              <w:start w:w="110" w:type="dxa"/>
              <w:bottom w:w="90" w:type="dxa"/>
              <w:end w:w="110" w:type="dxa"/>
            </w:tcMar>
            <w:vAlign w:val="center"/>
            <w:shd w:fill="FCECEF"/>
          </w:tcPr>
          <w:p>
            <w:pPr>
              <w:spacing w:after="60"/>
            </w:pPr>
            <w:r>
              <w:rPr>
                <w:rFonts w:ascii="Arial" w:hAnsi="Arial" w:eastAsia="Arial"/>
                <w:b/>
                <w:i w:val="0"/>
                <w:color w:val="D72134"/>
                <w:sz w:val="18"/>
              </w:rPr>
              <w:t>TIÊU CHÍ HOÀN THÀNH</w:t>
            </w:r>
          </w:p>
          <w:p>
            <w:pPr>
              <w:spacing w:after="0" w:line="269" w:lineRule="auto"/>
            </w:pPr>
            <w:r>
              <w:rPr>
                <w:rFonts w:ascii="Arial" w:hAnsi="Arial" w:eastAsia="Arial"/>
                <w:b w:val="0"/>
                <w:i w:val="0"/>
                <w:color w:val="20242B"/>
                <w:sz w:val="20"/>
              </w:rPr>
              <w:t>Website đủ điều kiện gửi đối tác khi: số liệu đã được xác nhận; quyền lợi không vượt quá phạm vi phê duyệt; hồ sơ tải xuống là PDF chính thức; form/QR hoạt động; và toàn bộ nội dung P0 trong tài liệu này đã được xử lý.</w:t>
            </w:r>
          </w:p>
        </w:tc>
      </w:tr>
    </w:tbl>
    <w:p>
      <w:pPr>
        <w:spacing w:after="20"/>
      </w:pPr>
    </w:p>
    <w:sectPr w:rsidR="00FC693F" w:rsidRPr="0006063C" w:rsidSect="00034616">
      <w:headerReference w:type="default" r:id="rId9"/>
      <w:footerReference w:type="default" r:id="rId10"/>
      <w:pgSz w:w="12240" w:h="15840"/>
      <w:pgMar w:top="1037"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F6673"/>
        <w:sz w:val="16"/>
      </w:rPr>
      <w:t>Tài liệu bàn giao nội bộ · Bản ngày 29/08/2026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5F6673"/>
        <w:sz w:val="16"/>
      </w:rPr>
      <w:t>VLU · HỘI KHAI GIẢNG 2026  |  BRIEF CHỈNH SỬA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225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D7213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22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chỉnh sửa Landing Page Hội Khai giảng VLU 2026</dc:title>
  <dc:subject>Tài liệu bàn giao nội dung và yêu cầu kỹ thuật cho lập trình viên</dc:subject>
  <dc:creator>Trung tâm Hỗ trợ Sinh viên - Trường Đại học Văn Lang</dc:creator>
  <cp:keywords/>
  <dc:description>generated by python-docx</dc:description>
  <cp:lastModifiedBy/>
  <cp:revision>1</cp:revision>
  <dcterms:created xsi:type="dcterms:W3CDTF">2013-12-23T23:15:00Z</dcterms:created>
  <dcterms:modified xsi:type="dcterms:W3CDTF">2013-12-23T23:15:00Z</dcterms:modified>
  <cp:category/>
</cp:coreProperties>
</file>