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1E9359" w14:textId="254155F7" w:rsidR="00150C11" w:rsidRPr="002A0B87" w:rsidRDefault="00150C11" w:rsidP="008064F8">
      <w:pPr>
        <w:rPr>
          <w:rFonts w:cs="Arial"/>
        </w:rPr>
      </w:pPr>
    </w:p>
    <w:p w14:paraId="00DBE6E8" w14:textId="3DD56E8A" w:rsidR="00F27EAB" w:rsidRPr="002A0B87" w:rsidRDefault="00F27EAB" w:rsidP="00FE268C">
      <w:pPr>
        <w:rPr>
          <w:rFonts w:cs="Arial"/>
          <w:b/>
          <w:sz w:val="28"/>
          <w:szCs w:val="28"/>
          <w:lang w:val="en-GB"/>
        </w:rPr>
      </w:pPr>
    </w:p>
    <w:p w14:paraId="625D8EC0" w14:textId="77777777" w:rsidR="00D8519E" w:rsidRPr="002A0B87" w:rsidRDefault="00D8519E" w:rsidP="00FE268C">
      <w:pPr>
        <w:rPr>
          <w:rFonts w:cs="Arial"/>
          <w:b/>
          <w:sz w:val="28"/>
          <w:szCs w:val="28"/>
          <w:lang w:val="en-GB"/>
        </w:rPr>
      </w:pPr>
    </w:p>
    <w:p w14:paraId="27148ED0" w14:textId="77777777" w:rsidR="00F27EAB" w:rsidRPr="002A0B87" w:rsidRDefault="00F27EAB" w:rsidP="00FE268C">
      <w:pPr>
        <w:rPr>
          <w:rFonts w:cs="Arial"/>
          <w:b/>
          <w:sz w:val="28"/>
          <w:szCs w:val="28"/>
          <w:lang w:val="en-GB"/>
        </w:rPr>
      </w:pPr>
    </w:p>
    <w:p w14:paraId="7501C76A" w14:textId="4CF805EB" w:rsidR="00F27EAB" w:rsidRDefault="00F27EAB" w:rsidP="00FE268C">
      <w:pPr>
        <w:rPr>
          <w:rFonts w:cs="Arial"/>
          <w:b/>
          <w:sz w:val="28"/>
          <w:szCs w:val="28"/>
          <w:lang w:val="en-GB"/>
        </w:rPr>
      </w:pPr>
    </w:p>
    <w:p w14:paraId="175D886B" w14:textId="77777777" w:rsidR="00345E81" w:rsidRDefault="00345E81" w:rsidP="008064F8">
      <w:pPr>
        <w:ind w:left="1801" w:firstLine="42"/>
        <w:rPr>
          <w:rFonts w:cs="Arial"/>
          <w:b/>
          <w:sz w:val="28"/>
          <w:szCs w:val="28"/>
          <w:lang w:val="en-GB"/>
        </w:rPr>
      </w:pPr>
    </w:p>
    <w:p w14:paraId="604C1715" w14:textId="78C0CBF6" w:rsidR="003B51CD" w:rsidRPr="002A0B87" w:rsidRDefault="009E33E7" w:rsidP="008064F8">
      <w:pPr>
        <w:ind w:left="1801" w:firstLine="42"/>
        <w:rPr>
          <w:rFonts w:cs="Arial"/>
          <w:b/>
          <w:sz w:val="28"/>
          <w:szCs w:val="28"/>
          <w:lang w:val="en-GB"/>
        </w:rPr>
      </w:pPr>
      <w:r w:rsidRPr="009E33E7">
        <w:rPr>
          <w:rFonts w:cs="Arial"/>
          <w:b/>
          <w:sz w:val="28"/>
          <w:szCs w:val="28"/>
          <w:lang w:val="en-GB"/>
        </w:rPr>
        <w:t>NH Securities Vietnam Co., Ltd</w:t>
      </w:r>
    </w:p>
    <w:p w14:paraId="621E57EB" w14:textId="77777777" w:rsidR="00AB3100" w:rsidRPr="002A0B87" w:rsidRDefault="00AB3100" w:rsidP="00FE268C">
      <w:pPr>
        <w:ind w:firstLine="1843"/>
        <w:rPr>
          <w:rFonts w:cs="Arial"/>
          <w:bCs/>
          <w:lang w:val="en-GB"/>
        </w:rPr>
      </w:pPr>
    </w:p>
    <w:p w14:paraId="411FC3AA" w14:textId="180235D7" w:rsidR="0028302B" w:rsidRPr="002A0B87" w:rsidRDefault="00361CEF" w:rsidP="00FE268C">
      <w:pPr>
        <w:ind w:firstLine="1843"/>
        <w:rPr>
          <w:rFonts w:cs="Arial"/>
          <w:lang w:val="en-GB"/>
        </w:rPr>
      </w:pPr>
      <w:r w:rsidRPr="00361CEF">
        <w:rPr>
          <w:rFonts w:cs="Arial"/>
          <w:lang w:val="en-GB"/>
        </w:rPr>
        <w:t>Financial statements</w:t>
      </w:r>
    </w:p>
    <w:p w14:paraId="7AA21CCF" w14:textId="77777777" w:rsidR="003939E4" w:rsidRPr="002A0B87" w:rsidRDefault="003939E4" w:rsidP="00FE268C">
      <w:pPr>
        <w:ind w:firstLine="1843"/>
        <w:rPr>
          <w:rFonts w:cs="Arial"/>
          <w:lang w:val="en-GB"/>
        </w:rPr>
      </w:pPr>
    </w:p>
    <w:p w14:paraId="5B25D845" w14:textId="28F5579D" w:rsidR="0076034F" w:rsidRPr="002A0B87" w:rsidRDefault="00CE395F" w:rsidP="00FE268C">
      <w:pPr>
        <w:ind w:firstLine="1843"/>
        <w:rPr>
          <w:rFonts w:cs="Arial"/>
          <w:lang w:val="en-GB"/>
        </w:rPr>
      </w:pPr>
      <w:r w:rsidRPr="00CE395F">
        <w:rPr>
          <w:rFonts w:cs="Arial"/>
          <w:lang w:val="en-GB"/>
        </w:rPr>
        <w:t>For the year ended 31 December 202</w:t>
      </w:r>
      <w:r w:rsidR="005F5E08">
        <w:rPr>
          <w:rFonts w:cs="Arial"/>
          <w:lang w:val="en-GB"/>
        </w:rPr>
        <w:t>2</w:t>
      </w:r>
    </w:p>
    <w:p w14:paraId="448EB843" w14:textId="78620B62" w:rsidR="0076034F" w:rsidRPr="002A0B87" w:rsidRDefault="0076034F" w:rsidP="00FE268C">
      <w:pPr>
        <w:tabs>
          <w:tab w:val="left" w:pos="5925"/>
        </w:tabs>
        <w:rPr>
          <w:rFonts w:cs="Arial"/>
          <w:lang w:val="en-GB"/>
        </w:rPr>
      </w:pPr>
    </w:p>
    <w:p w14:paraId="248656AF" w14:textId="645BB5CF" w:rsidR="005D6643" w:rsidRPr="002A0B87" w:rsidRDefault="005D6643" w:rsidP="00FE268C">
      <w:pPr>
        <w:tabs>
          <w:tab w:val="left" w:pos="5925"/>
        </w:tabs>
        <w:rPr>
          <w:rFonts w:cs="Arial"/>
          <w:lang w:val="en-GB"/>
        </w:rPr>
        <w:sectPr w:rsidR="005D6643" w:rsidRPr="002A0B87" w:rsidSect="009032CF">
          <w:headerReference w:type="even" r:id="rId11"/>
          <w:headerReference w:type="default" r:id="rId12"/>
          <w:footerReference w:type="even" r:id="rId13"/>
          <w:footerReference w:type="default" r:id="rId14"/>
          <w:headerReference w:type="first" r:id="rId15"/>
          <w:footerReference w:type="first" r:id="rId16"/>
          <w:type w:val="nextColumn"/>
          <w:pgSz w:w="11909" w:h="16834" w:code="9"/>
          <w:pgMar w:top="1440" w:right="1440" w:bottom="862" w:left="1582" w:header="720" w:footer="578" w:gutter="0"/>
          <w:cols w:space="720"/>
        </w:sectPr>
      </w:pPr>
    </w:p>
    <w:p w14:paraId="55E6B305" w14:textId="77777777" w:rsidR="00832E86" w:rsidRPr="002A0B87" w:rsidRDefault="00832E86" w:rsidP="00FE268C">
      <w:pPr>
        <w:pStyle w:val="BodyText"/>
        <w:rPr>
          <w:rFonts w:ascii="Arial" w:hAnsi="Arial" w:cs="Arial"/>
          <w:bCs/>
          <w:lang w:val="en-GB"/>
        </w:rPr>
      </w:pPr>
    </w:p>
    <w:p w14:paraId="0E6EAC7F" w14:textId="77777777" w:rsidR="00832E86" w:rsidRPr="002A0B87" w:rsidRDefault="00832E86" w:rsidP="00FE268C">
      <w:pPr>
        <w:pStyle w:val="BodyText"/>
        <w:rPr>
          <w:rFonts w:ascii="Arial" w:hAnsi="Arial" w:cs="Arial"/>
          <w:bCs/>
          <w:lang w:val="en-GB"/>
        </w:rPr>
      </w:pPr>
    </w:p>
    <w:p w14:paraId="46DC4A45" w14:textId="77777777" w:rsidR="00832E86" w:rsidRPr="002A0B87" w:rsidRDefault="00832E86" w:rsidP="00FE268C">
      <w:pPr>
        <w:pStyle w:val="BodyText"/>
        <w:rPr>
          <w:rFonts w:ascii="Arial" w:hAnsi="Arial" w:cs="Arial"/>
          <w:bCs/>
          <w:lang w:val="en-GB"/>
        </w:rPr>
      </w:pPr>
    </w:p>
    <w:p w14:paraId="0C1A1382" w14:textId="77777777" w:rsidR="00832E86" w:rsidRPr="002A0B87" w:rsidRDefault="00832E86" w:rsidP="00FE268C">
      <w:pPr>
        <w:pStyle w:val="BodyText"/>
        <w:rPr>
          <w:rFonts w:ascii="Arial" w:hAnsi="Arial" w:cs="Arial"/>
          <w:bCs/>
          <w:lang w:val="en-GB"/>
        </w:rPr>
      </w:pPr>
    </w:p>
    <w:p w14:paraId="5F6B1EEB" w14:textId="77777777" w:rsidR="00F27EAB" w:rsidRPr="002A0B87" w:rsidRDefault="00F27EAB" w:rsidP="00FE268C">
      <w:pPr>
        <w:pStyle w:val="BodyText"/>
        <w:rPr>
          <w:rFonts w:ascii="Arial" w:hAnsi="Arial" w:cs="Arial"/>
          <w:bCs/>
          <w:lang w:val="en-GB"/>
        </w:rPr>
      </w:pPr>
    </w:p>
    <w:p w14:paraId="14E96D9B" w14:textId="1DA73C4E" w:rsidR="00C72A97" w:rsidRPr="002A0B87" w:rsidRDefault="00BA5E7D" w:rsidP="00557104">
      <w:pPr>
        <w:pStyle w:val="Heading1"/>
        <w:rPr>
          <w:lang w:val="en-GB"/>
        </w:rPr>
      </w:pPr>
      <w:r w:rsidRPr="00BA5E7D">
        <w:rPr>
          <w:lang w:val="en-GB"/>
        </w:rPr>
        <w:t>CONTENTS</w:t>
      </w:r>
      <w:r w:rsidRPr="00BA5E7D" w:rsidDel="00BA5E7D">
        <w:rPr>
          <w:lang w:val="en-GB"/>
        </w:rPr>
        <w:t xml:space="preserve"> </w:t>
      </w:r>
    </w:p>
    <w:p w14:paraId="5A1E8609" w14:textId="77777777" w:rsidR="00C72A97" w:rsidRPr="002A0B87" w:rsidRDefault="00C72A97" w:rsidP="00FE268C">
      <w:pPr>
        <w:pStyle w:val="BodyText"/>
        <w:rPr>
          <w:rFonts w:ascii="Arial" w:hAnsi="Arial" w:cs="Arial"/>
          <w:lang w:val="en-GB"/>
        </w:rPr>
      </w:pPr>
    </w:p>
    <w:p w14:paraId="6008DFFC" w14:textId="77777777" w:rsidR="00C72A97" w:rsidRPr="002A0B87" w:rsidRDefault="00C72A97" w:rsidP="00FE268C">
      <w:pPr>
        <w:pStyle w:val="BodyText"/>
        <w:rPr>
          <w:rFonts w:ascii="Arial" w:hAnsi="Arial" w:cs="Arial"/>
          <w:lang w:val="en-GB"/>
        </w:rPr>
      </w:pPr>
    </w:p>
    <w:p w14:paraId="4F85A2C8" w14:textId="33C13522" w:rsidR="00C72A97" w:rsidRPr="002A0B87" w:rsidRDefault="00C72A97" w:rsidP="00FE268C">
      <w:pPr>
        <w:pStyle w:val="BodyText"/>
        <w:tabs>
          <w:tab w:val="right" w:pos="8900"/>
        </w:tabs>
        <w:rPr>
          <w:rFonts w:ascii="Arial" w:hAnsi="Arial" w:cs="Arial"/>
          <w:i/>
          <w:iCs/>
          <w:lang w:val="en-GB"/>
        </w:rPr>
      </w:pPr>
      <w:r w:rsidRPr="002A0B87">
        <w:rPr>
          <w:rFonts w:ascii="Arial" w:hAnsi="Arial" w:cs="Arial"/>
          <w:lang w:val="en-GB"/>
        </w:rPr>
        <w:tab/>
      </w:r>
      <w:r w:rsidR="000D7DC9">
        <w:rPr>
          <w:rFonts w:ascii="Arial" w:hAnsi="Arial" w:cs="Arial"/>
          <w:i/>
          <w:iCs/>
          <w:lang w:val="en-GB"/>
        </w:rPr>
        <w:t>Pages</w:t>
      </w:r>
    </w:p>
    <w:p w14:paraId="54C2C37F" w14:textId="77777777" w:rsidR="00C72A97" w:rsidRPr="002A0B87" w:rsidRDefault="00C72A97" w:rsidP="00FE268C">
      <w:pPr>
        <w:pStyle w:val="BodyText"/>
        <w:tabs>
          <w:tab w:val="right" w:pos="8640"/>
          <w:tab w:val="right" w:pos="8900"/>
        </w:tabs>
        <w:rPr>
          <w:rFonts w:ascii="Arial" w:hAnsi="Arial" w:cs="Arial"/>
          <w:lang w:val="en-GB"/>
        </w:rPr>
      </w:pPr>
    </w:p>
    <w:p w14:paraId="4ED2CE1B" w14:textId="77777777" w:rsidR="008F6C64" w:rsidRPr="002A0B87" w:rsidRDefault="008F6C64" w:rsidP="00FE268C">
      <w:pPr>
        <w:pStyle w:val="BodyText"/>
        <w:tabs>
          <w:tab w:val="right" w:pos="8640"/>
          <w:tab w:val="right" w:pos="8900"/>
        </w:tabs>
        <w:rPr>
          <w:rFonts w:ascii="Arial" w:hAnsi="Arial" w:cs="Arial"/>
          <w:lang w:val="en-GB"/>
        </w:rPr>
      </w:pPr>
    </w:p>
    <w:p w14:paraId="0839BC07" w14:textId="1620270E" w:rsidR="00532CD0" w:rsidRPr="002A0B87" w:rsidRDefault="00AD3ECF" w:rsidP="00FE268C">
      <w:pPr>
        <w:tabs>
          <w:tab w:val="right" w:pos="8900"/>
        </w:tabs>
        <w:rPr>
          <w:rFonts w:cs="Arial"/>
        </w:rPr>
      </w:pPr>
      <w:r w:rsidRPr="00AD3ECF">
        <w:rPr>
          <w:rFonts w:cs="Arial"/>
        </w:rPr>
        <w:t>General information</w:t>
      </w:r>
      <w:r w:rsidRPr="00AD3ECF" w:rsidDel="00AD3ECF">
        <w:rPr>
          <w:rFonts w:cs="Arial"/>
        </w:rPr>
        <w:t xml:space="preserve"> </w:t>
      </w:r>
      <w:r w:rsidR="00532CD0" w:rsidRPr="002A0B87">
        <w:rPr>
          <w:rFonts w:cs="Arial"/>
          <w:caps/>
        </w:rPr>
        <w:tab/>
      </w:r>
      <w:r w:rsidR="00532CD0" w:rsidRPr="002A0B87">
        <w:rPr>
          <w:rFonts w:cs="Arial"/>
          <w:lang w:val="vi-VN"/>
        </w:rPr>
        <w:t>1</w:t>
      </w:r>
      <w:r w:rsidR="00F41B7A" w:rsidRPr="002A0B87">
        <w:rPr>
          <w:rFonts w:cs="Arial"/>
        </w:rPr>
        <w:t xml:space="preserve"> - </w:t>
      </w:r>
      <w:r w:rsidR="00E30981" w:rsidRPr="002A0B87">
        <w:rPr>
          <w:rFonts w:cs="Arial"/>
        </w:rPr>
        <w:t>2</w:t>
      </w:r>
    </w:p>
    <w:p w14:paraId="29EF0055" w14:textId="77777777" w:rsidR="00532CD0" w:rsidRPr="002A0B87" w:rsidRDefault="00532CD0" w:rsidP="00FE268C">
      <w:pPr>
        <w:tabs>
          <w:tab w:val="right" w:pos="8900"/>
        </w:tabs>
        <w:rPr>
          <w:rFonts w:cs="Arial"/>
        </w:rPr>
      </w:pPr>
    </w:p>
    <w:p w14:paraId="50EC81AA" w14:textId="58E7E90F" w:rsidR="00532CD0" w:rsidRPr="002A0B87" w:rsidRDefault="00EC27AD" w:rsidP="00FE268C">
      <w:pPr>
        <w:tabs>
          <w:tab w:val="right" w:pos="8900"/>
        </w:tabs>
        <w:rPr>
          <w:rFonts w:cs="Arial"/>
        </w:rPr>
      </w:pPr>
      <w:r w:rsidRPr="00EC27AD">
        <w:rPr>
          <w:rFonts w:cs="Arial"/>
        </w:rPr>
        <w:t>Report of Management</w:t>
      </w:r>
      <w:r w:rsidRPr="00EC27AD" w:rsidDel="00EC27AD">
        <w:rPr>
          <w:rFonts w:cs="Arial"/>
        </w:rPr>
        <w:t xml:space="preserve"> </w:t>
      </w:r>
      <w:r w:rsidR="00532CD0" w:rsidRPr="002A0B87">
        <w:rPr>
          <w:rFonts w:cs="Arial"/>
          <w:caps/>
        </w:rPr>
        <w:tab/>
      </w:r>
      <w:r w:rsidR="00E30981" w:rsidRPr="002A0B87">
        <w:rPr>
          <w:rFonts w:cs="Arial"/>
        </w:rPr>
        <w:t>3</w:t>
      </w:r>
    </w:p>
    <w:p w14:paraId="1C3726DC" w14:textId="77777777" w:rsidR="00532CD0" w:rsidRPr="002A0B87" w:rsidRDefault="00532CD0" w:rsidP="00FE268C">
      <w:pPr>
        <w:pStyle w:val="BodyText"/>
        <w:tabs>
          <w:tab w:val="right" w:pos="8640"/>
          <w:tab w:val="right" w:pos="8900"/>
        </w:tabs>
        <w:rPr>
          <w:rFonts w:ascii="Arial" w:hAnsi="Arial" w:cs="Arial"/>
        </w:rPr>
      </w:pPr>
    </w:p>
    <w:p w14:paraId="0ADA8012" w14:textId="0A0E86EE" w:rsidR="00532CD0" w:rsidRPr="002A0B87" w:rsidRDefault="00F95DC9" w:rsidP="00FE268C">
      <w:pPr>
        <w:pStyle w:val="BodyText"/>
        <w:tabs>
          <w:tab w:val="right" w:pos="8900"/>
        </w:tabs>
        <w:rPr>
          <w:rFonts w:ascii="Arial" w:hAnsi="Arial" w:cs="Arial"/>
        </w:rPr>
      </w:pPr>
      <w:r w:rsidRPr="00F95DC9">
        <w:rPr>
          <w:rFonts w:ascii="Arial" w:hAnsi="Arial" w:cs="Arial"/>
        </w:rPr>
        <w:t>Independent auditors’ report</w:t>
      </w:r>
      <w:r w:rsidR="00532CD0" w:rsidRPr="002A0B87">
        <w:rPr>
          <w:rFonts w:ascii="Arial" w:hAnsi="Arial" w:cs="Arial"/>
        </w:rPr>
        <w:tab/>
      </w:r>
      <w:r w:rsidR="00E30981" w:rsidRPr="002A0B87">
        <w:rPr>
          <w:rFonts w:ascii="Arial" w:hAnsi="Arial" w:cs="Arial"/>
        </w:rPr>
        <w:t xml:space="preserve">4 </w:t>
      </w:r>
      <w:r w:rsidR="00EC68E8" w:rsidRPr="002A0B87">
        <w:rPr>
          <w:rFonts w:ascii="Arial" w:hAnsi="Arial" w:cs="Arial"/>
        </w:rPr>
        <w:t xml:space="preserve">- </w:t>
      </w:r>
      <w:r w:rsidR="00E30981" w:rsidRPr="002A0B87">
        <w:rPr>
          <w:rFonts w:ascii="Arial" w:hAnsi="Arial" w:cs="Arial"/>
        </w:rPr>
        <w:t>5</w:t>
      </w:r>
    </w:p>
    <w:p w14:paraId="7B6FE437" w14:textId="77777777" w:rsidR="0093041F" w:rsidRPr="002A0B87" w:rsidRDefault="0093041F" w:rsidP="00FE268C">
      <w:pPr>
        <w:pStyle w:val="BodyText"/>
        <w:tabs>
          <w:tab w:val="right" w:pos="8900"/>
        </w:tabs>
        <w:rPr>
          <w:rFonts w:ascii="Arial" w:hAnsi="Arial" w:cs="Arial"/>
        </w:rPr>
      </w:pPr>
    </w:p>
    <w:p w14:paraId="0E92FC3B" w14:textId="53BBE2FE" w:rsidR="00C72A97" w:rsidRPr="002A0B87" w:rsidRDefault="00C116CA" w:rsidP="00FE268C">
      <w:pPr>
        <w:pStyle w:val="BodyText"/>
        <w:tabs>
          <w:tab w:val="right" w:pos="8900"/>
        </w:tabs>
        <w:rPr>
          <w:rFonts w:ascii="Arial" w:hAnsi="Arial" w:cs="Arial"/>
          <w:lang w:val="en-GB"/>
        </w:rPr>
      </w:pPr>
      <w:r w:rsidRPr="00C116CA">
        <w:rPr>
          <w:rFonts w:ascii="Arial" w:hAnsi="Arial" w:cs="Arial"/>
          <w:lang w:val="en-GB"/>
        </w:rPr>
        <w:t>Statement of financial position</w:t>
      </w:r>
      <w:r w:rsidR="00D856CE">
        <w:rPr>
          <w:rFonts w:ascii="Arial" w:hAnsi="Arial" w:cs="Arial"/>
          <w:lang w:val="en-GB"/>
        </w:rPr>
        <w:t xml:space="preserve"> </w:t>
      </w:r>
      <w:r w:rsidR="00C52C24" w:rsidRPr="002A0B87">
        <w:rPr>
          <w:rFonts w:ascii="Arial" w:hAnsi="Arial" w:cs="Arial"/>
          <w:lang w:val="en-GB"/>
        </w:rPr>
        <w:tab/>
      </w:r>
      <w:r w:rsidR="00E30981" w:rsidRPr="002A0B87">
        <w:rPr>
          <w:rFonts w:ascii="Arial" w:hAnsi="Arial" w:cs="Arial"/>
          <w:lang w:val="en-GB"/>
        </w:rPr>
        <w:t xml:space="preserve">6 </w:t>
      </w:r>
      <w:r w:rsidR="00F41B7A" w:rsidRPr="002A0B87">
        <w:rPr>
          <w:rFonts w:ascii="Arial" w:hAnsi="Arial" w:cs="Arial"/>
          <w:lang w:val="en-GB"/>
        </w:rPr>
        <w:t xml:space="preserve">- </w:t>
      </w:r>
      <w:r w:rsidR="009D5EED">
        <w:rPr>
          <w:rFonts w:ascii="Arial" w:hAnsi="Arial" w:cs="Arial"/>
          <w:lang w:val="en-GB"/>
        </w:rPr>
        <w:t>9</w:t>
      </w:r>
    </w:p>
    <w:p w14:paraId="37E32CCA" w14:textId="77777777" w:rsidR="00C72A97" w:rsidRPr="002A0B87" w:rsidRDefault="00C72A97" w:rsidP="00FE268C">
      <w:pPr>
        <w:pStyle w:val="BodyText"/>
        <w:tabs>
          <w:tab w:val="right" w:pos="8640"/>
          <w:tab w:val="right" w:pos="8900"/>
        </w:tabs>
        <w:rPr>
          <w:rFonts w:ascii="Arial" w:hAnsi="Arial" w:cs="Arial"/>
          <w:lang w:val="en-GB"/>
        </w:rPr>
      </w:pPr>
    </w:p>
    <w:p w14:paraId="213A148E" w14:textId="1E0979F1" w:rsidR="00EC68E8" w:rsidRPr="002A0B87" w:rsidRDefault="005D0DF0" w:rsidP="00FE268C">
      <w:pPr>
        <w:pStyle w:val="BodyText"/>
        <w:tabs>
          <w:tab w:val="right" w:pos="8900"/>
        </w:tabs>
        <w:rPr>
          <w:rFonts w:ascii="Arial" w:hAnsi="Arial" w:cs="Arial"/>
          <w:lang w:val="en-GB"/>
        </w:rPr>
      </w:pPr>
      <w:r w:rsidRPr="005D0DF0">
        <w:rPr>
          <w:rFonts w:ascii="Arial" w:hAnsi="Arial" w:cs="Arial"/>
          <w:lang w:val="en-GB"/>
        </w:rPr>
        <w:t>Income statement</w:t>
      </w:r>
      <w:r w:rsidR="00D856CE">
        <w:rPr>
          <w:rFonts w:ascii="Arial" w:hAnsi="Arial" w:cs="Arial"/>
          <w:lang w:val="en-GB"/>
        </w:rPr>
        <w:t xml:space="preserve"> </w:t>
      </w:r>
      <w:r w:rsidR="00EC68E8" w:rsidRPr="002A0B87">
        <w:rPr>
          <w:rFonts w:ascii="Arial" w:hAnsi="Arial" w:cs="Arial"/>
          <w:lang w:val="en-GB"/>
        </w:rPr>
        <w:tab/>
      </w:r>
      <w:r w:rsidR="00E30981" w:rsidRPr="002A0B87">
        <w:rPr>
          <w:rFonts w:ascii="Arial" w:hAnsi="Arial" w:cs="Arial"/>
          <w:lang w:val="en-GB"/>
        </w:rPr>
        <w:t>1</w:t>
      </w:r>
      <w:r w:rsidR="009D5EED">
        <w:rPr>
          <w:rFonts w:ascii="Arial" w:hAnsi="Arial" w:cs="Arial"/>
          <w:lang w:val="en-GB"/>
        </w:rPr>
        <w:t>0</w:t>
      </w:r>
      <w:r w:rsidR="00E30981" w:rsidRPr="002A0B87">
        <w:rPr>
          <w:rFonts w:ascii="Arial" w:hAnsi="Arial" w:cs="Arial"/>
          <w:lang w:val="en-GB"/>
        </w:rPr>
        <w:t xml:space="preserve"> </w:t>
      </w:r>
      <w:r w:rsidR="00EC68E8" w:rsidRPr="002A0B87">
        <w:rPr>
          <w:rFonts w:ascii="Arial" w:hAnsi="Arial" w:cs="Arial"/>
          <w:lang w:val="en-GB"/>
        </w:rPr>
        <w:t xml:space="preserve">- </w:t>
      </w:r>
      <w:r w:rsidR="009D5EED" w:rsidRPr="002A0B87">
        <w:rPr>
          <w:rFonts w:ascii="Arial" w:hAnsi="Arial" w:cs="Arial"/>
          <w:lang w:val="en-GB"/>
        </w:rPr>
        <w:t>1</w:t>
      </w:r>
      <w:r w:rsidR="009D5EED">
        <w:rPr>
          <w:rFonts w:ascii="Arial" w:hAnsi="Arial" w:cs="Arial"/>
          <w:lang w:val="en-GB"/>
        </w:rPr>
        <w:t>1</w:t>
      </w:r>
    </w:p>
    <w:p w14:paraId="4C3356E3" w14:textId="77777777" w:rsidR="00EC68E8" w:rsidRPr="002A0B87" w:rsidRDefault="00EC68E8" w:rsidP="00FE268C">
      <w:pPr>
        <w:pStyle w:val="BodyText"/>
        <w:tabs>
          <w:tab w:val="right" w:pos="8900"/>
        </w:tabs>
        <w:rPr>
          <w:rFonts w:ascii="Arial" w:hAnsi="Arial" w:cs="Arial"/>
          <w:lang w:val="en-GB"/>
        </w:rPr>
      </w:pPr>
    </w:p>
    <w:p w14:paraId="6899315B" w14:textId="18214EDC" w:rsidR="00C72A97" w:rsidRPr="002A0B87" w:rsidRDefault="00176C07" w:rsidP="00FE268C">
      <w:pPr>
        <w:pStyle w:val="BodyText"/>
        <w:tabs>
          <w:tab w:val="right" w:pos="8900"/>
        </w:tabs>
        <w:rPr>
          <w:rFonts w:ascii="Arial" w:hAnsi="Arial" w:cs="Arial"/>
          <w:lang w:val="en-GB"/>
        </w:rPr>
      </w:pPr>
      <w:r w:rsidRPr="00176C07">
        <w:rPr>
          <w:rFonts w:ascii="Arial" w:hAnsi="Arial" w:cs="Arial"/>
          <w:lang w:val="en-GB"/>
        </w:rPr>
        <w:t>Cash flow statement</w:t>
      </w:r>
      <w:r w:rsidR="00D856CE">
        <w:rPr>
          <w:rFonts w:ascii="Arial" w:hAnsi="Arial" w:cs="Arial"/>
          <w:lang w:val="en-GB"/>
        </w:rPr>
        <w:t xml:space="preserve"> </w:t>
      </w:r>
      <w:r w:rsidR="00C52C24" w:rsidRPr="002A0B87">
        <w:rPr>
          <w:rFonts w:ascii="Arial" w:hAnsi="Arial" w:cs="Arial"/>
          <w:lang w:val="en-GB"/>
        </w:rPr>
        <w:tab/>
      </w:r>
      <w:r w:rsidR="009D5EED" w:rsidRPr="002A0B87">
        <w:rPr>
          <w:rFonts w:ascii="Arial" w:hAnsi="Arial" w:cs="Arial"/>
          <w:lang w:val="en-GB"/>
        </w:rPr>
        <w:t>1</w:t>
      </w:r>
      <w:r w:rsidR="009D5EED">
        <w:rPr>
          <w:rFonts w:ascii="Arial" w:hAnsi="Arial" w:cs="Arial"/>
          <w:lang w:val="en-GB"/>
        </w:rPr>
        <w:t>2</w:t>
      </w:r>
      <w:r w:rsidR="009D5EED" w:rsidRPr="002A0B87">
        <w:rPr>
          <w:rFonts w:ascii="Arial" w:hAnsi="Arial" w:cs="Arial"/>
          <w:lang w:val="en-GB"/>
        </w:rPr>
        <w:t xml:space="preserve"> </w:t>
      </w:r>
      <w:r w:rsidR="00C52C24" w:rsidRPr="002A0B87">
        <w:rPr>
          <w:rFonts w:ascii="Arial" w:hAnsi="Arial" w:cs="Arial"/>
          <w:lang w:val="en-GB"/>
        </w:rPr>
        <w:t xml:space="preserve">- </w:t>
      </w:r>
      <w:r w:rsidR="009D5EED" w:rsidRPr="002A0B87">
        <w:rPr>
          <w:rFonts w:ascii="Arial" w:hAnsi="Arial" w:cs="Arial"/>
          <w:lang w:val="en-GB"/>
        </w:rPr>
        <w:t>1</w:t>
      </w:r>
      <w:r w:rsidR="009D5EED">
        <w:rPr>
          <w:rFonts w:ascii="Arial" w:hAnsi="Arial" w:cs="Arial"/>
          <w:lang w:val="en-GB"/>
        </w:rPr>
        <w:t>4</w:t>
      </w:r>
    </w:p>
    <w:p w14:paraId="580769AB" w14:textId="77777777" w:rsidR="00C72A97" w:rsidRPr="002A0B87" w:rsidRDefault="00C72A97" w:rsidP="00FE268C">
      <w:pPr>
        <w:pStyle w:val="BodyText"/>
        <w:tabs>
          <w:tab w:val="right" w:pos="8640"/>
          <w:tab w:val="right" w:pos="8900"/>
        </w:tabs>
        <w:rPr>
          <w:rFonts w:ascii="Arial" w:hAnsi="Arial" w:cs="Arial"/>
          <w:lang w:val="en-GB"/>
        </w:rPr>
      </w:pPr>
    </w:p>
    <w:p w14:paraId="2F6D9765" w14:textId="004C8FA4" w:rsidR="00577E16" w:rsidRPr="002A0B87" w:rsidRDefault="00507D5D" w:rsidP="00FE268C">
      <w:pPr>
        <w:pStyle w:val="BodyText"/>
        <w:tabs>
          <w:tab w:val="right" w:pos="8900"/>
        </w:tabs>
        <w:rPr>
          <w:rFonts w:ascii="Arial" w:hAnsi="Arial" w:cs="Arial"/>
          <w:lang w:val="en-GB"/>
        </w:rPr>
      </w:pPr>
      <w:r w:rsidRPr="00507D5D">
        <w:rPr>
          <w:rFonts w:ascii="Arial" w:hAnsi="Arial" w:cs="Arial"/>
          <w:lang w:val="en-GB"/>
        </w:rPr>
        <w:t>Statement of changes in equity</w:t>
      </w:r>
      <w:r w:rsidR="00D856CE">
        <w:rPr>
          <w:rFonts w:ascii="Arial" w:hAnsi="Arial" w:cs="Arial"/>
          <w:lang w:val="en-GB"/>
        </w:rPr>
        <w:t xml:space="preserve"> </w:t>
      </w:r>
      <w:r w:rsidR="00C52C24" w:rsidRPr="002A0B87">
        <w:rPr>
          <w:rFonts w:ascii="Arial" w:hAnsi="Arial" w:cs="Arial"/>
          <w:lang w:val="en-GB"/>
        </w:rPr>
        <w:tab/>
      </w:r>
      <w:r w:rsidR="00E30981" w:rsidRPr="002A0B87">
        <w:rPr>
          <w:rFonts w:ascii="Arial" w:hAnsi="Arial" w:cs="Arial"/>
          <w:lang w:val="en-GB"/>
        </w:rPr>
        <w:t>1</w:t>
      </w:r>
      <w:r w:rsidR="009D5EED">
        <w:rPr>
          <w:rFonts w:ascii="Arial" w:hAnsi="Arial" w:cs="Arial"/>
          <w:lang w:val="en-GB"/>
        </w:rPr>
        <w:t>5</w:t>
      </w:r>
    </w:p>
    <w:p w14:paraId="1A55C21B" w14:textId="77777777" w:rsidR="00577E16" w:rsidRPr="002A0B87" w:rsidRDefault="00577E16" w:rsidP="00FE268C">
      <w:pPr>
        <w:pStyle w:val="BodyText"/>
        <w:tabs>
          <w:tab w:val="right" w:pos="8900"/>
        </w:tabs>
        <w:rPr>
          <w:rFonts w:ascii="Arial" w:hAnsi="Arial" w:cs="Arial"/>
          <w:lang w:val="en-GB"/>
        </w:rPr>
      </w:pPr>
    </w:p>
    <w:p w14:paraId="67043310" w14:textId="71071173" w:rsidR="003C6590" w:rsidRPr="002A0B87" w:rsidRDefault="00A0421F" w:rsidP="00FE268C">
      <w:pPr>
        <w:pStyle w:val="BodyText"/>
        <w:tabs>
          <w:tab w:val="right" w:pos="8900"/>
        </w:tabs>
        <w:rPr>
          <w:rFonts w:ascii="Arial" w:hAnsi="Arial" w:cs="Arial"/>
          <w:lang w:val="en-GB"/>
        </w:rPr>
      </w:pPr>
      <w:r w:rsidRPr="00A0421F">
        <w:rPr>
          <w:rFonts w:ascii="Arial" w:hAnsi="Arial" w:cs="Arial"/>
          <w:lang w:val="en-GB"/>
        </w:rPr>
        <w:t xml:space="preserve">Notes to the financial </w:t>
      </w:r>
      <w:proofErr w:type="gramStart"/>
      <w:r w:rsidRPr="00A0421F">
        <w:rPr>
          <w:rFonts w:ascii="Arial" w:hAnsi="Arial" w:cs="Arial"/>
          <w:lang w:val="en-GB"/>
        </w:rPr>
        <w:t>statements</w:t>
      </w:r>
      <w:r w:rsidRPr="00A0421F" w:rsidDel="00A0421F">
        <w:rPr>
          <w:rFonts w:ascii="Arial" w:hAnsi="Arial" w:cs="Arial"/>
          <w:lang w:val="en-GB"/>
        </w:rPr>
        <w:t xml:space="preserve"> </w:t>
      </w:r>
      <w:r w:rsidR="00D856CE">
        <w:rPr>
          <w:rFonts w:ascii="Arial" w:hAnsi="Arial" w:cs="Arial"/>
          <w:lang w:val="en-GB"/>
        </w:rPr>
        <w:t xml:space="preserve"> </w:t>
      </w:r>
      <w:r w:rsidR="00C52C24" w:rsidRPr="002A0B87">
        <w:rPr>
          <w:rFonts w:ascii="Arial" w:hAnsi="Arial" w:cs="Arial"/>
          <w:lang w:val="en-GB"/>
        </w:rPr>
        <w:tab/>
      </w:r>
      <w:proofErr w:type="gramEnd"/>
      <w:r w:rsidR="00E30981" w:rsidRPr="005F5E08">
        <w:rPr>
          <w:rFonts w:ascii="Arial" w:hAnsi="Arial" w:cs="Arial"/>
          <w:highlight w:val="yellow"/>
          <w:lang w:val="en-GB"/>
        </w:rPr>
        <w:t>1</w:t>
      </w:r>
      <w:r w:rsidR="009D5EED" w:rsidRPr="005F5E08">
        <w:rPr>
          <w:rFonts w:ascii="Arial" w:hAnsi="Arial" w:cs="Arial"/>
          <w:highlight w:val="yellow"/>
          <w:lang w:val="en-GB"/>
        </w:rPr>
        <w:t>6</w:t>
      </w:r>
      <w:r w:rsidR="00E30981" w:rsidRPr="005F5E08">
        <w:rPr>
          <w:rFonts w:ascii="Arial" w:hAnsi="Arial" w:cs="Arial"/>
          <w:highlight w:val="yellow"/>
          <w:lang w:val="en-GB"/>
        </w:rPr>
        <w:t xml:space="preserve"> </w:t>
      </w:r>
      <w:r w:rsidR="00C52C24" w:rsidRPr="005F5E08">
        <w:rPr>
          <w:rFonts w:ascii="Arial" w:hAnsi="Arial" w:cs="Arial"/>
          <w:highlight w:val="yellow"/>
          <w:lang w:val="en-GB"/>
        </w:rPr>
        <w:t xml:space="preserve">- </w:t>
      </w:r>
      <w:r w:rsidR="00C96294" w:rsidRPr="005F5E08">
        <w:rPr>
          <w:rFonts w:ascii="Arial" w:hAnsi="Arial" w:cs="Arial"/>
          <w:highlight w:val="yellow"/>
          <w:lang w:val="en-GB"/>
        </w:rPr>
        <w:t>50</w:t>
      </w:r>
    </w:p>
    <w:p w14:paraId="7571E461" w14:textId="77777777" w:rsidR="00F12338" w:rsidRPr="002A0B87" w:rsidRDefault="00F12338" w:rsidP="00D33812">
      <w:pPr>
        <w:pStyle w:val="BodyText"/>
        <w:tabs>
          <w:tab w:val="right" w:pos="8900"/>
        </w:tabs>
        <w:rPr>
          <w:rFonts w:ascii="Arial" w:hAnsi="Arial" w:cs="Arial"/>
          <w:lang w:val="en-GB"/>
        </w:rPr>
      </w:pPr>
    </w:p>
    <w:p w14:paraId="58D19313" w14:textId="600D0B4F" w:rsidR="00F12338" w:rsidRPr="002A0B87" w:rsidRDefault="00F12338">
      <w:pPr>
        <w:pStyle w:val="BodyText"/>
        <w:tabs>
          <w:tab w:val="right" w:pos="8900"/>
        </w:tabs>
        <w:jc w:val="right"/>
        <w:rPr>
          <w:rFonts w:ascii="Arial" w:hAnsi="Arial" w:cs="Arial"/>
          <w:lang w:val="en-GB"/>
        </w:rPr>
      </w:pPr>
    </w:p>
    <w:p w14:paraId="1B021093" w14:textId="1C508A3C" w:rsidR="000F6856" w:rsidRPr="002A0B87" w:rsidRDefault="000F6856">
      <w:pPr>
        <w:tabs>
          <w:tab w:val="left" w:pos="516"/>
        </w:tabs>
        <w:rPr>
          <w:rFonts w:cs="Arial"/>
          <w:lang w:val="en-GB"/>
        </w:rPr>
        <w:sectPr w:rsidR="000F6856" w:rsidRPr="002A0B87" w:rsidSect="009032CF">
          <w:headerReference w:type="even" r:id="rId17"/>
          <w:headerReference w:type="default" r:id="rId18"/>
          <w:footerReference w:type="default" r:id="rId19"/>
          <w:headerReference w:type="first" r:id="rId20"/>
          <w:type w:val="nextColumn"/>
          <w:pgSz w:w="11909" w:h="16834" w:code="9"/>
          <w:pgMar w:top="1440" w:right="1440" w:bottom="862" w:left="1582" w:header="720" w:footer="578" w:gutter="0"/>
          <w:cols w:space="720"/>
        </w:sectPr>
      </w:pPr>
    </w:p>
    <w:p w14:paraId="1DCF3C50" w14:textId="373557BA" w:rsidR="006F12E6" w:rsidRPr="002A0B87" w:rsidRDefault="001A257C" w:rsidP="000B1135">
      <w:pPr>
        <w:pStyle w:val="Heading1"/>
        <w:rPr>
          <w:lang w:val="en-GB"/>
        </w:rPr>
      </w:pPr>
      <w:r w:rsidRPr="001A257C">
        <w:rPr>
          <w:lang w:val="en-GB"/>
        </w:rPr>
        <w:lastRenderedPageBreak/>
        <w:t>THE COMPANY</w:t>
      </w:r>
      <w:r w:rsidRPr="001A257C" w:rsidDel="001A257C">
        <w:rPr>
          <w:lang w:val="en-GB"/>
        </w:rPr>
        <w:t xml:space="preserve"> </w:t>
      </w:r>
    </w:p>
    <w:p w14:paraId="50F14E86" w14:textId="77777777" w:rsidR="00411183" w:rsidRPr="002A0B87" w:rsidRDefault="00411183" w:rsidP="00411183">
      <w:pPr>
        <w:rPr>
          <w:lang w:val="en-GB"/>
        </w:rPr>
      </w:pPr>
    </w:p>
    <w:p w14:paraId="545E5AFF" w14:textId="24731BA8" w:rsidR="00411183" w:rsidRPr="002A0B87" w:rsidRDefault="00FF2BA6" w:rsidP="00411183">
      <w:pPr>
        <w:rPr>
          <w:lang w:val="en-GB"/>
        </w:rPr>
      </w:pPr>
      <w:r w:rsidRPr="00FF2BA6">
        <w:rPr>
          <w:lang w:val="en-GB"/>
        </w:rPr>
        <w:t>NH Securities Vietnam Co., Ltd (“the Company”), previously known as Woori CBV Securities JSC (transformed from Bien Viet Securities JSC), was established and operates in accordance with the Establishment and Operating License No. 124/GP-UBCK dated 13 April 2018 with initial charter capital at VND 735,000,000,000. The Company’s charter capital was approved to increase to VND 1,239,000,000,000 in accordance with the latest amended License No. 02/GPDC-UBCK dated 26 January 2021 granted by the State Securities Commission.</w:t>
      </w:r>
    </w:p>
    <w:p w14:paraId="42D5CD31" w14:textId="77777777" w:rsidR="00411183" w:rsidRPr="002A0B87" w:rsidRDefault="00411183" w:rsidP="00411183">
      <w:pPr>
        <w:rPr>
          <w:lang w:val="en-GB"/>
        </w:rPr>
      </w:pPr>
    </w:p>
    <w:p w14:paraId="1F2DA180" w14:textId="5F4322B3" w:rsidR="00411183" w:rsidRPr="002A0B87" w:rsidRDefault="004421E3" w:rsidP="00411183">
      <w:r w:rsidRPr="004421E3">
        <w:rPr>
          <w:lang w:val="vi-VN"/>
        </w:rPr>
        <w:t>As at 31 December 202</w:t>
      </w:r>
      <w:r w:rsidR="00EB7538">
        <w:t>2</w:t>
      </w:r>
      <w:r w:rsidRPr="004421E3">
        <w:rPr>
          <w:lang w:val="vi-VN"/>
        </w:rPr>
        <w:t>, total charter capital of the Company was VND 1,239,000,000,000 (as at 31 December 202</w:t>
      </w:r>
      <w:r w:rsidR="00EB7538">
        <w:t>1</w:t>
      </w:r>
      <w:r w:rsidRPr="004421E3">
        <w:rPr>
          <w:lang w:val="vi-VN"/>
        </w:rPr>
        <w:t>: VND 1,239,000,000,000).</w:t>
      </w:r>
    </w:p>
    <w:p w14:paraId="34997707" w14:textId="77777777" w:rsidR="00411183" w:rsidRPr="002A0B87" w:rsidRDefault="00411183" w:rsidP="00411183">
      <w:pPr>
        <w:rPr>
          <w:lang w:val="vi-VN"/>
        </w:rPr>
      </w:pPr>
    </w:p>
    <w:p w14:paraId="7E7824FA" w14:textId="622EAF15" w:rsidR="00411183" w:rsidRPr="002A0B87" w:rsidRDefault="00892147" w:rsidP="00411183">
      <w:pPr>
        <w:rPr>
          <w:lang w:val="vi-VN"/>
        </w:rPr>
      </w:pPr>
      <w:r w:rsidRPr="00892147">
        <w:rPr>
          <w:lang w:val="vi-VN"/>
        </w:rPr>
        <w:t>The Company’s head office is located at Floor 9th, East Tower, Lotte Center Hanoi, 54 Lieu Giai street, Cong Vi ward, Ba Dinh district, Hanoi.</w:t>
      </w:r>
    </w:p>
    <w:p w14:paraId="37AA71F9" w14:textId="77777777" w:rsidR="008310B4" w:rsidRPr="002A0B87" w:rsidRDefault="008310B4" w:rsidP="000B1135">
      <w:pPr>
        <w:rPr>
          <w:lang w:val="vi-VN"/>
        </w:rPr>
      </w:pPr>
    </w:p>
    <w:p w14:paraId="3C91C3DD" w14:textId="33FF922B" w:rsidR="0015179D" w:rsidRPr="002A0B87" w:rsidRDefault="00F34E9A" w:rsidP="000B1135">
      <w:pPr>
        <w:rPr>
          <w:lang w:val="vi-VN"/>
        </w:rPr>
      </w:pPr>
      <w:r w:rsidRPr="00F34E9A">
        <w:rPr>
          <w:lang w:val="vi-VN"/>
        </w:rPr>
        <w:t>The Company’s current principal activities are:</w:t>
      </w:r>
    </w:p>
    <w:p w14:paraId="3F13DB6A" w14:textId="6E9757C8" w:rsidR="0015179D" w:rsidRPr="002A0B87" w:rsidRDefault="00903A10" w:rsidP="00FD742F">
      <w:pPr>
        <w:pStyle w:val="BodyText"/>
        <w:numPr>
          <w:ilvl w:val="0"/>
          <w:numId w:val="15"/>
        </w:numPr>
        <w:spacing w:before="120"/>
        <w:ind w:left="360"/>
        <w:textAlignment w:val="auto"/>
        <w:rPr>
          <w:rFonts w:ascii="Arial" w:hAnsi="Arial" w:cs="Arial"/>
          <w:lang w:val="vi-VN"/>
        </w:rPr>
      </w:pPr>
      <w:r w:rsidRPr="00903A10">
        <w:rPr>
          <w:rFonts w:ascii="Arial" w:hAnsi="Arial" w:cs="Arial"/>
          <w:lang w:val="vi-VN"/>
        </w:rPr>
        <w:t>Brokerage services,</w:t>
      </w:r>
    </w:p>
    <w:p w14:paraId="5806FB40" w14:textId="3F0F7D88" w:rsidR="006B16FE" w:rsidRPr="002A0B87" w:rsidRDefault="007800E7" w:rsidP="00FD742F">
      <w:pPr>
        <w:pStyle w:val="BodyText"/>
        <w:numPr>
          <w:ilvl w:val="0"/>
          <w:numId w:val="15"/>
        </w:numPr>
        <w:spacing w:before="120"/>
        <w:ind w:left="360"/>
        <w:textAlignment w:val="auto"/>
        <w:rPr>
          <w:rFonts w:ascii="Arial" w:hAnsi="Arial" w:cs="Arial"/>
          <w:lang w:val="vi-VN"/>
        </w:rPr>
      </w:pPr>
      <w:r w:rsidRPr="007800E7">
        <w:rPr>
          <w:rFonts w:ascii="Arial" w:hAnsi="Arial" w:cs="Arial"/>
        </w:rPr>
        <w:t>Financial and investment advisory services,</w:t>
      </w:r>
    </w:p>
    <w:p w14:paraId="52D378A0" w14:textId="504F9735" w:rsidR="006B16FE" w:rsidRPr="002A0B87" w:rsidRDefault="008F16A2" w:rsidP="00FD742F">
      <w:pPr>
        <w:pStyle w:val="BodyText"/>
        <w:numPr>
          <w:ilvl w:val="0"/>
          <w:numId w:val="15"/>
        </w:numPr>
        <w:spacing w:before="120"/>
        <w:ind w:left="360"/>
        <w:textAlignment w:val="auto"/>
        <w:rPr>
          <w:rFonts w:ascii="Arial" w:hAnsi="Arial" w:cs="Arial"/>
          <w:lang w:val="vi-VN"/>
        </w:rPr>
      </w:pPr>
      <w:r w:rsidRPr="008F16A2">
        <w:rPr>
          <w:rFonts w:ascii="Arial" w:hAnsi="Arial" w:cs="Arial"/>
        </w:rPr>
        <w:tab/>
        <w:t>Proprietary trading,</w:t>
      </w:r>
    </w:p>
    <w:p w14:paraId="3E6C8A1A" w14:textId="1868AD10" w:rsidR="006B16FE" w:rsidRPr="002A0B87" w:rsidRDefault="003D3350" w:rsidP="00FD742F">
      <w:pPr>
        <w:pStyle w:val="BodyText"/>
        <w:numPr>
          <w:ilvl w:val="0"/>
          <w:numId w:val="15"/>
        </w:numPr>
        <w:spacing w:before="120"/>
        <w:ind w:left="360"/>
        <w:textAlignment w:val="auto"/>
        <w:rPr>
          <w:rFonts w:ascii="Arial" w:hAnsi="Arial" w:cs="Arial"/>
          <w:lang w:val="vi-VN"/>
        </w:rPr>
      </w:pPr>
      <w:r w:rsidRPr="003D3350">
        <w:rPr>
          <w:rFonts w:ascii="Arial" w:hAnsi="Arial" w:cs="Arial"/>
        </w:rPr>
        <w:tab/>
        <w:t>Underwriting for securities issuance,</w:t>
      </w:r>
    </w:p>
    <w:p w14:paraId="31636522" w14:textId="02C40C5E" w:rsidR="006B16FE" w:rsidRPr="002A0B87" w:rsidRDefault="005E2302" w:rsidP="00FD742F">
      <w:pPr>
        <w:pStyle w:val="BodyText"/>
        <w:numPr>
          <w:ilvl w:val="0"/>
          <w:numId w:val="15"/>
        </w:numPr>
        <w:spacing w:before="120"/>
        <w:ind w:left="360"/>
        <w:textAlignment w:val="auto"/>
        <w:rPr>
          <w:rFonts w:ascii="Arial" w:hAnsi="Arial" w:cs="Arial"/>
          <w:lang w:val="vi-VN"/>
        </w:rPr>
      </w:pPr>
      <w:r w:rsidRPr="005E2302">
        <w:rPr>
          <w:rFonts w:ascii="Arial" w:hAnsi="Arial" w:cs="Arial"/>
        </w:rPr>
        <w:tab/>
        <w:t>Securities depository, and</w:t>
      </w:r>
      <w:r w:rsidRPr="005E2302" w:rsidDel="005E2302">
        <w:rPr>
          <w:rFonts w:ascii="Arial" w:hAnsi="Arial" w:cs="Arial"/>
        </w:rPr>
        <w:t xml:space="preserve"> </w:t>
      </w:r>
    </w:p>
    <w:p w14:paraId="7C3329F8" w14:textId="4A7C5CEE" w:rsidR="006B16FE" w:rsidRPr="002A0B87" w:rsidRDefault="00FB02D1" w:rsidP="00FD742F">
      <w:pPr>
        <w:pStyle w:val="BodyText"/>
        <w:numPr>
          <w:ilvl w:val="0"/>
          <w:numId w:val="15"/>
        </w:numPr>
        <w:spacing w:before="120"/>
        <w:ind w:left="360"/>
        <w:textAlignment w:val="auto"/>
        <w:rPr>
          <w:rFonts w:ascii="Arial" w:hAnsi="Arial" w:cs="Arial"/>
          <w:lang w:val="vi-VN"/>
        </w:rPr>
      </w:pPr>
      <w:r w:rsidRPr="00FB02D1">
        <w:rPr>
          <w:rFonts w:ascii="Arial" w:hAnsi="Arial" w:cs="Arial"/>
        </w:rPr>
        <w:tab/>
        <w:t>Other services in accordance with law and regulations applicable to securities companies.</w:t>
      </w:r>
    </w:p>
    <w:p w14:paraId="76DC0794" w14:textId="77777777" w:rsidR="00F12338" w:rsidRPr="002A0B87" w:rsidRDefault="00F12338" w:rsidP="000B1135">
      <w:pPr>
        <w:rPr>
          <w:lang w:val="vi-VN"/>
        </w:rPr>
      </w:pPr>
    </w:p>
    <w:p w14:paraId="31C461DF" w14:textId="77777777" w:rsidR="00432052" w:rsidRPr="002A0B87" w:rsidRDefault="00432052" w:rsidP="000B1135">
      <w:pPr>
        <w:rPr>
          <w:lang w:val="vi-VN"/>
        </w:rPr>
      </w:pPr>
    </w:p>
    <w:p w14:paraId="7AFA8DF1" w14:textId="1D201FD2" w:rsidR="00F96D63" w:rsidRPr="002A0B87" w:rsidRDefault="00E26EC7" w:rsidP="00F96D63">
      <w:pPr>
        <w:pStyle w:val="Heading1"/>
      </w:pPr>
      <w:r w:rsidRPr="00E26EC7">
        <w:t>MEMBERS’ COUNCIL</w:t>
      </w:r>
      <w:r w:rsidRPr="00E26EC7" w:rsidDel="00E26EC7">
        <w:t xml:space="preserve"> </w:t>
      </w:r>
    </w:p>
    <w:p w14:paraId="79244298" w14:textId="77777777" w:rsidR="00F96D63" w:rsidRPr="002A0B87" w:rsidRDefault="00F96D63" w:rsidP="00F96D63">
      <w:pPr>
        <w:rPr>
          <w:lang w:val="vi-VN"/>
        </w:rPr>
      </w:pPr>
    </w:p>
    <w:p w14:paraId="7F1BBEB8" w14:textId="2FD0C81C" w:rsidR="00F96D63" w:rsidRPr="002A0B87" w:rsidRDefault="00380513" w:rsidP="00F96D63">
      <w:pPr>
        <w:rPr>
          <w:lang w:val="vi-VN"/>
        </w:rPr>
      </w:pPr>
      <w:r w:rsidRPr="00380513">
        <w:rPr>
          <w:lang w:val="vi-VN"/>
        </w:rPr>
        <w:t>Members of the Members’ Council during the year and at the date of this report are:</w:t>
      </w:r>
    </w:p>
    <w:p w14:paraId="6670A2A3" w14:textId="77777777" w:rsidR="00F96D63" w:rsidRPr="002A0B87" w:rsidRDefault="00F96D63" w:rsidP="00F96D63">
      <w:pPr>
        <w:rPr>
          <w:lang w:val="en-GB"/>
        </w:rPr>
      </w:pPr>
    </w:p>
    <w:tbl>
      <w:tblPr>
        <w:tblW w:w="8910" w:type="dxa"/>
        <w:tblLayout w:type="fixed"/>
        <w:tblLook w:val="01E0" w:firstRow="1" w:lastRow="1" w:firstColumn="1" w:lastColumn="1" w:noHBand="0" w:noVBand="0"/>
      </w:tblPr>
      <w:tblGrid>
        <w:gridCol w:w="2678"/>
        <w:gridCol w:w="6232"/>
      </w:tblGrid>
      <w:tr w:rsidR="00F96D63" w:rsidRPr="002A0B87" w14:paraId="17441CAF" w14:textId="77777777" w:rsidTr="000A1EE5">
        <w:tc>
          <w:tcPr>
            <w:tcW w:w="2678" w:type="dxa"/>
            <w:vAlign w:val="bottom"/>
          </w:tcPr>
          <w:p w14:paraId="0A1C228E" w14:textId="7799B475" w:rsidR="00F96D63" w:rsidRPr="002A0B87" w:rsidRDefault="001E0BC1" w:rsidP="000A1EE5">
            <w:pPr>
              <w:pStyle w:val="normaltext"/>
              <w:pBdr>
                <w:bottom w:val="single" w:sz="4" w:space="1" w:color="auto"/>
              </w:pBdr>
              <w:ind w:left="-108" w:right="170"/>
              <w:rPr>
                <w:rFonts w:ascii="Arial" w:hAnsi="Arial" w:cs="Arial"/>
                <w:i/>
                <w:color w:val="auto"/>
                <w:sz w:val="20"/>
                <w:lang w:val="en-GB"/>
              </w:rPr>
            </w:pPr>
            <w:r w:rsidRPr="001E0BC1">
              <w:rPr>
                <w:rFonts w:ascii="Arial" w:hAnsi="Arial" w:cs="Arial"/>
                <w:i/>
                <w:color w:val="auto"/>
                <w:sz w:val="20"/>
                <w:lang w:val="en-GB"/>
              </w:rPr>
              <w:t>Name</w:t>
            </w:r>
          </w:p>
        </w:tc>
        <w:tc>
          <w:tcPr>
            <w:tcW w:w="6232" w:type="dxa"/>
            <w:vAlign w:val="bottom"/>
          </w:tcPr>
          <w:p w14:paraId="7466652B" w14:textId="5EACE7FC" w:rsidR="00F96D63" w:rsidRPr="002A0B87" w:rsidRDefault="00E82639" w:rsidP="000A1EE5">
            <w:pPr>
              <w:pStyle w:val="normaltext"/>
              <w:pBdr>
                <w:bottom w:val="single" w:sz="4" w:space="1" w:color="auto"/>
              </w:pBdr>
              <w:ind w:left="-115" w:right="227"/>
              <w:rPr>
                <w:rFonts w:ascii="Arial" w:hAnsi="Arial" w:cs="Arial"/>
                <w:i/>
                <w:color w:val="auto"/>
                <w:sz w:val="20"/>
                <w:lang w:val="en-GB"/>
              </w:rPr>
            </w:pPr>
            <w:r w:rsidRPr="00E82639">
              <w:rPr>
                <w:rFonts w:ascii="Arial" w:hAnsi="Arial" w:cs="Arial"/>
                <w:i/>
                <w:color w:val="auto"/>
                <w:sz w:val="20"/>
                <w:lang w:val="en-GB"/>
              </w:rPr>
              <w:t>Position</w:t>
            </w:r>
          </w:p>
        </w:tc>
      </w:tr>
      <w:tr w:rsidR="00C413FF" w:rsidRPr="002A0B87" w14:paraId="5AC65A72" w14:textId="77777777" w:rsidTr="000A1EE5">
        <w:tc>
          <w:tcPr>
            <w:tcW w:w="2678" w:type="dxa"/>
          </w:tcPr>
          <w:p w14:paraId="1B3C3081" w14:textId="5712F8E0" w:rsidR="00C413FF" w:rsidRDefault="00003FCE" w:rsidP="000A1EE5">
            <w:pPr>
              <w:pStyle w:val="normaltext"/>
              <w:spacing w:before="120"/>
              <w:ind w:left="-108"/>
              <w:rPr>
                <w:rFonts w:ascii="Arial" w:hAnsi="Arial" w:cs="Arial"/>
                <w:color w:val="auto"/>
                <w:sz w:val="20"/>
              </w:rPr>
            </w:pPr>
            <w:r w:rsidRPr="00003FCE">
              <w:rPr>
                <w:rFonts w:ascii="Arial" w:hAnsi="Arial" w:cs="Arial"/>
                <w:color w:val="auto"/>
                <w:sz w:val="20"/>
              </w:rPr>
              <w:t xml:space="preserve">Mr. Kim Hong </w:t>
            </w:r>
            <w:proofErr w:type="spellStart"/>
            <w:r w:rsidRPr="00003FCE">
              <w:rPr>
                <w:rFonts w:ascii="Arial" w:hAnsi="Arial" w:cs="Arial"/>
                <w:color w:val="auto"/>
                <w:sz w:val="20"/>
              </w:rPr>
              <w:t>Wook</w:t>
            </w:r>
            <w:proofErr w:type="spellEnd"/>
          </w:p>
        </w:tc>
        <w:tc>
          <w:tcPr>
            <w:tcW w:w="6232" w:type="dxa"/>
          </w:tcPr>
          <w:p w14:paraId="6F1D86B9" w14:textId="08238D78" w:rsidR="00C413FF" w:rsidRPr="002A0B87" w:rsidRDefault="00015703" w:rsidP="000A1EE5">
            <w:pPr>
              <w:pStyle w:val="normaltext"/>
              <w:spacing w:before="120"/>
              <w:ind w:left="-115"/>
              <w:rPr>
                <w:rFonts w:ascii="Arial" w:hAnsi="Arial" w:cs="Arial"/>
                <w:color w:val="auto"/>
                <w:sz w:val="20"/>
                <w:lang w:val="en-GB"/>
              </w:rPr>
            </w:pPr>
            <w:r w:rsidRPr="00015703">
              <w:rPr>
                <w:rFonts w:ascii="Arial" w:hAnsi="Arial" w:cs="Arial"/>
                <w:color w:val="auto"/>
                <w:sz w:val="20"/>
                <w:lang w:val="en-GB"/>
              </w:rPr>
              <w:t>Chairman (Appointed on 28 January 2021)</w:t>
            </w:r>
          </w:p>
        </w:tc>
      </w:tr>
      <w:tr w:rsidR="008C2187" w:rsidRPr="002A0B87" w14:paraId="09D48E21" w14:textId="77777777" w:rsidTr="000A1EE5">
        <w:tc>
          <w:tcPr>
            <w:tcW w:w="2678" w:type="dxa"/>
          </w:tcPr>
          <w:p w14:paraId="09083570" w14:textId="42890F1B" w:rsidR="008C2187" w:rsidRPr="002A0B87" w:rsidRDefault="00C076F6" w:rsidP="000A1EE5">
            <w:pPr>
              <w:pStyle w:val="normaltext"/>
              <w:ind w:left="-108"/>
              <w:rPr>
                <w:rFonts w:ascii="Arial" w:hAnsi="Arial" w:cs="Arial"/>
                <w:color w:val="auto"/>
                <w:sz w:val="20"/>
              </w:rPr>
            </w:pPr>
            <w:r w:rsidRPr="00C076F6">
              <w:rPr>
                <w:rFonts w:ascii="Arial" w:hAnsi="Arial" w:cs="Arial"/>
                <w:color w:val="auto"/>
                <w:sz w:val="20"/>
              </w:rPr>
              <w:t>Mr. Kim Jong Seok</w:t>
            </w:r>
          </w:p>
        </w:tc>
        <w:tc>
          <w:tcPr>
            <w:tcW w:w="6232" w:type="dxa"/>
          </w:tcPr>
          <w:p w14:paraId="1AF6D19F" w14:textId="1F1548B1" w:rsidR="008C2187" w:rsidRDefault="00F746F9" w:rsidP="000A1EE5">
            <w:pPr>
              <w:pStyle w:val="normaltext"/>
              <w:ind w:left="-115"/>
              <w:rPr>
                <w:rFonts w:ascii="Arial" w:hAnsi="Arial" w:cs="Arial"/>
                <w:color w:val="auto"/>
                <w:sz w:val="20"/>
                <w:lang w:val="en-GB"/>
              </w:rPr>
            </w:pPr>
            <w:r w:rsidRPr="00F746F9">
              <w:rPr>
                <w:rFonts w:ascii="Arial" w:hAnsi="Arial" w:cs="Arial"/>
                <w:color w:val="auto"/>
                <w:sz w:val="20"/>
                <w:lang w:val="en-GB"/>
              </w:rPr>
              <w:t>Member (Appointed on 28 January 2021)</w:t>
            </w:r>
          </w:p>
        </w:tc>
      </w:tr>
      <w:tr w:rsidR="00F96D63" w:rsidRPr="002A0B87" w14:paraId="43E50375" w14:textId="77777777" w:rsidTr="000A1EE5">
        <w:tc>
          <w:tcPr>
            <w:tcW w:w="2678" w:type="dxa"/>
          </w:tcPr>
          <w:p w14:paraId="4A6535D3" w14:textId="7AE9AF8E" w:rsidR="00F96D63" w:rsidRPr="002A0B87" w:rsidRDefault="008D01EE" w:rsidP="000A1EE5">
            <w:pPr>
              <w:pStyle w:val="normaltext"/>
              <w:ind w:left="-108"/>
              <w:rPr>
                <w:rFonts w:ascii="Arial" w:hAnsi="Arial" w:cs="Arial"/>
                <w:color w:val="auto"/>
                <w:sz w:val="20"/>
              </w:rPr>
            </w:pPr>
            <w:r w:rsidRPr="008D01EE">
              <w:rPr>
                <w:rFonts w:ascii="Arial" w:hAnsi="Arial" w:cs="Arial"/>
                <w:color w:val="auto"/>
                <w:sz w:val="20"/>
              </w:rPr>
              <w:t xml:space="preserve">Mr. Lee </w:t>
            </w:r>
            <w:proofErr w:type="spellStart"/>
            <w:r w:rsidRPr="008D01EE">
              <w:rPr>
                <w:rFonts w:ascii="Arial" w:hAnsi="Arial" w:cs="Arial"/>
                <w:color w:val="auto"/>
                <w:sz w:val="20"/>
              </w:rPr>
              <w:t>Jin</w:t>
            </w:r>
            <w:proofErr w:type="spellEnd"/>
            <w:r w:rsidRPr="008D01EE">
              <w:rPr>
                <w:rFonts w:ascii="Arial" w:hAnsi="Arial" w:cs="Arial"/>
                <w:color w:val="auto"/>
                <w:sz w:val="20"/>
              </w:rPr>
              <w:t xml:space="preserve"> Hwan</w:t>
            </w:r>
          </w:p>
        </w:tc>
        <w:tc>
          <w:tcPr>
            <w:tcW w:w="6232" w:type="dxa"/>
          </w:tcPr>
          <w:p w14:paraId="27CECEEC" w14:textId="5FF7C829" w:rsidR="00F96D63" w:rsidRPr="002A0B87" w:rsidRDefault="00BC6A88" w:rsidP="000A1EE5">
            <w:pPr>
              <w:pStyle w:val="normaltext"/>
              <w:ind w:left="-115"/>
              <w:rPr>
                <w:rFonts w:ascii="Arial" w:hAnsi="Arial" w:cs="Arial"/>
                <w:color w:val="auto"/>
                <w:sz w:val="20"/>
                <w:lang w:val="en-GB"/>
              </w:rPr>
            </w:pPr>
            <w:r w:rsidRPr="00F746F9">
              <w:rPr>
                <w:rFonts w:ascii="Arial" w:hAnsi="Arial" w:cs="Arial"/>
                <w:color w:val="auto"/>
                <w:sz w:val="20"/>
                <w:lang w:val="en-GB"/>
              </w:rPr>
              <w:t xml:space="preserve">Member (Appointed on </w:t>
            </w:r>
            <w:r w:rsidR="0022502F">
              <w:rPr>
                <w:rFonts w:ascii="Arial" w:hAnsi="Arial" w:cs="Arial"/>
                <w:color w:val="auto"/>
                <w:sz w:val="20"/>
                <w:lang w:val="en-GB"/>
              </w:rPr>
              <w:t>01</w:t>
            </w:r>
            <w:r w:rsidRPr="00F746F9">
              <w:rPr>
                <w:rFonts w:ascii="Arial" w:hAnsi="Arial" w:cs="Arial"/>
                <w:color w:val="auto"/>
                <w:sz w:val="20"/>
                <w:lang w:val="en-GB"/>
              </w:rPr>
              <w:t xml:space="preserve"> January 202</w:t>
            </w:r>
            <w:r w:rsidR="0022502F">
              <w:rPr>
                <w:rFonts w:ascii="Arial" w:hAnsi="Arial" w:cs="Arial"/>
                <w:color w:val="auto"/>
                <w:sz w:val="20"/>
                <w:lang w:val="en-GB"/>
              </w:rPr>
              <w:t>0</w:t>
            </w:r>
            <w:r w:rsidRPr="00F746F9">
              <w:rPr>
                <w:rFonts w:ascii="Arial" w:hAnsi="Arial" w:cs="Arial"/>
                <w:color w:val="auto"/>
                <w:sz w:val="20"/>
                <w:lang w:val="en-GB"/>
              </w:rPr>
              <w:t>)</w:t>
            </w:r>
          </w:p>
        </w:tc>
      </w:tr>
    </w:tbl>
    <w:p w14:paraId="43C28389" w14:textId="77777777" w:rsidR="00F96D63" w:rsidRPr="002A0B87" w:rsidRDefault="00F96D63" w:rsidP="00F96D63">
      <w:pPr>
        <w:rPr>
          <w:rFonts w:cs="Arial"/>
          <w:lang w:val="en-GB"/>
        </w:rPr>
      </w:pPr>
    </w:p>
    <w:p w14:paraId="183CE50E" w14:textId="77777777" w:rsidR="00F96D63" w:rsidRDefault="00F96D63" w:rsidP="00F96D63">
      <w:pPr>
        <w:overflowPunct/>
        <w:autoSpaceDE/>
        <w:autoSpaceDN/>
        <w:adjustRightInd/>
        <w:textAlignment w:val="auto"/>
        <w:rPr>
          <w:rFonts w:cs="Arial"/>
        </w:rPr>
      </w:pPr>
    </w:p>
    <w:p w14:paraId="7F1ABAF0" w14:textId="23F03345" w:rsidR="00F10269" w:rsidRPr="002A0B87" w:rsidRDefault="000B026E" w:rsidP="00F10269">
      <w:pPr>
        <w:pStyle w:val="Heading1"/>
      </w:pPr>
      <w:r w:rsidRPr="000B026E">
        <w:t>MANAGEMENT AND CHIEF ACCOUNTANT</w:t>
      </w:r>
      <w:r w:rsidRPr="000B026E" w:rsidDel="000B026E">
        <w:t xml:space="preserve"> </w:t>
      </w:r>
    </w:p>
    <w:p w14:paraId="3F827CA7" w14:textId="77777777" w:rsidR="00F10269" w:rsidRPr="002A0B87" w:rsidRDefault="00F10269" w:rsidP="00F10269">
      <w:pPr>
        <w:rPr>
          <w:lang w:val="en-GB"/>
        </w:rPr>
      </w:pPr>
    </w:p>
    <w:p w14:paraId="0BF4E910" w14:textId="40252434" w:rsidR="00F10269" w:rsidRPr="002A0B87" w:rsidRDefault="007B197E" w:rsidP="00F10269">
      <w:pPr>
        <w:rPr>
          <w:i/>
          <w:lang w:val="en-GB"/>
        </w:rPr>
      </w:pPr>
      <w:r w:rsidRPr="007B197E">
        <w:rPr>
          <w:lang w:val="en-GB"/>
        </w:rPr>
        <w:t>Member of the Management and the Chief Accountant during the year and at the date of this report are:</w:t>
      </w:r>
    </w:p>
    <w:p w14:paraId="4D9DCED9" w14:textId="77777777" w:rsidR="00F10269" w:rsidRPr="002A0B87" w:rsidRDefault="00F10269" w:rsidP="00F10269">
      <w:pPr>
        <w:rPr>
          <w:lang w:val="en-GB"/>
        </w:rPr>
      </w:pPr>
    </w:p>
    <w:tbl>
      <w:tblPr>
        <w:tblW w:w="8910" w:type="dxa"/>
        <w:tblLayout w:type="fixed"/>
        <w:tblLook w:val="01E0" w:firstRow="1" w:lastRow="1" w:firstColumn="1" w:lastColumn="1" w:noHBand="0" w:noVBand="0"/>
      </w:tblPr>
      <w:tblGrid>
        <w:gridCol w:w="2678"/>
        <w:gridCol w:w="6232"/>
      </w:tblGrid>
      <w:tr w:rsidR="00F10269" w:rsidRPr="002A0B87" w14:paraId="3ECAFFDB" w14:textId="77777777" w:rsidTr="001A70A3">
        <w:tc>
          <w:tcPr>
            <w:tcW w:w="2678" w:type="dxa"/>
            <w:vAlign w:val="bottom"/>
          </w:tcPr>
          <w:p w14:paraId="3A1531F9" w14:textId="6BEAB282" w:rsidR="00F10269" w:rsidRPr="002A0B87" w:rsidRDefault="00BE046B" w:rsidP="001A70A3">
            <w:pPr>
              <w:pStyle w:val="normaltext"/>
              <w:pBdr>
                <w:bottom w:val="single" w:sz="4" w:space="1" w:color="auto"/>
              </w:pBdr>
              <w:ind w:left="-108" w:right="170"/>
              <w:rPr>
                <w:rFonts w:ascii="Arial" w:hAnsi="Arial" w:cs="Arial"/>
                <w:i/>
                <w:color w:val="auto"/>
                <w:sz w:val="20"/>
                <w:lang w:val="en-GB"/>
              </w:rPr>
            </w:pPr>
            <w:r>
              <w:rPr>
                <w:rFonts w:ascii="Arial" w:hAnsi="Arial" w:cs="Arial"/>
                <w:i/>
                <w:color w:val="auto"/>
                <w:sz w:val="20"/>
                <w:lang w:val="en-GB"/>
              </w:rPr>
              <w:t>Name</w:t>
            </w:r>
          </w:p>
        </w:tc>
        <w:tc>
          <w:tcPr>
            <w:tcW w:w="6232" w:type="dxa"/>
            <w:vAlign w:val="bottom"/>
          </w:tcPr>
          <w:p w14:paraId="5A2B00D0" w14:textId="25CF1A57" w:rsidR="00F10269" w:rsidRPr="002A0B87" w:rsidRDefault="00EC178A" w:rsidP="001A70A3">
            <w:pPr>
              <w:pStyle w:val="normaltext"/>
              <w:pBdr>
                <w:bottom w:val="single" w:sz="4" w:space="1" w:color="auto"/>
              </w:pBdr>
              <w:ind w:left="-115" w:right="227"/>
              <w:rPr>
                <w:rFonts w:ascii="Arial" w:hAnsi="Arial" w:cs="Arial"/>
                <w:i/>
                <w:color w:val="auto"/>
                <w:sz w:val="20"/>
                <w:lang w:val="en-GB"/>
              </w:rPr>
            </w:pPr>
            <w:r>
              <w:rPr>
                <w:rFonts w:ascii="Arial" w:hAnsi="Arial" w:cs="Arial"/>
                <w:i/>
                <w:color w:val="auto"/>
                <w:sz w:val="20"/>
                <w:lang w:val="en-GB"/>
              </w:rPr>
              <w:t>Position</w:t>
            </w:r>
          </w:p>
        </w:tc>
      </w:tr>
      <w:tr w:rsidR="00F10269" w:rsidRPr="002A0B87" w14:paraId="00329F9D" w14:textId="77777777" w:rsidTr="001A70A3">
        <w:tc>
          <w:tcPr>
            <w:tcW w:w="2678" w:type="dxa"/>
          </w:tcPr>
          <w:p w14:paraId="0CC65BAA" w14:textId="467ACE4B" w:rsidR="00F10269" w:rsidRPr="002A0B87" w:rsidRDefault="005E63DD" w:rsidP="001A70A3">
            <w:pPr>
              <w:pStyle w:val="normaltext"/>
              <w:spacing w:before="120"/>
              <w:ind w:left="-108"/>
              <w:rPr>
                <w:rFonts w:ascii="Arial" w:hAnsi="Arial" w:cs="Arial"/>
                <w:color w:val="auto"/>
                <w:sz w:val="20"/>
              </w:rPr>
            </w:pPr>
            <w:r>
              <w:rPr>
                <w:rFonts w:ascii="Arial" w:hAnsi="Arial" w:cs="Arial"/>
                <w:color w:val="auto"/>
                <w:sz w:val="20"/>
              </w:rPr>
              <w:t xml:space="preserve">Mr. </w:t>
            </w:r>
            <w:r w:rsidR="00F10269">
              <w:rPr>
                <w:rFonts w:ascii="Arial" w:hAnsi="Arial" w:cs="Arial"/>
                <w:color w:val="auto"/>
                <w:sz w:val="20"/>
              </w:rPr>
              <w:t xml:space="preserve">Lee </w:t>
            </w:r>
            <w:proofErr w:type="spellStart"/>
            <w:r w:rsidR="00F10269">
              <w:rPr>
                <w:rFonts w:ascii="Arial" w:hAnsi="Arial" w:cs="Arial"/>
                <w:color w:val="auto"/>
                <w:sz w:val="20"/>
              </w:rPr>
              <w:t>Jin</w:t>
            </w:r>
            <w:proofErr w:type="spellEnd"/>
            <w:r w:rsidR="00F10269">
              <w:rPr>
                <w:rFonts w:ascii="Arial" w:hAnsi="Arial" w:cs="Arial"/>
                <w:color w:val="auto"/>
                <w:sz w:val="20"/>
              </w:rPr>
              <w:t xml:space="preserve"> Hwan</w:t>
            </w:r>
          </w:p>
        </w:tc>
        <w:tc>
          <w:tcPr>
            <w:tcW w:w="6232" w:type="dxa"/>
          </w:tcPr>
          <w:p w14:paraId="30B739D6" w14:textId="315FFA4E" w:rsidR="00F10269" w:rsidRPr="002A0B87" w:rsidRDefault="00AC7519" w:rsidP="001A70A3">
            <w:pPr>
              <w:pStyle w:val="normaltext"/>
              <w:spacing w:before="120"/>
              <w:ind w:left="-115"/>
              <w:rPr>
                <w:rFonts w:ascii="Arial" w:hAnsi="Arial" w:cs="Arial"/>
                <w:color w:val="auto"/>
                <w:sz w:val="20"/>
                <w:lang w:val="en-GB"/>
              </w:rPr>
            </w:pPr>
            <w:r w:rsidRPr="00AC7519">
              <w:rPr>
                <w:rFonts w:ascii="Arial" w:hAnsi="Arial" w:cs="Arial"/>
                <w:color w:val="auto"/>
                <w:sz w:val="20"/>
                <w:lang w:val="en-GB"/>
              </w:rPr>
              <w:t>General Director</w:t>
            </w:r>
            <w:r w:rsidR="00D538B2">
              <w:rPr>
                <w:rFonts w:ascii="Arial" w:hAnsi="Arial" w:cs="Arial"/>
                <w:color w:val="auto"/>
                <w:sz w:val="20"/>
                <w:lang w:val="en-GB"/>
              </w:rPr>
              <w:t xml:space="preserve"> (Appointed on 01 January 2020)</w:t>
            </w:r>
          </w:p>
        </w:tc>
      </w:tr>
      <w:tr w:rsidR="00F10269" w:rsidRPr="002A0B87" w14:paraId="108DC244" w14:textId="77777777" w:rsidTr="001A70A3">
        <w:tc>
          <w:tcPr>
            <w:tcW w:w="2678" w:type="dxa"/>
          </w:tcPr>
          <w:p w14:paraId="3121E77C" w14:textId="07E48D0F" w:rsidR="00F10269" w:rsidRPr="002A0B87" w:rsidRDefault="002A443A" w:rsidP="001A70A3">
            <w:pPr>
              <w:pStyle w:val="normaltext"/>
              <w:ind w:left="-108"/>
              <w:rPr>
                <w:rFonts w:ascii="Arial" w:hAnsi="Arial" w:cs="Arial"/>
                <w:color w:val="auto"/>
                <w:sz w:val="20"/>
              </w:rPr>
            </w:pPr>
            <w:r w:rsidRPr="002A443A">
              <w:rPr>
                <w:rFonts w:ascii="Arial" w:hAnsi="Arial" w:cs="Arial"/>
                <w:color w:val="auto"/>
                <w:sz w:val="20"/>
              </w:rPr>
              <w:t>Mr. Nguyen Van Quang</w:t>
            </w:r>
          </w:p>
        </w:tc>
        <w:tc>
          <w:tcPr>
            <w:tcW w:w="6232" w:type="dxa"/>
          </w:tcPr>
          <w:p w14:paraId="7CBA4248" w14:textId="1F82BCB3" w:rsidR="00F10269" w:rsidRPr="002A0B87" w:rsidRDefault="00C37288" w:rsidP="001A70A3">
            <w:pPr>
              <w:pStyle w:val="normaltext"/>
              <w:ind w:left="-115"/>
              <w:rPr>
                <w:rFonts w:ascii="Arial" w:hAnsi="Arial" w:cs="Arial"/>
                <w:color w:val="auto"/>
                <w:sz w:val="20"/>
                <w:lang w:val="en-GB"/>
              </w:rPr>
            </w:pPr>
            <w:r w:rsidRPr="00C37288">
              <w:rPr>
                <w:rFonts w:ascii="Arial" w:hAnsi="Arial" w:cs="Arial"/>
                <w:color w:val="auto"/>
                <w:sz w:val="20"/>
                <w:lang w:val="en-GB"/>
              </w:rPr>
              <w:t>Acting Deputy General Director</w:t>
            </w:r>
            <w:r w:rsidR="00D538B2">
              <w:rPr>
                <w:rFonts w:ascii="Arial" w:hAnsi="Arial" w:cs="Arial"/>
                <w:color w:val="auto"/>
                <w:sz w:val="20"/>
                <w:lang w:val="en-GB"/>
              </w:rPr>
              <w:t xml:space="preserve"> (Appointed</w:t>
            </w:r>
            <w:r w:rsidR="00B4047F">
              <w:rPr>
                <w:rFonts w:ascii="Arial" w:hAnsi="Arial" w:cs="Arial"/>
                <w:color w:val="auto"/>
                <w:sz w:val="20"/>
                <w:lang w:val="en-GB"/>
              </w:rPr>
              <w:t xml:space="preserve"> on 06 April 2015)</w:t>
            </w:r>
          </w:p>
        </w:tc>
      </w:tr>
      <w:tr w:rsidR="00F10269" w:rsidRPr="002A0B87" w14:paraId="241B959D" w14:textId="77777777" w:rsidTr="001A70A3">
        <w:tc>
          <w:tcPr>
            <w:tcW w:w="2678" w:type="dxa"/>
          </w:tcPr>
          <w:p w14:paraId="296252CB" w14:textId="2C019AD3" w:rsidR="00F10269" w:rsidRPr="002A0B87" w:rsidRDefault="00225DCC" w:rsidP="001A70A3">
            <w:pPr>
              <w:pStyle w:val="normaltext"/>
              <w:ind w:left="-108"/>
              <w:rPr>
                <w:rFonts w:ascii="Arial" w:hAnsi="Arial" w:cs="Arial"/>
                <w:color w:val="auto"/>
                <w:sz w:val="20"/>
              </w:rPr>
            </w:pPr>
            <w:r w:rsidRPr="00225DCC">
              <w:rPr>
                <w:rFonts w:ascii="Arial" w:hAnsi="Arial" w:cs="Arial"/>
                <w:color w:val="auto"/>
                <w:sz w:val="20"/>
              </w:rPr>
              <w:t>Mr. Nguyen Ngoc Dung</w:t>
            </w:r>
          </w:p>
        </w:tc>
        <w:tc>
          <w:tcPr>
            <w:tcW w:w="6232" w:type="dxa"/>
          </w:tcPr>
          <w:p w14:paraId="3C0EF00A" w14:textId="2FC439C3" w:rsidR="00F10269" w:rsidRPr="002A0B87" w:rsidRDefault="001E1D60" w:rsidP="001A70A3">
            <w:pPr>
              <w:pStyle w:val="normaltext"/>
              <w:ind w:left="-115"/>
              <w:rPr>
                <w:rFonts w:ascii="Arial" w:hAnsi="Arial" w:cs="Arial"/>
                <w:color w:val="auto"/>
                <w:sz w:val="20"/>
                <w:lang w:val="en-GB"/>
              </w:rPr>
            </w:pPr>
            <w:r w:rsidRPr="001E1D60">
              <w:rPr>
                <w:rFonts w:ascii="Arial" w:hAnsi="Arial" w:cs="Arial"/>
                <w:color w:val="auto"/>
                <w:sz w:val="20"/>
                <w:lang w:val="en-GB"/>
              </w:rPr>
              <w:t>Deputy General Director (Appointed on 23 April 2021)</w:t>
            </w:r>
          </w:p>
        </w:tc>
      </w:tr>
      <w:tr w:rsidR="00F10269" w:rsidRPr="002A0B87" w14:paraId="1F2333D0" w14:textId="77777777" w:rsidTr="001A70A3">
        <w:tc>
          <w:tcPr>
            <w:tcW w:w="2678" w:type="dxa"/>
          </w:tcPr>
          <w:p w14:paraId="514763AD" w14:textId="1E04D29A" w:rsidR="00F10269" w:rsidRPr="0090306A" w:rsidRDefault="003B18CD" w:rsidP="001A70A3">
            <w:pPr>
              <w:pStyle w:val="normaltext"/>
              <w:ind w:left="-108"/>
              <w:rPr>
                <w:rFonts w:ascii="Arial" w:hAnsi="Arial" w:cs="Arial"/>
                <w:color w:val="auto"/>
                <w:sz w:val="20"/>
              </w:rPr>
            </w:pPr>
            <w:r w:rsidRPr="003B18CD">
              <w:rPr>
                <w:rFonts w:ascii="Arial" w:hAnsi="Arial" w:cs="Arial"/>
                <w:color w:val="auto"/>
                <w:sz w:val="20"/>
              </w:rPr>
              <w:t>Ms. Nguyen Thi Van</w:t>
            </w:r>
          </w:p>
        </w:tc>
        <w:tc>
          <w:tcPr>
            <w:tcW w:w="6232" w:type="dxa"/>
          </w:tcPr>
          <w:p w14:paraId="3AC7D42A" w14:textId="5D4BEEDC" w:rsidR="00F10269" w:rsidRPr="0090306A" w:rsidRDefault="00547784" w:rsidP="001A70A3">
            <w:pPr>
              <w:pStyle w:val="normaltext"/>
              <w:ind w:left="-115"/>
              <w:rPr>
                <w:rFonts w:ascii="Arial" w:hAnsi="Arial" w:cs="Arial"/>
                <w:color w:val="auto"/>
                <w:sz w:val="20"/>
                <w:lang w:val="en-GB"/>
              </w:rPr>
            </w:pPr>
            <w:r w:rsidRPr="00547784">
              <w:rPr>
                <w:rFonts w:ascii="Arial" w:hAnsi="Arial" w:cs="Arial"/>
                <w:color w:val="auto"/>
                <w:sz w:val="20"/>
                <w:lang w:val="en-GB"/>
              </w:rPr>
              <w:t>Chief Accountant</w:t>
            </w:r>
            <w:r w:rsidR="00B4047F">
              <w:rPr>
                <w:rFonts w:ascii="Arial" w:hAnsi="Arial" w:cs="Arial"/>
                <w:color w:val="auto"/>
                <w:sz w:val="20"/>
                <w:lang w:val="en-GB"/>
              </w:rPr>
              <w:t xml:space="preserve"> (Appointed on 17 January</w:t>
            </w:r>
            <w:r w:rsidR="00D576E7">
              <w:rPr>
                <w:rFonts w:ascii="Arial" w:hAnsi="Arial" w:cs="Arial"/>
                <w:color w:val="auto"/>
                <w:sz w:val="20"/>
                <w:lang w:val="en-GB"/>
              </w:rPr>
              <w:t xml:space="preserve"> 2019)</w:t>
            </w:r>
          </w:p>
        </w:tc>
      </w:tr>
    </w:tbl>
    <w:p w14:paraId="2B88281C" w14:textId="3C379CA4" w:rsidR="00F10269" w:rsidRDefault="00F10269" w:rsidP="00F10269">
      <w:pPr>
        <w:rPr>
          <w:lang w:val="en-GB"/>
        </w:rPr>
      </w:pPr>
    </w:p>
    <w:p w14:paraId="3C811BD1" w14:textId="77777777" w:rsidR="00F10269" w:rsidRDefault="00F10269" w:rsidP="003C222B">
      <w:pPr>
        <w:rPr>
          <w:lang w:val="en-GB"/>
        </w:rPr>
      </w:pPr>
    </w:p>
    <w:p w14:paraId="4E22642C" w14:textId="16E07DBE" w:rsidR="003B49C2" w:rsidRPr="002A0B87" w:rsidRDefault="003D61CE" w:rsidP="000B1135">
      <w:pPr>
        <w:pStyle w:val="Heading1"/>
        <w:rPr>
          <w:lang w:val="en-GB"/>
        </w:rPr>
      </w:pPr>
      <w:r w:rsidRPr="003D61CE">
        <w:rPr>
          <w:lang w:val="en-GB"/>
        </w:rPr>
        <w:t>LEGAL REPRESENTATIVE</w:t>
      </w:r>
      <w:r w:rsidRPr="003D61CE" w:rsidDel="003D61CE">
        <w:rPr>
          <w:lang w:val="en-GB"/>
        </w:rPr>
        <w:t xml:space="preserve"> </w:t>
      </w:r>
    </w:p>
    <w:p w14:paraId="1869CA06" w14:textId="77777777" w:rsidR="003B49C2" w:rsidRPr="002A0B87" w:rsidRDefault="003B49C2" w:rsidP="000B1135">
      <w:pPr>
        <w:rPr>
          <w:lang w:val="en-GB"/>
        </w:rPr>
      </w:pPr>
    </w:p>
    <w:p w14:paraId="2D77FA15" w14:textId="1DF669E7" w:rsidR="003B49C2" w:rsidRPr="002A0B87" w:rsidRDefault="00F822A8" w:rsidP="000B1135">
      <w:pPr>
        <w:rPr>
          <w:lang w:val="en-GB"/>
        </w:rPr>
      </w:pPr>
      <w:r w:rsidRPr="00F822A8">
        <w:rPr>
          <w:lang w:val="en-GB"/>
        </w:rPr>
        <w:t xml:space="preserve">The legal representative of the Company during the year and at the date of this report is Mr. Lee </w:t>
      </w:r>
      <w:proofErr w:type="spellStart"/>
      <w:r w:rsidRPr="00F822A8">
        <w:rPr>
          <w:lang w:val="en-GB"/>
        </w:rPr>
        <w:t>Jin</w:t>
      </w:r>
      <w:proofErr w:type="spellEnd"/>
      <w:r w:rsidRPr="00F822A8">
        <w:rPr>
          <w:lang w:val="en-GB"/>
        </w:rPr>
        <w:t xml:space="preserve"> Hwan – General Director.</w:t>
      </w:r>
    </w:p>
    <w:p w14:paraId="0C4C4477" w14:textId="77777777" w:rsidR="0015179D" w:rsidRPr="002A0B87" w:rsidRDefault="0015179D" w:rsidP="000B1135">
      <w:pPr>
        <w:rPr>
          <w:lang w:val="en-GB"/>
        </w:rPr>
      </w:pPr>
    </w:p>
    <w:p w14:paraId="42843E20" w14:textId="77777777" w:rsidR="00EA1672" w:rsidRPr="002A0B87" w:rsidRDefault="00EA1672" w:rsidP="000B1135">
      <w:pPr>
        <w:rPr>
          <w:lang w:val="en-GB"/>
        </w:rPr>
      </w:pPr>
    </w:p>
    <w:p w14:paraId="7C55D19F" w14:textId="114990C6" w:rsidR="003B49C2" w:rsidRPr="002A0B87" w:rsidRDefault="00567FD9" w:rsidP="000B1135">
      <w:pPr>
        <w:pStyle w:val="Heading1"/>
        <w:rPr>
          <w:lang w:val="en-GB"/>
        </w:rPr>
      </w:pPr>
      <w:r w:rsidRPr="00567FD9">
        <w:rPr>
          <w:lang w:val="en-GB"/>
        </w:rPr>
        <w:t>AUDITORS</w:t>
      </w:r>
      <w:r w:rsidRPr="00567FD9" w:rsidDel="00567FD9">
        <w:rPr>
          <w:lang w:val="en-GB"/>
        </w:rPr>
        <w:t xml:space="preserve"> </w:t>
      </w:r>
    </w:p>
    <w:p w14:paraId="0357B01C" w14:textId="77777777" w:rsidR="003B49C2" w:rsidRPr="002A0B87" w:rsidRDefault="003B49C2" w:rsidP="000B1135">
      <w:pPr>
        <w:rPr>
          <w:lang w:val="en-GB"/>
        </w:rPr>
      </w:pPr>
    </w:p>
    <w:p w14:paraId="352583CC" w14:textId="4E43A4D7" w:rsidR="000F6856" w:rsidRPr="002A0B87" w:rsidRDefault="0005448F" w:rsidP="000B1135">
      <w:pPr>
        <w:rPr>
          <w:lang w:val="en-GB"/>
        </w:rPr>
      </w:pPr>
      <w:r w:rsidRPr="0005448F">
        <w:rPr>
          <w:lang w:val="en-GB"/>
        </w:rPr>
        <w:t>The auditors of the Company are Ernst &amp; Young Vietnam Limited.</w:t>
      </w:r>
    </w:p>
    <w:p w14:paraId="1146C105" w14:textId="77777777" w:rsidR="00E943A5" w:rsidRPr="002A0B87" w:rsidRDefault="00E943A5" w:rsidP="000B1135">
      <w:pPr>
        <w:rPr>
          <w:lang w:val="en-GB"/>
        </w:rPr>
      </w:pPr>
    </w:p>
    <w:p w14:paraId="4E3C3F2B" w14:textId="7B3DE9FE" w:rsidR="00E943A5" w:rsidRPr="002A0B87" w:rsidRDefault="00E943A5">
      <w:pPr>
        <w:pStyle w:val="BodyText"/>
        <w:rPr>
          <w:rFonts w:ascii="Arial" w:hAnsi="Arial" w:cs="Arial"/>
          <w:lang w:val="en-GB"/>
        </w:rPr>
        <w:sectPr w:rsidR="00E943A5" w:rsidRPr="002A0B87" w:rsidSect="00132397">
          <w:headerReference w:type="even" r:id="rId21"/>
          <w:headerReference w:type="default" r:id="rId22"/>
          <w:footerReference w:type="default" r:id="rId23"/>
          <w:headerReference w:type="first" r:id="rId24"/>
          <w:pgSz w:w="11909" w:h="16834" w:code="9"/>
          <w:pgMar w:top="1440" w:right="1440" w:bottom="862" w:left="1582" w:header="720" w:footer="578" w:gutter="0"/>
          <w:pgNumType w:start="2"/>
          <w:cols w:space="720"/>
        </w:sectPr>
      </w:pPr>
    </w:p>
    <w:p w14:paraId="6297B7CA" w14:textId="68DC0527" w:rsidR="00AA15E0" w:rsidRPr="002A0B87" w:rsidRDefault="00BA4B49" w:rsidP="00497141">
      <w:pPr>
        <w:rPr>
          <w:lang w:val="en-GB"/>
        </w:rPr>
      </w:pPr>
      <w:r w:rsidRPr="00BA4B49">
        <w:rPr>
          <w:lang w:val="en-GB"/>
        </w:rPr>
        <w:lastRenderedPageBreak/>
        <w:t>Management of NH Securities Vietnam Co., Ltd (“the Company”) is pleased to present its report and the Company’s financial statements for the year ended 31 December 202</w:t>
      </w:r>
      <w:r w:rsidR="002B1164">
        <w:rPr>
          <w:lang w:val="en-GB"/>
        </w:rPr>
        <w:t>2</w:t>
      </w:r>
      <w:r w:rsidRPr="00BA4B49">
        <w:rPr>
          <w:lang w:val="en-GB"/>
        </w:rPr>
        <w:t>.</w:t>
      </w:r>
    </w:p>
    <w:p w14:paraId="221F9D62" w14:textId="77777777" w:rsidR="004757AA" w:rsidRPr="002A0B87" w:rsidRDefault="004757AA" w:rsidP="00497141">
      <w:pPr>
        <w:rPr>
          <w:lang w:val="en-GB"/>
        </w:rPr>
      </w:pPr>
    </w:p>
    <w:p w14:paraId="595BD749" w14:textId="77777777" w:rsidR="00AA15E0" w:rsidRPr="002A0B87" w:rsidRDefault="00AA15E0" w:rsidP="00497141">
      <w:pPr>
        <w:rPr>
          <w:lang w:val="en-GB"/>
        </w:rPr>
      </w:pPr>
    </w:p>
    <w:p w14:paraId="31E56CFA" w14:textId="16362F9A" w:rsidR="00C72A97" w:rsidRPr="002A0B87" w:rsidRDefault="004612A7" w:rsidP="0039060D">
      <w:pPr>
        <w:pStyle w:val="Heading1"/>
        <w:rPr>
          <w:rFonts w:cs="Arial"/>
          <w:b w:val="0"/>
          <w:lang w:val="en-GB"/>
        </w:rPr>
      </w:pPr>
      <w:r w:rsidRPr="004612A7">
        <w:rPr>
          <w:rFonts w:cs="Arial"/>
          <w:lang w:val="en-GB"/>
        </w:rPr>
        <w:t>MANAGEMENT’S RESPONSIBILITY IN RESPECT OF THE FINANCIAL STATEMENTS</w:t>
      </w:r>
      <w:r w:rsidRPr="004612A7" w:rsidDel="004612A7">
        <w:rPr>
          <w:rFonts w:cs="Arial"/>
          <w:lang w:val="en-GB"/>
        </w:rPr>
        <w:t xml:space="preserve"> </w:t>
      </w:r>
      <w:r w:rsidR="00D856CE">
        <w:rPr>
          <w:rFonts w:cs="Arial"/>
          <w:lang w:val="en-GB"/>
        </w:rPr>
        <w:t xml:space="preserve"> </w:t>
      </w:r>
    </w:p>
    <w:p w14:paraId="01ECCBE0" w14:textId="77777777" w:rsidR="00F571BA" w:rsidRPr="002A0B87" w:rsidRDefault="00F571BA" w:rsidP="00497141">
      <w:pPr>
        <w:rPr>
          <w:lang w:val="en-GB"/>
        </w:rPr>
      </w:pPr>
    </w:p>
    <w:p w14:paraId="15FA2345" w14:textId="46920274" w:rsidR="00C72A97" w:rsidRPr="002A0B87" w:rsidRDefault="002B4523" w:rsidP="00497141">
      <w:pPr>
        <w:rPr>
          <w:lang w:val="en-GB"/>
        </w:rPr>
      </w:pPr>
      <w:r w:rsidRPr="002B4523">
        <w:rPr>
          <w:lang w:val="en-GB"/>
        </w:rPr>
        <w:t xml:space="preserve">Management of the Company is responsible for ensuring that the financial statements of each financial year that give a true and fair view of the financial position of the Company and of the results of its operation, its cash </w:t>
      </w:r>
      <w:proofErr w:type="gramStart"/>
      <w:r w:rsidRPr="002B4523">
        <w:rPr>
          <w:lang w:val="en-GB"/>
        </w:rPr>
        <w:t>flows</w:t>
      </w:r>
      <w:proofErr w:type="gramEnd"/>
      <w:r w:rsidRPr="002B4523">
        <w:rPr>
          <w:lang w:val="en-GB"/>
        </w:rPr>
        <w:t xml:space="preserve"> and its changes in equity for the year. In preparing those financial statements, Management is required to:</w:t>
      </w:r>
    </w:p>
    <w:p w14:paraId="3827BA6D" w14:textId="29563F4D" w:rsidR="00C72A97" w:rsidRPr="000C3D1A" w:rsidRDefault="00320BA0" w:rsidP="00FD742F">
      <w:pPr>
        <w:pStyle w:val="ListParagraph"/>
        <w:numPr>
          <w:ilvl w:val="0"/>
          <w:numId w:val="19"/>
        </w:numPr>
        <w:spacing w:before="120"/>
        <w:ind w:left="360"/>
        <w:contextualSpacing w:val="0"/>
      </w:pPr>
      <w:r w:rsidRPr="00320BA0">
        <w:t xml:space="preserve">select suitable accounting policies and apply them </w:t>
      </w:r>
      <w:proofErr w:type="gramStart"/>
      <w:r w:rsidRPr="00320BA0">
        <w:t>consistently;</w:t>
      </w:r>
      <w:proofErr w:type="gramEnd"/>
    </w:p>
    <w:p w14:paraId="6727AF74" w14:textId="6CC72637" w:rsidR="00C72A97" w:rsidRPr="000C3D1A" w:rsidRDefault="00B1435B" w:rsidP="00FD742F">
      <w:pPr>
        <w:pStyle w:val="ListParagraph"/>
        <w:numPr>
          <w:ilvl w:val="0"/>
          <w:numId w:val="19"/>
        </w:numPr>
        <w:spacing w:before="120"/>
        <w:ind w:left="360"/>
        <w:contextualSpacing w:val="0"/>
      </w:pPr>
      <w:r w:rsidRPr="00B1435B">
        <w:t xml:space="preserve">make judgments and estimates that are reasonable and </w:t>
      </w:r>
      <w:proofErr w:type="gramStart"/>
      <w:r w:rsidRPr="00B1435B">
        <w:t>prudent;</w:t>
      </w:r>
      <w:proofErr w:type="gramEnd"/>
      <w:r w:rsidR="00E24F18" w:rsidRPr="000C3D1A">
        <w:t xml:space="preserve"> </w:t>
      </w:r>
    </w:p>
    <w:p w14:paraId="7882D665" w14:textId="6A750962" w:rsidR="00C72A97" w:rsidRPr="000C3D1A" w:rsidRDefault="005A2F5B" w:rsidP="00FD742F">
      <w:pPr>
        <w:pStyle w:val="ListParagraph"/>
        <w:numPr>
          <w:ilvl w:val="0"/>
          <w:numId w:val="19"/>
        </w:numPr>
        <w:spacing w:before="120"/>
        <w:ind w:left="360"/>
        <w:contextualSpacing w:val="0"/>
      </w:pPr>
      <w:r w:rsidRPr="005A2F5B">
        <w:tab/>
        <w:t>state whether applicable accounting standards have been followed, subject to any material departures disclosed and explained in the financial statements; and</w:t>
      </w:r>
      <w:r w:rsidRPr="005A2F5B" w:rsidDel="005A2F5B">
        <w:t xml:space="preserve"> </w:t>
      </w:r>
    </w:p>
    <w:p w14:paraId="4E67D80D" w14:textId="26F5EE5D" w:rsidR="00C72A97" w:rsidRPr="000C3D1A" w:rsidRDefault="00C41BBA" w:rsidP="00FD742F">
      <w:pPr>
        <w:pStyle w:val="ListParagraph"/>
        <w:numPr>
          <w:ilvl w:val="0"/>
          <w:numId w:val="19"/>
        </w:numPr>
        <w:spacing w:before="120"/>
        <w:ind w:left="360"/>
        <w:contextualSpacing w:val="0"/>
      </w:pPr>
      <w:r w:rsidRPr="00C41BBA">
        <w:tab/>
        <w:t>prepare the financial statements on the going concern basis unless it is inappropriate to presume that the Company will continue its business.</w:t>
      </w:r>
    </w:p>
    <w:p w14:paraId="5DB1B8B7" w14:textId="77777777" w:rsidR="00556795" w:rsidRPr="002A0B87" w:rsidRDefault="00556795" w:rsidP="00497141">
      <w:pPr>
        <w:rPr>
          <w:lang w:val="en-GB"/>
        </w:rPr>
      </w:pPr>
    </w:p>
    <w:p w14:paraId="05D64273" w14:textId="66C7ED37" w:rsidR="0028302B" w:rsidRDefault="00D97B0F" w:rsidP="00497141">
      <w:pPr>
        <w:rPr>
          <w:lang w:val="en-GB"/>
        </w:rPr>
      </w:pPr>
      <w:r w:rsidRPr="00D97B0F">
        <w:rPr>
          <w:lang w:val="en-GB"/>
        </w:rPr>
        <w:t>Management of the Company is responsible for ensuring that proper accounting records are kept which disclose, with reasonable accuracy at any time, the financial position of the Company and to ensure that the accounting records comply with the applied accounting system. It is also responsible for safeguarding the assets of the Company and hence for taking reasonable steps for the prevention and detection of frauds and other irregularities.</w:t>
      </w:r>
      <w:r w:rsidRPr="00D97B0F">
        <w:rPr>
          <w:lang w:val="en-GB"/>
        </w:rPr>
        <w:tab/>
      </w:r>
    </w:p>
    <w:p w14:paraId="7732E3AB" w14:textId="77777777" w:rsidR="00D856CE" w:rsidRPr="002A0B87" w:rsidRDefault="00D856CE" w:rsidP="00497141">
      <w:pPr>
        <w:rPr>
          <w:lang w:val="en-GB"/>
        </w:rPr>
      </w:pPr>
    </w:p>
    <w:p w14:paraId="07BFFA0B" w14:textId="3C7B4F55" w:rsidR="0028302B" w:rsidRPr="002A0B87" w:rsidRDefault="0002668E" w:rsidP="00497141">
      <w:pPr>
        <w:rPr>
          <w:bCs/>
          <w:lang w:val="en-GB"/>
        </w:rPr>
      </w:pPr>
      <w:r w:rsidRPr="0002668E">
        <w:rPr>
          <w:lang w:val="en-GB"/>
        </w:rPr>
        <w:t>Management of the Company confirmed that it has complied with the above requirements in preparing the accompanying financial statements.</w:t>
      </w:r>
    </w:p>
    <w:p w14:paraId="6AE822D0" w14:textId="77777777" w:rsidR="0070419B" w:rsidRPr="002A0B87" w:rsidRDefault="0070419B" w:rsidP="00497141">
      <w:pPr>
        <w:rPr>
          <w:lang w:val="en-GB"/>
        </w:rPr>
      </w:pPr>
    </w:p>
    <w:p w14:paraId="668C6394" w14:textId="77777777" w:rsidR="003E7EFE" w:rsidRPr="002A0B87" w:rsidRDefault="003E7EFE" w:rsidP="00497141">
      <w:pPr>
        <w:rPr>
          <w:lang w:val="en-GB"/>
        </w:rPr>
      </w:pPr>
    </w:p>
    <w:p w14:paraId="57E3A937" w14:textId="619F3CFA" w:rsidR="00815A02" w:rsidRPr="002A0B87" w:rsidRDefault="002A561D">
      <w:pPr>
        <w:rPr>
          <w:rFonts w:cs="Arial"/>
          <w:lang w:val="en-GB"/>
        </w:rPr>
      </w:pPr>
      <w:r w:rsidRPr="002A561D">
        <w:rPr>
          <w:rFonts w:cs="Arial"/>
          <w:b/>
          <w:lang w:val="en-GB"/>
        </w:rPr>
        <w:t>STATEMENT BY MANAGEMENT</w:t>
      </w:r>
      <w:r w:rsidRPr="002A561D" w:rsidDel="002A561D">
        <w:rPr>
          <w:rFonts w:cs="Arial"/>
          <w:b/>
          <w:lang w:val="en-GB"/>
        </w:rPr>
        <w:t xml:space="preserve"> </w:t>
      </w:r>
    </w:p>
    <w:p w14:paraId="1C64BB4A" w14:textId="4B7A48FA" w:rsidR="00815A02" w:rsidRPr="002A0B87" w:rsidRDefault="00815A02" w:rsidP="00497141">
      <w:pPr>
        <w:rPr>
          <w:lang w:val="en-GB"/>
        </w:rPr>
      </w:pPr>
    </w:p>
    <w:p w14:paraId="2D86DA8E" w14:textId="64FAD1E7" w:rsidR="00815A02" w:rsidRPr="002A0B87" w:rsidRDefault="00F30B5D" w:rsidP="00497141">
      <w:pPr>
        <w:rPr>
          <w:lang w:val="en-GB"/>
        </w:rPr>
      </w:pPr>
      <w:r w:rsidRPr="00F30B5D">
        <w:rPr>
          <w:rFonts w:cs="Arial"/>
          <w:color w:val="000000" w:themeColor="text1"/>
          <w:lang w:val="en-GB"/>
        </w:rPr>
        <w:t>The Company’s Management does hereby states that, in its opinion, the accompanying  financial statements give a true and fair view of the  financial position of the Company as at 31 December 2021, the  results of its operations, its  cash flows and its  changes in equity for the year then ended in accordance with Vietnamese Accounting Standards, Vietnamese Enterprise Accounting System, accounting guidance applicable to securities companies and the statutory requirements relevant to the preparation and presentation of the  financial statements.</w:t>
      </w:r>
    </w:p>
    <w:p w14:paraId="6E0A9DA8" w14:textId="77777777" w:rsidR="00C72A97" w:rsidRPr="002A0B87" w:rsidRDefault="00C72A97" w:rsidP="00497141">
      <w:pPr>
        <w:rPr>
          <w:lang w:val="en-GB"/>
        </w:rPr>
      </w:pPr>
    </w:p>
    <w:p w14:paraId="46C737F2" w14:textId="77777777" w:rsidR="00C17FC4" w:rsidRPr="002A0B87" w:rsidRDefault="00C17FC4" w:rsidP="00497141">
      <w:pPr>
        <w:rPr>
          <w:lang w:val="en-GB"/>
        </w:rPr>
      </w:pPr>
    </w:p>
    <w:tbl>
      <w:tblPr>
        <w:tblW w:w="0" w:type="auto"/>
        <w:tblLayout w:type="fixed"/>
        <w:tblLook w:val="01E0" w:firstRow="1" w:lastRow="1" w:firstColumn="1" w:lastColumn="1" w:noHBand="0" w:noVBand="0"/>
      </w:tblPr>
      <w:tblGrid>
        <w:gridCol w:w="4443"/>
      </w:tblGrid>
      <w:tr w:rsidR="00831D01" w:rsidRPr="002A0B87" w14:paraId="23C73271" w14:textId="77777777" w:rsidTr="00053DF6">
        <w:tc>
          <w:tcPr>
            <w:tcW w:w="4443" w:type="dxa"/>
            <w:vAlign w:val="bottom"/>
          </w:tcPr>
          <w:p w14:paraId="110E6763" w14:textId="74432BB8" w:rsidR="00831D01" w:rsidRPr="002A0B87" w:rsidRDefault="0087772D" w:rsidP="00BE088A">
            <w:pPr>
              <w:widowControl w:val="0"/>
              <w:pBdr>
                <w:bottom w:val="single" w:sz="4" w:space="1" w:color="auto"/>
              </w:pBdr>
              <w:tabs>
                <w:tab w:val="center" w:pos="5387"/>
                <w:tab w:val="left" w:pos="6300"/>
                <w:tab w:val="decimal" w:pos="7380"/>
                <w:tab w:val="left" w:pos="7740"/>
                <w:tab w:val="decimal" w:pos="8820"/>
              </w:tabs>
              <w:ind w:left="-115" w:right="58"/>
              <w:rPr>
                <w:rFonts w:cs="Arial"/>
              </w:rPr>
            </w:pPr>
            <w:r w:rsidRPr="0087772D">
              <w:rPr>
                <w:rFonts w:cs="Arial"/>
              </w:rPr>
              <w:t>On behalf of Management:</w:t>
            </w:r>
          </w:p>
          <w:p w14:paraId="70A0EDD8" w14:textId="77777777" w:rsidR="00831D01" w:rsidRPr="002A0B87" w:rsidRDefault="00831D01" w:rsidP="00BE088A">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68D1701A" w14:textId="77777777" w:rsidR="00831D01" w:rsidRPr="002A0B87" w:rsidRDefault="00831D01" w:rsidP="00BE088A">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45C6805E" w14:textId="77777777" w:rsidR="00831D01" w:rsidRPr="002A0B87" w:rsidRDefault="00831D01" w:rsidP="00BE088A">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6B3777B4" w14:textId="77777777" w:rsidR="00831D01" w:rsidRPr="002A0B87" w:rsidRDefault="00831D01" w:rsidP="00BE088A">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49F82143" w14:textId="77777777" w:rsidR="00831D01" w:rsidRPr="002A0B87" w:rsidRDefault="00831D01" w:rsidP="00BE088A">
            <w:pPr>
              <w:widowControl w:val="0"/>
              <w:pBdr>
                <w:bottom w:val="single" w:sz="4" w:space="1" w:color="auto"/>
              </w:pBdr>
              <w:tabs>
                <w:tab w:val="center" w:pos="5387"/>
                <w:tab w:val="left" w:pos="6300"/>
                <w:tab w:val="decimal" w:pos="7380"/>
                <w:tab w:val="left" w:pos="7740"/>
                <w:tab w:val="decimal" w:pos="8820"/>
              </w:tabs>
              <w:ind w:left="-115" w:right="58"/>
              <w:rPr>
                <w:rFonts w:cs="Arial"/>
              </w:rPr>
            </w:pPr>
          </w:p>
          <w:p w14:paraId="4F20DE55" w14:textId="77777777" w:rsidR="00831D01" w:rsidRPr="002A0B87" w:rsidRDefault="00831D01" w:rsidP="00BE088A">
            <w:pPr>
              <w:widowControl w:val="0"/>
              <w:pBdr>
                <w:bottom w:val="single" w:sz="4" w:space="1" w:color="auto"/>
              </w:pBdr>
              <w:tabs>
                <w:tab w:val="center" w:pos="5387"/>
                <w:tab w:val="left" w:pos="6300"/>
                <w:tab w:val="decimal" w:pos="7380"/>
                <w:tab w:val="left" w:pos="7740"/>
                <w:tab w:val="decimal" w:pos="8820"/>
              </w:tabs>
              <w:ind w:left="-115" w:right="58"/>
              <w:rPr>
                <w:rFonts w:cs="Arial"/>
              </w:rPr>
            </w:pPr>
          </w:p>
        </w:tc>
      </w:tr>
      <w:tr w:rsidR="00831D01" w:rsidRPr="002A0B87" w14:paraId="60A678FF" w14:textId="77777777" w:rsidTr="00053DF6">
        <w:tc>
          <w:tcPr>
            <w:tcW w:w="4443" w:type="dxa"/>
          </w:tcPr>
          <w:p w14:paraId="2BE6D033" w14:textId="6D2D428C" w:rsidR="00831D01" w:rsidRPr="002A0B87" w:rsidRDefault="00B94838" w:rsidP="00BE088A">
            <w:pPr>
              <w:tabs>
                <w:tab w:val="center" w:pos="5387"/>
                <w:tab w:val="left" w:pos="6300"/>
                <w:tab w:val="decimal" w:pos="7380"/>
                <w:tab w:val="left" w:pos="7740"/>
                <w:tab w:val="decimal" w:pos="8820"/>
              </w:tabs>
              <w:overflowPunct/>
              <w:autoSpaceDE/>
              <w:autoSpaceDN/>
              <w:adjustRightInd/>
              <w:ind w:left="-115" w:right="58"/>
              <w:textAlignment w:val="auto"/>
              <w:rPr>
                <w:rFonts w:eastAsia="Batang" w:cs="Arial"/>
              </w:rPr>
            </w:pPr>
            <w:r w:rsidRPr="00B94838">
              <w:rPr>
                <w:rFonts w:eastAsia="Batang" w:cs="Arial"/>
              </w:rPr>
              <w:t xml:space="preserve">Mr. Lee </w:t>
            </w:r>
            <w:proofErr w:type="spellStart"/>
            <w:r w:rsidRPr="00B94838">
              <w:rPr>
                <w:rFonts w:eastAsia="Batang" w:cs="Arial"/>
              </w:rPr>
              <w:t>Jin</w:t>
            </w:r>
            <w:proofErr w:type="spellEnd"/>
            <w:r w:rsidRPr="00B94838">
              <w:rPr>
                <w:rFonts w:eastAsia="Batang" w:cs="Arial"/>
              </w:rPr>
              <w:t xml:space="preserve"> Hwan</w:t>
            </w:r>
          </w:p>
          <w:p w14:paraId="50CE0261" w14:textId="1C6F42E1" w:rsidR="00831D01" w:rsidRPr="002A0B87" w:rsidRDefault="001B4CC7" w:rsidP="00BE088A">
            <w:pPr>
              <w:widowControl w:val="0"/>
              <w:tabs>
                <w:tab w:val="center" w:pos="5387"/>
                <w:tab w:val="left" w:pos="6300"/>
                <w:tab w:val="decimal" w:pos="7380"/>
                <w:tab w:val="left" w:pos="7740"/>
                <w:tab w:val="decimal" w:pos="8820"/>
              </w:tabs>
              <w:ind w:left="-115" w:right="58"/>
              <w:rPr>
                <w:rFonts w:cs="Arial"/>
              </w:rPr>
            </w:pPr>
            <w:r w:rsidRPr="001B4CC7">
              <w:rPr>
                <w:rFonts w:eastAsia="Batang" w:cs="Arial"/>
              </w:rPr>
              <w:t>General Director</w:t>
            </w:r>
          </w:p>
        </w:tc>
      </w:tr>
    </w:tbl>
    <w:p w14:paraId="36DCEF82" w14:textId="77777777" w:rsidR="003E7EFE" w:rsidRPr="002A0B87" w:rsidRDefault="003E7EFE" w:rsidP="00497141">
      <w:pPr>
        <w:rPr>
          <w:lang w:val="en-GB"/>
        </w:rPr>
      </w:pPr>
    </w:p>
    <w:p w14:paraId="54DD2F55" w14:textId="77777777" w:rsidR="004757AA" w:rsidRPr="002A0B87" w:rsidRDefault="004757AA" w:rsidP="00497141">
      <w:pPr>
        <w:rPr>
          <w:lang w:val="en-GB"/>
        </w:rPr>
      </w:pPr>
    </w:p>
    <w:p w14:paraId="446DB94E" w14:textId="189FDC55" w:rsidR="008F6C64" w:rsidRPr="002A0B87" w:rsidRDefault="001248F5" w:rsidP="00497141">
      <w:pPr>
        <w:rPr>
          <w:lang w:val="en-GB"/>
        </w:rPr>
      </w:pPr>
      <w:r w:rsidRPr="002A0B87">
        <w:rPr>
          <w:lang w:val="en-GB"/>
        </w:rPr>
        <w:t>H</w:t>
      </w:r>
      <w:r w:rsidR="001B4CC7">
        <w:rPr>
          <w:lang w:val="en-GB"/>
        </w:rPr>
        <w:t>anoi</w:t>
      </w:r>
      <w:r w:rsidR="00E24F18" w:rsidRPr="002A0B87">
        <w:rPr>
          <w:lang w:val="en-GB"/>
        </w:rPr>
        <w:t>, Vi</w:t>
      </w:r>
      <w:r w:rsidR="001B4CC7">
        <w:rPr>
          <w:lang w:val="en-GB"/>
        </w:rPr>
        <w:t>etnam</w:t>
      </w:r>
    </w:p>
    <w:p w14:paraId="406AAE9E" w14:textId="77777777" w:rsidR="0098102D" w:rsidRPr="002A0B87" w:rsidRDefault="0098102D" w:rsidP="00497141">
      <w:pPr>
        <w:rPr>
          <w:lang w:val="en-GB"/>
        </w:rPr>
      </w:pPr>
    </w:p>
    <w:p w14:paraId="57B9AF99" w14:textId="378B94C6" w:rsidR="004757AA" w:rsidRPr="002A0B87" w:rsidRDefault="00E05F2C" w:rsidP="00497141">
      <w:pPr>
        <w:rPr>
          <w:lang w:val="en-GB"/>
        </w:rPr>
      </w:pPr>
      <w:r>
        <w:rPr>
          <w:highlight w:val="yellow"/>
          <w:lang w:val="en-GB"/>
        </w:rPr>
        <w:t>07</w:t>
      </w:r>
      <w:r w:rsidR="00D83309">
        <w:rPr>
          <w:highlight w:val="yellow"/>
          <w:lang w:val="en-GB"/>
        </w:rPr>
        <w:t xml:space="preserve"> March </w:t>
      </w:r>
      <w:r w:rsidR="00D83309" w:rsidRPr="00D33812">
        <w:rPr>
          <w:highlight w:val="yellow"/>
          <w:lang w:val="en-GB"/>
        </w:rPr>
        <w:t>202</w:t>
      </w:r>
      <w:r w:rsidR="005B540D">
        <w:rPr>
          <w:lang w:val="en-GB"/>
        </w:rPr>
        <w:t>3</w:t>
      </w:r>
    </w:p>
    <w:p w14:paraId="0992765F" w14:textId="77777777" w:rsidR="004757AA" w:rsidRPr="002A0B87" w:rsidRDefault="004757AA" w:rsidP="00497141">
      <w:pPr>
        <w:rPr>
          <w:lang w:val="en-GB"/>
        </w:rPr>
      </w:pPr>
    </w:p>
    <w:p w14:paraId="52D3E2AB" w14:textId="77777777" w:rsidR="000F6856" w:rsidRPr="002A0B87" w:rsidRDefault="000F6856">
      <w:pPr>
        <w:pStyle w:val="BodyText"/>
        <w:jc w:val="left"/>
        <w:rPr>
          <w:rFonts w:ascii="Arial" w:hAnsi="Arial" w:cs="Arial"/>
          <w:lang w:val="en-GB"/>
        </w:rPr>
        <w:sectPr w:rsidR="000F6856" w:rsidRPr="002A0B87" w:rsidSect="00740ED8">
          <w:headerReference w:type="default" r:id="rId25"/>
          <w:pgSz w:w="11909" w:h="16834" w:code="9"/>
          <w:pgMar w:top="1440" w:right="1440" w:bottom="862" w:left="1582" w:header="720" w:footer="578" w:gutter="0"/>
          <w:pgNumType w:start="3"/>
          <w:cols w:space="720"/>
        </w:sectPr>
      </w:pPr>
    </w:p>
    <w:p w14:paraId="78B01CD9" w14:textId="2064BCFF" w:rsidR="00E526CF" w:rsidRPr="002A0B87" w:rsidRDefault="00857CA3" w:rsidP="008064F8">
      <w:pPr>
        <w:pStyle w:val="BodyText"/>
        <w:rPr>
          <w:rFonts w:ascii="Arial" w:hAnsi="Arial" w:cs="Arial"/>
          <w:sz w:val="16"/>
          <w:lang w:val="en-GB"/>
        </w:rPr>
      </w:pPr>
      <w:r w:rsidRPr="00857CA3">
        <w:rPr>
          <w:rFonts w:ascii="Arial" w:hAnsi="Arial" w:cs="Arial"/>
          <w:sz w:val="16"/>
          <w:lang w:val="en-GB"/>
        </w:rPr>
        <w:lastRenderedPageBreak/>
        <w:t xml:space="preserve">Reference: </w:t>
      </w:r>
      <w:r w:rsidRPr="00254501">
        <w:rPr>
          <w:rFonts w:ascii="Arial" w:hAnsi="Arial" w:cs="Arial"/>
          <w:sz w:val="16"/>
          <w:lang w:val="en-GB"/>
        </w:rPr>
        <w:t>61717053/22744338</w:t>
      </w:r>
      <w:r w:rsidRPr="00857CA3" w:rsidDel="00857CA3">
        <w:rPr>
          <w:rFonts w:ascii="Arial" w:hAnsi="Arial" w:cs="Arial"/>
          <w:sz w:val="16"/>
          <w:lang w:val="en-GB"/>
        </w:rPr>
        <w:t xml:space="preserve"> </w:t>
      </w:r>
    </w:p>
    <w:p w14:paraId="174FB05D" w14:textId="77777777" w:rsidR="00E526CF" w:rsidRPr="002A0B87" w:rsidRDefault="00E526CF" w:rsidP="00921CB2">
      <w:pPr>
        <w:rPr>
          <w:lang w:val="en-GB"/>
        </w:rPr>
      </w:pPr>
    </w:p>
    <w:p w14:paraId="672D9941" w14:textId="77777777" w:rsidR="00E526CF" w:rsidRPr="002A0B87" w:rsidRDefault="00E526CF" w:rsidP="00921CB2">
      <w:pPr>
        <w:rPr>
          <w:lang w:val="en-GB"/>
        </w:rPr>
      </w:pPr>
    </w:p>
    <w:p w14:paraId="5B5D38AA" w14:textId="58E8AEC9" w:rsidR="00E526CF" w:rsidRPr="002A0B87" w:rsidRDefault="006F72A6" w:rsidP="0039060D">
      <w:pPr>
        <w:pStyle w:val="BodyText"/>
        <w:outlineLvl w:val="0"/>
        <w:rPr>
          <w:rFonts w:ascii="Arial" w:hAnsi="Arial" w:cs="Arial"/>
          <w:bCs/>
          <w:sz w:val="24"/>
          <w:szCs w:val="24"/>
          <w:lang w:val="en-GB"/>
        </w:rPr>
      </w:pPr>
      <w:r w:rsidRPr="006F72A6">
        <w:rPr>
          <w:rFonts w:ascii="Arial" w:hAnsi="Arial" w:cs="Arial"/>
          <w:b/>
          <w:bCs/>
          <w:sz w:val="24"/>
          <w:szCs w:val="24"/>
          <w:lang w:val="en-GB"/>
        </w:rPr>
        <w:t>INDEPENDENT AUDITORS’ REPORT</w:t>
      </w:r>
    </w:p>
    <w:p w14:paraId="2253BABC" w14:textId="77777777" w:rsidR="00E526CF" w:rsidRPr="002A0B87" w:rsidRDefault="00E526CF" w:rsidP="00921CB2">
      <w:pPr>
        <w:rPr>
          <w:lang w:val="en-GB"/>
        </w:rPr>
      </w:pPr>
    </w:p>
    <w:p w14:paraId="012F8422" w14:textId="77777777" w:rsidR="00E526CF" w:rsidRPr="002A0B87" w:rsidRDefault="00E526CF" w:rsidP="00921CB2">
      <w:pPr>
        <w:rPr>
          <w:lang w:val="en-GB"/>
        </w:rPr>
      </w:pPr>
    </w:p>
    <w:p w14:paraId="16ECCAEB" w14:textId="45898B08" w:rsidR="00E526CF" w:rsidRPr="002A0B87" w:rsidRDefault="006D6076" w:rsidP="00254501">
      <w:pPr>
        <w:ind w:left="1134" w:hanging="1134"/>
        <w:rPr>
          <w:rFonts w:cs="Arial"/>
          <w:b/>
          <w:lang w:val="en-GB"/>
        </w:rPr>
      </w:pPr>
      <w:r w:rsidRPr="006D6076">
        <w:rPr>
          <w:rFonts w:cs="Arial"/>
          <w:b/>
          <w:bCs/>
          <w:lang w:val="en-GB"/>
        </w:rPr>
        <w:t>To:</w:t>
      </w:r>
      <w:r w:rsidR="00E526CF" w:rsidRPr="002A0B87">
        <w:rPr>
          <w:rFonts w:cs="Arial"/>
          <w:b/>
          <w:bCs/>
          <w:lang w:val="en-GB"/>
        </w:rPr>
        <w:tab/>
      </w:r>
      <w:r w:rsidR="00921CB2" w:rsidRPr="002A0B87">
        <w:rPr>
          <w:rFonts w:cs="Arial"/>
          <w:b/>
          <w:bCs/>
          <w:lang w:val="en-GB"/>
        </w:rPr>
        <w:tab/>
      </w:r>
      <w:r w:rsidR="00DF6EF0" w:rsidRPr="00DF6EF0">
        <w:rPr>
          <w:rFonts w:cs="Arial"/>
          <w:b/>
          <w:bCs/>
          <w:lang w:val="en-GB"/>
        </w:rPr>
        <w:t>The Owner of</w:t>
      </w:r>
      <w:r w:rsidR="00DF6EF0" w:rsidRPr="00DF6EF0" w:rsidDel="00DF6EF0">
        <w:rPr>
          <w:rFonts w:cs="Arial"/>
          <w:b/>
          <w:bCs/>
          <w:lang w:val="en-GB"/>
        </w:rPr>
        <w:t xml:space="preserve"> </w:t>
      </w:r>
    </w:p>
    <w:p w14:paraId="1531668D" w14:textId="48A7884C" w:rsidR="00E526CF" w:rsidRPr="002A0B87" w:rsidRDefault="003F5704" w:rsidP="00254501">
      <w:pPr>
        <w:ind w:left="1134"/>
        <w:rPr>
          <w:rFonts w:cs="Arial"/>
          <w:b/>
          <w:lang w:val="en-GB"/>
        </w:rPr>
      </w:pPr>
      <w:r w:rsidRPr="003F5704">
        <w:rPr>
          <w:rFonts w:cs="Arial"/>
          <w:b/>
          <w:lang w:val="en-GB"/>
        </w:rPr>
        <w:t>NH Securities Vietnam Co., Ltd</w:t>
      </w:r>
      <w:r w:rsidRPr="003F5704" w:rsidDel="003F5704">
        <w:rPr>
          <w:rFonts w:cs="Arial"/>
          <w:b/>
          <w:lang w:val="en-GB"/>
        </w:rPr>
        <w:t xml:space="preserve"> </w:t>
      </w:r>
    </w:p>
    <w:p w14:paraId="2337F1A6" w14:textId="77777777" w:rsidR="00E526CF" w:rsidRPr="002A0B87" w:rsidRDefault="00E526CF" w:rsidP="009032AC">
      <w:pPr>
        <w:rPr>
          <w:lang w:val="en-GB"/>
        </w:rPr>
      </w:pPr>
    </w:p>
    <w:p w14:paraId="343E34E6" w14:textId="3BE12B31" w:rsidR="00E526CF" w:rsidRPr="002A0B87" w:rsidRDefault="00EF3723" w:rsidP="00921CB2">
      <w:pPr>
        <w:rPr>
          <w:lang w:val="en-GB"/>
        </w:rPr>
      </w:pPr>
      <w:r w:rsidRPr="00EF3723">
        <w:rPr>
          <w:lang w:val="en-GB"/>
        </w:rPr>
        <w:t xml:space="preserve">We have audited the accompanying financial statements of NH Securities Vietnam Co., Ltd (“the Company”) as prepared on </w:t>
      </w:r>
      <w:r w:rsidR="00E05F2C" w:rsidRPr="00254501">
        <w:rPr>
          <w:lang w:val="en-GB"/>
        </w:rPr>
        <w:t>07</w:t>
      </w:r>
      <w:r w:rsidR="004537BC" w:rsidRPr="00254501">
        <w:rPr>
          <w:lang w:val="en-GB"/>
        </w:rPr>
        <w:t xml:space="preserve"> March</w:t>
      </w:r>
      <w:r w:rsidRPr="00254501">
        <w:rPr>
          <w:lang w:val="en-GB"/>
        </w:rPr>
        <w:t xml:space="preserve"> 202</w:t>
      </w:r>
      <w:r w:rsidR="005B540D">
        <w:rPr>
          <w:lang w:val="en-GB"/>
        </w:rPr>
        <w:t>3</w:t>
      </w:r>
      <w:r w:rsidRPr="00EF3723">
        <w:rPr>
          <w:lang w:val="en-GB"/>
        </w:rPr>
        <w:t xml:space="preserve"> and set out on pages </w:t>
      </w:r>
      <w:r w:rsidRPr="00FA28E4">
        <w:rPr>
          <w:highlight w:val="yellow"/>
          <w:lang w:val="en-GB"/>
        </w:rPr>
        <w:t>6 to 50</w:t>
      </w:r>
      <w:r w:rsidRPr="00EF3723">
        <w:rPr>
          <w:lang w:val="en-GB"/>
        </w:rPr>
        <w:t xml:space="preserve">, which comprise the statement of financial position as </w:t>
      </w:r>
      <w:proofErr w:type="gramStart"/>
      <w:r w:rsidRPr="00EF3723">
        <w:rPr>
          <w:lang w:val="en-GB"/>
        </w:rPr>
        <w:t>at</w:t>
      </w:r>
      <w:proofErr w:type="gramEnd"/>
      <w:r w:rsidRPr="00EF3723">
        <w:rPr>
          <w:lang w:val="en-GB"/>
        </w:rPr>
        <w:t xml:space="preserve"> 31 December 202</w:t>
      </w:r>
      <w:r w:rsidR="005B540D">
        <w:rPr>
          <w:lang w:val="en-GB"/>
        </w:rPr>
        <w:t>2</w:t>
      </w:r>
      <w:r w:rsidRPr="00EF3723">
        <w:rPr>
          <w:lang w:val="en-GB"/>
        </w:rPr>
        <w:t>, the income statement, the cash flow statement and the statement of changes in equity for the year then ended and the notes thereto.</w:t>
      </w:r>
    </w:p>
    <w:p w14:paraId="5180379A" w14:textId="77777777" w:rsidR="00E526CF" w:rsidRPr="002A0B87" w:rsidRDefault="00E526CF" w:rsidP="00921CB2">
      <w:pPr>
        <w:rPr>
          <w:lang w:val="en-GB"/>
        </w:rPr>
      </w:pPr>
    </w:p>
    <w:p w14:paraId="3EE2018C" w14:textId="1D84B109" w:rsidR="00E526CF" w:rsidRPr="002A0B87" w:rsidRDefault="00A532EE" w:rsidP="00921CB2">
      <w:pPr>
        <w:rPr>
          <w:b/>
          <w:i/>
          <w:lang w:val="en-GB"/>
        </w:rPr>
      </w:pPr>
      <w:r w:rsidRPr="00A532EE">
        <w:rPr>
          <w:b/>
          <w:i/>
          <w:lang w:val="en-GB"/>
        </w:rPr>
        <w:t>Management’s responsibility</w:t>
      </w:r>
      <w:r w:rsidRPr="00A532EE" w:rsidDel="00A532EE">
        <w:rPr>
          <w:b/>
          <w:i/>
          <w:lang w:val="en-GB"/>
        </w:rPr>
        <w:t xml:space="preserve"> </w:t>
      </w:r>
    </w:p>
    <w:p w14:paraId="7F623DE8" w14:textId="77777777" w:rsidR="00E526CF" w:rsidRPr="002A0B87" w:rsidRDefault="00E526CF" w:rsidP="00921CB2">
      <w:pPr>
        <w:rPr>
          <w:lang w:val="en-GB"/>
        </w:rPr>
      </w:pPr>
    </w:p>
    <w:p w14:paraId="76EDFC9E" w14:textId="63932378" w:rsidR="00E526CF" w:rsidRPr="002A0B87" w:rsidRDefault="0083299F" w:rsidP="00921CB2">
      <w:pPr>
        <w:rPr>
          <w:lang w:val="en-GB"/>
        </w:rPr>
      </w:pPr>
      <w:r w:rsidRPr="0083299F">
        <w:rPr>
          <w:lang w:val="en-GB"/>
        </w:rPr>
        <w:t>Management of the Company is responsible for the preparation and fair presentation of the  financial statements in accordance with Vietnamese Accounting Standards, Vietnamese Enterprise Accounting System, accounting guidance applicable to securities companies and the statutory requirements relevant to the preparation and presentation of the financial statements, and for such internal control as Management determines is necessary to enable the preparation and presentation of the  financial statements that are free from material misstatement, whether due to fraud or error.</w:t>
      </w:r>
    </w:p>
    <w:p w14:paraId="230125AC" w14:textId="77777777" w:rsidR="00E526CF" w:rsidRPr="002A0B87" w:rsidRDefault="00E526CF" w:rsidP="00921CB2">
      <w:pPr>
        <w:rPr>
          <w:lang w:val="en-GB"/>
        </w:rPr>
      </w:pPr>
    </w:p>
    <w:p w14:paraId="7E0EFD17" w14:textId="16922AD2" w:rsidR="00E526CF" w:rsidRPr="002A0B87" w:rsidRDefault="00032BCA" w:rsidP="00921CB2">
      <w:pPr>
        <w:rPr>
          <w:b/>
          <w:i/>
          <w:lang w:val="en-GB"/>
        </w:rPr>
      </w:pPr>
      <w:r w:rsidRPr="00032BCA">
        <w:rPr>
          <w:b/>
          <w:i/>
          <w:lang w:val="en-GB"/>
        </w:rPr>
        <w:t>Auditor’s responsibility</w:t>
      </w:r>
      <w:r w:rsidRPr="00032BCA" w:rsidDel="00032BCA">
        <w:rPr>
          <w:b/>
          <w:i/>
          <w:lang w:val="en-GB"/>
        </w:rPr>
        <w:t xml:space="preserve"> </w:t>
      </w:r>
    </w:p>
    <w:p w14:paraId="201051BF" w14:textId="77777777" w:rsidR="00E526CF" w:rsidRPr="002A0B87" w:rsidRDefault="00E526CF" w:rsidP="00921CB2">
      <w:pPr>
        <w:rPr>
          <w:lang w:val="en-GB"/>
        </w:rPr>
      </w:pPr>
    </w:p>
    <w:p w14:paraId="207A43C0" w14:textId="1EC49281" w:rsidR="00DE58E1" w:rsidRPr="00AA20E3" w:rsidRDefault="00CE3F46" w:rsidP="00AA20E3">
      <w:pPr>
        <w:rPr>
          <w:lang w:val="en-GB"/>
        </w:rPr>
      </w:pPr>
      <w:r w:rsidRPr="00CE3F46">
        <w:rPr>
          <w:lang w:val="en-GB"/>
        </w:rPr>
        <w:t>Our responsibility is to express an opinion on the financial statements based on our audit. We conducted our audit in accordance with Vietnamese Standard on Auditing. Those standards require that we comply with ethical requirements and plan and perform the audit to obtain reasonable assurance about whether the financial statements are free from material misstatement.</w:t>
      </w:r>
    </w:p>
    <w:p w14:paraId="63528007" w14:textId="77777777" w:rsidR="00AA20E3" w:rsidRPr="00AA20E3" w:rsidRDefault="00AA20E3" w:rsidP="00AA20E3">
      <w:pPr>
        <w:rPr>
          <w:lang w:val="en-GB"/>
        </w:rPr>
      </w:pPr>
    </w:p>
    <w:p w14:paraId="43DD66BB" w14:textId="76352585" w:rsidR="000929D1" w:rsidRDefault="00116E6E" w:rsidP="00921CB2">
      <w:pPr>
        <w:rPr>
          <w:lang w:val="en-GB"/>
        </w:rPr>
      </w:pPr>
      <w:r w:rsidRPr="00116E6E">
        <w:rPr>
          <w:lang w:val="en-GB"/>
        </w:rPr>
        <w:t xml:space="preserve">An audit involves performing procedures to obtain audit evidence about the amounts and disclosures in the financial statements. The procedures selected depend on the auditors’ judgment, including the assessment of the risks of material misstatement of the financial statements, whether due to fraud or error. In making those risks assessments, the auditors consider internal control relevant to the Company’s preparation and fair presentation of the financial statements </w:t>
      </w:r>
      <w:proofErr w:type="gramStart"/>
      <w:r w:rsidRPr="00116E6E">
        <w:rPr>
          <w:lang w:val="en-GB"/>
        </w:rPr>
        <w:t>in order to</w:t>
      </w:r>
      <w:proofErr w:type="gramEnd"/>
      <w:r w:rsidRPr="00116E6E">
        <w:rPr>
          <w:lang w:val="en-GB"/>
        </w:rPr>
        <w:t xml:space="preserve"> design audit procedures that are appropriate in the circumstances, but not for the purpose of expressing an opinion on the effectiveness of the Company’s internal control. An audit also includes evaluating the appropriateness of accounting policies used and the reasonableness of accounting estimates made by Management, as well as evaluating the overall presentation of the financial statements.</w:t>
      </w:r>
    </w:p>
    <w:p w14:paraId="6CEBF3C1" w14:textId="32F3344A" w:rsidR="00A622E8" w:rsidRDefault="00A622E8" w:rsidP="00921CB2">
      <w:pPr>
        <w:rPr>
          <w:lang w:val="en-GB"/>
        </w:rPr>
      </w:pPr>
    </w:p>
    <w:p w14:paraId="3729DA6B" w14:textId="7B27225B" w:rsidR="00A622E8" w:rsidRPr="002A0B87" w:rsidRDefault="00C26813" w:rsidP="00921CB2">
      <w:pPr>
        <w:rPr>
          <w:lang w:val="en-GB"/>
        </w:rPr>
      </w:pPr>
      <w:r w:rsidRPr="00C26813">
        <w:rPr>
          <w:lang w:val="en-GB"/>
        </w:rPr>
        <w:t>We believe that the audit evidence we have obtained is sufficient and appropriate to provide a basis for our audit opinion.</w:t>
      </w:r>
    </w:p>
    <w:p w14:paraId="1F5581C1" w14:textId="7CF4F16E" w:rsidR="003F25F0" w:rsidRPr="002A0B87" w:rsidRDefault="003F25F0" w:rsidP="00AA20E3">
      <w:pPr>
        <w:rPr>
          <w:lang w:val="vi-VN"/>
        </w:rPr>
      </w:pPr>
      <w:r w:rsidRPr="002A0B87">
        <w:rPr>
          <w:lang w:val="vi-VN"/>
        </w:rPr>
        <w:br w:type="page"/>
      </w:r>
    </w:p>
    <w:p w14:paraId="1B79EED1" w14:textId="39E35707" w:rsidR="000929D1" w:rsidRPr="0092148B" w:rsidRDefault="00C224BF" w:rsidP="00172D74">
      <w:pPr>
        <w:rPr>
          <w:b/>
          <w:bCs/>
          <w:i/>
          <w:iCs/>
        </w:rPr>
      </w:pPr>
      <w:r w:rsidRPr="00C224BF">
        <w:rPr>
          <w:b/>
          <w:bCs/>
          <w:i/>
          <w:iCs/>
        </w:rPr>
        <w:lastRenderedPageBreak/>
        <w:t>Opinion</w:t>
      </w:r>
    </w:p>
    <w:p w14:paraId="2FCB81FF" w14:textId="23204DC9" w:rsidR="000929D1" w:rsidRPr="003C222B" w:rsidRDefault="000929D1" w:rsidP="00172D74">
      <w:pPr>
        <w:rPr>
          <w:lang w:val="vi-VN"/>
        </w:rPr>
      </w:pPr>
    </w:p>
    <w:p w14:paraId="0777294F" w14:textId="0A5A65FB" w:rsidR="000929D1" w:rsidRPr="002A0B87" w:rsidRDefault="000731B3" w:rsidP="00172D74">
      <w:r w:rsidRPr="000731B3">
        <w:t xml:space="preserve">In our opinion, the financial statements give a true and fair view, in all material respects, of the financial position of the Company as </w:t>
      </w:r>
      <w:proofErr w:type="gramStart"/>
      <w:r w:rsidRPr="000731B3">
        <w:t>at</w:t>
      </w:r>
      <w:proofErr w:type="gramEnd"/>
      <w:r w:rsidRPr="000731B3">
        <w:t xml:space="preserve"> 31 December 202</w:t>
      </w:r>
      <w:r w:rsidR="0046651B">
        <w:t>2</w:t>
      </w:r>
      <w:r w:rsidRPr="000731B3">
        <w:t xml:space="preserve">, the </w:t>
      </w:r>
      <w:r w:rsidR="00ED33B3">
        <w:t>income statement</w:t>
      </w:r>
      <w:r w:rsidRPr="000731B3">
        <w:t>, cash flows and changes in equity for the year then ended in accordance with Vietnamese Accounting Standards, Vietnamese Enterprise Accounting System, accounting guidance applicable to securities companies and the statutory requirements relevant to the preparation and presentation of financial statements.</w:t>
      </w:r>
    </w:p>
    <w:p w14:paraId="4690B56E" w14:textId="3BDE4584" w:rsidR="00831D01" w:rsidRDefault="00831D01" w:rsidP="00172D74">
      <w:pPr>
        <w:rPr>
          <w:bCs/>
          <w:iCs/>
          <w:lang w:val="nl-NL"/>
        </w:rPr>
      </w:pPr>
    </w:p>
    <w:p w14:paraId="591DB078" w14:textId="77777777" w:rsidR="00345E81" w:rsidRPr="002A0B87" w:rsidRDefault="00345E81" w:rsidP="00172D74">
      <w:pPr>
        <w:rPr>
          <w:bCs/>
          <w:iCs/>
          <w:lang w:val="nl-NL"/>
        </w:rPr>
      </w:pPr>
    </w:p>
    <w:p w14:paraId="6AD64722" w14:textId="67CE208B" w:rsidR="00A11E11" w:rsidRPr="002A0B87" w:rsidRDefault="00E457F1" w:rsidP="00172D74">
      <w:pPr>
        <w:rPr>
          <w:b/>
          <w:iCs/>
          <w:lang w:val="nl-NL"/>
        </w:rPr>
      </w:pPr>
      <w:r w:rsidRPr="00E457F1">
        <w:rPr>
          <w:b/>
          <w:iCs/>
          <w:lang w:val="nl-NL"/>
        </w:rPr>
        <w:t>Ernst &amp; Young Vietnam Limited</w:t>
      </w:r>
      <w:r w:rsidRPr="00E457F1" w:rsidDel="00E457F1">
        <w:rPr>
          <w:b/>
          <w:iCs/>
          <w:lang w:val="nl-NL"/>
        </w:rPr>
        <w:t xml:space="preserve"> </w:t>
      </w:r>
    </w:p>
    <w:p w14:paraId="3973C103" w14:textId="77777777" w:rsidR="00A11E11" w:rsidRPr="002A0B87" w:rsidRDefault="00A11E11" w:rsidP="00172D74">
      <w:pPr>
        <w:rPr>
          <w:lang w:val="it-IT"/>
        </w:rPr>
      </w:pPr>
    </w:p>
    <w:p w14:paraId="28C06C07" w14:textId="77777777" w:rsidR="00A11E11" w:rsidRPr="002A0B87" w:rsidRDefault="00A11E11" w:rsidP="00172D74">
      <w:pPr>
        <w:rPr>
          <w:lang w:val="it-IT"/>
        </w:rPr>
      </w:pPr>
    </w:p>
    <w:p w14:paraId="216203AF" w14:textId="4A00ABAF" w:rsidR="00A11E11" w:rsidRDefault="00A11E11" w:rsidP="00172D74">
      <w:pPr>
        <w:rPr>
          <w:lang w:val="it-IT"/>
        </w:rPr>
      </w:pPr>
    </w:p>
    <w:p w14:paraId="16C73AE2" w14:textId="77777777" w:rsidR="00504BF5" w:rsidRPr="002A0B87" w:rsidRDefault="00504BF5" w:rsidP="00172D74">
      <w:pPr>
        <w:rPr>
          <w:lang w:val="it-IT"/>
        </w:rPr>
      </w:pPr>
    </w:p>
    <w:p w14:paraId="48340300" w14:textId="0CE23A4C" w:rsidR="00A11E11" w:rsidRDefault="00A11E11" w:rsidP="00172D74">
      <w:pPr>
        <w:rPr>
          <w:lang w:val="it-IT"/>
        </w:rPr>
      </w:pPr>
    </w:p>
    <w:p w14:paraId="5DE32DBB" w14:textId="77777777" w:rsidR="000F0D17" w:rsidRPr="002A0B87" w:rsidRDefault="000F0D17" w:rsidP="00172D74">
      <w:pPr>
        <w:rPr>
          <w:lang w:val="it-IT"/>
        </w:rPr>
      </w:pPr>
    </w:p>
    <w:tbl>
      <w:tblPr>
        <w:tblStyle w:val="CVtable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4257"/>
      </w:tblGrid>
      <w:tr w:rsidR="00D856CE" w:rsidRPr="002A0B87" w14:paraId="3D57C6F3" w14:textId="60982F53" w:rsidTr="00254501">
        <w:tc>
          <w:tcPr>
            <w:tcW w:w="5103" w:type="dxa"/>
            <w:vAlign w:val="bottom"/>
          </w:tcPr>
          <w:p w14:paraId="43450B61" w14:textId="77777777" w:rsidR="00D856CE" w:rsidRPr="002A0B87" w:rsidRDefault="00D856CE" w:rsidP="00254501">
            <w:pPr>
              <w:pBdr>
                <w:bottom w:val="single" w:sz="4" w:space="1" w:color="auto"/>
              </w:pBdr>
              <w:ind w:left="-108" w:right="1172"/>
              <w:rPr>
                <w:rFonts w:eastAsia="Batang" w:cs="Arial"/>
                <w:szCs w:val="24"/>
                <w:lang w:eastAsia="ko-KR"/>
              </w:rPr>
            </w:pPr>
          </w:p>
        </w:tc>
        <w:tc>
          <w:tcPr>
            <w:tcW w:w="4257" w:type="dxa"/>
          </w:tcPr>
          <w:p w14:paraId="63A27DC2" w14:textId="77777777" w:rsidR="003824CF" w:rsidRPr="002A0B87" w:rsidRDefault="003824CF" w:rsidP="00AC6DCE">
            <w:pPr>
              <w:pBdr>
                <w:bottom w:val="single" w:sz="4" w:space="1" w:color="auto"/>
              </w:pBdr>
              <w:ind w:left="-108" w:right="436"/>
              <w:rPr>
                <w:rFonts w:eastAsia="Batang" w:cs="Arial"/>
                <w:szCs w:val="24"/>
                <w:lang w:eastAsia="ko-KR"/>
              </w:rPr>
            </w:pPr>
          </w:p>
        </w:tc>
      </w:tr>
      <w:tr w:rsidR="00D856CE" w:rsidRPr="002A0B87" w14:paraId="1337B5F8" w14:textId="74D7DB66" w:rsidTr="00254501">
        <w:tc>
          <w:tcPr>
            <w:tcW w:w="5103" w:type="dxa"/>
          </w:tcPr>
          <w:p w14:paraId="6B783DE1" w14:textId="402572B2" w:rsidR="00D856CE" w:rsidRPr="002A0B87" w:rsidRDefault="00CD07D9" w:rsidP="00AC6DCE">
            <w:pPr>
              <w:tabs>
                <w:tab w:val="left" w:pos="3402"/>
                <w:tab w:val="left" w:pos="5529"/>
                <w:tab w:val="left" w:pos="8789"/>
              </w:tabs>
              <w:ind w:left="-108"/>
              <w:rPr>
                <w:rFonts w:eastAsia="Batang" w:cs="Arial"/>
                <w:szCs w:val="24"/>
                <w:lang w:eastAsia="ko-KR"/>
              </w:rPr>
            </w:pPr>
            <w:r w:rsidRPr="00CD07D9">
              <w:rPr>
                <w:rFonts w:eastAsia="Batang" w:cs="Arial"/>
                <w:szCs w:val="24"/>
                <w:lang w:val="it-IT" w:eastAsia="ko-KR"/>
              </w:rPr>
              <w:t>Dang Phuong Ha</w:t>
            </w:r>
          </w:p>
        </w:tc>
        <w:tc>
          <w:tcPr>
            <w:tcW w:w="4257" w:type="dxa"/>
          </w:tcPr>
          <w:p w14:paraId="646A0AD4" w14:textId="4E1BC68F" w:rsidR="003824CF" w:rsidRDefault="003824CF" w:rsidP="00AC6DCE">
            <w:pPr>
              <w:tabs>
                <w:tab w:val="left" w:pos="3402"/>
                <w:tab w:val="left" w:pos="5529"/>
                <w:tab w:val="left" w:pos="8789"/>
              </w:tabs>
              <w:ind w:left="-108"/>
              <w:rPr>
                <w:rFonts w:eastAsia="Batang" w:cs="Arial"/>
                <w:szCs w:val="24"/>
                <w:lang w:val="it-IT" w:eastAsia="ko-KR"/>
              </w:rPr>
            </w:pPr>
            <w:r>
              <w:rPr>
                <w:rFonts w:eastAsia="Batang" w:cs="Arial"/>
                <w:szCs w:val="24"/>
                <w:lang w:val="it-IT" w:eastAsia="ko-KR"/>
              </w:rPr>
              <w:t>Tran Thi Thu Hien</w:t>
            </w:r>
          </w:p>
        </w:tc>
      </w:tr>
      <w:tr w:rsidR="00D856CE" w:rsidRPr="002A0B87" w14:paraId="76E7B311" w14:textId="38EDF393" w:rsidTr="00254501">
        <w:tc>
          <w:tcPr>
            <w:tcW w:w="5103" w:type="dxa"/>
          </w:tcPr>
          <w:p w14:paraId="5B4CA9E2" w14:textId="3B00E836" w:rsidR="00D856CE" w:rsidRPr="002A0B87" w:rsidRDefault="00EF1B08" w:rsidP="00AC6DCE">
            <w:pPr>
              <w:ind w:left="-108"/>
              <w:rPr>
                <w:rFonts w:eastAsia="Batang" w:cs="Arial"/>
                <w:szCs w:val="24"/>
                <w:lang w:val="fr-FR" w:eastAsia="ko-KR"/>
              </w:rPr>
            </w:pPr>
            <w:proofErr w:type="spellStart"/>
            <w:r w:rsidRPr="00EF1B08">
              <w:rPr>
                <w:rFonts w:eastAsia="Batang" w:cs="Arial"/>
                <w:szCs w:val="24"/>
                <w:lang w:val="fr-FR" w:eastAsia="ko-KR"/>
              </w:rPr>
              <w:t>Deputy</w:t>
            </w:r>
            <w:proofErr w:type="spellEnd"/>
            <w:r w:rsidRPr="00EF1B08">
              <w:rPr>
                <w:rFonts w:eastAsia="Batang" w:cs="Arial"/>
                <w:szCs w:val="24"/>
                <w:lang w:val="fr-FR" w:eastAsia="ko-KR"/>
              </w:rPr>
              <w:t xml:space="preserve"> General </w:t>
            </w:r>
            <w:proofErr w:type="spellStart"/>
            <w:r w:rsidRPr="00EF1B08">
              <w:rPr>
                <w:rFonts w:eastAsia="Batang" w:cs="Arial"/>
                <w:szCs w:val="24"/>
                <w:lang w:val="fr-FR" w:eastAsia="ko-KR"/>
              </w:rPr>
              <w:t>Director</w:t>
            </w:r>
            <w:proofErr w:type="spellEnd"/>
          </w:p>
        </w:tc>
        <w:tc>
          <w:tcPr>
            <w:tcW w:w="4257" w:type="dxa"/>
          </w:tcPr>
          <w:p w14:paraId="7285807C" w14:textId="49606760" w:rsidR="003824CF" w:rsidRPr="00EF1B08" w:rsidRDefault="00AB564D" w:rsidP="00AC6DCE">
            <w:pPr>
              <w:ind w:left="-108"/>
              <w:rPr>
                <w:rFonts w:eastAsia="Batang" w:cs="Arial"/>
                <w:szCs w:val="24"/>
                <w:lang w:val="fr-FR" w:eastAsia="ko-KR"/>
              </w:rPr>
            </w:pPr>
            <w:r w:rsidRPr="00F34773">
              <w:rPr>
                <w:rFonts w:eastAsia="Batang" w:cs="Arial"/>
                <w:szCs w:val="24"/>
                <w:lang w:val="fr-FR" w:eastAsia="ko-KR"/>
              </w:rPr>
              <w:t>Auditor</w:t>
            </w:r>
          </w:p>
        </w:tc>
      </w:tr>
      <w:tr w:rsidR="00D856CE" w:rsidRPr="002A0B87" w14:paraId="49F4108D" w14:textId="1D99CB6E" w:rsidTr="00254501">
        <w:tc>
          <w:tcPr>
            <w:tcW w:w="5103" w:type="dxa"/>
          </w:tcPr>
          <w:p w14:paraId="30B869FE" w14:textId="6AC0DE46" w:rsidR="00D856CE" w:rsidRDefault="00E83474" w:rsidP="00AC6DCE">
            <w:pPr>
              <w:ind w:left="-108"/>
              <w:rPr>
                <w:rFonts w:eastAsia="Batang" w:cs="Arial"/>
                <w:szCs w:val="24"/>
                <w:lang w:eastAsia="ko-KR"/>
              </w:rPr>
            </w:pPr>
            <w:r w:rsidRPr="00E83474">
              <w:rPr>
                <w:rFonts w:eastAsia="Batang" w:cs="Arial"/>
                <w:szCs w:val="24"/>
                <w:lang w:eastAsia="ko-KR"/>
              </w:rPr>
              <w:t xml:space="preserve">Audit </w:t>
            </w:r>
            <w:proofErr w:type="spellStart"/>
            <w:r w:rsidRPr="00E83474">
              <w:rPr>
                <w:rFonts w:eastAsia="Batang" w:cs="Arial"/>
                <w:szCs w:val="24"/>
                <w:lang w:eastAsia="ko-KR"/>
              </w:rPr>
              <w:t>Practising</w:t>
            </w:r>
            <w:proofErr w:type="spellEnd"/>
            <w:r w:rsidRPr="00E83474">
              <w:rPr>
                <w:rFonts w:eastAsia="Batang" w:cs="Arial"/>
                <w:szCs w:val="24"/>
                <w:lang w:eastAsia="ko-KR"/>
              </w:rPr>
              <w:t xml:space="preserve"> Registration</w:t>
            </w:r>
          </w:p>
          <w:p w14:paraId="31CD8A9D" w14:textId="3830A90A" w:rsidR="00E83474" w:rsidRPr="002A0B87" w:rsidRDefault="000458BB" w:rsidP="00AC6DCE">
            <w:pPr>
              <w:ind w:left="-108"/>
              <w:rPr>
                <w:rFonts w:eastAsia="Batang" w:cs="Arial"/>
                <w:szCs w:val="24"/>
                <w:lang w:eastAsia="ko-KR"/>
              </w:rPr>
            </w:pPr>
            <w:r w:rsidRPr="000458BB">
              <w:rPr>
                <w:rFonts w:eastAsia="Batang" w:cs="Arial"/>
                <w:szCs w:val="24"/>
                <w:lang w:eastAsia="ko-KR"/>
              </w:rPr>
              <w:t>Certificate No. 2400-2018-004-1</w:t>
            </w:r>
          </w:p>
        </w:tc>
        <w:tc>
          <w:tcPr>
            <w:tcW w:w="4257" w:type="dxa"/>
          </w:tcPr>
          <w:p w14:paraId="150143C5" w14:textId="68EA1E74" w:rsidR="003824CF" w:rsidRPr="00E83474" w:rsidRDefault="00AB564D" w:rsidP="00254501">
            <w:pPr>
              <w:ind w:left="-108"/>
              <w:jc w:val="left"/>
              <w:rPr>
                <w:rFonts w:eastAsia="Batang" w:cs="Arial"/>
                <w:szCs w:val="24"/>
                <w:lang w:eastAsia="ko-KR"/>
              </w:rPr>
            </w:pPr>
            <w:r>
              <w:rPr>
                <w:rFonts w:eastAsia="Batang" w:cs="Arial"/>
                <w:szCs w:val="24"/>
                <w:lang w:eastAsia="ko-KR"/>
              </w:rPr>
              <w:t xml:space="preserve">Audit </w:t>
            </w:r>
            <w:proofErr w:type="spellStart"/>
            <w:r>
              <w:rPr>
                <w:rFonts w:eastAsia="Batang" w:cs="Arial"/>
                <w:szCs w:val="24"/>
                <w:lang w:eastAsia="ko-KR"/>
              </w:rPr>
              <w:t>Practising</w:t>
            </w:r>
            <w:proofErr w:type="spellEnd"/>
            <w:r>
              <w:rPr>
                <w:rFonts w:eastAsia="Batang" w:cs="Arial"/>
                <w:szCs w:val="24"/>
                <w:lang w:eastAsia="ko-KR"/>
              </w:rPr>
              <w:t xml:space="preserve"> Registration</w:t>
            </w:r>
            <w:r w:rsidR="00AE53F0">
              <w:rPr>
                <w:rFonts w:eastAsia="Batang" w:cs="Arial"/>
                <w:szCs w:val="24"/>
                <w:lang w:eastAsia="ko-KR"/>
              </w:rPr>
              <w:t xml:space="preserve">                              Certificate No. 2487-2018-004-1</w:t>
            </w:r>
          </w:p>
        </w:tc>
      </w:tr>
    </w:tbl>
    <w:p w14:paraId="332BDA20" w14:textId="77777777" w:rsidR="006C73A7" w:rsidRPr="002A0B87" w:rsidRDefault="006C73A7" w:rsidP="00172D74">
      <w:pPr>
        <w:rPr>
          <w:lang w:val="it-IT"/>
        </w:rPr>
      </w:pPr>
    </w:p>
    <w:p w14:paraId="4977FD64" w14:textId="77777777" w:rsidR="00A11E11" w:rsidRPr="002A0B87" w:rsidRDefault="00A11E11" w:rsidP="00172D74">
      <w:pPr>
        <w:rPr>
          <w:lang w:val="it-IT"/>
        </w:rPr>
      </w:pPr>
    </w:p>
    <w:p w14:paraId="297DCE70" w14:textId="43317652" w:rsidR="00D51AB4" w:rsidRPr="002A0B87" w:rsidRDefault="00D51AB4" w:rsidP="00172D74">
      <w:pPr>
        <w:rPr>
          <w:lang w:val="it-IT"/>
        </w:rPr>
      </w:pPr>
      <w:r w:rsidRPr="002A0B87">
        <w:rPr>
          <w:lang w:val="it-IT"/>
        </w:rPr>
        <w:t>H</w:t>
      </w:r>
      <w:r w:rsidR="000458BB">
        <w:rPr>
          <w:lang w:val="it-IT"/>
        </w:rPr>
        <w:t>anoi</w:t>
      </w:r>
      <w:r w:rsidRPr="002A0B87">
        <w:rPr>
          <w:lang w:val="it-IT"/>
        </w:rPr>
        <w:t>, Vi</w:t>
      </w:r>
      <w:r w:rsidR="000458BB">
        <w:rPr>
          <w:lang w:val="it-IT"/>
        </w:rPr>
        <w:t>etnam</w:t>
      </w:r>
    </w:p>
    <w:p w14:paraId="5A6560C6" w14:textId="77777777" w:rsidR="00D51AB4" w:rsidRPr="002A0B87" w:rsidRDefault="00D51AB4" w:rsidP="00172D74">
      <w:pPr>
        <w:rPr>
          <w:lang w:val="it-IT"/>
        </w:rPr>
      </w:pPr>
    </w:p>
    <w:p w14:paraId="7E3E6DB5" w14:textId="1AD9A182" w:rsidR="00D51AB4" w:rsidRPr="002A0B87" w:rsidRDefault="004016F7" w:rsidP="00172D74">
      <w:pPr>
        <w:rPr>
          <w:lang w:val="vi-VN"/>
        </w:rPr>
      </w:pPr>
      <w:r w:rsidRPr="00254501">
        <w:rPr>
          <w:lang w:val="it-IT"/>
        </w:rPr>
        <w:t>07</w:t>
      </w:r>
      <w:r w:rsidR="00701163" w:rsidRPr="00254501">
        <w:rPr>
          <w:lang w:val="it-IT"/>
        </w:rPr>
        <w:t xml:space="preserve"> March 202</w:t>
      </w:r>
      <w:r w:rsidR="0098520B">
        <w:rPr>
          <w:lang w:val="it-IT"/>
        </w:rPr>
        <w:t>3</w:t>
      </w:r>
    </w:p>
    <w:p w14:paraId="3213160A" w14:textId="23AE6437" w:rsidR="000F6856" w:rsidRPr="002A0B87" w:rsidRDefault="00E526CF">
      <w:pPr>
        <w:rPr>
          <w:rFonts w:cs="Arial"/>
          <w:lang w:val="it-IT"/>
        </w:rPr>
        <w:sectPr w:rsidR="000F6856" w:rsidRPr="002A0B87" w:rsidSect="00781635">
          <w:headerReference w:type="even" r:id="rId26"/>
          <w:headerReference w:type="default" r:id="rId27"/>
          <w:footerReference w:type="default" r:id="rId28"/>
          <w:headerReference w:type="first" r:id="rId29"/>
          <w:type w:val="nextColumn"/>
          <w:pgSz w:w="11909" w:h="16834" w:code="9"/>
          <w:pgMar w:top="2722" w:right="1276" w:bottom="936" w:left="1361" w:header="720" w:footer="578" w:gutter="0"/>
          <w:pgNumType w:start="4"/>
          <w:cols w:space="720"/>
        </w:sectPr>
      </w:pPr>
      <w:r w:rsidRPr="002A0B87">
        <w:rPr>
          <w:rFonts w:cs="Arial"/>
          <w:lang w:val="it-IT"/>
        </w:rPr>
        <w:tab/>
      </w:r>
    </w:p>
    <w:tbl>
      <w:tblPr>
        <w:tblW w:w="8890"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706"/>
        <w:gridCol w:w="3643"/>
        <w:gridCol w:w="778"/>
        <w:gridCol w:w="1886"/>
        <w:gridCol w:w="1877"/>
      </w:tblGrid>
      <w:tr w:rsidR="001D463A" w:rsidRPr="0076583B" w14:paraId="4A0F4B79" w14:textId="77777777" w:rsidTr="00D33812">
        <w:trPr>
          <w:trHeight w:val="459"/>
        </w:trPr>
        <w:tc>
          <w:tcPr>
            <w:tcW w:w="706" w:type="dxa"/>
            <w:tcBorders>
              <w:top w:val="double" w:sz="6" w:space="0" w:color="auto"/>
              <w:bottom w:val="single" w:sz="4" w:space="0" w:color="000000"/>
              <w:right w:val="single" w:sz="4" w:space="0" w:color="000000"/>
            </w:tcBorders>
            <w:noWrap/>
            <w:vAlign w:val="bottom"/>
          </w:tcPr>
          <w:p w14:paraId="4505B3F8" w14:textId="1A28BC87" w:rsidR="00E55B82" w:rsidRPr="00BC736B" w:rsidRDefault="009A15EC" w:rsidP="008064F8">
            <w:pPr>
              <w:spacing w:before="120" w:after="120"/>
              <w:ind w:left="-58" w:right="-58"/>
              <w:jc w:val="center"/>
              <w:rPr>
                <w:rFonts w:cs="Arial"/>
                <w:i/>
                <w:iCs/>
                <w:lang w:val="vi-VN"/>
              </w:rPr>
            </w:pPr>
            <w:r w:rsidRPr="009A15EC">
              <w:rPr>
                <w:rFonts w:cs="Arial"/>
                <w:i/>
                <w:iCs/>
                <w:lang w:val="vi-VN"/>
              </w:rPr>
              <w:lastRenderedPageBreak/>
              <w:t>Code</w:t>
            </w:r>
          </w:p>
        </w:tc>
        <w:tc>
          <w:tcPr>
            <w:tcW w:w="3643" w:type="dxa"/>
            <w:tcBorders>
              <w:top w:val="double" w:sz="6" w:space="0" w:color="auto"/>
              <w:left w:val="single" w:sz="4" w:space="0" w:color="000000"/>
              <w:bottom w:val="single" w:sz="4" w:space="0" w:color="000000"/>
              <w:right w:val="single" w:sz="4" w:space="0" w:color="000000"/>
            </w:tcBorders>
            <w:noWrap/>
            <w:vAlign w:val="bottom"/>
          </w:tcPr>
          <w:p w14:paraId="06D5F788" w14:textId="27D54C0E" w:rsidR="00E55B82" w:rsidRPr="00BC736B" w:rsidRDefault="00112750" w:rsidP="008064F8">
            <w:pPr>
              <w:spacing w:before="120" w:after="120"/>
              <w:ind w:left="-58"/>
              <w:rPr>
                <w:rFonts w:cs="Arial"/>
                <w:i/>
                <w:iCs/>
                <w:lang w:val="vi-VN"/>
              </w:rPr>
            </w:pPr>
            <w:r w:rsidRPr="00112750">
              <w:rPr>
                <w:rFonts w:cs="Arial"/>
                <w:i/>
                <w:iCs/>
                <w:lang w:val="vi-VN"/>
              </w:rPr>
              <w:t>ITEMS</w:t>
            </w:r>
          </w:p>
        </w:tc>
        <w:tc>
          <w:tcPr>
            <w:tcW w:w="778" w:type="dxa"/>
            <w:tcBorders>
              <w:top w:val="double" w:sz="6" w:space="0" w:color="auto"/>
              <w:left w:val="single" w:sz="4" w:space="0" w:color="000000"/>
              <w:bottom w:val="single" w:sz="4" w:space="0" w:color="000000"/>
              <w:right w:val="single" w:sz="4" w:space="0" w:color="000000"/>
            </w:tcBorders>
            <w:noWrap/>
            <w:vAlign w:val="bottom"/>
          </w:tcPr>
          <w:p w14:paraId="5985C5FD" w14:textId="3CD373BA" w:rsidR="00E55B82" w:rsidRPr="00BC736B" w:rsidRDefault="005D7A01" w:rsidP="00307188">
            <w:pPr>
              <w:spacing w:before="120" w:after="120"/>
              <w:ind w:left="-115" w:right="-115"/>
              <w:jc w:val="center"/>
              <w:rPr>
                <w:rFonts w:cs="Arial"/>
                <w:i/>
                <w:iCs/>
                <w:lang w:val="vi-VN"/>
              </w:rPr>
            </w:pPr>
            <w:r w:rsidRPr="005D7A01">
              <w:rPr>
                <w:rFonts w:cs="Arial"/>
                <w:i/>
                <w:iCs/>
                <w:lang w:val="vi-VN"/>
              </w:rPr>
              <w:t>Notes</w:t>
            </w:r>
          </w:p>
        </w:tc>
        <w:tc>
          <w:tcPr>
            <w:tcW w:w="1886" w:type="dxa"/>
            <w:tcBorders>
              <w:top w:val="double" w:sz="6" w:space="0" w:color="auto"/>
              <w:left w:val="single" w:sz="4" w:space="0" w:color="000000"/>
              <w:bottom w:val="single" w:sz="4" w:space="0" w:color="000000"/>
              <w:right w:val="single" w:sz="4" w:space="0" w:color="000000"/>
            </w:tcBorders>
            <w:vAlign w:val="bottom"/>
          </w:tcPr>
          <w:p w14:paraId="6A679087" w14:textId="77777777" w:rsidR="0031551B" w:rsidRPr="0031551B" w:rsidRDefault="0031551B" w:rsidP="0031551B">
            <w:pPr>
              <w:spacing w:before="120"/>
              <w:ind w:left="-58"/>
              <w:jc w:val="right"/>
              <w:rPr>
                <w:rFonts w:cs="Arial"/>
                <w:i/>
              </w:rPr>
            </w:pPr>
            <w:r w:rsidRPr="0031551B">
              <w:rPr>
                <w:rFonts w:cs="Arial"/>
                <w:i/>
              </w:rPr>
              <w:t>Ending balance</w:t>
            </w:r>
          </w:p>
          <w:p w14:paraId="11AE05C1" w14:textId="0D9BF63E" w:rsidR="00E55B82" w:rsidRPr="00BC736B" w:rsidRDefault="0031551B" w:rsidP="00461FA9">
            <w:pPr>
              <w:spacing w:after="120"/>
              <w:ind w:left="-58"/>
              <w:jc w:val="right"/>
              <w:rPr>
                <w:rFonts w:cs="Arial"/>
                <w:i/>
                <w:lang w:val="vi-VN"/>
              </w:rPr>
            </w:pPr>
            <w:r w:rsidRPr="0031551B">
              <w:rPr>
                <w:rFonts w:cs="Arial"/>
                <w:i/>
              </w:rPr>
              <w:t>VND</w:t>
            </w:r>
          </w:p>
        </w:tc>
        <w:tc>
          <w:tcPr>
            <w:tcW w:w="1877" w:type="dxa"/>
            <w:tcBorders>
              <w:top w:val="double" w:sz="6" w:space="0" w:color="auto"/>
              <w:left w:val="single" w:sz="4" w:space="0" w:color="000000"/>
              <w:bottom w:val="single" w:sz="4" w:space="0" w:color="000000"/>
            </w:tcBorders>
            <w:noWrap/>
            <w:vAlign w:val="bottom"/>
          </w:tcPr>
          <w:p w14:paraId="0A2A3F06" w14:textId="77777777" w:rsidR="001A3BD2" w:rsidRPr="001A3BD2" w:rsidRDefault="001A3BD2" w:rsidP="001A3BD2">
            <w:pPr>
              <w:spacing w:before="120"/>
              <w:ind w:left="-58"/>
              <w:jc w:val="right"/>
              <w:rPr>
                <w:rFonts w:cs="Arial"/>
                <w:i/>
              </w:rPr>
            </w:pPr>
            <w:r w:rsidRPr="001A3BD2">
              <w:rPr>
                <w:rFonts w:cs="Arial"/>
                <w:i/>
              </w:rPr>
              <w:t>Opening balance</w:t>
            </w:r>
          </w:p>
          <w:p w14:paraId="3F8AC75F" w14:textId="1CABD6C3" w:rsidR="00E55B82" w:rsidRPr="00BC736B" w:rsidRDefault="001A3BD2" w:rsidP="00461FA9">
            <w:pPr>
              <w:spacing w:after="120"/>
              <w:ind w:left="-58"/>
              <w:jc w:val="right"/>
              <w:rPr>
                <w:rFonts w:cs="Arial"/>
                <w:i/>
                <w:iCs/>
              </w:rPr>
            </w:pPr>
            <w:r w:rsidRPr="001A3BD2">
              <w:rPr>
                <w:rFonts w:cs="Arial"/>
                <w:i/>
              </w:rPr>
              <w:t>VND</w:t>
            </w:r>
          </w:p>
        </w:tc>
      </w:tr>
      <w:tr w:rsidR="008809C2" w:rsidRPr="0076583B" w14:paraId="7274E9FB" w14:textId="77777777" w:rsidTr="004501E3">
        <w:trPr>
          <w:trHeight w:val="287"/>
        </w:trPr>
        <w:tc>
          <w:tcPr>
            <w:tcW w:w="706" w:type="dxa"/>
            <w:tcBorders>
              <w:top w:val="single" w:sz="4" w:space="0" w:color="000000"/>
              <w:bottom w:val="nil"/>
              <w:right w:val="single" w:sz="4" w:space="0" w:color="000000"/>
            </w:tcBorders>
            <w:noWrap/>
          </w:tcPr>
          <w:p w14:paraId="13A5FC02" w14:textId="77777777" w:rsidR="008809C2" w:rsidRPr="00BC736B" w:rsidRDefault="008809C2" w:rsidP="008809C2">
            <w:pPr>
              <w:spacing w:before="120"/>
              <w:ind w:left="-58" w:right="-58"/>
              <w:jc w:val="center"/>
              <w:rPr>
                <w:rFonts w:cs="Arial"/>
                <w:b/>
                <w:bCs/>
                <w:lang w:val="vi-VN"/>
              </w:rPr>
            </w:pPr>
            <w:r w:rsidRPr="00BC736B">
              <w:rPr>
                <w:rFonts w:cs="Arial"/>
                <w:b/>
                <w:bCs/>
              </w:rPr>
              <w:t>100</w:t>
            </w:r>
          </w:p>
        </w:tc>
        <w:tc>
          <w:tcPr>
            <w:tcW w:w="3643" w:type="dxa"/>
            <w:tcBorders>
              <w:top w:val="single" w:sz="4" w:space="0" w:color="000000"/>
              <w:left w:val="single" w:sz="4" w:space="0" w:color="000000"/>
              <w:bottom w:val="nil"/>
              <w:right w:val="single" w:sz="4" w:space="0" w:color="000000"/>
            </w:tcBorders>
            <w:noWrap/>
            <w:vAlign w:val="bottom"/>
          </w:tcPr>
          <w:p w14:paraId="61C18B27" w14:textId="075AC6DE" w:rsidR="008809C2" w:rsidRPr="00BC736B" w:rsidRDefault="008809C2" w:rsidP="008809C2">
            <w:pPr>
              <w:spacing w:before="120"/>
              <w:ind w:left="302" w:hanging="360"/>
              <w:rPr>
                <w:rFonts w:cs="Arial"/>
                <w:b/>
                <w:bCs/>
                <w:lang w:val="vi-VN"/>
              </w:rPr>
            </w:pPr>
            <w:r w:rsidRPr="00BC736B">
              <w:rPr>
                <w:rFonts w:cs="Arial"/>
                <w:b/>
                <w:bCs/>
                <w:lang w:val="vi-VN"/>
              </w:rPr>
              <w:t>A.</w:t>
            </w:r>
            <w:r w:rsidRPr="00BC736B">
              <w:rPr>
                <w:rFonts w:cs="Arial"/>
                <w:b/>
                <w:bCs/>
                <w:lang w:val="vi-VN"/>
              </w:rPr>
              <w:tab/>
            </w:r>
            <w:r w:rsidRPr="00196FE7">
              <w:rPr>
                <w:rFonts w:cs="Arial"/>
                <w:b/>
                <w:bCs/>
                <w:lang w:val="vi-VN"/>
              </w:rPr>
              <w:t>CURRENT ASSETS</w:t>
            </w:r>
          </w:p>
        </w:tc>
        <w:tc>
          <w:tcPr>
            <w:tcW w:w="778" w:type="dxa"/>
            <w:tcBorders>
              <w:top w:val="single" w:sz="4" w:space="0" w:color="000000"/>
              <w:left w:val="single" w:sz="4" w:space="0" w:color="000000"/>
              <w:bottom w:val="nil"/>
              <w:right w:val="single" w:sz="4" w:space="0" w:color="000000"/>
            </w:tcBorders>
            <w:noWrap/>
          </w:tcPr>
          <w:p w14:paraId="59043A5F" w14:textId="77777777" w:rsidR="008809C2" w:rsidRPr="00F422E9" w:rsidRDefault="008809C2" w:rsidP="008809C2">
            <w:pPr>
              <w:spacing w:before="120"/>
              <w:ind w:left="-58" w:right="-58"/>
              <w:jc w:val="center"/>
              <w:rPr>
                <w:rFonts w:cs="Arial"/>
                <w:b/>
                <w:bCs/>
                <w:lang w:val="vi-VN"/>
              </w:rPr>
            </w:pPr>
          </w:p>
        </w:tc>
        <w:tc>
          <w:tcPr>
            <w:tcW w:w="1886" w:type="dxa"/>
            <w:tcBorders>
              <w:top w:val="single" w:sz="4" w:space="0" w:color="000000"/>
              <w:left w:val="single" w:sz="4" w:space="0" w:color="000000"/>
              <w:bottom w:val="nil"/>
              <w:right w:val="single" w:sz="4" w:space="0" w:color="000000"/>
            </w:tcBorders>
          </w:tcPr>
          <w:p w14:paraId="12403B3C" w14:textId="665E8B7D" w:rsidR="008809C2" w:rsidRPr="008809C2" w:rsidRDefault="008809C2" w:rsidP="008809C2">
            <w:pPr>
              <w:spacing w:before="120"/>
              <w:ind w:left="-58"/>
              <w:jc w:val="right"/>
              <w:rPr>
                <w:rFonts w:cs="Arial"/>
                <w:b/>
                <w:bCs/>
                <w:lang w:val="vi-VN"/>
              </w:rPr>
            </w:pPr>
            <w:r w:rsidRPr="008809C2">
              <w:rPr>
                <w:b/>
                <w:bCs/>
              </w:rPr>
              <w:t>3</w:t>
            </w:r>
            <w:r w:rsidR="00B45330">
              <w:rPr>
                <w:b/>
                <w:bCs/>
              </w:rPr>
              <w:t>,</w:t>
            </w:r>
            <w:r w:rsidRPr="008809C2">
              <w:rPr>
                <w:b/>
                <w:bCs/>
              </w:rPr>
              <w:t>252</w:t>
            </w:r>
            <w:r w:rsidR="00B45330">
              <w:rPr>
                <w:b/>
                <w:bCs/>
              </w:rPr>
              <w:t>,</w:t>
            </w:r>
            <w:r w:rsidRPr="008809C2">
              <w:rPr>
                <w:b/>
                <w:bCs/>
              </w:rPr>
              <w:t>438</w:t>
            </w:r>
            <w:r w:rsidR="00B45330">
              <w:rPr>
                <w:b/>
                <w:bCs/>
              </w:rPr>
              <w:t>,</w:t>
            </w:r>
            <w:r w:rsidRPr="008809C2">
              <w:rPr>
                <w:b/>
                <w:bCs/>
              </w:rPr>
              <w:t>668</w:t>
            </w:r>
            <w:r w:rsidR="00B45330">
              <w:rPr>
                <w:b/>
                <w:bCs/>
              </w:rPr>
              <w:t>,</w:t>
            </w:r>
            <w:r w:rsidRPr="008809C2">
              <w:rPr>
                <w:b/>
                <w:bCs/>
              </w:rPr>
              <w:t>814</w:t>
            </w:r>
          </w:p>
        </w:tc>
        <w:tc>
          <w:tcPr>
            <w:tcW w:w="1877" w:type="dxa"/>
            <w:tcBorders>
              <w:top w:val="single" w:sz="4" w:space="0" w:color="000000"/>
              <w:left w:val="single" w:sz="4" w:space="0" w:color="000000"/>
              <w:bottom w:val="nil"/>
            </w:tcBorders>
            <w:noWrap/>
          </w:tcPr>
          <w:p w14:paraId="452D35C7" w14:textId="64FBB6AB" w:rsidR="008809C2" w:rsidRPr="008809C2" w:rsidRDefault="008809C2" w:rsidP="008809C2">
            <w:pPr>
              <w:spacing w:before="120"/>
              <w:ind w:left="-58"/>
              <w:jc w:val="right"/>
              <w:rPr>
                <w:rFonts w:cs="Arial"/>
                <w:b/>
                <w:bCs/>
              </w:rPr>
            </w:pPr>
            <w:r w:rsidRPr="008809C2">
              <w:rPr>
                <w:b/>
                <w:bCs/>
              </w:rPr>
              <w:t>2</w:t>
            </w:r>
            <w:r w:rsidR="00B45330">
              <w:rPr>
                <w:b/>
                <w:bCs/>
              </w:rPr>
              <w:t>,</w:t>
            </w:r>
            <w:r w:rsidRPr="008809C2">
              <w:rPr>
                <w:b/>
                <w:bCs/>
              </w:rPr>
              <w:t>438</w:t>
            </w:r>
            <w:r w:rsidR="00B45330">
              <w:rPr>
                <w:b/>
                <w:bCs/>
              </w:rPr>
              <w:t>,</w:t>
            </w:r>
            <w:r w:rsidRPr="008809C2">
              <w:rPr>
                <w:b/>
                <w:bCs/>
              </w:rPr>
              <w:t>177</w:t>
            </w:r>
            <w:r w:rsidR="00B45330">
              <w:rPr>
                <w:b/>
                <w:bCs/>
              </w:rPr>
              <w:t>,</w:t>
            </w:r>
            <w:r w:rsidRPr="008809C2">
              <w:rPr>
                <w:b/>
                <w:bCs/>
              </w:rPr>
              <w:t>467</w:t>
            </w:r>
            <w:r w:rsidR="00B45330">
              <w:rPr>
                <w:b/>
                <w:bCs/>
              </w:rPr>
              <w:t>,</w:t>
            </w:r>
            <w:r w:rsidRPr="008809C2">
              <w:rPr>
                <w:b/>
                <w:bCs/>
              </w:rPr>
              <w:t>070</w:t>
            </w:r>
          </w:p>
        </w:tc>
      </w:tr>
      <w:tr w:rsidR="008809C2" w:rsidRPr="0076583B" w14:paraId="4E89E6C2" w14:textId="77777777" w:rsidTr="004501E3">
        <w:tc>
          <w:tcPr>
            <w:tcW w:w="706" w:type="dxa"/>
            <w:tcBorders>
              <w:top w:val="nil"/>
              <w:right w:val="single" w:sz="4" w:space="0" w:color="000000"/>
            </w:tcBorders>
            <w:noWrap/>
          </w:tcPr>
          <w:p w14:paraId="45B10652" w14:textId="3D039096" w:rsidR="008809C2" w:rsidRPr="00BC736B" w:rsidRDefault="008809C2" w:rsidP="008809C2">
            <w:pPr>
              <w:spacing w:before="120"/>
              <w:ind w:left="-58" w:right="-58"/>
              <w:jc w:val="center"/>
              <w:rPr>
                <w:rFonts w:cs="Arial"/>
                <w:b/>
                <w:bCs/>
                <w:i/>
              </w:rPr>
            </w:pPr>
            <w:r w:rsidRPr="00BC736B">
              <w:rPr>
                <w:rFonts w:cs="Arial"/>
                <w:b/>
                <w:bCs/>
                <w:i/>
              </w:rPr>
              <w:t>110</w:t>
            </w:r>
          </w:p>
        </w:tc>
        <w:tc>
          <w:tcPr>
            <w:tcW w:w="3643" w:type="dxa"/>
            <w:tcBorders>
              <w:top w:val="nil"/>
              <w:left w:val="single" w:sz="4" w:space="0" w:color="000000"/>
              <w:right w:val="single" w:sz="4" w:space="0" w:color="000000"/>
            </w:tcBorders>
            <w:noWrap/>
            <w:vAlign w:val="bottom"/>
          </w:tcPr>
          <w:p w14:paraId="334C5021" w14:textId="4F018066" w:rsidR="008809C2" w:rsidRPr="00BC736B" w:rsidRDefault="008809C2" w:rsidP="008809C2">
            <w:pPr>
              <w:spacing w:before="120"/>
              <w:ind w:left="302" w:hanging="360"/>
              <w:rPr>
                <w:rFonts w:cs="Arial"/>
                <w:b/>
                <w:bCs/>
                <w:i/>
              </w:rPr>
            </w:pPr>
            <w:r w:rsidRPr="00BC736B">
              <w:rPr>
                <w:rFonts w:cs="Arial"/>
                <w:b/>
                <w:bCs/>
                <w:i/>
              </w:rPr>
              <w:t>I.</w:t>
            </w:r>
            <w:r w:rsidRPr="00BC736B">
              <w:rPr>
                <w:rFonts w:cs="Arial"/>
                <w:b/>
                <w:bCs/>
                <w:i/>
              </w:rPr>
              <w:tab/>
            </w:r>
            <w:r w:rsidRPr="00F105AE">
              <w:rPr>
                <w:rFonts w:cs="Arial"/>
                <w:b/>
                <w:bCs/>
                <w:i/>
              </w:rPr>
              <w:t>Financial assets</w:t>
            </w:r>
          </w:p>
        </w:tc>
        <w:tc>
          <w:tcPr>
            <w:tcW w:w="778" w:type="dxa"/>
            <w:tcBorders>
              <w:top w:val="nil"/>
              <w:left w:val="single" w:sz="4" w:space="0" w:color="000000"/>
              <w:right w:val="single" w:sz="4" w:space="0" w:color="000000"/>
            </w:tcBorders>
            <w:noWrap/>
          </w:tcPr>
          <w:p w14:paraId="11AAE1C0" w14:textId="77777777" w:rsidR="008809C2" w:rsidRPr="00F422E9" w:rsidRDefault="008809C2" w:rsidP="008809C2">
            <w:pPr>
              <w:spacing w:before="120"/>
              <w:ind w:left="-58" w:right="-58"/>
              <w:jc w:val="center"/>
              <w:rPr>
                <w:rFonts w:cs="Arial"/>
                <w:b/>
                <w:bCs/>
                <w:i/>
                <w:lang w:val="vi-VN"/>
              </w:rPr>
            </w:pPr>
          </w:p>
        </w:tc>
        <w:tc>
          <w:tcPr>
            <w:tcW w:w="1886" w:type="dxa"/>
            <w:tcBorders>
              <w:top w:val="nil"/>
              <w:left w:val="single" w:sz="4" w:space="0" w:color="000000"/>
              <w:right w:val="single" w:sz="4" w:space="0" w:color="000000"/>
            </w:tcBorders>
          </w:tcPr>
          <w:p w14:paraId="63A33B78" w14:textId="344F7882" w:rsidR="008809C2" w:rsidRPr="001A18FE" w:rsidRDefault="008809C2" w:rsidP="008809C2">
            <w:pPr>
              <w:spacing w:before="120"/>
              <w:ind w:left="-58"/>
              <w:jc w:val="right"/>
              <w:rPr>
                <w:rFonts w:cs="Arial"/>
                <w:b/>
                <w:bCs/>
                <w:i/>
                <w:iCs/>
                <w:lang w:val="vi-VN"/>
              </w:rPr>
            </w:pPr>
            <w:r w:rsidRPr="001A18FE">
              <w:rPr>
                <w:b/>
                <w:bCs/>
                <w:i/>
                <w:iCs/>
              </w:rPr>
              <w:t>3</w:t>
            </w:r>
            <w:r w:rsidR="00B45330" w:rsidRPr="001A18FE">
              <w:rPr>
                <w:b/>
                <w:bCs/>
                <w:i/>
                <w:iCs/>
              </w:rPr>
              <w:t>,</w:t>
            </w:r>
            <w:r w:rsidRPr="001A18FE">
              <w:rPr>
                <w:b/>
                <w:bCs/>
                <w:i/>
                <w:iCs/>
              </w:rPr>
              <w:t>250</w:t>
            </w:r>
            <w:r w:rsidR="00B45330" w:rsidRPr="001A18FE">
              <w:rPr>
                <w:b/>
                <w:bCs/>
                <w:i/>
                <w:iCs/>
              </w:rPr>
              <w:t>,</w:t>
            </w:r>
            <w:r w:rsidRPr="001A18FE">
              <w:rPr>
                <w:b/>
                <w:bCs/>
                <w:i/>
                <w:iCs/>
              </w:rPr>
              <w:t>336</w:t>
            </w:r>
            <w:r w:rsidR="00B45330" w:rsidRPr="001A18FE">
              <w:rPr>
                <w:b/>
                <w:bCs/>
                <w:i/>
                <w:iCs/>
              </w:rPr>
              <w:t>,</w:t>
            </w:r>
            <w:r w:rsidRPr="001A18FE">
              <w:rPr>
                <w:b/>
                <w:bCs/>
                <w:i/>
                <w:iCs/>
              </w:rPr>
              <w:t>352</w:t>
            </w:r>
            <w:r w:rsidR="00B45330" w:rsidRPr="001A18FE">
              <w:rPr>
                <w:b/>
                <w:bCs/>
                <w:i/>
                <w:iCs/>
              </w:rPr>
              <w:t>,</w:t>
            </w:r>
            <w:r w:rsidRPr="001A18FE">
              <w:rPr>
                <w:b/>
                <w:bCs/>
                <w:i/>
                <w:iCs/>
              </w:rPr>
              <w:t xml:space="preserve">465 </w:t>
            </w:r>
          </w:p>
        </w:tc>
        <w:tc>
          <w:tcPr>
            <w:tcW w:w="1877" w:type="dxa"/>
            <w:tcBorders>
              <w:top w:val="nil"/>
              <w:left w:val="single" w:sz="4" w:space="0" w:color="000000"/>
            </w:tcBorders>
            <w:noWrap/>
          </w:tcPr>
          <w:p w14:paraId="082D57B1" w14:textId="01B650A6" w:rsidR="008809C2" w:rsidRPr="001A18FE" w:rsidRDefault="008809C2" w:rsidP="008809C2">
            <w:pPr>
              <w:spacing w:before="120"/>
              <w:ind w:left="-58"/>
              <w:jc w:val="right"/>
              <w:rPr>
                <w:rFonts w:cs="Arial"/>
                <w:b/>
                <w:bCs/>
                <w:i/>
                <w:iCs/>
                <w:lang w:val="vi-VN"/>
              </w:rPr>
            </w:pPr>
            <w:r w:rsidRPr="001A18FE">
              <w:rPr>
                <w:b/>
                <w:bCs/>
                <w:i/>
                <w:iCs/>
              </w:rPr>
              <w:t>2</w:t>
            </w:r>
            <w:r w:rsidR="00B45330" w:rsidRPr="001A18FE">
              <w:rPr>
                <w:b/>
                <w:bCs/>
                <w:i/>
                <w:iCs/>
              </w:rPr>
              <w:t>,</w:t>
            </w:r>
            <w:r w:rsidRPr="001A18FE">
              <w:rPr>
                <w:b/>
                <w:bCs/>
                <w:i/>
                <w:iCs/>
              </w:rPr>
              <w:t>436</w:t>
            </w:r>
            <w:r w:rsidR="00B45330" w:rsidRPr="001A18FE">
              <w:rPr>
                <w:b/>
                <w:bCs/>
                <w:i/>
                <w:iCs/>
              </w:rPr>
              <w:t>,</w:t>
            </w:r>
            <w:r w:rsidRPr="001A18FE">
              <w:rPr>
                <w:b/>
                <w:bCs/>
                <w:i/>
                <w:iCs/>
              </w:rPr>
              <w:t>453</w:t>
            </w:r>
            <w:r w:rsidR="00B45330" w:rsidRPr="001A18FE">
              <w:rPr>
                <w:b/>
                <w:bCs/>
                <w:i/>
                <w:iCs/>
              </w:rPr>
              <w:t>,</w:t>
            </w:r>
            <w:r w:rsidRPr="001A18FE">
              <w:rPr>
                <w:b/>
                <w:bCs/>
                <w:i/>
                <w:iCs/>
              </w:rPr>
              <w:t>256</w:t>
            </w:r>
            <w:r w:rsidR="00B45330" w:rsidRPr="001A18FE">
              <w:rPr>
                <w:b/>
                <w:bCs/>
                <w:i/>
                <w:iCs/>
              </w:rPr>
              <w:t>,</w:t>
            </w:r>
            <w:r w:rsidRPr="001A18FE">
              <w:rPr>
                <w:b/>
                <w:bCs/>
                <w:i/>
                <w:iCs/>
              </w:rPr>
              <w:t xml:space="preserve">415 </w:t>
            </w:r>
          </w:p>
        </w:tc>
      </w:tr>
      <w:tr w:rsidR="008809C2" w:rsidRPr="0076583B" w14:paraId="7E9A8B7E" w14:textId="77777777" w:rsidTr="004501E3">
        <w:tc>
          <w:tcPr>
            <w:tcW w:w="706" w:type="dxa"/>
            <w:tcBorders>
              <w:right w:val="single" w:sz="4" w:space="0" w:color="000000"/>
            </w:tcBorders>
            <w:noWrap/>
          </w:tcPr>
          <w:p w14:paraId="452BCE29" w14:textId="25CFC9C2" w:rsidR="008809C2" w:rsidRPr="00BC736B" w:rsidRDefault="008809C2" w:rsidP="008809C2">
            <w:pPr>
              <w:spacing w:before="120"/>
              <w:ind w:left="-58" w:right="-58"/>
              <w:jc w:val="center"/>
              <w:rPr>
                <w:rFonts w:cs="Arial"/>
                <w:bCs/>
              </w:rPr>
            </w:pPr>
            <w:r w:rsidRPr="00BC736B">
              <w:rPr>
                <w:rFonts w:cs="Arial"/>
              </w:rPr>
              <w:t>111</w:t>
            </w:r>
          </w:p>
        </w:tc>
        <w:tc>
          <w:tcPr>
            <w:tcW w:w="3643" w:type="dxa"/>
            <w:tcBorders>
              <w:left w:val="single" w:sz="4" w:space="0" w:color="000000"/>
              <w:right w:val="single" w:sz="4" w:space="0" w:color="000000"/>
            </w:tcBorders>
            <w:noWrap/>
            <w:vAlign w:val="bottom"/>
          </w:tcPr>
          <w:p w14:paraId="3C90CDB1" w14:textId="7EA2DAFA" w:rsidR="008809C2" w:rsidRPr="00BC736B" w:rsidRDefault="008809C2" w:rsidP="008809C2">
            <w:pPr>
              <w:spacing w:before="120"/>
              <w:ind w:left="302" w:right="-86" w:hanging="360"/>
              <w:rPr>
                <w:rFonts w:cs="Arial"/>
                <w:bCs/>
              </w:rPr>
            </w:pPr>
            <w:r w:rsidRPr="00BC736B">
              <w:rPr>
                <w:rFonts w:cs="Arial"/>
              </w:rPr>
              <w:t>1.</w:t>
            </w:r>
            <w:r w:rsidRPr="00BC736B">
              <w:rPr>
                <w:rFonts w:cs="Arial"/>
              </w:rPr>
              <w:tab/>
            </w:r>
            <w:r w:rsidRPr="00B07B99">
              <w:rPr>
                <w:rFonts w:cs="Arial"/>
                <w:lang w:val="vi-VN"/>
              </w:rPr>
              <w:t>Cash and cash equivalents</w:t>
            </w:r>
          </w:p>
        </w:tc>
        <w:tc>
          <w:tcPr>
            <w:tcW w:w="778" w:type="dxa"/>
            <w:tcBorders>
              <w:left w:val="single" w:sz="4" w:space="0" w:color="000000"/>
              <w:right w:val="single" w:sz="4" w:space="0" w:color="000000"/>
            </w:tcBorders>
            <w:noWrap/>
            <w:vAlign w:val="bottom"/>
          </w:tcPr>
          <w:p w14:paraId="1A2FCE21" w14:textId="07EBBFFE" w:rsidR="008809C2" w:rsidRPr="00F422E9" w:rsidRDefault="008809C2" w:rsidP="008809C2">
            <w:pPr>
              <w:spacing w:before="120"/>
              <w:ind w:left="-58" w:right="-58"/>
              <w:jc w:val="center"/>
              <w:rPr>
                <w:rFonts w:cs="Arial"/>
                <w:bCs/>
              </w:rPr>
            </w:pPr>
            <w:r w:rsidRPr="00F422E9">
              <w:rPr>
                <w:rFonts w:cs="Arial"/>
                <w:bCs/>
              </w:rPr>
              <w:t>5</w:t>
            </w:r>
          </w:p>
        </w:tc>
        <w:tc>
          <w:tcPr>
            <w:tcW w:w="1886" w:type="dxa"/>
            <w:tcBorders>
              <w:left w:val="single" w:sz="4" w:space="0" w:color="000000"/>
              <w:right w:val="single" w:sz="4" w:space="0" w:color="000000"/>
            </w:tcBorders>
          </w:tcPr>
          <w:p w14:paraId="37037EC3" w14:textId="3A4F5A93" w:rsidR="008809C2" w:rsidRPr="003C222B" w:rsidRDefault="008809C2" w:rsidP="008809C2">
            <w:pPr>
              <w:spacing w:before="120"/>
              <w:ind w:left="-58"/>
              <w:jc w:val="right"/>
              <w:rPr>
                <w:rFonts w:cs="Arial"/>
                <w:lang w:val="vi-VN"/>
              </w:rPr>
            </w:pPr>
            <w:r w:rsidRPr="006D4CDE">
              <w:t>2</w:t>
            </w:r>
            <w:r w:rsidR="00B45330">
              <w:t>,</w:t>
            </w:r>
            <w:r w:rsidRPr="006D4CDE">
              <w:t>929</w:t>
            </w:r>
            <w:r w:rsidR="00B45330">
              <w:t>,</w:t>
            </w:r>
            <w:r w:rsidRPr="006D4CDE">
              <w:t>537</w:t>
            </w:r>
            <w:r w:rsidR="00B45330">
              <w:t>,</w:t>
            </w:r>
            <w:r w:rsidRPr="006D4CDE">
              <w:t xml:space="preserve">893 </w:t>
            </w:r>
          </w:p>
        </w:tc>
        <w:tc>
          <w:tcPr>
            <w:tcW w:w="1877" w:type="dxa"/>
            <w:tcBorders>
              <w:left w:val="single" w:sz="4" w:space="0" w:color="000000"/>
            </w:tcBorders>
            <w:noWrap/>
          </w:tcPr>
          <w:p w14:paraId="1C22D037" w14:textId="6DE0534A" w:rsidR="008809C2" w:rsidRPr="00BC736B" w:rsidRDefault="008809C2" w:rsidP="008809C2">
            <w:pPr>
              <w:spacing w:before="120"/>
              <w:ind w:left="-58"/>
              <w:jc w:val="right"/>
              <w:rPr>
                <w:rFonts w:cs="Arial"/>
                <w:bCs/>
                <w:lang w:val="vi-VN"/>
              </w:rPr>
            </w:pPr>
            <w:r w:rsidRPr="006D4CDE">
              <w:t>83</w:t>
            </w:r>
            <w:r w:rsidR="00B45330">
              <w:t>,</w:t>
            </w:r>
            <w:r w:rsidRPr="006D4CDE">
              <w:t>889</w:t>
            </w:r>
            <w:r w:rsidR="00B45330">
              <w:t>,</w:t>
            </w:r>
            <w:r w:rsidRPr="006D4CDE">
              <w:t>044</w:t>
            </w:r>
            <w:r w:rsidR="00B45330">
              <w:t>,</w:t>
            </w:r>
            <w:r w:rsidRPr="006D4CDE">
              <w:t xml:space="preserve">845 </w:t>
            </w:r>
          </w:p>
        </w:tc>
      </w:tr>
      <w:tr w:rsidR="008809C2" w:rsidRPr="0076583B" w14:paraId="1A850989" w14:textId="77777777" w:rsidTr="004501E3">
        <w:tc>
          <w:tcPr>
            <w:tcW w:w="706" w:type="dxa"/>
            <w:tcBorders>
              <w:right w:val="single" w:sz="4" w:space="0" w:color="000000"/>
            </w:tcBorders>
            <w:noWrap/>
          </w:tcPr>
          <w:p w14:paraId="1C22FBD7" w14:textId="3E72DE4B" w:rsidR="008809C2" w:rsidRPr="00BC736B" w:rsidRDefault="008809C2" w:rsidP="008809C2">
            <w:pPr>
              <w:ind w:left="-58" w:right="-58"/>
              <w:jc w:val="center"/>
              <w:rPr>
                <w:rFonts w:cs="Arial"/>
                <w:bCs/>
              </w:rPr>
            </w:pPr>
            <w:r w:rsidRPr="00BC736B">
              <w:rPr>
                <w:rFonts w:cs="Arial"/>
                <w:i/>
              </w:rPr>
              <w:t>111.1</w:t>
            </w:r>
          </w:p>
        </w:tc>
        <w:tc>
          <w:tcPr>
            <w:tcW w:w="3643" w:type="dxa"/>
            <w:tcBorders>
              <w:left w:val="single" w:sz="4" w:space="0" w:color="000000"/>
              <w:right w:val="single" w:sz="4" w:space="0" w:color="000000"/>
            </w:tcBorders>
            <w:noWrap/>
            <w:vAlign w:val="bottom"/>
          </w:tcPr>
          <w:p w14:paraId="05241830" w14:textId="35CC0B1D" w:rsidR="008809C2" w:rsidRPr="00BC736B" w:rsidRDefault="008809C2" w:rsidP="008809C2">
            <w:pPr>
              <w:ind w:left="662" w:hanging="360"/>
              <w:rPr>
                <w:rFonts w:cs="Arial"/>
                <w:bCs/>
              </w:rPr>
            </w:pPr>
            <w:r w:rsidRPr="00BC736B">
              <w:rPr>
                <w:rFonts w:cs="Arial"/>
                <w:i/>
              </w:rPr>
              <w:t>1.1</w:t>
            </w:r>
            <w:r w:rsidRPr="00BC736B">
              <w:rPr>
                <w:rFonts w:cs="Arial"/>
                <w:i/>
              </w:rPr>
              <w:tab/>
            </w:r>
            <w:r>
              <w:rPr>
                <w:rFonts w:cs="Arial"/>
                <w:i/>
              </w:rPr>
              <w:t>Cash</w:t>
            </w:r>
          </w:p>
        </w:tc>
        <w:tc>
          <w:tcPr>
            <w:tcW w:w="778" w:type="dxa"/>
            <w:tcBorders>
              <w:left w:val="single" w:sz="4" w:space="0" w:color="000000"/>
              <w:right w:val="single" w:sz="4" w:space="0" w:color="000000"/>
            </w:tcBorders>
            <w:noWrap/>
            <w:vAlign w:val="bottom"/>
          </w:tcPr>
          <w:p w14:paraId="54C09BF0" w14:textId="77777777" w:rsidR="008809C2" w:rsidRPr="00F422E9" w:rsidRDefault="008809C2" w:rsidP="008809C2">
            <w:pPr>
              <w:ind w:left="-58" w:right="-58"/>
              <w:jc w:val="center"/>
              <w:rPr>
                <w:rFonts w:cs="Arial"/>
                <w:bCs/>
                <w:lang w:val="vi-VN"/>
              </w:rPr>
            </w:pPr>
          </w:p>
        </w:tc>
        <w:tc>
          <w:tcPr>
            <w:tcW w:w="1886" w:type="dxa"/>
            <w:tcBorders>
              <w:left w:val="single" w:sz="4" w:space="0" w:color="000000"/>
              <w:right w:val="single" w:sz="4" w:space="0" w:color="000000"/>
            </w:tcBorders>
          </w:tcPr>
          <w:p w14:paraId="7C2B305C" w14:textId="420FB81A" w:rsidR="008809C2" w:rsidRPr="003C222B" w:rsidRDefault="008809C2" w:rsidP="008809C2">
            <w:pPr>
              <w:ind w:left="-58"/>
              <w:jc w:val="right"/>
              <w:rPr>
                <w:rFonts w:cs="Arial"/>
                <w:i/>
                <w:lang w:val="vi-VN"/>
              </w:rPr>
            </w:pPr>
            <w:r w:rsidRPr="006D4CDE">
              <w:t>2</w:t>
            </w:r>
            <w:r w:rsidR="00B45330">
              <w:t>,</w:t>
            </w:r>
            <w:r w:rsidRPr="006D4CDE">
              <w:t>929</w:t>
            </w:r>
            <w:r w:rsidR="00B45330">
              <w:t>,</w:t>
            </w:r>
            <w:r w:rsidRPr="006D4CDE">
              <w:t>537</w:t>
            </w:r>
            <w:r w:rsidR="00B45330">
              <w:t>,</w:t>
            </w:r>
            <w:r w:rsidRPr="006D4CDE">
              <w:t xml:space="preserve">893 </w:t>
            </w:r>
          </w:p>
        </w:tc>
        <w:tc>
          <w:tcPr>
            <w:tcW w:w="1877" w:type="dxa"/>
            <w:tcBorders>
              <w:left w:val="single" w:sz="4" w:space="0" w:color="000000"/>
            </w:tcBorders>
            <w:noWrap/>
          </w:tcPr>
          <w:p w14:paraId="1FEB2206" w14:textId="3F5B447C" w:rsidR="008809C2" w:rsidRPr="00BC736B" w:rsidRDefault="008809C2" w:rsidP="008809C2">
            <w:pPr>
              <w:ind w:left="-58"/>
              <w:jc w:val="right"/>
              <w:rPr>
                <w:rFonts w:cs="Arial"/>
                <w:bCs/>
                <w:i/>
                <w:iCs/>
                <w:lang w:val="vi-VN"/>
              </w:rPr>
            </w:pPr>
            <w:r w:rsidRPr="006D4CDE">
              <w:t>83</w:t>
            </w:r>
            <w:r w:rsidR="00B45330">
              <w:t>,</w:t>
            </w:r>
            <w:r w:rsidRPr="006D4CDE">
              <w:t>889</w:t>
            </w:r>
            <w:r w:rsidR="00B45330">
              <w:t>,</w:t>
            </w:r>
            <w:r w:rsidRPr="006D4CDE">
              <w:t>044</w:t>
            </w:r>
            <w:r w:rsidR="00B45330">
              <w:t>,</w:t>
            </w:r>
            <w:r w:rsidRPr="006D4CDE">
              <w:t xml:space="preserve">845 </w:t>
            </w:r>
          </w:p>
        </w:tc>
      </w:tr>
      <w:tr w:rsidR="008809C2" w:rsidRPr="0076583B" w14:paraId="5017C514" w14:textId="77777777" w:rsidTr="004501E3">
        <w:tc>
          <w:tcPr>
            <w:tcW w:w="706" w:type="dxa"/>
            <w:tcBorders>
              <w:right w:val="single" w:sz="4" w:space="0" w:color="000000"/>
            </w:tcBorders>
            <w:noWrap/>
          </w:tcPr>
          <w:p w14:paraId="440D98A2" w14:textId="474ADF77" w:rsidR="008809C2" w:rsidRPr="00BC736B" w:rsidRDefault="008809C2" w:rsidP="008809C2">
            <w:pPr>
              <w:ind w:left="-58" w:right="-58"/>
              <w:jc w:val="center"/>
              <w:rPr>
                <w:rFonts w:cs="Arial"/>
                <w:bCs/>
              </w:rPr>
            </w:pPr>
            <w:r w:rsidRPr="00BC736B">
              <w:rPr>
                <w:rFonts w:cs="Arial"/>
              </w:rPr>
              <w:t>112</w:t>
            </w:r>
          </w:p>
        </w:tc>
        <w:tc>
          <w:tcPr>
            <w:tcW w:w="3643" w:type="dxa"/>
            <w:tcBorders>
              <w:left w:val="single" w:sz="4" w:space="0" w:color="000000"/>
              <w:right w:val="single" w:sz="4" w:space="0" w:color="000000"/>
            </w:tcBorders>
            <w:noWrap/>
            <w:vAlign w:val="bottom"/>
          </w:tcPr>
          <w:p w14:paraId="58A54F53" w14:textId="2874832F" w:rsidR="008809C2" w:rsidRPr="00BC736B" w:rsidRDefault="008809C2" w:rsidP="008809C2">
            <w:pPr>
              <w:ind w:left="302" w:hanging="360"/>
              <w:rPr>
                <w:rFonts w:cs="Arial"/>
                <w:lang w:val="vi-VN"/>
              </w:rPr>
            </w:pPr>
            <w:r w:rsidRPr="00BC736B">
              <w:rPr>
                <w:rFonts w:cs="Arial"/>
                <w:lang w:val="vi-VN"/>
              </w:rPr>
              <w:t>2.</w:t>
            </w:r>
            <w:r w:rsidRPr="00BC736B">
              <w:rPr>
                <w:rFonts w:cs="Arial"/>
                <w:lang w:val="vi-VN"/>
              </w:rPr>
              <w:tab/>
            </w:r>
            <w:r w:rsidRPr="0099649A">
              <w:rPr>
                <w:rFonts w:cs="Arial"/>
                <w:lang w:val="vi-VN"/>
              </w:rPr>
              <w:t>Financial assets at fair value through profit or loss</w:t>
            </w:r>
            <w:r w:rsidRPr="00BC736B">
              <w:rPr>
                <w:rFonts w:cs="Arial"/>
                <w:lang w:val="vi-VN"/>
              </w:rPr>
              <w:t xml:space="preserve"> (</w:t>
            </w:r>
            <w:r w:rsidRPr="00BC736B">
              <w:rPr>
                <w:rFonts w:cs="Arial"/>
              </w:rPr>
              <w:t>“</w:t>
            </w:r>
            <w:r w:rsidRPr="00BC736B">
              <w:rPr>
                <w:rFonts w:cs="Arial"/>
                <w:lang w:val="vi-VN"/>
              </w:rPr>
              <w:t>FVTPL</w:t>
            </w:r>
            <w:r w:rsidRPr="00BC736B">
              <w:rPr>
                <w:rFonts w:cs="Arial"/>
              </w:rPr>
              <w:t>”</w:t>
            </w:r>
            <w:r w:rsidRPr="00BC736B">
              <w:rPr>
                <w:rFonts w:cs="Arial"/>
                <w:lang w:val="vi-VN"/>
              </w:rPr>
              <w:t>)</w:t>
            </w:r>
          </w:p>
        </w:tc>
        <w:tc>
          <w:tcPr>
            <w:tcW w:w="778" w:type="dxa"/>
            <w:tcBorders>
              <w:left w:val="single" w:sz="4" w:space="0" w:color="000000"/>
              <w:right w:val="single" w:sz="4" w:space="0" w:color="000000"/>
            </w:tcBorders>
            <w:noWrap/>
            <w:vAlign w:val="bottom"/>
          </w:tcPr>
          <w:p w14:paraId="58E10023" w14:textId="7E60D2CE" w:rsidR="008809C2" w:rsidRPr="00F422E9" w:rsidRDefault="008809C2" w:rsidP="008809C2">
            <w:pPr>
              <w:ind w:left="-58" w:right="-58"/>
              <w:jc w:val="center"/>
              <w:rPr>
                <w:rFonts w:cs="Arial"/>
                <w:bCs/>
              </w:rPr>
            </w:pPr>
            <w:r w:rsidRPr="00F422E9">
              <w:rPr>
                <w:rFonts w:cs="Arial"/>
                <w:bCs/>
              </w:rPr>
              <w:t>7.1</w:t>
            </w:r>
          </w:p>
        </w:tc>
        <w:tc>
          <w:tcPr>
            <w:tcW w:w="1886" w:type="dxa"/>
            <w:tcBorders>
              <w:left w:val="single" w:sz="4" w:space="0" w:color="000000"/>
              <w:right w:val="single" w:sz="4" w:space="0" w:color="000000"/>
            </w:tcBorders>
          </w:tcPr>
          <w:p w14:paraId="4ACF2883" w14:textId="7738D912" w:rsidR="008809C2" w:rsidRPr="003C222B" w:rsidRDefault="008809C2" w:rsidP="008809C2">
            <w:pPr>
              <w:ind w:left="-58"/>
              <w:jc w:val="right"/>
              <w:rPr>
                <w:rFonts w:cs="Arial"/>
                <w:lang w:val="vi-VN"/>
              </w:rPr>
            </w:pPr>
            <w:r w:rsidRPr="006D4CDE">
              <w:t>126</w:t>
            </w:r>
            <w:r w:rsidR="00B45330">
              <w:t>,</w:t>
            </w:r>
            <w:r w:rsidRPr="006D4CDE">
              <w:t>593</w:t>
            </w:r>
            <w:r w:rsidR="00B45330">
              <w:t>,</w:t>
            </w:r>
            <w:r w:rsidRPr="006D4CDE">
              <w:t>701</w:t>
            </w:r>
            <w:r w:rsidR="00B45330">
              <w:t>,</w:t>
            </w:r>
            <w:r w:rsidRPr="006D4CDE">
              <w:t xml:space="preserve">320 </w:t>
            </w:r>
          </w:p>
        </w:tc>
        <w:tc>
          <w:tcPr>
            <w:tcW w:w="1877" w:type="dxa"/>
            <w:tcBorders>
              <w:left w:val="single" w:sz="4" w:space="0" w:color="000000"/>
            </w:tcBorders>
            <w:noWrap/>
          </w:tcPr>
          <w:p w14:paraId="085215B7" w14:textId="159F3C2B" w:rsidR="008809C2" w:rsidRPr="00BC736B" w:rsidRDefault="008809C2" w:rsidP="008809C2">
            <w:pPr>
              <w:ind w:left="-58"/>
              <w:jc w:val="right"/>
              <w:rPr>
                <w:rFonts w:cs="Arial"/>
                <w:bCs/>
                <w:lang w:val="vi-VN"/>
              </w:rPr>
            </w:pPr>
            <w:r w:rsidRPr="006D4CDE">
              <w:t>301</w:t>
            </w:r>
            <w:r w:rsidR="00B45330">
              <w:t>,</w:t>
            </w:r>
            <w:r w:rsidRPr="006D4CDE">
              <w:t>045</w:t>
            </w:r>
            <w:r w:rsidR="00B45330">
              <w:t>,</w:t>
            </w:r>
            <w:r w:rsidRPr="006D4CDE">
              <w:t xml:space="preserve">250 </w:t>
            </w:r>
          </w:p>
        </w:tc>
      </w:tr>
      <w:tr w:rsidR="008809C2" w:rsidRPr="0076583B" w14:paraId="3A5096BA" w14:textId="77777777" w:rsidTr="004501E3">
        <w:tc>
          <w:tcPr>
            <w:tcW w:w="706" w:type="dxa"/>
            <w:tcBorders>
              <w:right w:val="single" w:sz="4" w:space="0" w:color="000000"/>
            </w:tcBorders>
            <w:noWrap/>
          </w:tcPr>
          <w:p w14:paraId="1F7F643A" w14:textId="4F0FE5F4" w:rsidR="008809C2" w:rsidRPr="00BC736B" w:rsidRDefault="008809C2" w:rsidP="008809C2">
            <w:pPr>
              <w:ind w:left="-58" w:right="-58"/>
              <w:jc w:val="center"/>
              <w:rPr>
                <w:rFonts w:cs="Arial"/>
              </w:rPr>
            </w:pPr>
            <w:r w:rsidRPr="00BC736B">
              <w:rPr>
                <w:rFonts w:cs="Arial"/>
              </w:rPr>
              <w:t>113</w:t>
            </w:r>
          </w:p>
        </w:tc>
        <w:tc>
          <w:tcPr>
            <w:tcW w:w="3643" w:type="dxa"/>
            <w:tcBorders>
              <w:left w:val="single" w:sz="4" w:space="0" w:color="000000"/>
              <w:right w:val="single" w:sz="4" w:space="0" w:color="000000"/>
            </w:tcBorders>
            <w:noWrap/>
            <w:vAlign w:val="bottom"/>
          </w:tcPr>
          <w:p w14:paraId="7534BF36" w14:textId="7C6DFA7B" w:rsidR="008809C2" w:rsidRPr="00BC736B" w:rsidRDefault="008809C2" w:rsidP="008809C2">
            <w:pPr>
              <w:ind w:left="302" w:right="-86" w:hanging="360"/>
              <w:jc w:val="left"/>
              <w:rPr>
                <w:rFonts w:cs="Arial"/>
                <w:lang w:val="vi-VN"/>
              </w:rPr>
            </w:pPr>
            <w:r w:rsidRPr="00BC736B">
              <w:rPr>
                <w:rFonts w:cs="Arial"/>
                <w:lang w:val="vi-VN"/>
              </w:rPr>
              <w:t>3.</w:t>
            </w:r>
            <w:r w:rsidRPr="00BC736B">
              <w:rPr>
                <w:rFonts w:cs="Arial"/>
                <w:lang w:val="vi-VN"/>
              </w:rPr>
              <w:tab/>
            </w:r>
            <w:r w:rsidRPr="00A25D3B">
              <w:rPr>
                <w:rFonts w:cs="Arial"/>
                <w:lang w:val="vi-VN"/>
              </w:rPr>
              <w:t>Held-to-maturity investments</w:t>
            </w:r>
            <w:r w:rsidRPr="00BC736B">
              <w:rPr>
                <w:rFonts w:cs="Arial"/>
                <w:lang w:val="vi-VN"/>
              </w:rPr>
              <w:t xml:space="preserve"> (</w:t>
            </w:r>
            <w:r w:rsidRPr="00BC736B">
              <w:rPr>
                <w:rFonts w:cs="Arial"/>
              </w:rPr>
              <w:t>“</w:t>
            </w:r>
            <w:r w:rsidRPr="00BC736B">
              <w:rPr>
                <w:rFonts w:cs="Arial"/>
                <w:lang w:val="vi-VN"/>
              </w:rPr>
              <w:t>HTM</w:t>
            </w:r>
            <w:r w:rsidRPr="00BC736B">
              <w:rPr>
                <w:rFonts w:cs="Arial"/>
              </w:rPr>
              <w:t>”</w:t>
            </w:r>
            <w:r w:rsidRPr="00BC736B">
              <w:rPr>
                <w:rFonts w:cs="Arial"/>
                <w:lang w:val="vi-VN"/>
              </w:rPr>
              <w:t>)</w:t>
            </w:r>
          </w:p>
        </w:tc>
        <w:tc>
          <w:tcPr>
            <w:tcW w:w="778" w:type="dxa"/>
            <w:tcBorders>
              <w:left w:val="single" w:sz="4" w:space="0" w:color="000000"/>
              <w:right w:val="single" w:sz="4" w:space="0" w:color="000000"/>
            </w:tcBorders>
            <w:noWrap/>
            <w:vAlign w:val="bottom"/>
          </w:tcPr>
          <w:p w14:paraId="03987906" w14:textId="74A5639F" w:rsidR="008809C2" w:rsidRPr="00F422E9" w:rsidRDefault="008809C2" w:rsidP="008809C2">
            <w:pPr>
              <w:ind w:left="-58" w:right="-58"/>
              <w:jc w:val="center"/>
              <w:rPr>
                <w:rFonts w:cs="Arial"/>
                <w:bCs/>
              </w:rPr>
            </w:pPr>
            <w:r w:rsidRPr="00F422E9">
              <w:rPr>
                <w:rFonts w:cs="Arial"/>
                <w:bCs/>
              </w:rPr>
              <w:t>7.2</w:t>
            </w:r>
          </w:p>
        </w:tc>
        <w:tc>
          <w:tcPr>
            <w:tcW w:w="1886" w:type="dxa"/>
            <w:tcBorders>
              <w:left w:val="single" w:sz="4" w:space="0" w:color="000000"/>
              <w:right w:val="single" w:sz="4" w:space="0" w:color="000000"/>
            </w:tcBorders>
          </w:tcPr>
          <w:p w14:paraId="0B679F25" w14:textId="591DA4F7" w:rsidR="008809C2" w:rsidRPr="003C222B" w:rsidRDefault="008809C2" w:rsidP="008809C2">
            <w:pPr>
              <w:ind w:left="-58"/>
              <w:jc w:val="right"/>
              <w:rPr>
                <w:rFonts w:cs="Arial"/>
              </w:rPr>
            </w:pPr>
            <w:r w:rsidRPr="006D4CDE">
              <w:t>2</w:t>
            </w:r>
            <w:r w:rsidR="00B45330">
              <w:t>,</w:t>
            </w:r>
            <w:r w:rsidRPr="006D4CDE">
              <w:t>216</w:t>
            </w:r>
            <w:r w:rsidR="00B45330">
              <w:t>,</w:t>
            </w:r>
            <w:r w:rsidRPr="006D4CDE">
              <w:t>820</w:t>
            </w:r>
            <w:r w:rsidR="00B45330">
              <w:t>,</w:t>
            </w:r>
            <w:r w:rsidRPr="006D4CDE">
              <w:t>000</w:t>
            </w:r>
            <w:r w:rsidR="00B45330">
              <w:t>,</w:t>
            </w:r>
            <w:r w:rsidRPr="006D4CDE">
              <w:t xml:space="preserve">000 </w:t>
            </w:r>
          </w:p>
        </w:tc>
        <w:tc>
          <w:tcPr>
            <w:tcW w:w="1877" w:type="dxa"/>
            <w:tcBorders>
              <w:left w:val="single" w:sz="4" w:space="0" w:color="000000"/>
            </w:tcBorders>
            <w:noWrap/>
          </w:tcPr>
          <w:p w14:paraId="2150F841" w14:textId="3D2D7015" w:rsidR="008809C2" w:rsidRPr="00BC736B" w:rsidRDefault="008809C2" w:rsidP="008809C2">
            <w:pPr>
              <w:ind w:left="-58"/>
              <w:jc w:val="right"/>
              <w:rPr>
                <w:rFonts w:cs="Arial"/>
              </w:rPr>
            </w:pPr>
            <w:r w:rsidRPr="006D4CDE">
              <w:t>1</w:t>
            </w:r>
            <w:r w:rsidR="00B45330">
              <w:t>,</w:t>
            </w:r>
            <w:r w:rsidRPr="006D4CDE">
              <w:t>235</w:t>
            </w:r>
            <w:r w:rsidR="00B45330">
              <w:t>,</w:t>
            </w:r>
            <w:r w:rsidRPr="006D4CDE">
              <w:t>000</w:t>
            </w:r>
            <w:r w:rsidR="00B45330">
              <w:t>,</w:t>
            </w:r>
            <w:r w:rsidRPr="006D4CDE">
              <w:t>000</w:t>
            </w:r>
            <w:r w:rsidR="00B45330">
              <w:t>,</w:t>
            </w:r>
            <w:r w:rsidRPr="006D4CDE">
              <w:t xml:space="preserve">000 </w:t>
            </w:r>
          </w:p>
        </w:tc>
      </w:tr>
      <w:tr w:rsidR="008809C2" w:rsidRPr="0076583B" w14:paraId="1620CE37" w14:textId="77777777" w:rsidTr="004501E3">
        <w:tc>
          <w:tcPr>
            <w:tcW w:w="706" w:type="dxa"/>
            <w:tcBorders>
              <w:right w:val="single" w:sz="4" w:space="0" w:color="000000"/>
            </w:tcBorders>
            <w:noWrap/>
          </w:tcPr>
          <w:p w14:paraId="37AA38AB" w14:textId="230020B5" w:rsidR="008809C2" w:rsidRPr="00BC736B" w:rsidRDefault="008809C2" w:rsidP="008809C2">
            <w:pPr>
              <w:ind w:left="-58" w:right="-58"/>
              <w:jc w:val="center"/>
              <w:rPr>
                <w:rFonts w:cs="Arial"/>
                <w:bCs/>
              </w:rPr>
            </w:pPr>
            <w:r w:rsidRPr="00BC736B">
              <w:rPr>
                <w:rFonts w:cs="Arial"/>
              </w:rPr>
              <w:t>114</w:t>
            </w:r>
          </w:p>
        </w:tc>
        <w:tc>
          <w:tcPr>
            <w:tcW w:w="3643" w:type="dxa"/>
            <w:tcBorders>
              <w:left w:val="single" w:sz="4" w:space="0" w:color="000000"/>
              <w:right w:val="single" w:sz="4" w:space="0" w:color="000000"/>
            </w:tcBorders>
            <w:noWrap/>
            <w:vAlign w:val="bottom"/>
          </w:tcPr>
          <w:p w14:paraId="184CC347" w14:textId="75882750" w:rsidR="008809C2" w:rsidRPr="00BC736B" w:rsidRDefault="008809C2" w:rsidP="008809C2">
            <w:pPr>
              <w:ind w:left="302" w:hanging="360"/>
              <w:rPr>
                <w:rFonts w:cs="Arial"/>
                <w:lang w:val="vi-VN"/>
              </w:rPr>
            </w:pPr>
            <w:r w:rsidRPr="00BC736B">
              <w:rPr>
                <w:rFonts w:cs="Arial"/>
                <w:lang w:val="vi-VN"/>
              </w:rPr>
              <w:t>4.</w:t>
            </w:r>
            <w:r w:rsidRPr="00BC736B">
              <w:rPr>
                <w:rFonts w:cs="Arial"/>
                <w:lang w:val="vi-VN"/>
              </w:rPr>
              <w:tab/>
            </w:r>
            <w:r w:rsidRPr="006D3896">
              <w:rPr>
                <w:rFonts w:cs="Arial"/>
                <w:lang w:val="vi-VN"/>
              </w:rPr>
              <w:t>Loans</w:t>
            </w:r>
          </w:p>
        </w:tc>
        <w:tc>
          <w:tcPr>
            <w:tcW w:w="778" w:type="dxa"/>
            <w:tcBorders>
              <w:left w:val="single" w:sz="4" w:space="0" w:color="000000"/>
              <w:right w:val="single" w:sz="4" w:space="0" w:color="000000"/>
            </w:tcBorders>
            <w:noWrap/>
            <w:vAlign w:val="bottom"/>
          </w:tcPr>
          <w:p w14:paraId="53EC3563" w14:textId="10BB7B6E" w:rsidR="008809C2" w:rsidRPr="00F422E9" w:rsidRDefault="008809C2" w:rsidP="008809C2">
            <w:pPr>
              <w:ind w:left="-58" w:right="-58"/>
              <w:jc w:val="center"/>
              <w:rPr>
                <w:rFonts w:cs="Arial"/>
                <w:bCs/>
              </w:rPr>
            </w:pPr>
            <w:r w:rsidRPr="00F422E9">
              <w:rPr>
                <w:rFonts w:cs="Arial"/>
                <w:bCs/>
              </w:rPr>
              <w:t>7.3</w:t>
            </w:r>
          </w:p>
        </w:tc>
        <w:tc>
          <w:tcPr>
            <w:tcW w:w="1886" w:type="dxa"/>
            <w:tcBorders>
              <w:left w:val="single" w:sz="4" w:space="0" w:color="000000"/>
              <w:right w:val="single" w:sz="4" w:space="0" w:color="000000"/>
            </w:tcBorders>
          </w:tcPr>
          <w:p w14:paraId="27C8F274" w14:textId="29D7CAEF" w:rsidR="008809C2" w:rsidRPr="003C222B" w:rsidRDefault="008809C2" w:rsidP="008809C2">
            <w:pPr>
              <w:ind w:left="-58"/>
              <w:jc w:val="right"/>
              <w:rPr>
                <w:rFonts w:cs="Arial"/>
                <w:lang w:val="vi-VN"/>
              </w:rPr>
            </w:pPr>
            <w:r w:rsidRPr="006D4CDE">
              <w:t>860</w:t>
            </w:r>
            <w:r w:rsidR="00B45330">
              <w:t>,</w:t>
            </w:r>
            <w:r w:rsidRPr="006D4CDE">
              <w:t>008</w:t>
            </w:r>
            <w:r w:rsidR="00B45330">
              <w:t>,</w:t>
            </w:r>
            <w:r w:rsidRPr="006D4CDE">
              <w:t>153</w:t>
            </w:r>
            <w:r w:rsidR="00B45330">
              <w:t>,</w:t>
            </w:r>
            <w:r w:rsidRPr="006D4CDE">
              <w:t xml:space="preserve">270 </w:t>
            </w:r>
          </w:p>
        </w:tc>
        <w:tc>
          <w:tcPr>
            <w:tcW w:w="1877" w:type="dxa"/>
            <w:tcBorders>
              <w:left w:val="single" w:sz="4" w:space="0" w:color="000000"/>
            </w:tcBorders>
            <w:noWrap/>
          </w:tcPr>
          <w:p w14:paraId="630A1DA9" w14:textId="2CAE1D57" w:rsidR="008809C2" w:rsidRPr="00BC736B" w:rsidRDefault="008809C2" w:rsidP="008809C2">
            <w:pPr>
              <w:ind w:left="-58"/>
              <w:jc w:val="right"/>
              <w:rPr>
                <w:rFonts w:cs="Arial"/>
                <w:bCs/>
                <w:lang w:val="vi-VN"/>
              </w:rPr>
            </w:pPr>
            <w:r w:rsidRPr="006D4CDE">
              <w:t>1</w:t>
            </w:r>
            <w:r w:rsidR="00B45330">
              <w:t>,</w:t>
            </w:r>
            <w:r w:rsidRPr="006D4CDE">
              <w:t>081</w:t>
            </w:r>
            <w:r w:rsidR="00B45330">
              <w:t>,</w:t>
            </w:r>
            <w:r w:rsidRPr="006D4CDE">
              <w:t>014</w:t>
            </w:r>
            <w:r w:rsidR="00B45330">
              <w:t>,</w:t>
            </w:r>
            <w:r w:rsidRPr="006D4CDE">
              <w:t>182</w:t>
            </w:r>
            <w:r w:rsidR="00B45330">
              <w:t>,</w:t>
            </w:r>
            <w:r w:rsidRPr="006D4CDE">
              <w:t xml:space="preserve">334 </w:t>
            </w:r>
          </w:p>
        </w:tc>
      </w:tr>
      <w:tr w:rsidR="008809C2" w:rsidRPr="0076583B" w14:paraId="443418EE" w14:textId="77777777" w:rsidTr="004501E3">
        <w:tc>
          <w:tcPr>
            <w:tcW w:w="706" w:type="dxa"/>
            <w:tcBorders>
              <w:right w:val="single" w:sz="4" w:space="0" w:color="000000"/>
            </w:tcBorders>
            <w:noWrap/>
          </w:tcPr>
          <w:p w14:paraId="7178F989" w14:textId="46F1A80C" w:rsidR="008809C2" w:rsidRPr="00BC736B" w:rsidRDefault="008809C2" w:rsidP="008809C2">
            <w:pPr>
              <w:ind w:left="-58" w:right="-58"/>
              <w:jc w:val="center"/>
              <w:rPr>
                <w:rFonts w:cs="Arial"/>
                <w:bCs/>
              </w:rPr>
            </w:pPr>
            <w:r w:rsidRPr="00BC736B">
              <w:rPr>
                <w:rFonts w:cs="Arial"/>
              </w:rPr>
              <w:t>116</w:t>
            </w:r>
          </w:p>
        </w:tc>
        <w:tc>
          <w:tcPr>
            <w:tcW w:w="3643" w:type="dxa"/>
            <w:tcBorders>
              <w:left w:val="single" w:sz="4" w:space="0" w:color="000000"/>
              <w:right w:val="single" w:sz="4" w:space="0" w:color="000000"/>
            </w:tcBorders>
            <w:noWrap/>
            <w:vAlign w:val="bottom"/>
          </w:tcPr>
          <w:p w14:paraId="4909F5DA" w14:textId="0ECC0236" w:rsidR="008809C2" w:rsidRPr="00BC736B" w:rsidRDefault="008809C2" w:rsidP="008809C2">
            <w:pPr>
              <w:ind w:left="302" w:right="-86" w:hanging="360"/>
              <w:jc w:val="left"/>
              <w:rPr>
                <w:rFonts w:cs="Arial"/>
                <w:lang w:val="vi-VN"/>
              </w:rPr>
            </w:pPr>
            <w:r w:rsidRPr="00BC736B">
              <w:rPr>
                <w:rFonts w:cs="Arial"/>
              </w:rPr>
              <w:t>5</w:t>
            </w:r>
            <w:r w:rsidRPr="00BC736B">
              <w:rPr>
                <w:rFonts w:cs="Arial"/>
                <w:lang w:val="vi-VN"/>
              </w:rPr>
              <w:t>.</w:t>
            </w:r>
            <w:r w:rsidRPr="00BC736B">
              <w:rPr>
                <w:rFonts w:cs="Arial"/>
                <w:lang w:val="vi-VN"/>
              </w:rPr>
              <w:tab/>
            </w:r>
            <w:r w:rsidRPr="004B6EDA">
              <w:rPr>
                <w:rFonts w:cs="Arial"/>
                <w:lang w:val="vi-VN"/>
              </w:rPr>
              <w:t>Provision for impairment of financial assets and collaterals</w:t>
            </w:r>
          </w:p>
        </w:tc>
        <w:tc>
          <w:tcPr>
            <w:tcW w:w="778" w:type="dxa"/>
            <w:tcBorders>
              <w:left w:val="single" w:sz="4" w:space="0" w:color="000000"/>
              <w:right w:val="single" w:sz="4" w:space="0" w:color="000000"/>
            </w:tcBorders>
            <w:noWrap/>
            <w:vAlign w:val="bottom"/>
          </w:tcPr>
          <w:p w14:paraId="1E299A6B" w14:textId="16025F1D" w:rsidR="008809C2" w:rsidRPr="00F422E9" w:rsidRDefault="008809C2" w:rsidP="008809C2">
            <w:pPr>
              <w:ind w:left="-58" w:right="-58"/>
              <w:jc w:val="center"/>
              <w:rPr>
                <w:rFonts w:cs="Arial"/>
                <w:bCs/>
              </w:rPr>
            </w:pPr>
            <w:r w:rsidRPr="00F422E9">
              <w:rPr>
                <w:rFonts w:cs="Arial"/>
                <w:bCs/>
              </w:rPr>
              <w:t>7.4</w:t>
            </w:r>
          </w:p>
        </w:tc>
        <w:tc>
          <w:tcPr>
            <w:tcW w:w="1886" w:type="dxa"/>
            <w:tcBorders>
              <w:left w:val="single" w:sz="4" w:space="0" w:color="000000"/>
              <w:right w:val="single" w:sz="4" w:space="0" w:color="000000"/>
            </w:tcBorders>
          </w:tcPr>
          <w:p w14:paraId="3D15B5C4" w14:textId="426F0139" w:rsidR="008809C2" w:rsidRPr="003C222B" w:rsidRDefault="008809C2" w:rsidP="008809C2">
            <w:pPr>
              <w:ind w:left="-58"/>
              <w:jc w:val="right"/>
              <w:rPr>
                <w:rFonts w:cs="Arial"/>
                <w:lang w:val="vi-VN"/>
              </w:rPr>
            </w:pPr>
            <w:r w:rsidRPr="006D4CDE">
              <w:t>(7</w:t>
            </w:r>
            <w:r w:rsidR="00B45330">
              <w:t>,</w:t>
            </w:r>
            <w:r w:rsidRPr="006D4CDE">
              <w:t>481</w:t>
            </w:r>
            <w:r w:rsidR="00B45330">
              <w:t>,</w:t>
            </w:r>
            <w:r w:rsidRPr="006D4CDE">
              <w:t>622</w:t>
            </w:r>
            <w:r w:rsidR="00B45330">
              <w:t>,</w:t>
            </w:r>
            <w:r w:rsidRPr="006D4CDE">
              <w:t xml:space="preserve">671) </w:t>
            </w:r>
          </w:p>
        </w:tc>
        <w:tc>
          <w:tcPr>
            <w:tcW w:w="1877" w:type="dxa"/>
            <w:tcBorders>
              <w:left w:val="single" w:sz="4" w:space="0" w:color="000000"/>
            </w:tcBorders>
            <w:noWrap/>
          </w:tcPr>
          <w:p w14:paraId="04EAF134" w14:textId="555BDDDB" w:rsidR="008809C2" w:rsidRPr="00BC736B" w:rsidRDefault="008809C2" w:rsidP="008809C2">
            <w:pPr>
              <w:ind w:left="-58"/>
              <w:jc w:val="right"/>
              <w:rPr>
                <w:rFonts w:cs="Arial"/>
                <w:bCs/>
                <w:lang w:val="vi-VN"/>
              </w:rPr>
            </w:pPr>
            <w:r w:rsidRPr="006D4CDE">
              <w:t>(7</w:t>
            </w:r>
            <w:r w:rsidR="00B45330">
              <w:t>,</w:t>
            </w:r>
            <w:r w:rsidRPr="006D4CDE">
              <w:t>481</w:t>
            </w:r>
            <w:r w:rsidR="00B45330">
              <w:t>,</w:t>
            </w:r>
            <w:r w:rsidRPr="006D4CDE">
              <w:t>622</w:t>
            </w:r>
            <w:r w:rsidR="00B45330">
              <w:t>,</w:t>
            </w:r>
            <w:r w:rsidRPr="006D4CDE">
              <w:t xml:space="preserve">671) </w:t>
            </w:r>
          </w:p>
        </w:tc>
      </w:tr>
      <w:tr w:rsidR="008809C2" w:rsidRPr="0076583B" w14:paraId="6FAA7E9C" w14:textId="77777777" w:rsidTr="004501E3">
        <w:tc>
          <w:tcPr>
            <w:tcW w:w="706" w:type="dxa"/>
            <w:tcBorders>
              <w:right w:val="single" w:sz="4" w:space="0" w:color="000000"/>
            </w:tcBorders>
            <w:noWrap/>
          </w:tcPr>
          <w:p w14:paraId="73A66061" w14:textId="11F7BEE2" w:rsidR="008809C2" w:rsidRPr="00BC736B" w:rsidRDefault="008809C2" w:rsidP="008809C2">
            <w:pPr>
              <w:ind w:left="-58" w:right="-58"/>
              <w:jc w:val="center"/>
              <w:rPr>
                <w:rFonts w:cs="Arial"/>
                <w:bCs/>
              </w:rPr>
            </w:pPr>
            <w:r w:rsidRPr="00BC736B">
              <w:rPr>
                <w:rFonts w:cs="Arial"/>
                <w:bCs/>
              </w:rPr>
              <w:t>117</w:t>
            </w:r>
          </w:p>
        </w:tc>
        <w:tc>
          <w:tcPr>
            <w:tcW w:w="3643" w:type="dxa"/>
            <w:tcBorders>
              <w:left w:val="single" w:sz="4" w:space="0" w:color="000000"/>
              <w:right w:val="single" w:sz="4" w:space="0" w:color="000000"/>
            </w:tcBorders>
            <w:noWrap/>
            <w:vAlign w:val="bottom"/>
          </w:tcPr>
          <w:p w14:paraId="50CC6133" w14:textId="4E5DD842" w:rsidR="008809C2" w:rsidRPr="00BC736B" w:rsidRDefault="008809C2" w:rsidP="008809C2">
            <w:pPr>
              <w:ind w:left="302" w:hanging="360"/>
              <w:rPr>
                <w:rFonts w:cs="Arial"/>
                <w:lang w:val="vi-VN"/>
              </w:rPr>
            </w:pPr>
            <w:r w:rsidRPr="00BC736B">
              <w:rPr>
                <w:rFonts w:cs="Arial"/>
              </w:rPr>
              <w:t>6</w:t>
            </w:r>
            <w:r w:rsidRPr="00BC736B">
              <w:rPr>
                <w:rFonts w:cs="Arial"/>
                <w:lang w:val="vi-VN"/>
              </w:rPr>
              <w:t>.</w:t>
            </w:r>
            <w:r w:rsidRPr="00BC736B">
              <w:rPr>
                <w:rFonts w:cs="Arial"/>
                <w:lang w:val="vi-VN"/>
              </w:rPr>
              <w:tab/>
            </w:r>
            <w:r w:rsidRPr="00966A37">
              <w:rPr>
                <w:rFonts w:cs="Arial"/>
                <w:lang w:val="vi-VN"/>
              </w:rPr>
              <w:t>Receivables</w:t>
            </w:r>
          </w:p>
        </w:tc>
        <w:tc>
          <w:tcPr>
            <w:tcW w:w="778" w:type="dxa"/>
            <w:tcBorders>
              <w:left w:val="single" w:sz="4" w:space="0" w:color="000000"/>
              <w:right w:val="single" w:sz="4" w:space="0" w:color="000000"/>
            </w:tcBorders>
            <w:noWrap/>
            <w:vAlign w:val="bottom"/>
          </w:tcPr>
          <w:p w14:paraId="4BB9CAF3" w14:textId="7FFB567A" w:rsidR="008809C2" w:rsidRPr="00F422E9" w:rsidRDefault="008809C2" w:rsidP="008809C2">
            <w:pPr>
              <w:ind w:left="-58" w:right="-58"/>
              <w:jc w:val="center"/>
              <w:rPr>
                <w:rFonts w:cs="Arial"/>
                <w:bCs/>
              </w:rPr>
            </w:pPr>
          </w:p>
        </w:tc>
        <w:tc>
          <w:tcPr>
            <w:tcW w:w="1886" w:type="dxa"/>
            <w:tcBorders>
              <w:left w:val="single" w:sz="4" w:space="0" w:color="000000"/>
              <w:right w:val="single" w:sz="4" w:space="0" w:color="000000"/>
            </w:tcBorders>
          </w:tcPr>
          <w:p w14:paraId="31ABBBEC" w14:textId="44D76881" w:rsidR="008809C2" w:rsidRPr="003C222B" w:rsidRDefault="008809C2" w:rsidP="008809C2">
            <w:pPr>
              <w:ind w:left="-58"/>
              <w:jc w:val="right"/>
              <w:rPr>
                <w:rFonts w:cs="Arial"/>
                <w:lang w:val="vi-VN"/>
              </w:rPr>
            </w:pPr>
            <w:r w:rsidRPr="006D4CDE">
              <w:t>51</w:t>
            </w:r>
            <w:r w:rsidR="00B45330">
              <w:t>,</w:t>
            </w:r>
            <w:r w:rsidRPr="006D4CDE">
              <w:t>466</w:t>
            </w:r>
            <w:r w:rsidR="00B45330">
              <w:t>,</w:t>
            </w:r>
            <w:r w:rsidRPr="006D4CDE">
              <w:t>122</w:t>
            </w:r>
            <w:r w:rsidR="00B45330">
              <w:t>,</w:t>
            </w:r>
            <w:r w:rsidRPr="006D4CDE">
              <w:t xml:space="preserve">114 </w:t>
            </w:r>
          </w:p>
        </w:tc>
        <w:tc>
          <w:tcPr>
            <w:tcW w:w="1877" w:type="dxa"/>
            <w:tcBorders>
              <w:left w:val="single" w:sz="4" w:space="0" w:color="000000"/>
            </w:tcBorders>
            <w:noWrap/>
          </w:tcPr>
          <w:p w14:paraId="245518F0" w14:textId="24C31E2B" w:rsidR="008809C2" w:rsidRPr="00BC736B" w:rsidRDefault="008809C2" w:rsidP="008809C2">
            <w:pPr>
              <w:ind w:left="-58"/>
              <w:jc w:val="right"/>
              <w:rPr>
                <w:rFonts w:cs="Arial"/>
                <w:bCs/>
                <w:lang w:val="vi-VN"/>
              </w:rPr>
            </w:pPr>
            <w:r w:rsidRPr="006D4CDE">
              <w:t>41</w:t>
            </w:r>
            <w:r w:rsidR="00B45330">
              <w:t>,</w:t>
            </w:r>
            <w:r w:rsidRPr="006D4CDE">
              <w:t>962</w:t>
            </w:r>
            <w:r w:rsidR="00B45330">
              <w:t>,</w:t>
            </w:r>
            <w:r w:rsidRPr="006D4CDE">
              <w:t>374</w:t>
            </w:r>
            <w:r w:rsidR="00B45330">
              <w:t>,</w:t>
            </w:r>
            <w:r w:rsidRPr="006D4CDE">
              <w:t xml:space="preserve">311 </w:t>
            </w:r>
          </w:p>
        </w:tc>
      </w:tr>
      <w:tr w:rsidR="008809C2" w:rsidRPr="0076583B" w14:paraId="0384818A" w14:textId="77777777" w:rsidTr="004501E3">
        <w:tc>
          <w:tcPr>
            <w:tcW w:w="706" w:type="dxa"/>
            <w:tcBorders>
              <w:right w:val="single" w:sz="4" w:space="0" w:color="000000"/>
            </w:tcBorders>
            <w:noWrap/>
          </w:tcPr>
          <w:p w14:paraId="1D1BEC09" w14:textId="28EDBF7C" w:rsidR="008809C2" w:rsidRPr="00BC736B" w:rsidRDefault="008809C2" w:rsidP="008809C2">
            <w:pPr>
              <w:ind w:left="-58" w:right="-58"/>
              <w:jc w:val="center"/>
              <w:rPr>
                <w:rFonts w:cs="Arial"/>
                <w:bCs/>
              </w:rPr>
            </w:pPr>
            <w:r w:rsidRPr="00BC736B">
              <w:rPr>
                <w:rFonts w:cs="Arial"/>
                <w:bCs/>
                <w:i/>
              </w:rPr>
              <w:t>117.2</w:t>
            </w:r>
          </w:p>
        </w:tc>
        <w:tc>
          <w:tcPr>
            <w:tcW w:w="3643" w:type="dxa"/>
            <w:tcBorders>
              <w:left w:val="single" w:sz="4" w:space="0" w:color="000000"/>
              <w:right w:val="single" w:sz="4" w:space="0" w:color="000000"/>
            </w:tcBorders>
            <w:noWrap/>
            <w:vAlign w:val="bottom"/>
          </w:tcPr>
          <w:p w14:paraId="533AC9F1" w14:textId="583CD079" w:rsidR="008809C2" w:rsidRPr="00BC736B" w:rsidRDefault="008809C2" w:rsidP="008809C2">
            <w:pPr>
              <w:ind w:left="662" w:right="-86" w:hanging="360"/>
              <w:jc w:val="left"/>
              <w:rPr>
                <w:rFonts w:cs="Arial"/>
                <w:bCs/>
              </w:rPr>
            </w:pPr>
            <w:r w:rsidRPr="00BC736B">
              <w:rPr>
                <w:rFonts w:cs="Arial"/>
                <w:bCs/>
                <w:i/>
              </w:rPr>
              <w:t>6.1</w:t>
            </w:r>
            <w:r w:rsidRPr="00BC736B">
              <w:rPr>
                <w:rFonts w:cs="Arial"/>
                <w:bCs/>
                <w:i/>
              </w:rPr>
              <w:tab/>
            </w:r>
            <w:r w:rsidRPr="008F395A">
              <w:rPr>
                <w:rFonts w:cs="Arial"/>
                <w:i/>
              </w:rPr>
              <w:t>Receivables and accruals from dividend and interest income</w:t>
            </w:r>
          </w:p>
        </w:tc>
        <w:tc>
          <w:tcPr>
            <w:tcW w:w="778" w:type="dxa"/>
            <w:tcBorders>
              <w:left w:val="single" w:sz="4" w:space="0" w:color="000000"/>
              <w:right w:val="single" w:sz="4" w:space="0" w:color="000000"/>
            </w:tcBorders>
            <w:noWrap/>
            <w:vAlign w:val="bottom"/>
          </w:tcPr>
          <w:p w14:paraId="116216FE" w14:textId="74078C03" w:rsidR="008809C2" w:rsidRPr="00F422E9" w:rsidRDefault="008809C2" w:rsidP="008809C2">
            <w:pPr>
              <w:ind w:left="-58" w:right="-58"/>
              <w:jc w:val="center"/>
              <w:rPr>
                <w:rFonts w:cs="Arial"/>
                <w:bCs/>
                <w:i/>
                <w:iCs/>
              </w:rPr>
            </w:pPr>
            <w:r w:rsidRPr="00F422E9">
              <w:rPr>
                <w:rFonts w:cs="Arial"/>
                <w:bCs/>
                <w:i/>
                <w:iCs/>
              </w:rPr>
              <w:t>8.1</w:t>
            </w:r>
          </w:p>
        </w:tc>
        <w:tc>
          <w:tcPr>
            <w:tcW w:w="1886" w:type="dxa"/>
            <w:tcBorders>
              <w:left w:val="single" w:sz="4" w:space="0" w:color="000000"/>
              <w:right w:val="single" w:sz="4" w:space="0" w:color="000000"/>
            </w:tcBorders>
          </w:tcPr>
          <w:p w14:paraId="7B18CC16" w14:textId="1BF669DA" w:rsidR="008809C2" w:rsidRPr="00B45330" w:rsidRDefault="008809C2" w:rsidP="008809C2">
            <w:pPr>
              <w:ind w:left="-58"/>
              <w:jc w:val="right"/>
              <w:rPr>
                <w:rFonts w:cs="Arial"/>
                <w:i/>
                <w:iCs/>
                <w:lang w:val="vi-VN"/>
              </w:rPr>
            </w:pPr>
            <w:r w:rsidRPr="00B45330">
              <w:rPr>
                <w:i/>
                <w:iCs/>
              </w:rPr>
              <w:t>51</w:t>
            </w:r>
            <w:r w:rsidR="00B45330">
              <w:rPr>
                <w:i/>
                <w:iCs/>
              </w:rPr>
              <w:t>,</w:t>
            </w:r>
            <w:r w:rsidRPr="00B45330">
              <w:rPr>
                <w:i/>
                <w:iCs/>
              </w:rPr>
              <w:t>466</w:t>
            </w:r>
            <w:r w:rsidR="00B45330">
              <w:rPr>
                <w:i/>
                <w:iCs/>
              </w:rPr>
              <w:t>,</w:t>
            </w:r>
            <w:r w:rsidRPr="00B45330">
              <w:rPr>
                <w:i/>
                <w:iCs/>
              </w:rPr>
              <w:t>122</w:t>
            </w:r>
            <w:r w:rsidR="00B45330">
              <w:rPr>
                <w:i/>
                <w:iCs/>
              </w:rPr>
              <w:t>,</w:t>
            </w:r>
            <w:r w:rsidRPr="00B45330">
              <w:rPr>
                <w:i/>
                <w:iCs/>
              </w:rPr>
              <w:t xml:space="preserve">114 </w:t>
            </w:r>
          </w:p>
        </w:tc>
        <w:tc>
          <w:tcPr>
            <w:tcW w:w="1877" w:type="dxa"/>
            <w:tcBorders>
              <w:left w:val="single" w:sz="4" w:space="0" w:color="000000"/>
            </w:tcBorders>
            <w:noWrap/>
          </w:tcPr>
          <w:p w14:paraId="015A6294" w14:textId="5F75EB81" w:rsidR="008809C2" w:rsidRPr="00B45330" w:rsidRDefault="008809C2" w:rsidP="008809C2">
            <w:pPr>
              <w:ind w:left="-58"/>
              <w:jc w:val="right"/>
              <w:rPr>
                <w:rFonts w:cs="Arial"/>
                <w:bCs/>
                <w:i/>
                <w:iCs/>
                <w:lang w:val="vi-VN"/>
              </w:rPr>
            </w:pPr>
            <w:r w:rsidRPr="00B45330">
              <w:rPr>
                <w:i/>
                <w:iCs/>
              </w:rPr>
              <w:t>41</w:t>
            </w:r>
            <w:r w:rsidR="00B45330">
              <w:rPr>
                <w:i/>
                <w:iCs/>
              </w:rPr>
              <w:t>,</w:t>
            </w:r>
            <w:r w:rsidRPr="00B45330">
              <w:rPr>
                <w:i/>
                <w:iCs/>
              </w:rPr>
              <w:t>962</w:t>
            </w:r>
            <w:r w:rsidR="00B45330">
              <w:rPr>
                <w:i/>
                <w:iCs/>
              </w:rPr>
              <w:t>,</w:t>
            </w:r>
            <w:r w:rsidRPr="00B45330">
              <w:rPr>
                <w:i/>
                <w:iCs/>
              </w:rPr>
              <w:t>374</w:t>
            </w:r>
            <w:r w:rsidR="00B45330">
              <w:rPr>
                <w:i/>
                <w:iCs/>
              </w:rPr>
              <w:t>,</w:t>
            </w:r>
            <w:r w:rsidRPr="00B45330">
              <w:rPr>
                <w:i/>
                <w:iCs/>
              </w:rPr>
              <w:t xml:space="preserve">311 </w:t>
            </w:r>
          </w:p>
        </w:tc>
      </w:tr>
      <w:tr w:rsidR="008809C2" w:rsidRPr="0076583B" w14:paraId="541AAE59" w14:textId="77777777" w:rsidTr="004501E3">
        <w:tc>
          <w:tcPr>
            <w:tcW w:w="706" w:type="dxa"/>
            <w:tcBorders>
              <w:right w:val="single" w:sz="4" w:space="0" w:color="000000"/>
            </w:tcBorders>
            <w:noWrap/>
          </w:tcPr>
          <w:p w14:paraId="166BD09F" w14:textId="08DD7531" w:rsidR="008809C2" w:rsidRPr="00BC736B" w:rsidRDefault="008809C2" w:rsidP="008809C2">
            <w:pPr>
              <w:ind w:left="-58" w:right="-58"/>
              <w:jc w:val="center"/>
              <w:rPr>
                <w:rFonts w:cs="Arial"/>
                <w:bCs/>
                <w:i/>
              </w:rPr>
            </w:pPr>
            <w:r w:rsidRPr="00BC736B">
              <w:rPr>
                <w:rFonts w:cs="Arial"/>
                <w:bCs/>
                <w:i/>
              </w:rPr>
              <w:t>117.4</w:t>
            </w:r>
          </w:p>
        </w:tc>
        <w:tc>
          <w:tcPr>
            <w:tcW w:w="3643" w:type="dxa"/>
            <w:tcBorders>
              <w:left w:val="single" w:sz="4" w:space="0" w:color="000000"/>
              <w:right w:val="single" w:sz="4" w:space="0" w:color="000000"/>
            </w:tcBorders>
            <w:noWrap/>
            <w:vAlign w:val="bottom"/>
          </w:tcPr>
          <w:p w14:paraId="412F1F54" w14:textId="4930C9B2" w:rsidR="008809C2" w:rsidRPr="00BC736B" w:rsidRDefault="008809C2" w:rsidP="008809C2">
            <w:pPr>
              <w:ind w:left="1166" w:hanging="504"/>
              <w:jc w:val="left"/>
              <w:rPr>
                <w:rFonts w:cs="Arial"/>
                <w:i/>
              </w:rPr>
            </w:pPr>
            <w:r w:rsidRPr="00BC736B">
              <w:rPr>
                <w:rFonts w:cs="Arial"/>
                <w:i/>
              </w:rPr>
              <w:t>6.1.1</w:t>
            </w:r>
            <w:r w:rsidRPr="00BC736B">
              <w:rPr>
                <w:rFonts w:cs="Arial"/>
                <w:i/>
              </w:rPr>
              <w:tab/>
            </w:r>
            <w:r w:rsidRPr="00762A40">
              <w:rPr>
                <w:rFonts w:cs="Arial"/>
                <w:i/>
              </w:rPr>
              <w:t>Undue accrued dividend and interests</w:t>
            </w:r>
          </w:p>
        </w:tc>
        <w:tc>
          <w:tcPr>
            <w:tcW w:w="778" w:type="dxa"/>
            <w:tcBorders>
              <w:left w:val="single" w:sz="4" w:space="0" w:color="000000"/>
              <w:right w:val="single" w:sz="4" w:space="0" w:color="000000"/>
            </w:tcBorders>
            <w:noWrap/>
            <w:vAlign w:val="bottom"/>
          </w:tcPr>
          <w:p w14:paraId="47D1C2DD" w14:textId="77777777" w:rsidR="008809C2" w:rsidRPr="00F422E9" w:rsidRDefault="008809C2" w:rsidP="008809C2">
            <w:pPr>
              <w:ind w:left="-58" w:right="-58"/>
              <w:jc w:val="center"/>
              <w:rPr>
                <w:rFonts w:cs="Arial"/>
                <w:bCs/>
                <w:lang w:val="vi-VN"/>
              </w:rPr>
            </w:pPr>
          </w:p>
        </w:tc>
        <w:tc>
          <w:tcPr>
            <w:tcW w:w="1886" w:type="dxa"/>
            <w:tcBorders>
              <w:left w:val="single" w:sz="4" w:space="0" w:color="000000"/>
              <w:right w:val="single" w:sz="4" w:space="0" w:color="000000"/>
            </w:tcBorders>
          </w:tcPr>
          <w:p w14:paraId="552D80F6" w14:textId="3DDAA23F" w:rsidR="008809C2" w:rsidRPr="00B45330" w:rsidDel="008D1B24" w:rsidRDefault="008809C2" w:rsidP="008809C2">
            <w:pPr>
              <w:ind w:left="-58"/>
              <w:jc w:val="right"/>
              <w:rPr>
                <w:rFonts w:cs="Arial"/>
                <w:i/>
                <w:iCs/>
                <w:lang w:val="vi-VN"/>
              </w:rPr>
            </w:pPr>
            <w:r w:rsidRPr="00B45330">
              <w:rPr>
                <w:i/>
                <w:iCs/>
              </w:rPr>
              <w:t>51</w:t>
            </w:r>
            <w:r w:rsidR="00B45330">
              <w:rPr>
                <w:i/>
                <w:iCs/>
              </w:rPr>
              <w:t>,</w:t>
            </w:r>
            <w:r w:rsidRPr="00B45330">
              <w:rPr>
                <w:i/>
                <w:iCs/>
              </w:rPr>
              <w:t>466</w:t>
            </w:r>
            <w:r w:rsidR="00B45330">
              <w:rPr>
                <w:i/>
                <w:iCs/>
              </w:rPr>
              <w:t>,</w:t>
            </w:r>
            <w:r w:rsidRPr="00B45330">
              <w:rPr>
                <w:i/>
                <w:iCs/>
              </w:rPr>
              <w:t>122</w:t>
            </w:r>
            <w:r w:rsidR="00B45330">
              <w:rPr>
                <w:i/>
                <w:iCs/>
              </w:rPr>
              <w:t>,</w:t>
            </w:r>
            <w:r w:rsidRPr="00B45330">
              <w:rPr>
                <w:i/>
                <w:iCs/>
              </w:rPr>
              <w:t xml:space="preserve">114 </w:t>
            </w:r>
          </w:p>
        </w:tc>
        <w:tc>
          <w:tcPr>
            <w:tcW w:w="1877" w:type="dxa"/>
            <w:tcBorders>
              <w:left w:val="single" w:sz="4" w:space="0" w:color="000000"/>
            </w:tcBorders>
            <w:noWrap/>
          </w:tcPr>
          <w:p w14:paraId="4DB92DB1" w14:textId="759410A1" w:rsidR="008809C2" w:rsidRPr="00B45330" w:rsidRDefault="008809C2" w:rsidP="008809C2">
            <w:pPr>
              <w:ind w:left="-58"/>
              <w:jc w:val="right"/>
              <w:rPr>
                <w:rFonts w:cs="Arial"/>
                <w:bCs/>
                <w:i/>
                <w:iCs/>
                <w:lang w:val="vi-VN"/>
              </w:rPr>
            </w:pPr>
            <w:r w:rsidRPr="00B45330">
              <w:rPr>
                <w:i/>
                <w:iCs/>
              </w:rPr>
              <w:t>41</w:t>
            </w:r>
            <w:r w:rsidR="00B45330">
              <w:rPr>
                <w:i/>
                <w:iCs/>
              </w:rPr>
              <w:t>,</w:t>
            </w:r>
            <w:r w:rsidRPr="00B45330">
              <w:rPr>
                <w:i/>
                <w:iCs/>
              </w:rPr>
              <w:t>962</w:t>
            </w:r>
            <w:r w:rsidR="00B45330">
              <w:rPr>
                <w:i/>
                <w:iCs/>
              </w:rPr>
              <w:t>,</w:t>
            </w:r>
            <w:r w:rsidRPr="00B45330">
              <w:rPr>
                <w:i/>
                <w:iCs/>
              </w:rPr>
              <w:t>374</w:t>
            </w:r>
            <w:r w:rsidR="00B45330">
              <w:rPr>
                <w:i/>
                <w:iCs/>
              </w:rPr>
              <w:t>,</w:t>
            </w:r>
            <w:r w:rsidRPr="00B45330">
              <w:rPr>
                <w:i/>
                <w:iCs/>
              </w:rPr>
              <w:t xml:space="preserve">311 </w:t>
            </w:r>
          </w:p>
        </w:tc>
      </w:tr>
      <w:tr w:rsidR="008809C2" w:rsidRPr="0076583B" w14:paraId="5B80B613" w14:textId="77777777" w:rsidTr="004501E3">
        <w:tc>
          <w:tcPr>
            <w:tcW w:w="706" w:type="dxa"/>
            <w:tcBorders>
              <w:right w:val="single" w:sz="4" w:space="0" w:color="000000"/>
            </w:tcBorders>
            <w:noWrap/>
          </w:tcPr>
          <w:p w14:paraId="24ACF75A" w14:textId="4F3842B3" w:rsidR="008809C2" w:rsidRPr="00BC736B" w:rsidRDefault="008809C2" w:rsidP="008809C2">
            <w:pPr>
              <w:ind w:left="-58" w:right="-58"/>
              <w:jc w:val="center"/>
              <w:rPr>
                <w:rFonts w:cs="Arial"/>
                <w:bCs/>
              </w:rPr>
            </w:pPr>
            <w:r w:rsidRPr="00BC736B">
              <w:rPr>
                <w:rFonts w:cs="Arial"/>
                <w:bCs/>
              </w:rPr>
              <w:t>118</w:t>
            </w:r>
          </w:p>
        </w:tc>
        <w:tc>
          <w:tcPr>
            <w:tcW w:w="3643" w:type="dxa"/>
            <w:tcBorders>
              <w:left w:val="single" w:sz="4" w:space="0" w:color="000000"/>
              <w:right w:val="single" w:sz="4" w:space="0" w:color="000000"/>
            </w:tcBorders>
            <w:noWrap/>
            <w:vAlign w:val="bottom"/>
          </w:tcPr>
          <w:p w14:paraId="1A9A0AF1" w14:textId="57A7FA78" w:rsidR="008809C2" w:rsidRPr="00BC736B" w:rsidRDefault="008809C2" w:rsidP="008809C2">
            <w:pPr>
              <w:ind w:left="302" w:hanging="360"/>
              <w:rPr>
                <w:rFonts w:cs="Arial"/>
                <w:lang w:val="vi-VN"/>
              </w:rPr>
            </w:pPr>
            <w:r w:rsidRPr="00BC736B">
              <w:rPr>
                <w:rFonts w:cs="Arial"/>
              </w:rPr>
              <w:t>7</w:t>
            </w:r>
            <w:r w:rsidRPr="00BC736B">
              <w:rPr>
                <w:rFonts w:cs="Arial"/>
                <w:lang w:val="vi-VN"/>
              </w:rPr>
              <w:t>.</w:t>
            </w:r>
            <w:r w:rsidRPr="00BC736B">
              <w:rPr>
                <w:rFonts w:cs="Arial"/>
                <w:lang w:val="vi-VN"/>
              </w:rPr>
              <w:tab/>
            </w:r>
            <w:r w:rsidRPr="00A3281A">
              <w:rPr>
                <w:rFonts w:cs="Arial"/>
                <w:lang w:val="vi-VN"/>
              </w:rPr>
              <w:t>Advances to suppliers</w:t>
            </w:r>
          </w:p>
        </w:tc>
        <w:tc>
          <w:tcPr>
            <w:tcW w:w="778" w:type="dxa"/>
            <w:tcBorders>
              <w:left w:val="single" w:sz="4" w:space="0" w:color="000000"/>
              <w:right w:val="single" w:sz="4" w:space="0" w:color="000000"/>
            </w:tcBorders>
            <w:noWrap/>
            <w:vAlign w:val="bottom"/>
          </w:tcPr>
          <w:p w14:paraId="22A291D3" w14:textId="60933CEF" w:rsidR="008809C2" w:rsidRPr="00F422E9" w:rsidRDefault="008809C2" w:rsidP="008809C2">
            <w:pPr>
              <w:ind w:left="-58" w:right="-58"/>
              <w:jc w:val="center"/>
              <w:rPr>
                <w:rFonts w:cs="Arial"/>
                <w:bCs/>
              </w:rPr>
            </w:pPr>
          </w:p>
        </w:tc>
        <w:tc>
          <w:tcPr>
            <w:tcW w:w="1886" w:type="dxa"/>
            <w:tcBorders>
              <w:left w:val="single" w:sz="4" w:space="0" w:color="000000"/>
              <w:right w:val="single" w:sz="4" w:space="0" w:color="000000"/>
            </w:tcBorders>
          </w:tcPr>
          <w:p w14:paraId="51C11010" w14:textId="4A3BEA22" w:rsidR="008809C2" w:rsidRPr="003C222B" w:rsidRDefault="008809C2" w:rsidP="008809C2">
            <w:pPr>
              <w:ind w:left="-58"/>
              <w:jc w:val="right"/>
              <w:rPr>
                <w:rFonts w:cs="Arial"/>
                <w:lang w:val="vi-VN"/>
              </w:rPr>
            </w:pPr>
            <w:r w:rsidRPr="006D4CDE">
              <w:t xml:space="preserve">- </w:t>
            </w:r>
          </w:p>
        </w:tc>
        <w:tc>
          <w:tcPr>
            <w:tcW w:w="1877" w:type="dxa"/>
            <w:tcBorders>
              <w:left w:val="single" w:sz="4" w:space="0" w:color="000000"/>
            </w:tcBorders>
            <w:noWrap/>
          </w:tcPr>
          <w:p w14:paraId="7692096E" w14:textId="736C8831" w:rsidR="008809C2" w:rsidRPr="00BC736B" w:rsidRDefault="008809C2" w:rsidP="008809C2">
            <w:pPr>
              <w:ind w:left="-58"/>
              <w:jc w:val="right"/>
              <w:rPr>
                <w:rFonts w:cs="Arial"/>
                <w:bCs/>
                <w:lang w:val="vi-VN"/>
              </w:rPr>
            </w:pPr>
            <w:r w:rsidRPr="006D4CDE">
              <w:t>1</w:t>
            </w:r>
            <w:r w:rsidR="00B45330">
              <w:t>,</w:t>
            </w:r>
            <w:r w:rsidRPr="006D4CDE">
              <w:t>767</w:t>
            </w:r>
            <w:r w:rsidR="00B45330">
              <w:t>,</w:t>
            </w:r>
            <w:r w:rsidRPr="006D4CDE">
              <w:t>398</w:t>
            </w:r>
            <w:r w:rsidR="00B45330">
              <w:t>,</w:t>
            </w:r>
            <w:r w:rsidRPr="006D4CDE">
              <w:t xml:space="preserve">008 </w:t>
            </w:r>
          </w:p>
        </w:tc>
      </w:tr>
      <w:tr w:rsidR="008809C2" w:rsidRPr="0076583B" w14:paraId="4A3F90E1" w14:textId="77777777" w:rsidTr="004501E3">
        <w:tc>
          <w:tcPr>
            <w:tcW w:w="706" w:type="dxa"/>
            <w:tcBorders>
              <w:right w:val="single" w:sz="4" w:space="0" w:color="000000"/>
            </w:tcBorders>
            <w:noWrap/>
          </w:tcPr>
          <w:p w14:paraId="20703BD8" w14:textId="58752841" w:rsidR="008809C2" w:rsidRPr="00BC736B" w:rsidRDefault="008809C2" w:rsidP="008809C2">
            <w:pPr>
              <w:ind w:left="-58" w:right="-58"/>
              <w:jc w:val="center"/>
              <w:rPr>
                <w:rFonts w:cs="Arial"/>
                <w:bCs/>
              </w:rPr>
            </w:pPr>
            <w:r w:rsidRPr="00BC736B">
              <w:rPr>
                <w:rFonts w:cs="Arial"/>
                <w:bCs/>
              </w:rPr>
              <w:t>119</w:t>
            </w:r>
          </w:p>
        </w:tc>
        <w:tc>
          <w:tcPr>
            <w:tcW w:w="3643" w:type="dxa"/>
            <w:tcBorders>
              <w:left w:val="single" w:sz="4" w:space="0" w:color="000000"/>
              <w:right w:val="single" w:sz="4" w:space="0" w:color="000000"/>
            </w:tcBorders>
            <w:noWrap/>
            <w:vAlign w:val="bottom"/>
          </w:tcPr>
          <w:p w14:paraId="0CB48212" w14:textId="5B4005AC" w:rsidR="008809C2" w:rsidRPr="00BC736B" w:rsidRDefault="008809C2" w:rsidP="008809C2">
            <w:pPr>
              <w:ind w:left="302" w:hanging="360"/>
              <w:rPr>
                <w:rFonts w:cs="Arial"/>
                <w:lang w:val="vi-VN"/>
              </w:rPr>
            </w:pPr>
            <w:r w:rsidRPr="00BC736B">
              <w:rPr>
                <w:rFonts w:cs="Arial"/>
              </w:rPr>
              <w:t>8</w:t>
            </w:r>
            <w:r w:rsidRPr="00BC736B">
              <w:rPr>
                <w:rFonts w:cs="Arial"/>
                <w:lang w:val="vi-VN"/>
              </w:rPr>
              <w:t>.</w:t>
            </w:r>
            <w:r w:rsidRPr="00BC736B">
              <w:rPr>
                <w:rFonts w:cs="Arial"/>
                <w:lang w:val="vi-VN"/>
              </w:rPr>
              <w:tab/>
            </w:r>
            <w:r w:rsidRPr="00364ACA">
              <w:rPr>
                <w:rFonts w:cs="Arial"/>
                <w:lang w:val="vi-VN"/>
              </w:rPr>
              <w:t>Receivables from services provided by the Company</w:t>
            </w:r>
          </w:p>
        </w:tc>
        <w:tc>
          <w:tcPr>
            <w:tcW w:w="778" w:type="dxa"/>
            <w:tcBorders>
              <w:left w:val="single" w:sz="4" w:space="0" w:color="000000"/>
              <w:right w:val="single" w:sz="4" w:space="0" w:color="000000"/>
            </w:tcBorders>
            <w:noWrap/>
            <w:vAlign w:val="bottom"/>
          </w:tcPr>
          <w:p w14:paraId="03EEB3A6" w14:textId="0B9581C2" w:rsidR="008809C2" w:rsidRPr="00F422E9" w:rsidRDefault="008809C2" w:rsidP="008809C2">
            <w:pPr>
              <w:ind w:left="-58" w:right="-58"/>
              <w:jc w:val="center"/>
              <w:rPr>
                <w:rFonts w:cs="Arial"/>
                <w:bCs/>
              </w:rPr>
            </w:pPr>
            <w:r w:rsidRPr="00F422E9">
              <w:rPr>
                <w:rFonts w:cs="Arial"/>
                <w:bCs/>
              </w:rPr>
              <w:t>8.2</w:t>
            </w:r>
          </w:p>
        </w:tc>
        <w:tc>
          <w:tcPr>
            <w:tcW w:w="1886" w:type="dxa"/>
            <w:tcBorders>
              <w:left w:val="single" w:sz="4" w:space="0" w:color="000000"/>
              <w:right w:val="single" w:sz="4" w:space="0" w:color="000000"/>
            </w:tcBorders>
          </w:tcPr>
          <w:p w14:paraId="776EA93D" w14:textId="2F9E326C" w:rsidR="008809C2" w:rsidRPr="003C222B" w:rsidRDefault="008809C2" w:rsidP="008809C2">
            <w:pPr>
              <w:ind w:left="-58"/>
              <w:jc w:val="right"/>
              <w:rPr>
                <w:rFonts w:cs="Arial"/>
                <w:lang w:val="vi-VN"/>
              </w:rPr>
            </w:pPr>
            <w:r w:rsidRPr="006D4CDE">
              <w:t>210</w:t>
            </w:r>
            <w:r w:rsidR="00B45330">
              <w:t>,</w:t>
            </w:r>
            <w:r w:rsidRPr="006D4CDE">
              <w:t xml:space="preserve">539 </w:t>
            </w:r>
          </w:p>
        </w:tc>
        <w:tc>
          <w:tcPr>
            <w:tcW w:w="1877" w:type="dxa"/>
            <w:tcBorders>
              <w:left w:val="single" w:sz="4" w:space="0" w:color="000000"/>
            </w:tcBorders>
            <w:noWrap/>
          </w:tcPr>
          <w:p w14:paraId="6B5F835E" w14:textId="3CDDF66F" w:rsidR="008809C2" w:rsidRPr="00BC736B" w:rsidRDefault="008809C2" w:rsidP="008809C2">
            <w:pPr>
              <w:ind w:left="-58"/>
              <w:jc w:val="right"/>
              <w:rPr>
                <w:rFonts w:cs="Arial"/>
                <w:bCs/>
                <w:lang w:val="vi-VN"/>
              </w:rPr>
            </w:pPr>
            <w:r w:rsidRPr="006D4CDE">
              <w:t>584</w:t>
            </w:r>
            <w:r w:rsidR="00B45330">
              <w:t>,</w:t>
            </w:r>
            <w:r w:rsidRPr="006D4CDE">
              <w:t xml:space="preserve">338 </w:t>
            </w:r>
          </w:p>
        </w:tc>
      </w:tr>
      <w:tr w:rsidR="008809C2" w:rsidRPr="0076583B" w14:paraId="2C9A93CE" w14:textId="77777777" w:rsidTr="004501E3">
        <w:tc>
          <w:tcPr>
            <w:tcW w:w="706" w:type="dxa"/>
            <w:tcBorders>
              <w:right w:val="single" w:sz="4" w:space="0" w:color="000000"/>
            </w:tcBorders>
            <w:noWrap/>
          </w:tcPr>
          <w:p w14:paraId="063F1E40" w14:textId="1B26E9F0" w:rsidR="008809C2" w:rsidRPr="00BC736B" w:rsidRDefault="008809C2" w:rsidP="008809C2">
            <w:pPr>
              <w:ind w:left="-58" w:right="-58"/>
              <w:jc w:val="center"/>
              <w:rPr>
                <w:rFonts w:cs="Arial"/>
                <w:bCs/>
              </w:rPr>
            </w:pPr>
            <w:r w:rsidRPr="00BC736B">
              <w:rPr>
                <w:rFonts w:cs="Arial"/>
                <w:bCs/>
              </w:rPr>
              <w:t>122</w:t>
            </w:r>
          </w:p>
        </w:tc>
        <w:tc>
          <w:tcPr>
            <w:tcW w:w="3643" w:type="dxa"/>
            <w:tcBorders>
              <w:left w:val="single" w:sz="4" w:space="0" w:color="000000"/>
              <w:right w:val="single" w:sz="4" w:space="0" w:color="000000"/>
            </w:tcBorders>
            <w:noWrap/>
            <w:vAlign w:val="bottom"/>
          </w:tcPr>
          <w:p w14:paraId="3E783D2A" w14:textId="6EB9C2DA" w:rsidR="008809C2" w:rsidRPr="00BC736B" w:rsidRDefault="008809C2" w:rsidP="008809C2">
            <w:pPr>
              <w:ind w:left="302" w:hanging="360"/>
              <w:rPr>
                <w:rFonts w:cs="Arial"/>
                <w:lang w:val="vi-VN"/>
              </w:rPr>
            </w:pPr>
            <w:r w:rsidRPr="00BC736B">
              <w:rPr>
                <w:rFonts w:cs="Arial"/>
              </w:rPr>
              <w:t>9</w:t>
            </w:r>
            <w:r w:rsidRPr="00BC736B">
              <w:rPr>
                <w:rFonts w:cs="Arial"/>
                <w:lang w:val="vi-VN"/>
              </w:rPr>
              <w:t>.</w:t>
            </w:r>
            <w:r w:rsidRPr="00BC736B">
              <w:rPr>
                <w:rFonts w:cs="Arial"/>
                <w:lang w:val="vi-VN"/>
              </w:rPr>
              <w:tab/>
            </w:r>
            <w:r w:rsidRPr="00BC736B">
              <w:rPr>
                <w:rFonts w:cs="Arial"/>
                <w:lang w:val="vi-VN"/>
              </w:rPr>
              <w:tab/>
            </w:r>
            <w:r w:rsidRPr="00C36168">
              <w:rPr>
                <w:rFonts w:cs="Arial"/>
                <w:lang w:val="vi-VN"/>
              </w:rPr>
              <w:t>Other receivables</w:t>
            </w:r>
          </w:p>
        </w:tc>
        <w:tc>
          <w:tcPr>
            <w:tcW w:w="778" w:type="dxa"/>
            <w:tcBorders>
              <w:left w:val="single" w:sz="4" w:space="0" w:color="000000"/>
              <w:right w:val="single" w:sz="4" w:space="0" w:color="000000"/>
            </w:tcBorders>
            <w:noWrap/>
            <w:vAlign w:val="bottom"/>
          </w:tcPr>
          <w:p w14:paraId="25CF4BC7" w14:textId="019F964B" w:rsidR="008809C2" w:rsidRPr="00F422E9" w:rsidRDefault="008809C2" w:rsidP="008809C2">
            <w:pPr>
              <w:ind w:left="-58" w:right="-58"/>
              <w:jc w:val="center"/>
              <w:rPr>
                <w:rFonts w:cs="Arial"/>
                <w:bCs/>
              </w:rPr>
            </w:pPr>
            <w:r w:rsidRPr="00F422E9">
              <w:rPr>
                <w:rFonts w:cs="Arial"/>
                <w:bCs/>
              </w:rPr>
              <w:t>8.3</w:t>
            </w:r>
          </w:p>
        </w:tc>
        <w:tc>
          <w:tcPr>
            <w:tcW w:w="1886" w:type="dxa"/>
            <w:tcBorders>
              <w:left w:val="single" w:sz="4" w:space="0" w:color="000000"/>
              <w:right w:val="single" w:sz="4" w:space="0" w:color="000000"/>
            </w:tcBorders>
          </w:tcPr>
          <w:p w14:paraId="1C9ACAC4" w14:textId="05CDC930" w:rsidR="008809C2" w:rsidRPr="003C222B" w:rsidRDefault="008809C2" w:rsidP="008809C2">
            <w:pPr>
              <w:ind w:left="-58"/>
              <w:jc w:val="right"/>
              <w:rPr>
                <w:rFonts w:cs="Arial"/>
                <w:lang w:val="vi-VN"/>
              </w:rPr>
            </w:pPr>
            <w:r w:rsidRPr="006D4CDE">
              <w:t>250</w:t>
            </w:r>
            <w:r w:rsidR="00B45330">
              <w:t>,</w:t>
            </w:r>
            <w:r w:rsidRPr="006D4CDE">
              <w:t xml:space="preserve">000 </w:t>
            </w:r>
          </w:p>
        </w:tc>
        <w:tc>
          <w:tcPr>
            <w:tcW w:w="1877" w:type="dxa"/>
            <w:tcBorders>
              <w:left w:val="single" w:sz="4" w:space="0" w:color="000000"/>
            </w:tcBorders>
            <w:noWrap/>
          </w:tcPr>
          <w:p w14:paraId="796180E4" w14:textId="570BB542" w:rsidR="008809C2" w:rsidRPr="00BC736B" w:rsidRDefault="008809C2" w:rsidP="008809C2">
            <w:pPr>
              <w:ind w:left="-58"/>
              <w:jc w:val="right"/>
              <w:rPr>
                <w:rFonts w:cs="Arial"/>
                <w:bCs/>
                <w:lang w:val="vi-VN"/>
              </w:rPr>
            </w:pPr>
            <w:r w:rsidRPr="006D4CDE">
              <w:t>250</w:t>
            </w:r>
            <w:r w:rsidR="00B45330">
              <w:t>,</w:t>
            </w:r>
            <w:r w:rsidRPr="006D4CDE">
              <w:t xml:space="preserve">000 </w:t>
            </w:r>
          </w:p>
        </w:tc>
      </w:tr>
      <w:tr w:rsidR="008809C2" w:rsidRPr="0076583B" w14:paraId="44993923" w14:textId="77777777" w:rsidTr="004501E3">
        <w:tc>
          <w:tcPr>
            <w:tcW w:w="706" w:type="dxa"/>
            <w:tcBorders>
              <w:right w:val="single" w:sz="4" w:space="0" w:color="000000"/>
            </w:tcBorders>
            <w:noWrap/>
          </w:tcPr>
          <w:p w14:paraId="63089F16" w14:textId="2FAD28F9" w:rsidR="008809C2" w:rsidRPr="00BC736B" w:rsidRDefault="008809C2" w:rsidP="008809C2">
            <w:pPr>
              <w:spacing w:before="120"/>
              <w:ind w:left="-58" w:right="-58"/>
              <w:jc w:val="center"/>
              <w:rPr>
                <w:rFonts w:cs="Arial"/>
                <w:bCs/>
              </w:rPr>
            </w:pPr>
            <w:r w:rsidRPr="00BC736B">
              <w:rPr>
                <w:rFonts w:cs="Arial"/>
                <w:b/>
                <w:bCs/>
                <w:i/>
              </w:rPr>
              <w:t>130</w:t>
            </w:r>
          </w:p>
        </w:tc>
        <w:tc>
          <w:tcPr>
            <w:tcW w:w="3643" w:type="dxa"/>
            <w:tcBorders>
              <w:left w:val="single" w:sz="4" w:space="0" w:color="000000"/>
              <w:right w:val="single" w:sz="4" w:space="0" w:color="000000"/>
            </w:tcBorders>
            <w:noWrap/>
            <w:vAlign w:val="bottom"/>
          </w:tcPr>
          <w:p w14:paraId="5CCBF9C3" w14:textId="7409FC66" w:rsidR="008809C2" w:rsidRPr="00BC736B" w:rsidRDefault="008809C2" w:rsidP="008809C2">
            <w:pPr>
              <w:spacing w:before="120"/>
              <w:ind w:left="302" w:hanging="360"/>
              <w:rPr>
                <w:rFonts w:cs="Arial"/>
                <w:bCs/>
              </w:rPr>
            </w:pPr>
            <w:r w:rsidRPr="00BC736B">
              <w:rPr>
                <w:rFonts w:cs="Arial"/>
                <w:b/>
                <w:bCs/>
                <w:i/>
              </w:rPr>
              <w:t>II.</w:t>
            </w:r>
            <w:r w:rsidRPr="00BC736B">
              <w:rPr>
                <w:rFonts w:cs="Arial"/>
                <w:b/>
                <w:bCs/>
                <w:i/>
              </w:rPr>
              <w:tab/>
            </w:r>
            <w:r w:rsidRPr="00FA2607">
              <w:rPr>
                <w:rFonts w:cs="Arial"/>
                <w:b/>
                <w:bCs/>
                <w:i/>
              </w:rPr>
              <w:t>Other current assets</w:t>
            </w:r>
          </w:p>
        </w:tc>
        <w:tc>
          <w:tcPr>
            <w:tcW w:w="778" w:type="dxa"/>
            <w:tcBorders>
              <w:left w:val="single" w:sz="4" w:space="0" w:color="000000"/>
              <w:right w:val="single" w:sz="4" w:space="0" w:color="000000"/>
            </w:tcBorders>
            <w:noWrap/>
            <w:vAlign w:val="bottom"/>
          </w:tcPr>
          <w:p w14:paraId="1839A7D3" w14:textId="77777777" w:rsidR="008809C2" w:rsidRPr="00F422E9" w:rsidRDefault="008809C2" w:rsidP="008809C2">
            <w:pPr>
              <w:spacing w:before="120"/>
              <w:ind w:left="-58" w:right="-58"/>
              <w:jc w:val="center"/>
              <w:rPr>
                <w:rFonts w:cs="Arial"/>
                <w:bCs/>
                <w:lang w:val="vi-VN"/>
              </w:rPr>
            </w:pPr>
          </w:p>
        </w:tc>
        <w:tc>
          <w:tcPr>
            <w:tcW w:w="1886" w:type="dxa"/>
            <w:tcBorders>
              <w:left w:val="single" w:sz="4" w:space="0" w:color="000000"/>
              <w:right w:val="single" w:sz="4" w:space="0" w:color="000000"/>
            </w:tcBorders>
          </w:tcPr>
          <w:p w14:paraId="76E81866" w14:textId="0817F6E2" w:rsidR="008809C2" w:rsidRPr="006A26B7" w:rsidRDefault="008809C2" w:rsidP="008809C2">
            <w:pPr>
              <w:spacing w:before="120"/>
              <w:ind w:left="-58"/>
              <w:jc w:val="right"/>
              <w:rPr>
                <w:rFonts w:cs="Arial"/>
                <w:b/>
                <w:bCs/>
                <w:i/>
                <w:iCs/>
                <w:lang w:val="vi-VN"/>
              </w:rPr>
            </w:pPr>
            <w:r w:rsidRPr="006A26B7">
              <w:rPr>
                <w:b/>
                <w:bCs/>
                <w:i/>
                <w:iCs/>
              </w:rPr>
              <w:t>2</w:t>
            </w:r>
            <w:r w:rsidR="00B45330" w:rsidRPr="006A26B7">
              <w:rPr>
                <w:b/>
                <w:bCs/>
                <w:i/>
                <w:iCs/>
              </w:rPr>
              <w:t>,</w:t>
            </w:r>
            <w:r w:rsidRPr="006A26B7">
              <w:rPr>
                <w:b/>
                <w:bCs/>
                <w:i/>
                <w:iCs/>
              </w:rPr>
              <w:t>102</w:t>
            </w:r>
            <w:r w:rsidR="00B45330" w:rsidRPr="006A26B7">
              <w:rPr>
                <w:b/>
                <w:bCs/>
                <w:i/>
                <w:iCs/>
              </w:rPr>
              <w:t>,</w:t>
            </w:r>
            <w:r w:rsidRPr="006A26B7">
              <w:rPr>
                <w:b/>
                <w:bCs/>
                <w:i/>
                <w:iCs/>
              </w:rPr>
              <w:t>316</w:t>
            </w:r>
            <w:r w:rsidR="00B45330" w:rsidRPr="006A26B7">
              <w:rPr>
                <w:b/>
                <w:bCs/>
                <w:i/>
                <w:iCs/>
              </w:rPr>
              <w:t>,</w:t>
            </w:r>
            <w:r w:rsidRPr="006A26B7">
              <w:rPr>
                <w:b/>
                <w:bCs/>
                <w:i/>
                <w:iCs/>
              </w:rPr>
              <w:t>349</w:t>
            </w:r>
          </w:p>
        </w:tc>
        <w:tc>
          <w:tcPr>
            <w:tcW w:w="1877" w:type="dxa"/>
            <w:tcBorders>
              <w:left w:val="single" w:sz="4" w:space="0" w:color="000000"/>
            </w:tcBorders>
            <w:noWrap/>
          </w:tcPr>
          <w:p w14:paraId="40FCFD96" w14:textId="12BC7543" w:rsidR="008809C2" w:rsidRPr="006A26B7" w:rsidRDefault="008809C2" w:rsidP="008809C2">
            <w:pPr>
              <w:spacing w:before="120"/>
              <w:ind w:left="-58"/>
              <w:jc w:val="right"/>
              <w:rPr>
                <w:rFonts w:cs="Arial"/>
                <w:b/>
                <w:bCs/>
                <w:i/>
                <w:iCs/>
                <w:lang w:val="vi-VN"/>
              </w:rPr>
            </w:pPr>
            <w:r w:rsidRPr="006A26B7">
              <w:rPr>
                <w:b/>
                <w:bCs/>
                <w:i/>
                <w:iCs/>
              </w:rPr>
              <w:t>1</w:t>
            </w:r>
            <w:r w:rsidR="00B45330" w:rsidRPr="006A26B7">
              <w:rPr>
                <w:b/>
                <w:bCs/>
                <w:i/>
                <w:iCs/>
              </w:rPr>
              <w:t>,</w:t>
            </w:r>
            <w:r w:rsidRPr="006A26B7">
              <w:rPr>
                <w:b/>
                <w:bCs/>
                <w:i/>
                <w:iCs/>
              </w:rPr>
              <w:t>724</w:t>
            </w:r>
            <w:r w:rsidR="00B45330" w:rsidRPr="006A26B7">
              <w:rPr>
                <w:b/>
                <w:bCs/>
                <w:i/>
                <w:iCs/>
              </w:rPr>
              <w:t>,</w:t>
            </w:r>
            <w:r w:rsidRPr="006A26B7">
              <w:rPr>
                <w:b/>
                <w:bCs/>
                <w:i/>
                <w:iCs/>
              </w:rPr>
              <w:t>210</w:t>
            </w:r>
            <w:r w:rsidR="00B45330" w:rsidRPr="006A26B7">
              <w:rPr>
                <w:b/>
                <w:bCs/>
                <w:i/>
                <w:iCs/>
              </w:rPr>
              <w:t>,</w:t>
            </w:r>
            <w:r w:rsidRPr="006A26B7">
              <w:rPr>
                <w:b/>
                <w:bCs/>
                <w:i/>
                <w:iCs/>
              </w:rPr>
              <w:t>655</w:t>
            </w:r>
          </w:p>
        </w:tc>
      </w:tr>
      <w:tr w:rsidR="008809C2" w:rsidRPr="0076583B" w14:paraId="63EED408" w14:textId="77777777" w:rsidTr="004501E3">
        <w:tc>
          <w:tcPr>
            <w:tcW w:w="706" w:type="dxa"/>
            <w:tcBorders>
              <w:right w:val="single" w:sz="4" w:space="0" w:color="000000"/>
            </w:tcBorders>
            <w:noWrap/>
          </w:tcPr>
          <w:p w14:paraId="69779B1F" w14:textId="3F8EDC41" w:rsidR="008809C2" w:rsidRPr="00BC736B" w:rsidRDefault="008809C2" w:rsidP="008809C2">
            <w:pPr>
              <w:spacing w:before="120"/>
              <w:ind w:left="-58" w:right="-58"/>
              <w:jc w:val="center"/>
              <w:rPr>
                <w:rFonts w:cs="Arial"/>
              </w:rPr>
            </w:pPr>
            <w:r w:rsidRPr="00BC736B">
              <w:rPr>
                <w:rFonts w:cs="Arial"/>
              </w:rPr>
              <w:t>132</w:t>
            </w:r>
          </w:p>
        </w:tc>
        <w:tc>
          <w:tcPr>
            <w:tcW w:w="3643" w:type="dxa"/>
            <w:tcBorders>
              <w:left w:val="single" w:sz="4" w:space="0" w:color="000000"/>
              <w:right w:val="single" w:sz="4" w:space="0" w:color="000000"/>
            </w:tcBorders>
            <w:noWrap/>
            <w:vAlign w:val="bottom"/>
          </w:tcPr>
          <w:p w14:paraId="2C86EDCC" w14:textId="4C01AAD4" w:rsidR="008809C2" w:rsidRPr="00BC736B" w:rsidRDefault="008809C2" w:rsidP="008809C2">
            <w:pPr>
              <w:spacing w:before="120"/>
              <w:ind w:left="302" w:hanging="360"/>
              <w:jc w:val="left"/>
              <w:rPr>
                <w:rFonts w:cs="Arial"/>
                <w:lang w:val="vi-VN"/>
              </w:rPr>
            </w:pPr>
            <w:r>
              <w:rPr>
                <w:rFonts w:cs="Arial"/>
              </w:rPr>
              <w:t>1</w:t>
            </w:r>
            <w:r w:rsidRPr="00BC736B">
              <w:rPr>
                <w:rFonts w:cs="Arial"/>
                <w:lang w:val="vi-VN"/>
              </w:rPr>
              <w:t>.</w:t>
            </w:r>
            <w:r w:rsidRPr="00BC736B">
              <w:rPr>
                <w:rFonts w:cs="Arial"/>
                <w:lang w:val="vi-VN"/>
              </w:rPr>
              <w:tab/>
            </w:r>
            <w:r w:rsidRPr="00A03FC5">
              <w:rPr>
                <w:rFonts w:cs="Arial"/>
                <w:lang w:val="vi-VN"/>
              </w:rPr>
              <w:t>Office supplies, tools and equipments</w:t>
            </w:r>
          </w:p>
        </w:tc>
        <w:tc>
          <w:tcPr>
            <w:tcW w:w="778" w:type="dxa"/>
            <w:tcBorders>
              <w:left w:val="single" w:sz="4" w:space="0" w:color="000000"/>
              <w:right w:val="single" w:sz="4" w:space="0" w:color="000000"/>
            </w:tcBorders>
            <w:noWrap/>
            <w:vAlign w:val="bottom"/>
          </w:tcPr>
          <w:p w14:paraId="4F5D81E0" w14:textId="0309BAEF" w:rsidR="008809C2" w:rsidRPr="00F422E9" w:rsidRDefault="008809C2" w:rsidP="008809C2">
            <w:pPr>
              <w:spacing w:before="120"/>
              <w:ind w:left="-58" w:right="-58"/>
              <w:jc w:val="center"/>
              <w:rPr>
                <w:rFonts w:cs="Arial"/>
                <w:bCs/>
              </w:rPr>
            </w:pPr>
          </w:p>
        </w:tc>
        <w:tc>
          <w:tcPr>
            <w:tcW w:w="1886" w:type="dxa"/>
            <w:tcBorders>
              <w:left w:val="single" w:sz="4" w:space="0" w:color="000000"/>
              <w:right w:val="single" w:sz="4" w:space="0" w:color="000000"/>
            </w:tcBorders>
          </w:tcPr>
          <w:p w14:paraId="514C5540" w14:textId="324EBDD5" w:rsidR="008809C2" w:rsidRPr="003C222B" w:rsidDel="008D1B24" w:rsidRDefault="008809C2" w:rsidP="008809C2">
            <w:pPr>
              <w:spacing w:before="120"/>
              <w:ind w:left="-58"/>
              <w:jc w:val="right"/>
              <w:rPr>
                <w:rFonts w:cs="Arial"/>
              </w:rPr>
            </w:pPr>
            <w:r w:rsidRPr="006D4CDE">
              <w:t>3</w:t>
            </w:r>
            <w:r w:rsidR="00B45330">
              <w:t>,</w:t>
            </w:r>
            <w:r w:rsidRPr="006D4CDE">
              <w:t>312</w:t>
            </w:r>
            <w:r w:rsidR="00B45330">
              <w:t>,</w:t>
            </w:r>
            <w:r w:rsidRPr="006D4CDE">
              <w:t xml:space="preserve">222 </w:t>
            </w:r>
          </w:p>
        </w:tc>
        <w:tc>
          <w:tcPr>
            <w:tcW w:w="1877" w:type="dxa"/>
            <w:tcBorders>
              <w:left w:val="single" w:sz="4" w:space="0" w:color="000000"/>
            </w:tcBorders>
            <w:noWrap/>
          </w:tcPr>
          <w:p w14:paraId="786F6126" w14:textId="1F191E9F" w:rsidR="008809C2" w:rsidRPr="00BC736B" w:rsidRDefault="008809C2" w:rsidP="008809C2">
            <w:pPr>
              <w:spacing w:before="120"/>
              <w:ind w:left="-58"/>
              <w:jc w:val="right"/>
              <w:rPr>
                <w:rFonts w:cs="Arial"/>
              </w:rPr>
            </w:pPr>
            <w:r w:rsidRPr="006D4CDE">
              <w:t>11</w:t>
            </w:r>
            <w:r w:rsidR="00B45330">
              <w:t>,</w:t>
            </w:r>
            <w:r w:rsidRPr="006D4CDE">
              <w:t>182</w:t>
            </w:r>
            <w:r w:rsidR="00B45330">
              <w:t>,</w:t>
            </w:r>
            <w:r w:rsidRPr="006D4CDE">
              <w:t xml:space="preserve">600 </w:t>
            </w:r>
          </w:p>
        </w:tc>
      </w:tr>
      <w:tr w:rsidR="008809C2" w:rsidRPr="0076583B" w14:paraId="67312147" w14:textId="77777777" w:rsidTr="004501E3">
        <w:tc>
          <w:tcPr>
            <w:tcW w:w="706" w:type="dxa"/>
            <w:tcBorders>
              <w:right w:val="single" w:sz="4" w:space="0" w:color="000000"/>
            </w:tcBorders>
            <w:noWrap/>
          </w:tcPr>
          <w:p w14:paraId="4AA7BFE4" w14:textId="7AE69E79" w:rsidR="008809C2" w:rsidRPr="00BC736B" w:rsidRDefault="008809C2" w:rsidP="008809C2">
            <w:pPr>
              <w:ind w:left="-58" w:right="-58"/>
              <w:jc w:val="center"/>
              <w:rPr>
                <w:rFonts w:cs="Arial"/>
                <w:bCs/>
              </w:rPr>
            </w:pPr>
            <w:r w:rsidRPr="00BC736B">
              <w:rPr>
                <w:rFonts w:cs="Arial"/>
                <w:bCs/>
              </w:rPr>
              <w:t>133</w:t>
            </w:r>
          </w:p>
        </w:tc>
        <w:tc>
          <w:tcPr>
            <w:tcW w:w="3643" w:type="dxa"/>
            <w:tcBorders>
              <w:left w:val="single" w:sz="4" w:space="0" w:color="000000"/>
              <w:right w:val="single" w:sz="4" w:space="0" w:color="000000"/>
            </w:tcBorders>
            <w:noWrap/>
            <w:vAlign w:val="bottom"/>
          </w:tcPr>
          <w:p w14:paraId="20797C33" w14:textId="1F6A9ECF" w:rsidR="008809C2" w:rsidRPr="00BC736B" w:rsidRDefault="008809C2" w:rsidP="008809C2">
            <w:pPr>
              <w:ind w:left="302" w:hanging="360"/>
              <w:rPr>
                <w:rFonts w:cs="Arial"/>
                <w:lang w:val="vi-VN"/>
              </w:rPr>
            </w:pPr>
            <w:r>
              <w:rPr>
                <w:rFonts w:cs="Arial"/>
              </w:rPr>
              <w:t>2</w:t>
            </w:r>
            <w:r w:rsidRPr="00BC736B">
              <w:rPr>
                <w:rFonts w:cs="Arial"/>
                <w:lang w:val="vi-VN"/>
              </w:rPr>
              <w:t>.</w:t>
            </w:r>
            <w:r w:rsidRPr="00BC736B">
              <w:rPr>
                <w:rFonts w:cs="Arial"/>
                <w:lang w:val="vi-VN"/>
              </w:rPr>
              <w:tab/>
            </w:r>
            <w:r w:rsidRPr="00AB0F42">
              <w:rPr>
                <w:rFonts w:cs="Arial"/>
                <w:lang w:val="vi-VN"/>
              </w:rPr>
              <w:t>Current prepaid expenses</w:t>
            </w:r>
          </w:p>
        </w:tc>
        <w:tc>
          <w:tcPr>
            <w:tcW w:w="778" w:type="dxa"/>
            <w:tcBorders>
              <w:left w:val="single" w:sz="4" w:space="0" w:color="000000"/>
              <w:right w:val="single" w:sz="4" w:space="0" w:color="000000"/>
            </w:tcBorders>
            <w:noWrap/>
            <w:vAlign w:val="bottom"/>
          </w:tcPr>
          <w:p w14:paraId="6F9E795B" w14:textId="27552390" w:rsidR="008809C2" w:rsidRPr="00F422E9" w:rsidRDefault="008809C2" w:rsidP="008809C2">
            <w:pPr>
              <w:ind w:left="-58" w:right="-58"/>
              <w:jc w:val="center"/>
              <w:rPr>
                <w:rFonts w:cs="Arial"/>
                <w:bCs/>
              </w:rPr>
            </w:pPr>
            <w:r w:rsidRPr="00F422E9">
              <w:rPr>
                <w:rFonts w:cs="Arial"/>
                <w:bCs/>
              </w:rPr>
              <w:t>11</w:t>
            </w:r>
          </w:p>
        </w:tc>
        <w:tc>
          <w:tcPr>
            <w:tcW w:w="1886" w:type="dxa"/>
            <w:tcBorders>
              <w:left w:val="single" w:sz="4" w:space="0" w:color="000000"/>
              <w:right w:val="single" w:sz="4" w:space="0" w:color="000000"/>
            </w:tcBorders>
          </w:tcPr>
          <w:p w14:paraId="2DA2872E" w14:textId="1D2E52F5" w:rsidR="008809C2" w:rsidRPr="003C222B" w:rsidRDefault="008809C2" w:rsidP="008809C2">
            <w:pPr>
              <w:ind w:left="-58"/>
              <w:jc w:val="right"/>
              <w:rPr>
                <w:rFonts w:cs="Arial"/>
                <w:lang w:val="vi-VN"/>
              </w:rPr>
            </w:pPr>
            <w:r w:rsidRPr="006D4CDE">
              <w:t>1</w:t>
            </w:r>
            <w:r w:rsidR="00B45330">
              <w:t>,</w:t>
            </w:r>
            <w:r w:rsidRPr="006D4CDE">
              <w:t>783</w:t>
            </w:r>
            <w:r w:rsidR="00B45330">
              <w:t>,</w:t>
            </w:r>
            <w:r w:rsidRPr="006D4CDE">
              <w:t>494</w:t>
            </w:r>
            <w:r w:rsidR="00B45330">
              <w:t>,</w:t>
            </w:r>
            <w:r w:rsidRPr="006D4CDE">
              <w:t>805</w:t>
            </w:r>
          </w:p>
        </w:tc>
        <w:tc>
          <w:tcPr>
            <w:tcW w:w="1877" w:type="dxa"/>
            <w:tcBorders>
              <w:left w:val="single" w:sz="4" w:space="0" w:color="000000"/>
            </w:tcBorders>
            <w:noWrap/>
          </w:tcPr>
          <w:p w14:paraId="4F28B193" w14:textId="2632CA3E" w:rsidR="008809C2" w:rsidRPr="00BC736B" w:rsidRDefault="008809C2" w:rsidP="008809C2">
            <w:pPr>
              <w:ind w:left="-58"/>
              <w:jc w:val="right"/>
              <w:rPr>
                <w:rFonts w:cs="Arial"/>
                <w:bCs/>
                <w:lang w:val="vi-VN"/>
              </w:rPr>
            </w:pPr>
            <w:r w:rsidRPr="006D4CDE">
              <w:t>1</w:t>
            </w:r>
            <w:r w:rsidR="00B45330">
              <w:t>,</w:t>
            </w:r>
            <w:r w:rsidRPr="006D4CDE">
              <w:t>346</w:t>
            </w:r>
            <w:r w:rsidR="00B45330">
              <w:t>,</w:t>
            </w:r>
            <w:r w:rsidRPr="006D4CDE">
              <w:t>740</w:t>
            </w:r>
            <w:r w:rsidR="00B45330">
              <w:t>,</w:t>
            </w:r>
            <w:r w:rsidRPr="006D4CDE">
              <w:t>071</w:t>
            </w:r>
          </w:p>
        </w:tc>
      </w:tr>
      <w:tr w:rsidR="008809C2" w:rsidRPr="0076583B" w14:paraId="43DDBE30" w14:textId="77777777" w:rsidTr="004501E3">
        <w:tc>
          <w:tcPr>
            <w:tcW w:w="706" w:type="dxa"/>
            <w:tcBorders>
              <w:right w:val="single" w:sz="4" w:space="0" w:color="000000"/>
            </w:tcBorders>
            <w:noWrap/>
          </w:tcPr>
          <w:p w14:paraId="09F6FB0D" w14:textId="71B23389" w:rsidR="008809C2" w:rsidRPr="00BC736B" w:rsidRDefault="008809C2" w:rsidP="008809C2">
            <w:pPr>
              <w:ind w:left="-58" w:right="-58"/>
              <w:jc w:val="center"/>
              <w:rPr>
                <w:rFonts w:cs="Arial"/>
                <w:bCs/>
              </w:rPr>
            </w:pPr>
            <w:r w:rsidRPr="00BC736B">
              <w:rPr>
                <w:rFonts w:cs="Arial"/>
                <w:bCs/>
              </w:rPr>
              <w:t>135</w:t>
            </w:r>
          </w:p>
        </w:tc>
        <w:tc>
          <w:tcPr>
            <w:tcW w:w="3643" w:type="dxa"/>
            <w:tcBorders>
              <w:left w:val="single" w:sz="4" w:space="0" w:color="000000"/>
              <w:right w:val="single" w:sz="4" w:space="0" w:color="000000"/>
            </w:tcBorders>
            <w:shd w:val="clear" w:color="auto" w:fill="FFFFFF" w:themeFill="background1"/>
            <w:noWrap/>
            <w:vAlign w:val="bottom"/>
          </w:tcPr>
          <w:p w14:paraId="6309DD4A" w14:textId="6BAA43FB" w:rsidR="008809C2" w:rsidRPr="00760F60" w:rsidRDefault="008809C2" w:rsidP="008809C2">
            <w:pPr>
              <w:ind w:left="302" w:hanging="360"/>
              <w:rPr>
                <w:rFonts w:cs="Arial"/>
                <w:highlight w:val="yellow"/>
                <w:lang w:val="vi-VN"/>
              </w:rPr>
            </w:pPr>
            <w:r>
              <w:rPr>
                <w:rFonts w:cs="Arial"/>
                <w:shd w:val="clear" w:color="auto" w:fill="FFFFFF" w:themeFill="background1"/>
              </w:rPr>
              <w:t>3.</w:t>
            </w:r>
            <w:r w:rsidRPr="00FA28E4">
              <w:rPr>
                <w:rFonts w:cs="Arial"/>
                <w:lang w:val="vi-VN"/>
              </w:rPr>
              <w:tab/>
            </w:r>
            <w:r w:rsidRPr="00DF7BDB">
              <w:rPr>
                <w:rFonts w:cs="Arial"/>
                <w:lang w:val="vi-VN"/>
              </w:rPr>
              <w:t>Deductible value added tax</w:t>
            </w:r>
          </w:p>
        </w:tc>
        <w:tc>
          <w:tcPr>
            <w:tcW w:w="778" w:type="dxa"/>
            <w:tcBorders>
              <w:left w:val="single" w:sz="4" w:space="0" w:color="000000"/>
              <w:right w:val="single" w:sz="4" w:space="0" w:color="000000"/>
            </w:tcBorders>
            <w:noWrap/>
            <w:vAlign w:val="bottom"/>
          </w:tcPr>
          <w:p w14:paraId="0C7B493C" w14:textId="77777777" w:rsidR="008809C2" w:rsidRPr="00F422E9" w:rsidRDefault="008809C2" w:rsidP="008809C2">
            <w:pPr>
              <w:ind w:left="-58" w:right="-58"/>
              <w:jc w:val="center"/>
              <w:rPr>
                <w:rFonts w:cs="Arial"/>
                <w:bCs/>
                <w:lang w:val="vi-VN"/>
              </w:rPr>
            </w:pPr>
          </w:p>
        </w:tc>
        <w:tc>
          <w:tcPr>
            <w:tcW w:w="1886" w:type="dxa"/>
            <w:tcBorders>
              <w:left w:val="single" w:sz="4" w:space="0" w:color="000000"/>
              <w:right w:val="single" w:sz="4" w:space="0" w:color="000000"/>
            </w:tcBorders>
          </w:tcPr>
          <w:p w14:paraId="70B5451B" w14:textId="2C4641B4" w:rsidR="008809C2" w:rsidRPr="003C222B" w:rsidRDefault="008809C2" w:rsidP="008809C2">
            <w:pPr>
              <w:ind w:left="-58"/>
              <w:jc w:val="right"/>
              <w:rPr>
                <w:rFonts w:cs="Arial"/>
                <w:lang w:val="vi-VN"/>
              </w:rPr>
            </w:pPr>
            <w:r w:rsidRPr="006D4CDE">
              <w:t>166</w:t>
            </w:r>
            <w:r w:rsidR="00B45330">
              <w:t>,</w:t>
            </w:r>
            <w:r w:rsidRPr="006D4CDE">
              <w:t>942</w:t>
            </w:r>
            <w:r w:rsidR="00B45330">
              <w:t>,</w:t>
            </w:r>
            <w:r w:rsidRPr="006D4CDE">
              <w:t xml:space="preserve">405 </w:t>
            </w:r>
          </w:p>
        </w:tc>
        <w:tc>
          <w:tcPr>
            <w:tcW w:w="1877" w:type="dxa"/>
            <w:tcBorders>
              <w:left w:val="single" w:sz="4" w:space="0" w:color="000000"/>
            </w:tcBorders>
            <w:noWrap/>
          </w:tcPr>
          <w:p w14:paraId="7529137E" w14:textId="6C2DAE2C" w:rsidR="008809C2" w:rsidRPr="00BC736B" w:rsidRDefault="008809C2" w:rsidP="008809C2">
            <w:pPr>
              <w:ind w:left="-58"/>
              <w:jc w:val="right"/>
              <w:rPr>
                <w:rFonts w:cs="Arial"/>
                <w:bCs/>
                <w:lang w:val="vi-VN"/>
              </w:rPr>
            </w:pPr>
            <w:r w:rsidRPr="006D4CDE">
              <w:t>217</w:t>
            </w:r>
            <w:r w:rsidR="00B45330">
              <w:t>,</w:t>
            </w:r>
            <w:r w:rsidRPr="006D4CDE">
              <w:t>721</w:t>
            </w:r>
            <w:r w:rsidR="00B45330">
              <w:t>,</w:t>
            </w:r>
            <w:r w:rsidRPr="006D4CDE">
              <w:t xml:space="preserve">067 </w:t>
            </w:r>
          </w:p>
        </w:tc>
      </w:tr>
      <w:tr w:rsidR="008809C2" w:rsidRPr="0076583B" w14:paraId="398DF76A" w14:textId="77777777" w:rsidTr="004501E3">
        <w:tc>
          <w:tcPr>
            <w:tcW w:w="706" w:type="dxa"/>
            <w:tcBorders>
              <w:right w:val="single" w:sz="4" w:space="0" w:color="000000"/>
            </w:tcBorders>
            <w:noWrap/>
          </w:tcPr>
          <w:p w14:paraId="2E62F553" w14:textId="658131F4" w:rsidR="008809C2" w:rsidRPr="00BC736B" w:rsidRDefault="008809C2" w:rsidP="008809C2">
            <w:pPr>
              <w:ind w:left="-58" w:right="-58"/>
              <w:jc w:val="center"/>
              <w:rPr>
                <w:rFonts w:cs="Arial"/>
                <w:bCs/>
              </w:rPr>
            </w:pPr>
            <w:r w:rsidRPr="00BC736B">
              <w:rPr>
                <w:rFonts w:cs="Arial"/>
                <w:bCs/>
              </w:rPr>
              <w:t>136</w:t>
            </w:r>
          </w:p>
        </w:tc>
        <w:tc>
          <w:tcPr>
            <w:tcW w:w="3643" w:type="dxa"/>
            <w:tcBorders>
              <w:left w:val="single" w:sz="4" w:space="0" w:color="000000"/>
              <w:right w:val="single" w:sz="4" w:space="0" w:color="000000"/>
            </w:tcBorders>
            <w:noWrap/>
            <w:vAlign w:val="bottom"/>
          </w:tcPr>
          <w:p w14:paraId="256A4B4B" w14:textId="3FFD8818" w:rsidR="008809C2" w:rsidRPr="00A1553D" w:rsidRDefault="008809C2" w:rsidP="008809C2">
            <w:pPr>
              <w:ind w:left="300" w:hanging="357"/>
              <w:rPr>
                <w:rFonts w:cs="Arial"/>
                <w:spacing w:val="-4"/>
              </w:rPr>
            </w:pPr>
            <w:r w:rsidRPr="00A1553D">
              <w:rPr>
                <w:rFonts w:cs="Arial"/>
                <w:spacing w:val="-4"/>
              </w:rPr>
              <w:t>4</w:t>
            </w:r>
            <w:r w:rsidRPr="00A1553D">
              <w:rPr>
                <w:rFonts w:cs="Arial"/>
                <w:spacing w:val="-4"/>
                <w:lang w:val="vi-VN"/>
              </w:rPr>
              <w:t>.</w:t>
            </w:r>
            <w:r w:rsidRPr="00A1553D">
              <w:rPr>
                <w:rFonts w:cs="Arial"/>
                <w:spacing w:val="-4"/>
                <w:lang w:val="vi-VN"/>
              </w:rPr>
              <w:tab/>
            </w:r>
            <w:r w:rsidRPr="00254501">
              <w:rPr>
                <w:rFonts w:cs="Arial"/>
              </w:rPr>
              <w:t>Tax and other receivables from the State</w:t>
            </w:r>
          </w:p>
        </w:tc>
        <w:tc>
          <w:tcPr>
            <w:tcW w:w="778" w:type="dxa"/>
            <w:tcBorders>
              <w:left w:val="single" w:sz="4" w:space="0" w:color="000000"/>
              <w:right w:val="single" w:sz="4" w:space="0" w:color="000000"/>
            </w:tcBorders>
            <w:noWrap/>
            <w:vAlign w:val="bottom"/>
          </w:tcPr>
          <w:p w14:paraId="79D7436D" w14:textId="084222C3" w:rsidR="008809C2" w:rsidRPr="00F422E9" w:rsidRDefault="008809C2" w:rsidP="008809C2">
            <w:pPr>
              <w:ind w:left="-58" w:right="-58"/>
              <w:jc w:val="center"/>
              <w:rPr>
                <w:rFonts w:cs="Arial"/>
                <w:bCs/>
              </w:rPr>
            </w:pPr>
          </w:p>
        </w:tc>
        <w:tc>
          <w:tcPr>
            <w:tcW w:w="1886" w:type="dxa"/>
            <w:tcBorders>
              <w:left w:val="single" w:sz="4" w:space="0" w:color="000000"/>
              <w:right w:val="single" w:sz="4" w:space="0" w:color="000000"/>
            </w:tcBorders>
          </w:tcPr>
          <w:p w14:paraId="52429BDE" w14:textId="10071575" w:rsidR="008809C2" w:rsidRPr="003C222B" w:rsidRDefault="008809C2" w:rsidP="008809C2">
            <w:pPr>
              <w:ind w:left="-58"/>
              <w:jc w:val="right"/>
              <w:rPr>
                <w:rFonts w:cs="Arial"/>
                <w:lang w:val="vi-VN"/>
              </w:rPr>
            </w:pPr>
            <w:r w:rsidRPr="006D4CDE">
              <w:t>148</w:t>
            </w:r>
            <w:r w:rsidR="00B45330">
              <w:t>,</w:t>
            </w:r>
            <w:r w:rsidRPr="006D4CDE">
              <w:t>566</w:t>
            </w:r>
            <w:r w:rsidR="00B45330">
              <w:t>,</w:t>
            </w:r>
            <w:r w:rsidRPr="006D4CDE">
              <w:t xml:space="preserve">917 </w:t>
            </w:r>
          </w:p>
        </w:tc>
        <w:tc>
          <w:tcPr>
            <w:tcW w:w="1877" w:type="dxa"/>
            <w:tcBorders>
              <w:left w:val="single" w:sz="4" w:space="0" w:color="000000"/>
            </w:tcBorders>
            <w:noWrap/>
          </w:tcPr>
          <w:p w14:paraId="60626372" w14:textId="47C0ED76" w:rsidR="008809C2" w:rsidRPr="00BC736B" w:rsidRDefault="008809C2" w:rsidP="008809C2">
            <w:pPr>
              <w:ind w:left="-58"/>
              <w:jc w:val="right"/>
              <w:rPr>
                <w:rFonts w:cs="Arial"/>
                <w:bCs/>
                <w:lang w:val="vi-VN"/>
              </w:rPr>
            </w:pPr>
            <w:r w:rsidRPr="006D4CDE">
              <w:t>148</w:t>
            </w:r>
            <w:r w:rsidR="00B45330">
              <w:t>,</w:t>
            </w:r>
            <w:r w:rsidRPr="006D4CDE">
              <w:t>566</w:t>
            </w:r>
            <w:r w:rsidR="00B45330">
              <w:t>,</w:t>
            </w:r>
            <w:r w:rsidRPr="006D4CDE">
              <w:t xml:space="preserve">917 </w:t>
            </w:r>
          </w:p>
        </w:tc>
      </w:tr>
      <w:tr w:rsidR="008809C2" w:rsidRPr="0076583B" w14:paraId="2008EBC0" w14:textId="77777777" w:rsidTr="004501E3">
        <w:tc>
          <w:tcPr>
            <w:tcW w:w="706" w:type="dxa"/>
            <w:tcBorders>
              <w:right w:val="single" w:sz="4" w:space="0" w:color="000000"/>
            </w:tcBorders>
            <w:noWrap/>
          </w:tcPr>
          <w:p w14:paraId="0E510708" w14:textId="15E8BAAC" w:rsidR="008809C2" w:rsidRPr="00BC736B" w:rsidRDefault="008809C2" w:rsidP="008809C2">
            <w:pPr>
              <w:spacing w:before="120"/>
              <w:ind w:left="-58" w:right="-58"/>
              <w:jc w:val="center"/>
              <w:rPr>
                <w:rFonts w:cs="Arial"/>
                <w:bCs/>
              </w:rPr>
            </w:pPr>
            <w:r w:rsidRPr="00BC736B">
              <w:rPr>
                <w:rFonts w:cs="Arial"/>
                <w:b/>
                <w:bCs/>
              </w:rPr>
              <w:t>200</w:t>
            </w:r>
          </w:p>
        </w:tc>
        <w:tc>
          <w:tcPr>
            <w:tcW w:w="3643" w:type="dxa"/>
            <w:tcBorders>
              <w:left w:val="single" w:sz="4" w:space="0" w:color="000000"/>
              <w:right w:val="single" w:sz="4" w:space="0" w:color="000000"/>
            </w:tcBorders>
            <w:noWrap/>
            <w:vAlign w:val="bottom"/>
          </w:tcPr>
          <w:p w14:paraId="55876910" w14:textId="37EE2D6E" w:rsidR="008809C2" w:rsidRPr="00BC736B" w:rsidRDefault="008809C2" w:rsidP="008809C2">
            <w:pPr>
              <w:spacing w:before="120"/>
              <w:ind w:left="302" w:hanging="360"/>
              <w:rPr>
                <w:rFonts w:cs="Arial"/>
                <w:bCs/>
              </w:rPr>
            </w:pPr>
            <w:r w:rsidRPr="00BC736B">
              <w:rPr>
                <w:rFonts w:cs="Arial"/>
                <w:b/>
                <w:bCs/>
              </w:rPr>
              <w:t>B</w:t>
            </w:r>
            <w:r w:rsidRPr="00BC736B">
              <w:rPr>
                <w:rFonts w:cs="Arial"/>
                <w:b/>
                <w:bCs/>
                <w:lang w:val="vi-VN"/>
              </w:rPr>
              <w:t>.</w:t>
            </w:r>
            <w:r w:rsidRPr="00BC736B">
              <w:rPr>
                <w:rFonts w:cs="Arial"/>
                <w:b/>
                <w:bCs/>
                <w:lang w:val="vi-VN"/>
              </w:rPr>
              <w:tab/>
            </w:r>
            <w:r w:rsidRPr="00056889">
              <w:rPr>
                <w:rFonts w:cs="Arial"/>
                <w:b/>
                <w:bCs/>
                <w:lang w:val="vi-VN"/>
              </w:rPr>
              <w:t>NON-CURRENT ASSETS</w:t>
            </w:r>
          </w:p>
        </w:tc>
        <w:tc>
          <w:tcPr>
            <w:tcW w:w="778" w:type="dxa"/>
            <w:tcBorders>
              <w:left w:val="single" w:sz="4" w:space="0" w:color="000000"/>
              <w:right w:val="single" w:sz="4" w:space="0" w:color="000000"/>
            </w:tcBorders>
            <w:noWrap/>
            <w:vAlign w:val="bottom"/>
          </w:tcPr>
          <w:p w14:paraId="46D67CA1" w14:textId="77777777" w:rsidR="008809C2" w:rsidRPr="00F422E9" w:rsidRDefault="008809C2" w:rsidP="008809C2">
            <w:pPr>
              <w:spacing w:before="120"/>
              <w:ind w:left="-58" w:right="-58"/>
              <w:jc w:val="center"/>
              <w:rPr>
                <w:rFonts w:cs="Arial"/>
                <w:bCs/>
                <w:lang w:val="vi-VN"/>
              </w:rPr>
            </w:pPr>
          </w:p>
        </w:tc>
        <w:tc>
          <w:tcPr>
            <w:tcW w:w="1886" w:type="dxa"/>
            <w:tcBorders>
              <w:left w:val="single" w:sz="4" w:space="0" w:color="000000"/>
              <w:right w:val="single" w:sz="4" w:space="0" w:color="000000"/>
            </w:tcBorders>
          </w:tcPr>
          <w:p w14:paraId="2D7802F5" w14:textId="1991F532" w:rsidR="008809C2" w:rsidRPr="00B45330" w:rsidRDefault="008809C2" w:rsidP="008809C2">
            <w:pPr>
              <w:spacing w:before="120"/>
              <w:ind w:left="-58"/>
              <w:jc w:val="right"/>
              <w:rPr>
                <w:rFonts w:cs="Arial"/>
                <w:b/>
                <w:bCs/>
              </w:rPr>
            </w:pPr>
            <w:r w:rsidRPr="00B45330">
              <w:rPr>
                <w:b/>
                <w:bCs/>
              </w:rPr>
              <w:t>53</w:t>
            </w:r>
            <w:r w:rsidR="00B45330">
              <w:rPr>
                <w:b/>
                <w:bCs/>
              </w:rPr>
              <w:t>,</w:t>
            </w:r>
            <w:r w:rsidRPr="00B45330">
              <w:rPr>
                <w:b/>
                <w:bCs/>
              </w:rPr>
              <w:t>133</w:t>
            </w:r>
            <w:r w:rsidR="00B45330">
              <w:rPr>
                <w:b/>
                <w:bCs/>
              </w:rPr>
              <w:t>,</w:t>
            </w:r>
            <w:r w:rsidRPr="00B45330">
              <w:rPr>
                <w:b/>
                <w:bCs/>
              </w:rPr>
              <w:t>482</w:t>
            </w:r>
            <w:r w:rsidR="00B45330">
              <w:rPr>
                <w:b/>
                <w:bCs/>
              </w:rPr>
              <w:t>,</w:t>
            </w:r>
            <w:r w:rsidRPr="00B45330">
              <w:rPr>
                <w:b/>
                <w:bCs/>
              </w:rPr>
              <w:t>259</w:t>
            </w:r>
          </w:p>
        </w:tc>
        <w:tc>
          <w:tcPr>
            <w:tcW w:w="1877" w:type="dxa"/>
            <w:tcBorders>
              <w:left w:val="single" w:sz="4" w:space="0" w:color="000000"/>
            </w:tcBorders>
            <w:noWrap/>
          </w:tcPr>
          <w:p w14:paraId="70163C01" w14:textId="0E3F7DE2" w:rsidR="008809C2" w:rsidRPr="00B45330" w:rsidRDefault="008809C2" w:rsidP="008809C2">
            <w:pPr>
              <w:spacing w:before="120"/>
              <w:ind w:left="-58"/>
              <w:jc w:val="right"/>
              <w:rPr>
                <w:rFonts w:cs="Arial"/>
                <w:b/>
                <w:bCs/>
              </w:rPr>
            </w:pPr>
            <w:r w:rsidRPr="00B45330">
              <w:rPr>
                <w:b/>
                <w:bCs/>
              </w:rPr>
              <w:t>55</w:t>
            </w:r>
            <w:r w:rsidR="00B45330">
              <w:rPr>
                <w:b/>
                <w:bCs/>
              </w:rPr>
              <w:t>,</w:t>
            </w:r>
            <w:r w:rsidRPr="00B45330">
              <w:rPr>
                <w:b/>
                <w:bCs/>
              </w:rPr>
              <w:t>620</w:t>
            </w:r>
            <w:r w:rsidR="00B45330">
              <w:rPr>
                <w:b/>
                <w:bCs/>
              </w:rPr>
              <w:t>,</w:t>
            </w:r>
            <w:r w:rsidRPr="00B45330">
              <w:rPr>
                <w:b/>
                <w:bCs/>
              </w:rPr>
              <w:t>364</w:t>
            </w:r>
            <w:r w:rsidR="00B45330">
              <w:rPr>
                <w:b/>
                <w:bCs/>
              </w:rPr>
              <w:t>,</w:t>
            </w:r>
            <w:r w:rsidRPr="00B45330">
              <w:rPr>
                <w:b/>
                <w:bCs/>
              </w:rPr>
              <w:t>620</w:t>
            </w:r>
          </w:p>
        </w:tc>
      </w:tr>
      <w:tr w:rsidR="008809C2" w:rsidRPr="0076583B" w14:paraId="6CCAEA32" w14:textId="77777777" w:rsidTr="004501E3">
        <w:tc>
          <w:tcPr>
            <w:tcW w:w="706" w:type="dxa"/>
            <w:tcBorders>
              <w:right w:val="single" w:sz="4" w:space="0" w:color="000000"/>
            </w:tcBorders>
            <w:noWrap/>
          </w:tcPr>
          <w:p w14:paraId="62BD45D0" w14:textId="1C4E0944" w:rsidR="008809C2" w:rsidRPr="00BC736B" w:rsidRDefault="008809C2" w:rsidP="008809C2">
            <w:pPr>
              <w:spacing w:before="120"/>
              <w:ind w:left="-58" w:right="-58"/>
              <w:jc w:val="center"/>
              <w:rPr>
                <w:rFonts w:cs="Arial"/>
                <w:bCs/>
              </w:rPr>
            </w:pPr>
            <w:r w:rsidRPr="00BC736B">
              <w:rPr>
                <w:rFonts w:cs="Arial"/>
                <w:b/>
                <w:bCs/>
                <w:i/>
              </w:rPr>
              <w:t>220</w:t>
            </w:r>
          </w:p>
        </w:tc>
        <w:tc>
          <w:tcPr>
            <w:tcW w:w="3643" w:type="dxa"/>
            <w:tcBorders>
              <w:left w:val="single" w:sz="4" w:space="0" w:color="000000"/>
              <w:right w:val="single" w:sz="4" w:space="0" w:color="000000"/>
            </w:tcBorders>
            <w:noWrap/>
            <w:vAlign w:val="bottom"/>
          </w:tcPr>
          <w:p w14:paraId="122C2684" w14:textId="14260DCE" w:rsidR="008809C2" w:rsidRPr="00BC736B" w:rsidRDefault="008809C2" w:rsidP="008809C2">
            <w:pPr>
              <w:spacing w:before="120"/>
              <w:ind w:left="302" w:hanging="360"/>
              <w:rPr>
                <w:rFonts w:cs="Arial"/>
                <w:bCs/>
              </w:rPr>
            </w:pPr>
            <w:r w:rsidRPr="00BC736B">
              <w:rPr>
                <w:rFonts w:cs="Arial"/>
                <w:b/>
                <w:bCs/>
                <w:i/>
              </w:rPr>
              <w:t>I.</w:t>
            </w:r>
            <w:r w:rsidRPr="00BC736B">
              <w:rPr>
                <w:rFonts w:cs="Arial"/>
                <w:b/>
                <w:bCs/>
                <w:i/>
              </w:rPr>
              <w:tab/>
            </w:r>
            <w:r w:rsidRPr="003F0525">
              <w:rPr>
                <w:rFonts w:cs="Arial"/>
                <w:b/>
                <w:bCs/>
                <w:i/>
              </w:rPr>
              <w:t>Fixed assets</w:t>
            </w:r>
          </w:p>
        </w:tc>
        <w:tc>
          <w:tcPr>
            <w:tcW w:w="778" w:type="dxa"/>
            <w:tcBorders>
              <w:left w:val="single" w:sz="4" w:space="0" w:color="000000"/>
              <w:right w:val="single" w:sz="4" w:space="0" w:color="000000"/>
            </w:tcBorders>
            <w:noWrap/>
            <w:vAlign w:val="bottom"/>
          </w:tcPr>
          <w:p w14:paraId="42CE4349" w14:textId="64934D72" w:rsidR="008809C2" w:rsidRPr="00F422E9" w:rsidRDefault="008809C2" w:rsidP="008809C2">
            <w:pPr>
              <w:spacing w:before="120"/>
              <w:ind w:left="-58" w:right="-58"/>
              <w:jc w:val="center"/>
              <w:rPr>
                <w:rFonts w:cs="Arial"/>
                <w:bCs/>
              </w:rPr>
            </w:pPr>
          </w:p>
        </w:tc>
        <w:tc>
          <w:tcPr>
            <w:tcW w:w="1886" w:type="dxa"/>
            <w:tcBorders>
              <w:left w:val="single" w:sz="4" w:space="0" w:color="000000"/>
              <w:right w:val="single" w:sz="4" w:space="0" w:color="000000"/>
            </w:tcBorders>
          </w:tcPr>
          <w:p w14:paraId="7DF81D3C" w14:textId="080B5106" w:rsidR="008809C2" w:rsidRPr="006A26B7" w:rsidRDefault="008809C2" w:rsidP="008809C2">
            <w:pPr>
              <w:spacing w:before="120"/>
              <w:ind w:left="-58"/>
              <w:jc w:val="right"/>
              <w:rPr>
                <w:rFonts w:cs="Arial"/>
                <w:b/>
                <w:bCs/>
                <w:i/>
                <w:iCs/>
              </w:rPr>
            </w:pPr>
            <w:r w:rsidRPr="006A26B7">
              <w:rPr>
                <w:b/>
                <w:bCs/>
                <w:i/>
                <w:iCs/>
              </w:rPr>
              <w:t>43</w:t>
            </w:r>
            <w:r w:rsidR="00B45330" w:rsidRPr="006A26B7">
              <w:rPr>
                <w:b/>
                <w:bCs/>
                <w:i/>
                <w:iCs/>
              </w:rPr>
              <w:t>,</w:t>
            </w:r>
            <w:r w:rsidRPr="006A26B7">
              <w:rPr>
                <w:b/>
                <w:bCs/>
                <w:i/>
                <w:iCs/>
              </w:rPr>
              <w:t>204</w:t>
            </w:r>
            <w:r w:rsidR="00B45330" w:rsidRPr="006A26B7">
              <w:rPr>
                <w:b/>
                <w:bCs/>
                <w:i/>
                <w:iCs/>
              </w:rPr>
              <w:t>,</w:t>
            </w:r>
            <w:r w:rsidRPr="006A26B7">
              <w:rPr>
                <w:b/>
                <w:bCs/>
                <w:i/>
                <w:iCs/>
              </w:rPr>
              <w:t>322</w:t>
            </w:r>
            <w:r w:rsidR="00B45330" w:rsidRPr="006A26B7">
              <w:rPr>
                <w:b/>
                <w:bCs/>
                <w:i/>
                <w:iCs/>
              </w:rPr>
              <w:t>,</w:t>
            </w:r>
            <w:r w:rsidRPr="006A26B7">
              <w:rPr>
                <w:b/>
                <w:bCs/>
                <w:i/>
                <w:iCs/>
              </w:rPr>
              <w:t xml:space="preserve">834 </w:t>
            </w:r>
          </w:p>
        </w:tc>
        <w:tc>
          <w:tcPr>
            <w:tcW w:w="1877" w:type="dxa"/>
            <w:tcBorders>
              <w:left w:val="single" w:sz="4" w:space="0" w:color="000000"/>
            </w:tcBorders>
            <w:noWrap/>
          </w:tcPr>
          <w:p w14:paraId="32867F35" w14:textId="42F2D7FF" w:rsidR="008809C2" w:rsidRPr="006A26B7" w:rsidRDefault="008809C2" w:rsidP="008809C2">
            <w:pPr>
              <w:spacing w:before="120"/>
              <w:ind w:left="-58"/>
              <w:jc w:val="right"/>
              <w:rPr>
                <w:rFonts w:cs="Arial"/>
                <w:b/>
                <w:bCs/>
                <w:i/>
                <w:iCs/>
              </w:rPr>
            </w:pPr>
            <w:r w:rsidRPr="006A26B7">
              <w:rPr>
                <w:b/>
                <w:bCs/>
                <w:i/>
                <w:iCs/>
              </w:rPr>
              <w:t>49</w:t>
            </w:r>
            <w:r w:rsidR="00B45330" w:rsidRPr="006A26B7">
              <w:rPr>
                <w:b/>
                <w:bCs/>
                <w:i/>
                <w:iCs/>
              </w:rPr>
              <w:t>,</w:t>
            </w:r>
            <w:r w:rsidRPr="006A26B7">
              <w:rPr>
                <w:b/>
                <w:bCs/>
                <w:i/>
                <w:iCs/>
              </w:rPr>
              <w:t>326</w:t>
            </w:r>
            <w:r w:rsidR="00B45330" w:rsidRPr="006A26B7">
              <w:rPr>
                <w:b/>
                <w:bCs/>
                <w:i/>
                <w:iCs/>
              </w:rPr>
              <w:t>,</w:t>
            </w:r>
            <w:r w:rsidRPr="006A26B7">
              <w:rPr>
                <w:b/>
                <w:bCs/>
                <w:i/>
                <w:iCs/>
              </w:rPr>
              <w:t>867</w:t>
            </w:r>
            <w:r w:rsidR="00B45330" w:rsidRPr="006A26B7">
              <w:rPr>
                <w:b/>
                <w:bCs/>
                <w:i/>
                <w:iCs/>
              </w:rPr>
              <w:t>,</w:t>
            </w:r>
            <w:r w:rsidRPr="006A26B7">
              <w:rPr>
                <w:b/>
                <w:bCs/>
                <w:i/>
                <w:iCs/>
              </w:rPr>
              <w:t xml:space="preserve">840 </w:t>
            </w:r>
          </w:p>
        </w:tc>
      </w:tr>
      <w:tr w:rsidR="008809C2" w:rsidRPr="0076583B" w14:paraId="20FF9946" w14:textId="77777777" w:rsidTr="004501E3">
        <w:tc>
          <w:tcPr>
            <w:tcW w:w="706" w:type="dxa"/>
            <w:tcBorders>
              <w:right w:val="single" w:sz="4" w:space="0" w:color="000000"/>
            </w:tcBorders>
            <w:noWrap/>
          </w:tcPr>
          <w:p w14:paraId="0C9A6F4D" w14:textId="04013B9C" w:rsidR="008809C2" w:rsidRPr="00BC736B" w:rsidRDefault="008809C2" w:rsidP="008809C2">
            <w:pPr>
              <w:spacing w:before="120"/>
              <w:ind w:left="-58" w:right="-58"/>
              <w:jc w:val="center"/>
              <w:rPr>
                <w:rFonts w:cs="Arial"/>
                <w:bCs/>
              </w:rPr>
            </w:pPr>
            <w:r w:rsidRPr="00BC736B">
              <w:rPr>
                <w:rFonts w:cs="Arial"/>
                <w:bCs/>
              </w:rPr>
              <w:t>221</w:t>
            </w:r>
          </w:p>
        </w:tc>
        <w:tc>
          <w:tcPr>
            <w:tcW w:w="3643" w:type="dxa"/>
            <w:tcBorders>
              <w:left w:val="single" w:sz="4" w:space="0" w:color="000000"/>
              <w:right w:val="single" w:sz="4" w:space="0" w:color="000000"/>
            </w:tcBorders>
            <w:noWrap/>
            <w:vAlign w:val="bottom"/>
          </w:tcPr>
          <w:p w14:paraId="1BAC8330" w14:textId="40542828" w:rsidR="008809C2" w:rsidRPr="00BC736B" w:rsidRDefault="008809C2" w:rsidP="008809C2">
            <w:pPr>
              <w:spacing w:before="120"/>
              <w:ind w:left="302" w:hanging="360"/>
              <w:rPr>
                <w:rFonts w:cs="Arial"/>
                <w:bCs/>
              </w:rPr>
            </w:pPr>
            <w:r w:rsidRPr="00BC736B">
              <w:rPr>
                <w:rFonts w:cs="Arial"/>
                <w:bCs/>
              </w:rPr>
              <w:t>1.</w:t>
            </w:r>
            <w:r w:rsidRPr="00BC736B">
              <w:rPr>
                <w:rFonts w:cs="Arial"/>
                <w:bCs/>
              </w:rPr>
              <w:tab/>
            </w:r>
            <w:r w:rsidRPr="00B361B7">
              <w:rPr>
                <w:rFonts w:cs="Arial"/>
                <w:bCs/>
              </w:rPr>
              <w:t>Tangible fixed assets</w:t>
            </w:r>
          </w:p>
        </w:tc>
        <w:tc>
          <w:tcPr>
            <w:tcW w:w="778" w:type="dxa"/>
            <w:tcBorders>
              <w:left w:val="single" w:sz="4" w:space="0" w:color="000000"/>
              <w:right w:val="single" w:sz="4" w:space="0" w:color="000000"/>
            </w:tcBorders>
            <w:noWrap/>
            <w:vAlign w:val="bottom"/>
          </w:tcPr>
          <w:p w14:paraId="44319457" w14:textId="6C3C35FB" w:rsidR="008809C2" w:rsidRPr="00F422E9" w:rsidRDefault="008809C2" w:rsidP="008809C2">
            <w:pPr>
              <w:spacing w:before="120"/>
              <w:ind w:left="-58" w:right="-58"/>
              <w:jc w:val="center"/>
              <w:rPr>
                <w:rFonts w:cs="Arial"/>
                <w:bCs/>
              </w:rPr>
            </w:pPr>
            <w:r w:rsidRPr="00F422E9">
              <w:rPr>
                <w:rFonts w:cs="Arial"/>
                <w:bCs/>
              </w:rPr>
              <w:t>9</w:t>
            </w:r>
          </w:p>
        </w:tc>
        <w:tc>
          <w:tcPr>
            <w:tcW w:w="1886" w:type="dxa"/>
            <w:tcBorders>
              <w:left w:val="single" w:sz="4" w:space="0" w:color="000000"/>
              <w:right w:val="single" w:sz="4" w:space="0" w:color="000000"/>
            </w:tcBorders>
          </w:tcPr>
          <w:p w14:paraId="3D14A785" w14:textId="5BE40973" w:rsidR="008809C2" w:rsidRPr="003C222B" w:rsidRDefault="008809C2" w:rsidP="008809C2">
            <w:pPr>
              <w:spacing w:before="120"/>
              <w:ind w:left="-58"/>
              <w:jc w:val="right"/>
              <w:rPr>
                <w:rFonts w:cs="Arial"/>
              </w:rPr>
            </w:pPr>
            <w:r w:rsidRPr="006D4CDE">
              <w:t>7</w:t>
            </w:r>
            <w:r w:rsidR="00B45330">
              <w:t>,</w:t>
            </w:r>
            <w:r w:rsidRPr="006D4CDE">
              <w:t>284</w:t>
            </w:r>
            <w:r w:rsidR="00B45330">
              <w:t>,</w:t>
            </w:r>
            <w:r w:rsidRPr="006D4CDE">
              <w:t>892</w:t>
            </w:r>
            <w:r w:rsidR="00B45330">
              <w:t>,</w:t>
            </w:r>
            <w:r w:rsidRPr="006D4CDE">
              <w:t xml:space="preserve">132 </w:t>
            </w:r>
          </w:p>
        </w:tc>
        <w:tc>
          <w:tcPr>
            <w:tcW w:w="1877" w:type="dxa"/>
            <w:tcBorders>
              <w:left w:val="single" w:sz="4" w:space="0" w:color="000000"/>
            </w:tcBorders>
            <w:noWrap/>
          </w:tcPr>
          <w:p w14:paraId="5C6B71F5" w14:textId="2F79FE76" w:rsidR="008809C2" w:rsidRPr="00BC736B" w:rsidRDefault="008809C2" w:rsidP="008809C2">
            <w:pPr>
              <w:spacing w:before="120"/>
              <w:ind w:left="-58"/>
              <w:jc w:val="right"/>
              <w:rPr>
                <w:rFonts w:cs="Arial"/>
                <w:bCs/>
              </w:rPr>
            </w:pPr>
            <w:r w:rsidRPr="006D4CDE">
              <w:t>8</w:t>
            </w:r>
            <w:r w:rsidR="00B45330">
              <w:t>,</w:t>
            </w:r>
            <w:r w:rsidRPr="006D4CDE">
              <w:t>612</w:t>
            </w:r>
            <w:r w:rsidR="00B45330">
              <w:t>,</w:t>
            </w:r>
            <w:r w:rsidRPr="006D4CDE">
              <w:t>546</w:t>
            </w:r>
            <w:r w:rsidR="00B45330">
              <w:t>,</w:t>
            </w:r>
            <w:r w:rsidRPr="006D4CDE">
              <w:t xml:space="preserve">063 </w:t>
            </w:r>
          </w:p>
        </w:tc>
      </w:tr>
      <w:tr w:rsidR="008809C2" w:rsidRPr="0076583B" w14:paraId="672EB977" w14:textId="77777777" w:rsidTr="004501E3">
        <w:tc>
          <w:tcPr>
            <w:tcW w:w="706" w:type="dxa"/>
            <w:tcBorders>
              <w:right w:val="single" w:sz="4" w:space="0" w:color="000000"/>
            </w:tcBorders>
            <w:noWrap/>
          </w:tcPr>
          <w:p w14:paraId="624F28EA" w14:textId="6693AAF5" w:rsidR="008809C2" w:rsidRPr="00BC736B" w:rsidRDefault="008809C2" w:rsidP="008809C2">
            <w:pPr>
              <w:ind w:left="-58" w:right="-58"/>
              <w:jc w:val="center"/>
              <w:rPr>
                <w:rFonts w:cs="Arial"/>
                <w:bCs/>
                <w:i/>
              </w:rPr>
            </w:pPr>
            <w:r w:rsidRPr="00BC736B">
              <w:rPr>
                <w:rFonts w:cs="Arial"/>
                <w:bCs/>
                <w:i/>
              </w:rPr>
              <w:t>222</w:t>
            </w:r>
          </w:p>
        </w:tc>
        <w:tc>
          <w:tcPr>
            <w:tcW w:w="3643" w:type="dxa"/>
            <w:tcBorders>
              <w:left w:val="single" w:sz="4" w:space="0" w:color="000000"/>
              <w:right w:val="single" w:sz="4" w:space="0" w:color="000000"/>
            </w:tcBorders>
            <w:noWrap/>
            <w:vAlign w:val="bottom"/>
          </w:tcPr>
          <w:p w14:paraId="11E193D2" w14:textId="4B3C0AF9" w:rsidR="008809C2" w:rsidRPr="00BC736B" w:rsidRDefault="008809C2" w:rsidP="008809C2">
            <w:pPr>
              <w:ind w:left="662" w:hanging="360"/>
              <w:rPr>
                <w:rFonts w:cs="Arial"/>
                <w:i/>
              </w:rPr>
            </w:pPr>
            <w:r w:rsidRPr="00BC736B">
              <w:rPr>
                <w:rFonts w:cs="Arial"/>
                <w:i/>
              </w:rPr>
              <w:t>1.1</w:t>
            </w:r>
            <w:r w:rsidRPr="00BC736B">
              <w:rPr>
                <w:rFonts w:cs="Arial"/>
                <w:i/>
              </w:rPr>
              <w:tab/>
            </w:r>
            <w:r w:rsidRPr="00692712">
              <w:rPr>
                <w:rFonts w:cs="Arial"/>
                <w:i/>
              </w:rPr>
              <w:t>Costs</w:t>
            </w:r>
          </w:p>
        </w:tc>
        <w:tc>
          <w:tcPr>
            <w:tcW w:w="778" w:type="dxa"/>
            <w:tcBorders>
              <w:left w:val="single" w:sz="4" w:space="0" w:color="000000"/>
              <w:right w:val="single" w:sz="4" w:space="0" w:color="000000"/>
            </w:tcBorders>
            <w:noWrap/>
            <w:vAlign w:val="bottom"/>
          </w:tcPr>
          <w:p w14:paraId="15F09E9B" w14:textId="77777777" w:rsidR="008809C2" w:rsidRPr="00F422E9" w:rsidRDefault="008809C2" w:rsidP="008809C2">
            <w:pPr>
              <w:ind w:left="-58" w:right="-58"/>
              <w:jc w:val="center"/>
              <w:rPr>
                <w:rFonts w:cs="Arial"/>
                <w:bCs/>
                <w:i/>
                <w:lang w:val="vi-VN"/>
              </w:rPr>
            </w:pPr>
          </w:p>
        </w:tc>
        <w:tc>
          <w:tcPr>
            <w:tcW w:w="1886" w:type="dxa"/>
            <w:tcBorders>
              <w:left w:val="single" w:sz="4" w:space="0" w:color="000000"/>
              <w:right w:val="single" w:sz="4" w:space="0" w:color="000000"/>
            </w:tcBorders>
          </w:tcPr>
          <w:p w14:paraId="4B016671" w14:textId="017619CF" w:rsidR="008809C2" w:rsidRPr="00B45330" w:rsidRDefault="008809C2" w:rsidP="008809C2">
            <w:pPr>
              <w:ind w:left="-58"/>
              <w:jc w:val="right"/>
              <w:rPr>
                <w:rFonts w:cs="Arial"/>
                <w:i/>
                <w:iCs/>
              </w:rPr>
            </w:pPr>
            <w:r w:rsidRPr="00B45330">
              <w:rPr>
                <w:i/>
                <w:iCs/>
              </w:rPr>
              <w:t>18</w:t>
            </w:r>
            <w:r w:rsidR="00B45330">
              <w:rPr>
                <w:i/>
                <w:iCs/>
              </w:rPr>
              <w:t>,</w:t>
            </w:r>
            <w:r w:rsidRPr="00B45330">
              <w:rPr>
                <w:i/>
                <w:iCs/>
              </w:rPr>
              <w:t>715</w:t>
            </w:r>
            <w:r w:rsidR="00B45330">
              <w:rPr>
                <w:i/>
                <w:iCs/>
              </w:rPr>
              <w:t>,</w:t>
            </w:r>
            <w:r w:rsidRPr="00B45330">
              <w:rPr>
                <w:i/>
                <w:iCs/>
              </w:rPr>
              <w:t>886</w:t>
            </w:r>
            <w:r w:rsidR="00B45330">
              <w:rPr>
                <w:i/>
                <w:iCs/>
              </w:rPr>
              <w:t>,</w:t>
            </w:r>
            <w:r w:rsidRPr="00B45330">
              <w:rPr>
                <w:i/>
                <w:iCs/>
              </w:rPr>
              <w:t xml:space="preserve">074 </w:t>
            </w:r>
          </w:p>
        </w:tc>
        <w:tc>
          <w:tcPr>
            <w:tcW w:w="1877" w:type="dxa"/>
            <w:tcBorders>
              <w:left w:val="single" w:sz="4" w:space="0" w:color="000000"/>
            </w:tcBorders>
            <w:noWrap/>
          </w:tcPr>
          <w:p w14:paraId="0FC3D77E" w14:textId="7A257FE0" w:rsidR="008809C2" w:rsidRPr="00B45330" w:rsidRDefault="008809C2" w:rsidP="008809C2">
            <w:pPr>
              <w:ind w:left="-58"/>
              <w:jc w:val="right"/>
              <w:rPr>
                <w:rFonts w:cs="Arial"/>
                <w:bCs/>
                <w:i/>
                <w:iCs/>
              </w:rPr>
            </w:pPr>
            <w:r w:rsidRPr="00B45330">
              <w:rPr>
                <w:i/>
                <w:iCs/>
              </w:rPr>
              <w:t>18</w:t>
            </w:r>
            <w:r w:rsidR="00B45330">
              <w:rPr>
                <w:i/>
                <w:iCs/>
              </w:rPr>
              <w:t>,</w:t>
            </w:r>
            <w:r w:rsidRPr="00B45330">
              <w:rPr>
                <w:i/>
                <w:iCs/>
              </w:rPr>
              <w:t>012</w:t>
            </w:r>
            <w:r w:rsidR="00B45330">
              <w:rPr>
                <w:i/>
                <w:iCs/>
              </w:rPr>
              <w:t>,</w:t>
            </w:r>
            <w:r w:rsidRPr="00B45330">
              <w:rPr>
                <w:i/>
                <w:iCs/>
              </w:rPr>
              <w:t>798</w:t>
            </w:r>
            <w:r w:rsidR="00B45330">
              <w:rPr>
                <w:i/>
                <w:iCs/>
              </w:rPr>
              <w:t>,</w:t>
            </w:r>
            <w:r w:rsidRPr="00B45330">
              <w:rPr>
                <w:i/>
                <w:iCs/>
              </w:rPr>
              <w:t xml:space="preserve">274 </w:t>
            </w:r>
          </w:p>
        </w:tc>
      </w:tr>
      <w:tr w:rsidR="008809C2" w:rsidRPr="0076583B" w14:paraId="6142108D" w14:textId="77777777" w:rsidTr="004501E3">
        <w:tc>
          <w:tcPr>
            <w:tcW w:w="706" w:type="dxa"/>
            <w:tcBorders>
              <w:right w:val="single" w:sz="4" w:space="0" w:color="000000"/>
            </w:tcBorders>
            <w:noWrap/>
          </w:tcPr>
          <w:p w14:paraId="62CE9191" w14:textId="4A12602E" w:rsidR="008809C2" w:rsidRPr="00BC736B" w:rsidRDefault="008809C2" w:rsidP="008809C2">
            <w:pPr>
              <w:ind w:left="-58" w:right="-58"/>
              <w:jc w:val="center"/>
              <w:rPr>
                <w:rFonts w:cs="Arial"/>
                <w:bCs/>
                <w:i/>
              </w:rPr>
            </w:pPr>
            <w:r w:rsidRPr="00BC736B">
              <w:rPr>
                <w:rFonts w:cs="Arial"/>
                <w:bCs/>
                <w:i/>
              </w:rPr>
              <w:t>223a</w:t>
            </w:r>
          </w:p>
        </w:tc>
        <w:tc>
          <w:tcPr>
            <w:tcW w:w="3643" w:type="dxa"/>
            <w:tcBorders>
              <w:left w:val="single" w:sz="4" w:space="0" w:color="000000"/>
              <w:right w:val="single" w:sz="4" w:space="0" w:color="000000"/>
            </w:tcBorders>
            <w:noWrap/>
            <w:vAlign w:val="bottom"/>
          </w:tcPr>
          <w:p w14:paraId="29B35812" w14:textId="1256B172" w:rsidR="008809C2" w:rsidRPr="00BC736B" w:rsidRDefault="008809C2" w:rsidP="008809C2">
            <w:pPr>
              <w:ind w:left="662" w:hanging="360"/>
              <w:rPr>
                <w:rFonts w:cs="Arial"/>
                <w:i/>
              </w:rPr>
            </w:pPr>
            <w:r w:rsidRPr="00BC736B">
              <w:rPr>
                <w:rFonts w:cs="Arial"/>
                <w:i/>
              </w:rPr>
              <w:t>1.2</w:t>
            </w:r>
            <w:r w:rsidRPr="00BC736B">
              <w:rPr>
                <w:rFonts w:cs="Arial"/>
                <w:i/>
              </w:rPr>
              <w:tab/>
            </w:r>
            <w:r w:rsidRPr="005A6923">
              <w:rPr>
                <w:rFonts w:cs="Arial"/>
                <w:i/>
              </w:rPr>
              <w:t>Accumulated depreciation</w:t>
            </w:r>
          </w:p>
        </w:tc>
        <w:tc>
          <w:tcPr>
            <w:tcW w:w="778" w:type="dxa"/>
            <w:tcBorders>
              <w:left w:val="single" w:sz="4" w:space="0" w:color="000000"/>
              <w:right w:val="single" w:sz="4" w:space="0" w:color="000000"/>
            </w:tcBorders>
            <w:noWrap/>
            <w:vAlign w:val="bottom"/>
          </w:tcPr>
          <w:p w14:paraId="60467B29" w14:textId="6A8865ED" w:rsidR="008809C2" w:rsidRPr="00F422E9" w:rsidRDefault="008809C2" w:rsidP="008809C2">
            <w:pPr>
              <w:ind w:left="-58" w:right="-58"/>
              <w:jc w:val="center"/>
              <w:rPr>
                <w:rFonts w:cs="Arial"/>
                <w:bCs/>
                <w:i/>
              </w:rPr>
            </w:pPr>
          </w:p>
        </w:tc>
        <w:tc>
          <w:tcPr>
            <w:tcW w:w="1886" w:type="dxa"/>
            <w:tcBorders>
              <w:left w:val="single" w:sz="4" w:space="0" w:color="000000"/>
              <w:right w:val="single" w:sz="4" w:space="0" w:color="000000"/>
            </w:tcBorders>
          </w:tcPr>
          <w:p w14:paraId="0AEFBED2" w14:textId="25CF8648" w:rsidR="008809C2" w:rsidRPr="00B45330" w:rsidRDefault="008809C2" w:rsidP="008809C2">
            <w:pPr>
              <w:ind w:left="-58"/>
              <w:jc w:val="right"/>
              <w:rPr>
                <w:rFonts w:cs="Arial"/>
                <w:i/>
                <w:iCs/>
              </w:rPr>
            </w:pPr>
            <w:r w:rsidRPr="00B45330">
              <w:rPr>
                <w:i/>
                <w:iCs/>
              </w:rPr>
              <w:t>(11</w:t>
            </w:r>
            <w:r w:rsidR="00B45330">
              <w:rPr>
                <w:i/>
                <w:iCs/>
              </w:rPr>
              <w:t>,</w:t>
            </w:r>
            <w:r w:rsidRPr="00B45330">
              <w:rPr>
                <w:i/>
                <w:iCs/>
              </w:rPr>
              <w:t>430</w:t>
            </w:r>
            <w:r w:rsidR="00B45330">
              <w:rPr>
                <w:i/>
                <w:iCs/>
              </w:rPr>
              <w:t>,</w:t>
            </w:r>
            <w:r w:rsidRPr="00B45330">
              <w:rPr>
                <w:i/>
                <w:iCs/>
              </w:rPr>
              <w:t>993</w:t>
            </w:r>
            <w:r w:rsidR="00B45330">
              <w:rPr>
                <w:i/>
                <w:iCs/>
              </w:rPr>
              <w:t>,</w:t>
            </w:r>
            <w:r w:rsidRPr="00B45330">
              <w:rPr>
                <w:i/>
                <w:iCs/>
              </w:rPr>
              <w:t xml:space="preserve">942) </w:t>
            </w:r>
          </w:p>
        </w:tc>
        <w:tc>
          <w:tcPr>
            <w:tcW w:w="1877" w:type="dxa"/>
            <w:tcBorders>
              <w:left w:val="single" w:sz="4" w:space="0" w:color="000000"/>
            </w:tcBorders>
            <w:noWrap/>
          </w:tcPr>
          <w:p w14:paraId="2A78397C" w14:textId="65BB05BB" w:rsidR="008809C2" w:rsidRPr="00B45330" w:rsidRDefault="008809C2" w:rsidP="008809C2">
            <w:pPr>
              <w:ind w:left="-58"/>
              <w:jc w:val="right"/>
              <w:rPr>
                <w:rFonts w:cs="Arial"/>
                <w:bCs/>
                <w:i/>
                <w:iCs/>
              </w:rPr>
            </w:pPr>
            <w:r w:rsidRPr="00B45330">
              <w:rPr>
                <w:i/>
                <w:iCs/>
              </w:rPr>
              <w:t>(9</w:t>
            </w:r>
            <w:r w:rsidR="00B45330">
              <w:rPr>
                <w:i/>
                <w:iCs/>
              </w:rPr>
              <w:t>,</w:t>
            </w:r>
            <w:r w:rsidRPr="00B45330">
              <w:rPr>
                <w:i/>
                <w:iCs/>
              </w:rPr>
              <w:t>400</w:t>
            </w:r>
            <w:r w:rsidR="00B45330">
              <w:rPr>
                <w:i/>
                <w:iCs/>
              </w:rPr>
              <w:t>,</w:t>
            </w:r>
            <w:r w:rsidRPr="00B45330">
              <w:rPr>
                <w:i/>
                <w:iCs/>
              </w:rPr>
              <w:t>252</w:t>
            </w:r>
            <w:r w:rsidR="00B45330">
              <w:rPr>
                <w:i/>
                <w:iCs/>
              </w:rPr>
              <w:t>,</w:t>
            </w:r>
            <w:r w:rsidRPr="00B45330">
              <w:rPr>
                <w:i/>
                <w:iCs/>
              </w:rPr>
              <w:t xml:space="preserve">211) </w:t>
            </w:r>
          </w:p>
        </w:tc>
      </w:tr>
      <w:tr w:rsidR="008809C2" w:rsidRPr="0076583B" w14:paraId="22FF384E" w14:textId="77777777" w:rsidTr="00D33812">
        <w:tc>
          <w:tcPr>
            <w:tcW w:w="706" w:type="dxa"/>
            <w:tcBorders>
              <w:right w:val="single" w:sz="4" w:space="0" w:color="000000"/>
            </w:tcBorders>
            <w:noWrap/>
          </w:tcPr>
          <w:p w14:paraId="66765190" w14:textId="3E00A31F" w:rsidR="008809C2" w:rsidRPr="00BC736B" w:rsidRDefault="008809C2" w:rsidP="008809C2">
            <w:pPr>
              <w:ind w:left="-58" w:right="-58"/>
              <w:jc w:val="center"/>
              <w:rPr>
                <w:rFonts w:cs="Arial"/>
                <w:bCs/>
              </w:rPr>
            </w:pPr>
            <w:r w:rsidRPr="00BC736B">
              <w:rPr>
                <w:rFonts w:cs="Arial"/>
                <w:bCs/>
              </w:rPr>
              <w:t>227</w:t>
            </w:r>
          </w:p>
        </w:tc>
        <w:tc>
          <w:tcPr>
            <w:tcW w:w="3643" w:type="dxa"/>
            <w:tcBorders>
              <w:left w:val="single" w:sz="4" w:space="0" w:color="000000"/>
              <w:right w:val="single" w:sz="4" w:space="0" w:color="000000"/>
            </w:tcBorders>
            <w:noWrap/>
            <w:vAlign w:val="bottom"/>
          </w:tcPr>
          <w:p w14:paraId="6423E5DD" w14:textId="3FE549C3" w:rsidR="008809C2" w:rsidRPr="00BC736B" w:rsidRDefault="008809C2" w:rsidP="008809C2">
            <w:pPr>
              <w:ind w:left="302" w:hanging="360"/>
              <w:rPr>
                <w:rFonts w:cs="Arial"/>
                <w:bCs/>
              </w:rPr>
            </w:pPr>
            <w:r w:rsidRPr="00BC736B">
              <w:rPr>
                <w:rFonts w:cs="Arial"/>
                <w:bCs/>
              </w:rPr>
              <w:t>2.</w:t>
            </w:r>
            <w:r w:rsidRPr="00BC736B">
              <w:rPr>
                <w:rFonts w:cs="Arial"/>
                <w:bCs/>
              </w:rPr>
              <w:tab/>
            </w:r>
            <w:r w:rsidRPr="006E7A1E">
              <w:rPr>
                <w:rFonts w:cs="Arial"/>
                <w:bCs/>
              </w:rPr>
              <w:t>Intangible assets</w:t>
            </w:r>
          </w:p>
        </w:tc>
        <w:tc>
          <w:tcPr>
            <w:tcW w:w="778" w:type="dxa"/>
            <w:tcBorders>
              <w:left w:val="single" w:sz="4" w:space="0" w:color="000000"/>
              <w:right w:val="single" w:sz="4" w:space="0" w:color="000000"/>
            </w:tcBorders>
            <w:noWrap/>
            <w:vAlign w:val="bottom"/>
          </w:tcPr>
          <w:p w14:paraId="50364658" w14:textId="5CEFBF4A" w:rsidR="008809C2" w:rsidRPr="00F422E9" w:rsidRDefault="008809C2" w:rsidP="008809C2">
            <w:pPr>
              <w:ind w:left="-58" w:right="-58"/>
              <w:jc w:val="center"/>
              <w:rPr>
                <w:rFonts w:cs="Arial"/>
                <w:bCs/>
              </w:rPr>
            </w:pPr>
            <w:r w:rsidRPr="00F422E9">
              <w:rPr>
                <w:rFonts w:cs="Arial"/>
                <w:bCs/>
              </w:rPr>
              <w:t>10</w:t>
            </w:r>
          </w:p>
        </w:tc>
        <w:tc>
          <w:tcPr>
            <w:tcW w:w="1886" w:type="dxa"/>
            <w:tcBorders>
              <w:left w:val="single" w:sz="4" w:space="0" w:color="000000"/>
              <w:right w:val="single" w:sz="4" w:space="0" w:color="000000"/>
            </w:tcBorders>
          </w:tcPr>
          <w:p w14:paraId="4D358FDC" w14:textId="13DB557E" w:rsidR="008809C2" w:rsidRPr="003C222B" w:rsidRDefault="008809C2" w:rsidP="008809C2">
            <w:pPr>
              <w:ind w:left="-58"/>
              <w:jc w:val="right"/>
              <w:rPr>
                <w:rFonts w:cs="Arial"/>
              </w:rPr>
            </w:pPr>
            <w:r w:rsidRPr="006D4CDE">
              <w:t>35</w:t>
            </w:r>
            <w:r w:rsidR="00B45330">
              <w:t>,</w:t>
            </w:r>
            <w:r w:rsidRPr="006D4CDE">
              <w:t>919</w:t>
            </w:r>
            <w:r w:rsidR="00B45330">
              <w:t>,</w:t>
            </w:r>
            <w:r w:rsidRPr="006D4CDE">
              <w:t>430</w:t>
            </w:r>
            <w:r w:rsidR="00B45330">
              <w:t>,</w:t>
            </w:r>
            <w:r w:rsidRPr="006D4CDE">
              <w:t xml:space="preserve">702 </w:t>
            </w:r>
          </w:p>
        </w:tc>
        <w:tc>
          <w:tcPr>
            <w:tcW w:w="1877" w:type="dxa"/>
            <w:tcBorders>
              <w:left w:val="single" w:sz="4" w:space="0" w:color="000000"/>
            </w:tcBorders>
            <w:noWrap/>
          </w:tcPr>
          <w:p w14:paraId="1ADCC85C" w14:textId="10B673B9" w:rsidR="008809C2" w:rsidRPr="00BC736B" w:rsidRDefault="008809C2" w:rsidP="008809C2">
            <w:pPr>
              <w:ind w:left="-58"/>
              <w:jc w:val="right"/>
              <w:rPr>
                <w:rFonts w:cs="Arial"/>
                <w:bCs/>
              </w:rPr>
            </w:pPr>
            <w:r w:rsidRPr="006D4CDE">
              <w:t>40</w:t>
            </w:r>
            <w:r w:rsidR="00B45330">
              <w:t>,</w:t>
            </w:r>
            <w:r w:rsidRPr="006D4CDE">
              <w:t>714</w:t>
            </w:r>
            <w:r w:rsidR="00B45330">
              <w:t>,</w:t>
            </w:r>
            <w:r w:rsidRPr="006D4CDE">
              <w:t>321</w:t>
            </w:r>
            <w:r w:rsidR="00B45330">
              <w:t>,</w:t>
            </w:r>
            <w:r w:rsidRPr="006D4CDE">
              <w:t xml:space="preserve">777 </w:t>
            </w:r>
          </w:p>
        </w:tc>
      </w:tr>
      <w:tr w:rsidR="008809C2" w:rsidRPr="0076583B" w14:paraId="4BDFDFC4" w14:textId="77777777" w:rsidTr="00D33812">
        <w:tc>
          <w:tcPr>
            <w:tcW w:w="706" w:type="dxa"/>
            <w:tcBorders>
              <w:right w:val="single" w:sz="4" w:space="0" w:color="000000"/>
            </w:tcBorders>
            <w:noWrap/>
          </w:tcPr>
          <w:p w14:paraId="5E34EAB6" w14:textId="397EB102" w:rsidR="008809C2" w:rsidRPr="00BC736B" w:rsidRDefault="008809C2" w:rsidP="008809C2">
            <w:pPr>
              <w:ind w:left="-58" w:right="-58"/>
              <w:jc w:val="center"/>
              <w:rPr>
                <w:rFonts w:cs="Arial"/>
                <w:bCs/>
                <w:i/>
              </w:rPr>
            </w:pPr>
            <w:r w:rsidRPr="00BC736B">
              <w:rPr>
                <w:rFonts w:cs="Arial"/>
                <w:bCs/>
                <w:i/>
              </w:rPr>
              <w:t>228</w:t>
            </w:r>
          </w:p>
        </w:tc>
        <w:tc>
          <w:tcPr>
            <w:tcW w:w="3643" w:type="dxa"/>
            <w:tcBorders>
              <w:left w:val="single" w:sz="4" w:space="0" w:color="000000"/>
              <w:right w:val="single" w:sz="4" w:space="0" w:color="000000"/>
            </w:tcBorders>
            <w:noWrap/>
            <w:vAlign w:val="bottom"/>
          </w:tcPr>
          <w:p w14:paraId="2F1D215C" w14:textId="28460E05" w:rsidR="008809C2" w:rsidRPr="00BC736B" w:rsidRDefault="008809C2" w:rsidP="008809C2">
            <w:pPr>
              <w:ind w:left="662" w:hanging="360"/>
              <w:rPr>
                <w:rFonts w:cs="Arial"/>
                <w:i/>
              </w:rPr>
            </w:pPr>
            <w:r w:rsidRPr="00BC736B">
              <w:rPr>
                <w:rFonts w:cs="Arial"/>
                <w:i/>
              </w:rPr>
              <w:t>2.1</w:t>
            </w:r>
            <w:r w:rsidRPr="00BC736B">
              <w:rPr>
                <w:rFonts w:cs="Arial"/>
                <w:i/>
              </w:rPr>
              <w:tab/>
            </w:r>
            <w:r w:rsidRPr="00A65DE3">
              <w:rPr>
                <w:rFonts w:cs="Arial"/>
                <w:i/>
              </w:rPr>
              <w:t>Costs</w:t>
            </w:r>
          </w:p>
        </w:tc>
        <w:tc>
          <w:tcPr>
            <w:tcW w:w="778" w:type="dxa"/>
            <w:tcBorders>
              <w:left w:val="single" w:sz="4" w:space="0" w:color="000000"/>
              <w:right w:val="single" w:sz="4" w:space="0" w:color="000000"/>
            </w:tcBorders>
            <w:noWrap/>
            <w:vAlign w:val="bottom"/>
          </w:tcPr>
          <w:p w14:paraId="0B9586B7" w14:textId="77777777" w:rsidR="008809C2" w:rsidRPr="00F422E9" w:rsidRDefault="008809C2" w:rsidP="008809C2">
            <w:pPr>
              <w:ind w:left="-58" w:right="-58"/>
              <w:jc w:val="center"/>
              <w:rPr>
                <w:rFonts w:cs="Arial"/>
                <w:bCs/>
                <w:i/>
                <w:lang w:val="vi-VN"/>
              </w:rPr>
            </w:pPr>
          </w:p>
        </w:tc>
        <w:tc>
          <w:tcPr>
            <w:tcW w:w="1886" w:type="dxa"/>
            <w:tcBorders>
              <w:left w:val="single" w:sz="4" w:space="0" w:color="000000"/>
              <w:right w:val="single" w:sz="4" w:space="0" w:color="000000"/>
            </w:tcBorders>
          </w:tcPr>
          <w:p w14:paraId="025DC81E" w14:textId="05DFBB1E" w:rsidR="008809C2" w:rsidRPr="00B45330" w:rsidRDefault="008809C2" w:rsidP="008809C2">
            <w:pPr>
              <w:ind w:left="-58"/>
              <w:jc w:val="right"/>
              <w:rPr>
                <w:rFonts w:cs="Arial"/>
                <w:i/>
                <w:iCs/>
              </w:rPr>
            </w:pPr>
            <w:r w:rsidRPr="00B45330">
              <w:rPr>
                <w:i/>
                <w:iCs/>
              </w:rPr>
              <w:t>72</w:t>
            </w:r>
            <w:r w:rsidR="00B45330">
              <w:rPr>
                <w:i/>
                <w:iCs/>
              </w:rPr>
              <w:t>,</w:t>
            </w:r>
            <w:r w:rsidRPr="00B45330">
              <w:rPr>
                <w:i/>
                <w:iCs/>
              </w:rPr>
              <w:t>543</w:t>
            </w:r>
            <w:r w:rsidR="00B45330">
              <w:rPr>
                <w:i/>
                <w:iCs/>
              </w:rPr>
              <w:t>,</w:t>
            </w:r>
            <w:r w:rsidRPr="00B45330">
              <w:rPr>
                <w:i/>
                <w:iCs/>
              </w:rPr>
              <w:t>379</w:t>
            </w:r>
            <w:r w:rsidR="00B45330">
              <w:rPr>
                <w:i/>
                <w:iCs/>
              </w:rPr>
              <w:t>,</w:t>
            </w:r>
            <w:r w:rsidRPr="00B45330">
              <w:rPr>
                <w:i/>
                <w:iCs/>
              </w:rPr>
              <w:t xml:space="preserve">214 </w:t>
            </w:r>
          </w:p>
        </w:tc>
        <w:tc>
          <w:tcPr>
            <w:tcW w:w="1877" w:type="dxa"/>
            <w:tcBorders>
              <w:left w:val="single" w:sz="4" w:space="0" w:color="000000"/>
            </w:tcBorders>
            <w:noWrap/>
          </w:tcPr>
          <w:p w14:paraId="62D2CBC3" w14:textId="036F9FF9" w:rsidR="008809C2" w:rsidRPr="00B45330" w:rsidRDefault="008809C2" w:rsidP="008809C2">
            <w:pPr>
              <w:ind w:left="-58"/>
              <w:jc w:val="right"/>
              <w:rPr>
                <w:rFonts w:cs="Arial"/>
                <w:bCs/>
                <w:i/>
                <w:iCs/>
              </w:rPr>
            </w:pPr>
            <w:r w:rsidRPr="00B45330">
              <w:rPr>
                <w:i/>
                <w:iCs/>
              </w:rPr>
              <w:t>71</w:t>
            </w:r>
            <w:r w:rsidR="00B45330">
              <w:rPr>
                <w:i/>
                <w:iCs/>
              </w:rPr>
              <w:t>,</w:t>
            </w:r>
            <w:r w:rsidRPr="00B45330">
              <w:rPr>
                <w:i/>
                <w:iCs/>
              </w:rPr>
              <w:t>218</w:t>
            </w:r>
            <w:r w:rsidR="00B45330">
              <w:rPr>
                <w:i/>
                <w:iCs/>
              </w:rPr>
              <w:t>,</w:t>
            </w:r>
            <w:r w:rsidRPr="00B45330">
              <w:rPr>
                <w:i/>
                <w:iCs/>
              </w:rPr>
              <w:t>114</w:t>
            </w:r>
            <w:r w:rsidR="00B45330">
              <w:rPr>
                <w:i/>
                <w:iCs/>
              </w:rPr>
              <w:t>,</w:t>
            </w:r>
            <w:r w:rsidRPr="00B45330">
              <w:rPr>
                <w:i/>
                <w:iCs/>
              </w:rPr>
              <w:t xml:space="preserve">214 </w:t>
            </w:r>
          </w:p>
        </w:tc>
      </w:tr>
      <w:tr w:rsidR="008809C2" w:rsidRPr="0076583B" w14:paraId="359F4D08" w14:textId="77777777" w:rsidTr="00254501">
        <w:tc>
          <w:tcPr>
            <w:tcW w:w="706" w:type="dxa"/>
            <w:tcBorders>
              <w:right w:val="single" w:sz="4" w:space="0" w:color="000000"/>
            </w:tcBorders>
            <w:noWrap/>
          </w:tcPr>
          <w:p w14:paraId="2A97A572" w14:textId="4C595DE9" w:rsidR="008809C2" w:rsidRPr="00BC736B" w:rsidRDefault="008809C2" w:rsidP="008809C2">
            <w:pPr>
              <w:ind w:left="-58" w:right="-58"/>
              <w:jc w:val="center"/>
              <w:rPr>
                <w:rFonts w:cs="Arial"/>
                <w:bCs/>
                <w:i/>
              </w:rPr>
            </w:pPr>
            <w:r w:rsidRPr="00BC736B">
              <w:rPr>
                <w:rFonts w:cs="Arial"/>
                <w:bCs/>
                <w:i/>
              </w:rPr>
              <w:t>229a</w:t>
            </w:r>
          </w:p>
        </w:tc>
        <w:tc>
          <w:tcPr>
            <w:tcW w:w="3643" w:type="dxa"/>
            <w:tcBorders>
              <w:left w:val="single" w:sz="4" w:space="0" w:color="000000"/>
              <w:right w:val="single" w:sz="4" w:space="0" w:color="000000"/>
            </w:tcBorders>
            <w:noWrap/>
            <w:vAlign w:val="bottom"/>
          </w:tcPr>
          <w:p w14:paraId="16B2CFD9" w14:textId="4464BFC8" w:rsidR="008809C2" w:rsidRPr="00BC736B" w:rsidRDefault="008809C2" w:rsidP="008809C2">
            <w:pPr>
              <w:ind w:left="662" w:hanging="360"/>
              <w:rPr>
                <w:rFonts w:cs="Arial"/>
                <w:i/>
              </w:rPr>
            </w:pPr>
            <w:r w:rsidRPr="00BC736B">
              <w:rPr>
                <w:rFonts w:cs="Arial"/>
                <w:i/>
              </w:rPr>
              <w:t>2.2</w:t>
            </w:r>
            <w:r w:rsidRPr="00BC736B">
              <w:rPr>
                <w:rFonts w:cs="Arial"/>
                <w:i/>
              </w:rPr>
              <w:tab/>
            </w:r>
            <w:r w:rsidRPr="003E0FF5">
              <w:rPr>
                <w:rFonts w:cs="Arial"/>
                <w:i/>
              </w:rPr>
              <w:t>Accumulated amortization</w:t>
            </w:r>
          </w:p>
        </w:tc>
        <w:tc>
          <w:tcPr>
            <w:tcW w:w="778" w:type="dxa"/>
            <w:tcBorders>
              <w:left w:val="single" w:sz="4" w:space="0" w:color="000000"/>
              <w:right w:val="single" w:sz="4" w:space="0" w:color="000000"/>
            </w:tcBorders>
            <w:noWrap/>
            <w:vAlign w:val="bottom"/>
          </w:tcPr>
          <w:p w14:paraId="64DC6B9B" w14:textId="77777777" w:rsidR="008809C2" w:rsidRPr="00F422E9" w:rsidRDefault="008809C2" w:rsidP="008809C2">
            <w:pPr>
              <w:ind w:left="-58" w:right="-58"/>
              <w:jc w:val="center"/>
              <w:rPr>
                <w:rFonts w:cs="Arial"/>
                <w:bCs/>
                <w:i/>
                <w:lang w:val="vi-VN"/>
              </w:rPr>
            </w:pPr>
          </w:p>
        </w:tc>
        <w:tc>
          <w:tcPr>
            <w:tcW w:w="1886" w:type="dxa"/>
            <w:tcBorders>
              <w:left w:val="single" w:sz="4" w:space="0" w:color="000000"/>
              <w:right w:val="single" w:sz="4" w:space="0" w:color="000000"/>
            </w:tcBorders>
          </w:tcPr>
          <w:p w14:paraId="771906DA" w14:textId="0D942A8D" w:rsidR="008809C2" w:rsidRPr="00B45330" w:rsidRDefault="008809C2" w:rsidP="008809C2">
            <w:pPr>
              <w:ind w:left="-58"/>
              <w:jc w:val="right"/>
              <w:rPr>
                <w:rFonts w:cs="Arial"/>
                <w:i/>
                <w:iCs/>
              </w:rPr>
            </w:pPr>
            <w:r w:rsidRPr="00B45330">
              <w:rPr>
                <w:i/>
                <w:iCs/>
              </w:rPr>
              <w:t>(36</w:t>
            </w:r>
            <w:r w:rsidR="00B45330">
              <w:rPr>
                <w:i/>
                <w:iCs/>
              </w:rPr>
              <w:t>,</w:t>
            </w:r>
            <w:r w:rsidRPr="00B45330">
              <w:rPr>
                <w:i/>
                <w:iCs/>
              </w:rPr>
              <w:t>623</w:t>
            </w:r>
            <w:r w:rsidR="00B45330">
              <w:rPr>
                <w:i/>
                <w:iCs/>
              </w:rPr>
              <w:t>,</w:t>
            </w:r>
            <w:r w:rsidRPr="00B45330">
              <w:rPr>
                <w:i/>
                <w:iCs/>
              </w:rPr>
              <w:t>948</w:t>
            </w:r>
            <w:r w:rsidR="00B45330">
              <w:rPr>
                <w:i/>
                <w:iCs/>
              </w:rPr>
              <w:t>,</w:t>
            </w:r>
            <w:r w:rsidRPr="00B45330">
              <w:rPr>
                <w:i/>
                <w:iCs/>
              </w:rPr>
              <w:t xml:space="preserve">512) </w:t>
            </w:r>
          </w:p>
        </w:tc>
        <w:tc>
          <w:tcPr>
            <w:tcW w:w="1877" w:type="dxa"/>
            <w:tcBorders>
              <w:left w:val="single" w:sz="4" w:space="0" w:color="000000"/>
            </w:tcBorders>
            <w:noWrap/>
          </w:tcPr>
          <w:p w14:paraId="1628C877" w14:textId="20399BB1" w:rsidR="008809C2" w:rsidRPr="00B45330" w:rsidRDefault="008809C2" w:rsidP="008809C2">
            <w:pPr>
              <w:ind w:left="-58"/>
              <w:jc w:val="right"/>
              <w:rPr>
                <w:rFonts w:cs="Arial"/>
                <w:bCs/>
                <w:i/>
                <w:iCs/>
              </w:rPr>
            </w:pPr>
            <w:r w:rsidRPr="00B45330">
              <w:rPr>
                <w:i/>
                <w:iCs/>
              </w:rPr>
              <w:t>(30</w:t>
            </w:r>
            <w:r w:rsidR="00B45330">
              <w:rPr>
                <w:i/>
                <w:iCs/>
              </w:rPr>
              <w:t>,</w:t>
            </w:r>
            <w:r w:rsidRPr="00B45330">
              <w:rPr>
                <w:i/>
                <w:iCs/>
              </w:rPr>
              <w:t>503</w:t>
            </w:r>
            <w:r w:rsidR="00B45330">
              <w:rPr>
                <w:i/>
                <w:iCs/>
              </w:rPr>
              <w:t>,</w:t>
            </w:r>
            <w:r w:rsidRPr="00B45330">
              <w:rPr>
                <w:i/>
                <w:iCs/>
              </w:rPr>
              <w:t>792</w:t>
            </w:r>
            <w:r w:rsidR="00B45330">
              <w:rPr>
                <w:i/>
                <w:iCs/>
              </w:rPr>
              <w:t>,</w:t>
            </w:r>
            <w:r w:rsidRPr="00B45330">
              <w:rPr>
                <w:i/>
                <w:iCs/>
              </w:rPr>
              <w:t xml:space="preserve">437) </w:t>
            </w:r>
          </w:p>
        </w:tc>
      </w:tr>
      <w:tr w:rsidR="008809C2" w:rsidRPr="0076583B" w14:paraId="2471C990" w14:textId="77777777" w:rsidTr="004501E3">
        <w:tc>
          <w:tcPr>
            <w:tcW w:w="706" w:type="dxa"/>
            <w:tcBorders>
              <w:right w:val="single" w:sz="4" w:space="0" w:color="000000"/>
            </w:tcBorders>
            <w:noWrap/>
          </w:tcPr>
          <w:p w14:paraId="55BE1671" w14:textId="6313CC51" w:rsidR="008809C2" w:rsidRPr="00BC736B" w:rsidRDefault="008809C2" w:rsidP="008809C2">
            <w:pPr>
              <w:spacing w:before="120"/>
              <w:ind w:left="-58" w:right="-58"/>
              <w:jc w:val="center"/>
              <w:rPr>
                <w:rFonts w:cs="Arial"/>
                <w:bCs/>
              </w:rPr>
            </w:pPr>
            <w:r w:rsidRPr="00BC736B">
              <w:rPr>
                <w:rFonts w:cs="Arial"/>
                <w:b/>
                <w:bCs/>
                <w:i/>
              </w:rPr>
              <w:t>250</w:t>
            </w:r>
          </w:p>
        </w:tc>
        <w:tc>
          <w:tcPr>
            <w:tcW w:w="3643" w:type="dxa"/>
            <w:tcBorders>
              <w:left w:val="single" w:sz="4" w:space="0" w:color="000000"/>
              <w:right w:val="single" w:sz="4" w:space="0" w:color="000000"/>
            </w:tcBorders>
            <w:noWrap/>
            <w:vAlign w:val="bottom"/>
          </w:tcPr>
          <w:p w14:paraId="786FCD2E" w14:textId="34BC2B02" w:rsidR="008809C2" w:rsidRPr="00BC736B" w:rsidRDefault="008809C2" w:rsidP="008809C2">
            <w:pPr>
              <w:spacing w:before="120"/>
              <w:ind w:left="302" w:hanging="360"/>
              <w:rPr>
                <w:rFonts w:cs="Arial"/>
                <w:b/>
                <w:bCs/>
                <w:i/>
              </w:rPr>
            </w:pPr>
            <w:r w:rsidRPr="00BC736B">
              <w:rPr>
                <w:rFonts w:cs="Arial"/>
                <w:b/>
                <w:bCs/>
                <w:i/>
              </w:rPr>
              <w:t>II.</w:t>
            </w:r>
            <w:r w:rsidRPr="00BC736B">
              <w:rPr>
                <w:rFonts w:cs="Arial"/>
                <w:b/>
                <w:bCs/>
                <w:i/>
              </w:rPr>
              <w:tab/>
            </w:r>
            <w:r w:rsidRPr="00DE2661">
              <w:rPr>
                <w:rFonts w:cs="Arial"/>
                <w:b/>
                <w:bCs/>
                <w:i/>
              </w:rPr>
              <w:t>Other non-current assets</w:t>
            </w:r>
          </w:p>
        </w:tc>
        <w:tc>
          <w:tcPr>
            <w:tcW w:w="778" w:type="dxa"/>
            <w:tcBorders>
              <w:left w:val="single" w:sz="4" w:space="0" w:color="000000"/>
              <w:right w:val="single" w:sz="4" w:space="0" w:color="000000"/>
            </w:tcBorders>
            <w:noWrap/>
            <w:vAlign w:val="bottom"/>
          </w:tcPr>
          <w:p w14:paraId="741F5FA2" w14:textId="77777777" w:rsidR="008809C2" w:rsidRPr="00F422E9" w:rsidRDefault="008809C2" w:rsidP="008809C2">
            <w:pPr>
              <w:spacing w:before="120"/>
              <w:ind w:left="-58" w:right="-58"/>
              <w:jc w:val="center"/>
              <w:rPr>
                <w:rFonts w:cs="Arial"/>
                <w:bCs/>
                <w:lang w:val="vi-VN"/>
              </w:rPr>
            </w:pPr>
          </w:p>
        </w:tc>
        <w:tc>
          <w:tcPr>
            <w:tcW w:w="1886" w:type="dxa"/>
            <w:tcBorders>
              <w:left w:val="single" w:sz="4" w:space="0" w:color="000000"/>
              <w:right w:val="single" w:sz="4" w:space="0" w:color="000000"/>
            </w:tcBorders>
          </w:tcPr>
          <w:p w14:paraId="72A4C8DA" w14:textId="51D26175" w:rsidR="008809C2" w:rsidRPr="006A26B7" w:rsidRDefault="008809C2" w:rsidP="008809C2">
            <w:pPr>
              <w:spacing w:before="120"/>
              <w:ind w:left="-58"/>
              <w:jc w:val="right"/>
              <w:rPr>
                <w:rFonts w:cs="Arial"/>
                <w:b/>
                <w:bCs/>
                <w:i/>
                <w:iCs/>
              </w:rPr>
            </w:pPr>
            <w:r w:rsidRPr="006A26B7">
              <w:rPr>
                <w:b/>
                <w:bCs/>
                <w:i/>
                <w:iCs/>
              </w:rPr>
              <w:t>9</w:t>
            </w:r>
            <w:r w:rsidR="00B45330" w:rsidRPr="006A26B7">
              <w:rPr>
                <w:b/>
                <w:bCs/>
                <w:i/>
                <w:iCs/>
              </w:rPr>
              <w:t>,</w:t>
            </w:r>
            <w:r w:rsidRPr="006A26B7">
              <w:rPr>
                <w:b/>
                <w:bCs/>
                <w:i/>
                <w:iCs/>
              </w:rPr>
              <w:t>929</w:t>
            </w:r>
            <w:r w:rsidR="00B45330" w:rsidRPr="006A26B7">
              <w:rPr>
                <w:b/>
                <w:bCs/>
                <w:i/>
                <w:iCs/>
              </w:rPr>
              <w:t>,</w:t>
            </w:r>
            <w:r w:rsidRPr="006A26B7">
              <w:rPr>
                <w:b/>
                <w:bCs/>
                <w:i/>
                <w:iCs/>
              </w:rPr>
              <w:t>159</w:t>
            </w:r>
            <w:r w:rsidR="00B45330" w:rsidRPr="006A26B7">
              <w:rPr>
                <w:b/>
                <w:bCs/>
                <w:i/>
                <w:iCs/>
              </w:rPr>
              <w:t>,</w:t>
            </w:r>
            <w:r w:rsidRPr="006A26B7">
              <w:rPr>
                <w:b/>
                <w:bCs/>
                <w:i/>
                <w:iCs/>
              </w:rPr>
              <w:t>425</w:t>
            </w:r>
          </w:p>
        </w:tc>
        <w:tc>
          <w:tcPr>
            <w:tcW w:w="1877" w:type="dxa"/>
            <w:tcBorders>
              <w:left w:val="single" w:sz="4" w:space="0" w:color="000000"/>
            </w:tcBorders>
            <w:noWrap/>
          </w:tcPr>
          <w:p w14:paraId="36BA4EE7" w14:textId="0826C766" w:rsidR="008809C2" w:rsidRPr="006A26B7" w:rsidRDefault="008809C2" w:rsidP="008809C2">
            <w:pPr>
              <w:spacing w:before="120"/>
              <w:ind w:left="-58"/>
              <w:jc w:val="right"/>
              <w:rPr>
                <w:rFonts w:cs="Arial"/>
                <w:b/>
                <w:bCs/>
                <w:i/>
                <w:iCs/>
              </w:rPr>
            </w:pPr>
            <w:r w:rsidRPr="006A26B7">
              <w:rPr>
                <w:b/>
                <w:bCs/>
                <w:i/>
                <w:iCs/>
              </w:rPr>
              <w:t>6</w:t>
            </w:r>
            <w:r w:rsidR="00B45330" w:rsidRPr="006A26B7">
              <w:rPr>
                <w:b/>
                <w:bCs/>
                <w:i/>
                <w:iCs/>
              </w:rPr>
              <w:t>,</w:t>
            </w:r>
            <w:r w:rsidRPr="006A26B7">
              <w:rPr>
                <w:b/>
                <w:bCs/>
                <w:i/>
                <w:iCs/>
              </w:rPr>
              <w:t>293</w:t>
            </w:r>
            <w:r w:rsidR="00B45330" w:rsidRPr="006A26B7">
              <w:rPr>
                <w:b/>
                <w:bCs/>
                <w:i/>
                <w:iCs/>
              </w:rPr>
              <w:t>,</w:t>
            </w:r>
            <w:r w:rsidRPr="006A26B7">
              <w:rPr>
                <w:b/>
                <w:bCs/>
                <w:i/>
                <w:iCs/>
              </w:rPr>
              <w:t>496</w:t>
            </w:r>
            <w:r w:rsidR="00B45330" w:rsidRPr="006A26B7">
              <w:rPr>
                <w:b/>
                <w:bCs/>
                <w:i/>
                <w:iCs/>
              </w:rPr>
              <w:t>,</w:t>
            </w:r>
            <w:r w:rsidRPr="006A26B7">
              <w:rPr>
                <w:b/>
                <w:bCs/>
                <w:i/>
                <w:iCs/>
              </w:rPr>
              <w:t>780</w:t>
            </w:r>
          </w:p>
        </w:tc>
      </w:tr>
      <w:tr w:rsidR="008809C2" w:rsidRPr="0076583B" w14:paraId="7A262F88" w14:textId="77777777" w:rsidTr="004501E3">
        <w:tc>
          <w:tcPr>
            <w:tcW w:w="706" w:type="dxa"/>
            <w:tcBorders>
              <w:right w:val="single" w:sz="4" w:space="0" w:color="000000"/>
            </w:tcBorders>
            <w:noWrap/>
          </w:tcPr>
          <w:p w14:paraId="4360976A" w14:textId="09923AD6" w:rsidR="008809C2" w:rsidRPr="00BC736B" w:rsidRDefault="008809C2" w:rsidP="008809C2">
            <w:pPr>
              <w:spacing w:before="120"/>
              <w:ind w:left="-58" w:right="-58"/>
              <w:jc w:val="center"/>
              <w:rPr>
                <w:rFonts w:cs="Arial"/>
                <w:bCs/>
              </w:rPr>
            </w:pPr>
            <w:r w:rsidRPr="00BC736B">
              <w:rPr>
                <w:rFonts w:cs="Arial"/>
                <w:bCs/>
              </w:rPr>
              <w:t>251</w:t>
            </w:r>
          </w:p>
        </w:tc>
        <w:tc>
          <w:tcPr>
            <w:tcW w:w="3643" w:type="dxa"/>
            <w:tcBorders>
              <w:left w:val="single" w:sz="4" w:space="0" w:color="000000"/>
              <w:right w:val="single" w:sz="4" w:space="0" w:color="000000"/>
            </w:tcBorders>
            <w:noWrap/>
            <w:vAlign w:val="bottom"/>
          </w:tcPr>
          <w:p w14:paraId="6B9D8E0E" w14:textId="08AAF302" w:rsidR="008809C2" w:rsidRPr="00BC736B" w:rsidRDefault="008809C2" w:rsidP="008809C2">
            <w:pPr>
              <w:spacing w:before="120"/>
              <w:ind w:left="302" w:hanging="360"/>
              <w:jc w:val="left"/>
              <w:rPr>
                <w:rFonts w:cs="Arial"/>
                <w:bCs/>
              </w:rPr>
            </w:pPr>
            <w:r w:rsidRPr="00BC736B">
              <w:rPr>
                <w:rFonts w:cs="Arial"/>
                <w:bCs/>
              </w:rPr>
              <w:t>1.</w:t>
            </w:r>
            <w:r w:rsidRPr="00BC736B">
              <w:rPr>
                <w:rFonts w:cs="Arial"/>
                <w:bCs/>
              </w:rPr>
              <w:tab/>
            </w:r>
            <w:r w:rsidRPr="008B7474">
              <w:rPr>
                <w:rFonts w:cs="Arial"/>
                <w:bCs/>
              </w:rPr>
              <w:t xml:space="preserve">Non-current deposits, </w:t>
            </w:r>
            <w:proofErr w:type="gramStart"/>
            <w:r w:rsidRPr="008B7474">
              <w:rPr>
                <w:rFonts w:cs="Arial"/>
                <w:bCs/>
              </w:rPr>
              <w:t>collaterals</w:t>
            </w:r>
            <w:proofErr w:type="gramEnd"/>
            <w:r w:rsidRPr="008B7474">
              <w:rPr>
                <w:rFonts w:cs="Arial"/>
                <w:bCs/>
              </w:rPr>
              <w:t xml:space="preserve"> and pledges</w:t>
            </w:r>
          </w:p>
        </w:tc>
        <w:tc>
          <w:tcPr>
            <w:tcW w:w="778" w:type="dxa"/>
            <w:tcBorders>
              <w:left w:val="single" w:sz="4" w:space="0" w:color="000000"/>
              <w:right w:val="single" w:sz="4" w:space="0" w:color="000000"/>
            </w:tcBorders>
            <w:noWrap/>
            <w:vAlign w:val="bottom"/>
          </w:tcPr>
          <w:p w14:paraId="165F930B" w14:textId="748A634E" w:rsidR="008809C2" w:rsidRPr="00F422E9" w:rsidRDefault="008809C2" w:rsidP="008809C2">
            <w:pPr>
              <w:spacing w:before="120"/>
              <w:ind w:left="-58" w:right="-58"/>
              <w:jc w:val="center"/>
              <w:rPr>
                <w:rFonts w:cs="Arial"/>
                <w:bCs/>
              </w:rPr>
            </w:pPr>
            <w:r w:rsidRPr="00F422E9">
              <w:rPr>
                <w:rFonts w:cs="Arial"/>
                <w:bCs/>
              </w:rPr>
              <w:t>13</w:t>
            </w:r>
          </w:p>
        </w:tc>
        <w:tc>
          <w:tcPr>
            <w:tcW w:w="1886" w:type="dxa"/>
            <w:tcBorders>
              <w:left w:val="single" w:sz="4" w:space="0" w:color="000000"/>
              <w:right w:val="single" w:sz="4" w:space="0" w:color="000000"/>
            </w:tcBorders>
          </w:tcPr>
          <w:p w14:paraId="6B98CC75" w14:textId="05835FD6" w:rsidR="008809C2" w:rsidRPr="003C222B" w:rsidRDefault="008809C2" w:rsidP="008809C2">
            <w:pPr>
              <w:spacing w:before="120"/>
              <w:ind w:left="-58"/>
              <w:jc w:val="right"/>
              <w:rPr>
                <w:rFonts w:cs="Arial"/>
              </w:rPr>
            </w:pPr>
            <w:r w:rsidRPr="006D4CDE">
              <w:t>2</w:t>
            </w:r>
            <w:r w:rsidR="00B45330">
              <w:t>,</w:t>
            </w:r>
            <w:r w:rsidRPr="006D4CDE">
              <w:t>229</w:t>
            </w:r>
            <w:r w:rsidR="00B45330">
              <w:t>,</w:t>
            </w:r>
            <w:r w:rsidRPr="006D4CDE">
              <w:t>621</w:t>
            </w:r>
            <w:r w:rsidR="00B45330">
              <w:t>,</w:t>
            </w:r>
            <w:r w:rsidRPr="006D4CDE">
              <w:t xml:space="preserve">635 </w:t>
            </w:r>
          </w:p>
        </w:tc>
        <w:tc>
          <w:tcPr>
            <w:tcW w:w="1877" w:type="dxa"/>
            <w:tcBorders>
              <w:left w:val="single" w:sz="4" w:space="0" w:color="000000"/>
            </w:tcBorders>
            <w:noWrap/>
          </w:tcPr>
          <w:p w14:paraId="5FE89EEF" w14:textId="61147F34" w:rsidR="008809C2" w:rsidRPr="00BC736B" w:rsidRDefault="008809C2" w:rsidP="008809C2">
            <w:pPr>
              <w:spacing w:before="120"/>
              <w:ind w:left="-58"/>
              <w:jc w:val="right"/>
              <w:rPr>
                <w:rFonts w:cs="Arial"/>
                <w:bCs/>
              </w:rPr>
            </w:pPr>
            <w:r w:rsidRPr="006D4CDE">
              <w:t>2</w:t>
            </w:r>
            <w:r w:rsidR="00B45330">
              <w:t>,</w:t>
            </w:r>
            <w:r w:rsidRPr="006D4CDE">
              <w:t>152</w:t>
            </w:r>
            <w:r w:rsidR="00B45330">
              <w:t>,</w:t>
            </w:r>
            <w:r w:rsidRPr="006D4CDE">
              <w:t>634</w:t>
            </w:r>
            <w:r w:rsidR="00B45330">
              <w:t>,</w:t>
            </w:r>
            <w:r w:rsidRPr="006D4CDE">
              <w:t xml:space="preserve">600 </w:t>
            </w:r>
          </w:p>
        </w:tc>
      </w:tr>
      <w:tr w:rsidR="008809C2" w:rsidRPr="0076583B" w14:paraId="7F532564" w14:textId="77777777" w:rsidTr="004501E3">
        <w:tc>
          <w:tcPr>
            <w:tcW w:w="706" w:type="dxa"/>
            <w:tcBorders>
              <w:right w:val="single" w:sz="4" w:space="0" w:color="000000"/>
            </w:tcBorders>
            <w:noWrap/>
          </w:tcPr>
          <w:p w14:paraId="4A109718" w14:textId="49E7DD70" w:rsidR="008809C2" w:rsidRPr="00BC736B" w:rsidRDefault="008809C2" w:rsidP="008809C2">
            <w:pPr>
              <w:ind w:left="-58" w:right="-58"/>
              <w:jc w:val="center"/>
              <w:rPr>
                <w:rFonts w:cs="Arial"/>
                <w:bCs/>
              </w:rPr>
            </w:pPr>
            <w:r w:rsidRPr="00BC736B">
              <w:rPr>
                <w:rFonts w:cs="Arial"/>
                <w:bCs/>
              </w:rPr>
              <w:t>252</w:t>
            </w:r>
          </w:p>
        </w:tc>
        <w:tc>
          <w:tcPr>
            <w:tcW w:w="3643" w:type="dxa"/>
            <w:tcBorders>
              <w:left w:val="single" w:sz="4" w:space="0" w:color="000000"/>
              <w:right w:val="single" w:sz="4" w:space="0" w:color="000000"/>
            </w:tcBorders>
            <w:noWrap/>
            <w:vAlign w:val="bottom"/>
          </w:tcPr>
          <w:p w14:paraId="79813D5F" w14:textId="49BFB7F4" w:rsidR="008809C2" w:rsidRPr="00BC736B" w:rsidRDefault="008809C2" w:rsidP="008809C2">
            <w:pPr>
              <w:ind w:left="302" w:hanging="360"/>
              <w:rPr>
                <w:rFonts w:cs="Arial"/>
                <w:bCs/>
              </w:rPr>
            </w:pPr>
            <w:r w:rsidRPr="00BC736B">
              <w:rPr>
                <w:rFonts w:cs="Arial"/>
                <w:bCs/>
              </w:rPr>
              <w:t>2.</w:t>
            </w:r>
            <w:r w:rsidRPr="00BC736B">
              <w:rPr>
                <w:rFonts w:cs="Arial"/>
                <w:bCs/>
              </w:rPr>
              <w:tab/>
            </w:r>
            <w:r w:rsidRPr="003E2667">
              <w:rPr>
                <w:rFonts w:cs="Arial"/>
                <w:bCs/>
              </w:rPr>
              <w:t>Non-current prepaid expenses</w:t>
            </w:r>
          </w:p>
        </w:tc>
        <w:tc>
          <w:tcPr>
            <w:tcW w:w="778" w:type="dxa"/>
            <w:tcBorders>
              <w:left w:val="single" w:sz="4" w:space="0" w:color="000000"/>
              <w:right w:val="single" w:sz="4" w:space="0" w:color="000000"/>
            </w:tcBorders>
            <w:noWrap/>
            <w:vAlign w:val="bottom"/>
          </w:tcPr>
          <w:p w14:paraId="6E1C548E" w14:textId="7C1096FA" w:rsidR="008809C2" w:rsidRPr="00F422E9" w:rsidRDefault="008809C2" w:rsidP="008809C2">
            <w:pPr>
              <w:ind w:left="-58" w:right="-58"/>
              <w:jc w:val="center"/>
              <w:rPr>
                <w:rFonts w:cs="Arial"/>
                <w:bCs/>
              </w:rPr>
            </w:pPr>
            <w:r w:rsidRPr="00F422E9">
              <w:rPr>
                <w:rFonts w:cs="Arial"/>
                <w:bCs/>
              </w:rPr>
              <w:t>11</w:t>
            </w:r>
          </w:p>
        </w:tc>
        <w:tc>
          <w:tcPr>
            <w:tcW w:w="1886" w:type="dxa"/>
            <w:tcBorders>
              <w:left w:val="single" w:sz="4" w:space="0" w:color="000000"/>
              <w:right w:val="single" w:sz="4" w:space="0" w:color="000000"/>
            </w:tcBorders>
          </w:tcPr>
          <w:p w14:paraId="4FE4ACEB" w14:textId="54C418D7" w:rsidR="008809C2" w:rsidRPr="003C222B" w:rsidRDefault="008809C2" w:rsidP="008809C2">
            <w:pPr>
              <w:ind w:left="-58"/>
              <w:jc w:val="right"/>
              <w:rPr>
                <w:rFonts w:cs="Arial"/>
              </w:rPr>
            </w:pPr>
            <w:r w:rsidRPr="006D4CDE">
              <w:t>2</w:t>
            </w:r>
            <w:r w:rsidR="00B45330">
              <w:t>,</w:t>
            </w:r>
            <w:r w:rsidRPr="006D4CDE">
              <w:t>830</w:t>
            </w:r>
            <w:r w:rsidR="00B45330">
              <w:t>,</w:t>
            </w:r>
            <w:r w:rsidRPr="006D4CDE">
              <w:t>367</w:t>
            </w:r>
            <w:r w:rsidR="00B45330">
              <w:t>,</w:t>
            </w:r>
            <w:r w:rsidRPr="006D4CDE">
              <w:t>167</w:t>
            </w:r>
          </w:p>
        </w:tc>
        <w:tc>
          <w:tcPr>
            <w:tcW w:w="1877" w:type="dxa"/>
            <w:tcBorders>
              <w:left w:val="single" w:sz="4" w:space="0" w:color="000000"/>
            </w:tcBorders>
            <w:noWrap/>
          </w:tcPr>
          <w:p w14:paraId="12CA8B6A" w14:textId="398B9263" w:rsidR="008809C2" w:rsidRPr="00BC736B" w:rsidRDefault="008809C2" w:rsidP="008809C2">
            <w:pPr>
              <w:ind w:left="-58"/>
              <w:jc w:val="right"/>
              <w:rPr>
                <w:rFonts w:cs="Arial"/>
                <w:bCs/>
              </w:rPr>
            </w:pPr>
            <w:r w:rsidRPr="006D4CDE">
              <w:t>1</w:t>
            </w:r>
            <w:r w:rsidR="00B45330">
              <w:t>,</w:t>
            </w:r>
            <w:r w:rsidRPr="006D4CDE">
              <w:t>322</w:t>
            </w:r>
            <w:r w:rsidR="00B45330">
              <w:t>,</w:t>
            </w:r>
            <w:r w:rsidRPr="006D4CDE">
              <w:t>794</w:t>
            </w:r>
            <w:r w:rsidR="00B45330">
              <w:t>,</w:t>
            </w:r>
            <w:r w:rsidRPr="006D4CDE">
              <w:t>197</w:t>
            </w:r>
          </w:p>
        </w:tc>
      </w:tr>
      <w:tr w:rsidR="008809C2" w:rsidRPr="0076583B" w14:paraId="5DF505AF" w14:textId="77777777" w:rsidTr="004501E3">
        <w:tc>
          <w:tcPr>
            <w:tcW w:w="706" w:type="dxa"/>
            <w:tcBorders>
              <w:right w:val="single" w:sz="4" w:space="0" w:color="000000"/>
            </w:tcBorders>
            <w:noWrap/>
          </w:tcPr>
          <w:p w14:paraId="63F91224" w14:textId="209F9396" w:rsidR="008809C2" w:rsidRPr="00BC736B" w:rsidRDefault="008809C2" w:rsidP="008809C2">
            <w:pPr>
              <w:ind w:left="-58" w:right="-58"/>
              <w:jc w:val="center"/>
              <w:rPr>
                <w:rFonts w:cs="Arial"/>
                <w:bCs/>
              </w:rPr>
            </w:pPr>
            <w:r w:rsidRPr="00BC736B">
              <w:rPr>
                <w:rFonts w:cs="Arial"/>
                <w:bCs/>
              </w:rPr>
              <w:t>253</w:t>
            </w:r>
          </w:p>
        </w:tc>
        <w:tc>
          <w:tcPr>
            <w:tcW w:w="3643" w:type="dxa"/>
            <w:tcBorders>
              <w:left w:val="single" w:sz="4" w:space="0" w:color="000000"/>
              <w:right w:val="single" w:sz="4" w:space="0" w:color="000000"/>
            </w:tcBorders>
            <w:noWrap/>
            <w:vAlign w:val="bottom"/>
          </w:tcPr>
          <w:p w14:paraId="6539E803" w14:textId="25FEA87B" w:rsidR="008809C2" w:rsidRPr="00BC736B" w:rsidRDefault="008809C2" w:rsidP="008809C2">
            <w:pPr>
              <w:ind w:left="302" w:hanging="360"/>
              <w:rPr>
                <w:rFonts w:cs="Arial"/>
                <w:bCs/>
              </w:rPr>
            </w:pPr>
            <w:r w:rsidRPr="00BC736B">
              <w:rPr>
                <w:rFonts w:cs="Arial"/>
                <w:bCs/>
              </w:rPr>
              <w:t>3.</w:t>
            </w:r>
            <w:r w:rsidRPr="00BC736B">
              <w:rPr>
                <w:rFonts w:cs="Arial"/>
                <w:bCs/>
              </w:rPr>
              <w:tab/>
            </w:r>
            <w:r w:rsidRPr="009C2351">
              <w:rPr>
                <w:rFonts w:cs="Arial"/>
                <w:bCs/>
              </w:rPr>
              <w:t>Deferred tax assets</w:t>
            </w:r>
          </w:p>
        </w:tc>
        <w:tc>
          <w:tcPr>
            <w:tcW w:w="778" w:type="dxa"/>
            <w:tcBorders>
              <w:left w:val="single" w:sz="4" w:space="0" w:color="000000"/>
              <w:right w:val="single" w:sz="4" w:space="0" w:color="000000"/>
            </w:tcBorders>
            <w:noWrap/>
            <w:vAlign w:val="bottom"/>
          </w:tcPr>
          <w:p w14:paraId="79869B5F" w14:textId="77777777" w:rsidR="008809C2" w:rsidRPr="00F422E9" w:rsidRDefault="008809C2" w:rsidP="008809C2">
            <w:pPr>
              <w:ind w:left="-58" w:right="-58"/>
              <w:jc w:val="center"/>
              <w:rPr>
                <w:rFonts w:cs="Arial"/>
                <w:bCs/>
              </w:rPr>
            </w:pPr>
          </w:p>
        </w:tc>
        <w:tc>
          <w:tcPr>
            <w:tcW w:w="1886" w:type="dxa"/>
            <w:tcBorders>
              <w:left w:val="single" w:sz="4" w:space="0" w:color="000000"/>
              <w:right w:val="single" w:sz="4" w:space="0" w:color="000000"/>
            </w:tcBorders>
          </w:tcPr>
          <w:p w14:paraId="3C037503" w14:textId="6BD1F7AC" w:rsidR="008809C2" w:rsidRPr="00BC736B" w:rsidRDefault="008809C2" w:rsidP="008809C2">
            <w:pPr>
              <w:ind w:left="-58"/>
              <w:jc w:val="right"/>
              <w:rPr>
                <w:rFonts w:cs="Arial"/>
                <w:bCs/>
              </w:rPr>
            </w:pPr>
            <w:r w:rsidRPr="006D4CDE">
              <w:t xml:space="preserve">- </w:t>
            </w:r>
          </w:p>
        </w:tc>
        <w:tc>
          <w:tcPr>
            <w:tcW w:w="1877" w:type="dxa"/>
            <w:tcBorders>
              <w:left w:val="single" w:sz="4" w:space="0" w:color="000000"/>
            </w:tcBorders>
            <w:noWrap/>
          </w:tcPr>
          <w:p w14:paraId="6BACC456" w14:textId="2B737108" w:rsidR="008809C2" w:rsidRPr="00BC736B" w:rsidRDefault="008809C2" w:rsidP="008809C2">
            <w:pPr>
              <w:ind w:left="-58"/>
              <w:jc w:val="right"/>
              <w:rPr>
                <w:rFonts w:cs="Arial"/>
                <w:bCs/>
              </w:rPr>
            </w:pPr>
            <w:r w:rsidRPr="006D4CDE">
              <w:t>448</w:t>
            </w:r>
            <w:r w:rsidR="00B45330">
              <w:t>,</w:t>
            </w:r>
            <w:r w:rsidRPr="006D4CDE">
              <w:t>897</w:t>
            </w:r>
            <w:r w:rsidR="00B45330">
              <w:t>,</w:t>
            </w:r>
            <w:r w:rsidRPr="006D4CDE">
              <w:t xml:space="preserve">360 </w:t>
            </w:r>
          </w:p>
        </w:tc>
      </w:tr>
      <w:tr w:rsidR="008809C2" w:rsidRPr="0076583B" w14:paraId="142C6490" w14:textId="77777777" w:rsidTr="004501E3">
        <w:tc>
          <w:tcPr>
            <w:tcW w:w="706" w:type="dxa"/>
            <w:tcBorders>
              <w:top w:val="nil"/>
              <w:bottom w:val="nil"/>
              <w:right w:val="single" w:sz="4" w:space="0" w:color="000000"/>
            </w:tcBorders>
            <w:noWrap/>
          </w:tcPr>
          <w:p w14:paraId="3E9AB53E" w14:textId="725D34C4" w:rsidR="008809C2" w:rsidRPr="00BC736B" w:rsidRDefault="008809C2" w:rsidP="008809C2">
            <w:pPr>
              <w:spacing w:after="120"/>
              <w:ind w:left="-58" w:right="-58"/>
              <w:jc w:val="center"/>
              <w:rPr>
                <w:rFonts w:cs="Arial"/>
                <w:bCs/>
              </w:rPr>
            </w:pPr>
            <w:r w:rsidRPr="00BC736B">
              <w:rPr>
                <w:rFonts w:cs="Arial"/>
                <w:bCs/>
              </w:rPr>
              <w:t>254</w:t>
            </w:r>
          </w:p>
        </w:tc>
        <w:tc>
          <w:tcPr>
            <w:tcW w:w="3643" w:type="dxa"/>
            <w:tcBorders>
              <w:top w:val="nil"/>
              <w:left w:val="single" w:sz="4" w:space="0" w:color="000000"/>
              <w:bottom w:val="nil"/>
              <w:right w:val="single" w:sz="4" w:space="0" w:color="000000"/>
            </w:tcBorders>
            <w:noWrap/>
            <w:vAlign w:val="bottom"/>
          </w:tcPr>
          <w:p w14:paraId="5027EAD5" w14:textId="3A2EF55B" w:rsidR="008809C2" w:rsidRPr="00BC736B" w:rsidRDefault="008809C2" w:rsidP="008809C2">
            <w:pPr>
              <w:spacing w:after="120"/>
              <w:ind w:left="302" w:hanging="360"/>
              <w:rPr>
                <w:rFonts w:cs="Arial"/>
                <w:bCs/>
              </w:rPr>
            </w:pPr>
            <w:r>
              <w:rPr>
                <w:rFonts w:cs="Arial"/>
                <w:bCs/>
              </w:rPr>
              <w:t>4</w:t>
            </w:r>
            <w:r w:rsidRPr="00BC736B">
              <w:rPr>
                <w:rFonts w:cs="Arial"/>
                <w:bCs/>
              </w:rPr>
              <w:t>.</w:t>
            </w:r>
            <w:r w:rsidRPr="00BC736B">
              <w:rPr>
                <w:rFonts w:cs="Arial"/>
                <w:bCs/>
              </w:rPr>
              <w:tab/>
            </w:r>
            <w:r w:rsidRPr="00201399">
              <w:rPr>
                <w:rFonts w:cs="Arial"/>
                <w:bCs/>
              </w:rPr>
              <w:t>Payments to Settlement Assistance Fund</w:t>
            </w:r>
          </w:p>
        </w:tc>
        <w:tc>
          <w:tcPr>
            <w:tcW w:w="778" w:type="dxa"/>
            <w:tcBorders>
              <w:top w:val="nil"/>
              <w:left w:val="single" w:sz="4" w:space="0" w:color="000000"/>
              <w:bottom w:val="nil"/>
              <w:right w:val="single" w:sz="4" w:space="0" w:color="000000"/>
            </w:tcBorders>
            <w:noWrap/>
            <w:vAlign w:val="bottom"/>
          </w:tcPr>
          <w:p w14:paraId="2668C905" w14:textId="09CB5035" w:rsidR="008809C2" w:rsidRPr="00F422E9" w:rsidRDefault="008809C2" w:rsidP="008809C2">
            <w:pPr>
              <w:spacing w:after="120"/>
              <w:ind w:left="-58" w:right="-58"/>
              <w:jc w:val="center"/>
              <w:rPr>
                <w:rFonts w:cs="Arial"/>
                <w:bCs/>
              </w:rPr>
            </w:pPr>
            <w:r w:rsidRPr="00F422E9">
              <w:rPr>
                <w:rFonts w:cs="Arial"/>
                <w:bCs/>
              </w:rPr>
              <w:t>12</w:t>
            </w:r>
          </w:p>
        </w:tc>
        <w:tc>
          <w:tcPr>
            <w:tcW w:w="1886" w:type="dxa"/>
            <w:tcBorders>
              <w:top w:val="nil"/>
              <w:left w:val="single" w:sz="4" w:space="0" w:color="000000"/>
              <w:bottom w:val="nil"/>
              <w:right w:val="single" w:sz="4" w:space="0" w:color="000000"/>
            </w:tcBorders>
          </w:tcPr>
          <w:p w14:paraId="1CF47DEA" w14:textId="499BA40C" w:rsidR="008809C2" w:rsidRPr="003C222B" w:rsidRDefault="008809C2" w:rsidP="008809C2">
            <w:pPr>
              <w:spacing w:after="120"/>
              <w:ind w:left="-58"/>
              <w:jc w:val="right"/>
              <w:rPr>
                <w:rFonts w:cs="Arial"/>
              </w:rPr>
            </w:pPr>
            <w:r w:rsidRPr="006D4CDE">
              <w:t>4</w:t>
            </w:r>
            <w:r w:rsidR="00B45330">
              <w:t>,</w:t>
            </w:r>
            <w:r w:rsidRPr="006D4CDE">
              <w:t>869</w:t>
            </w:r>
            <w:r w:rsidR="00B45330">
              <w:t>,</w:t>
            </w:r>
            <w:r w:rsidRPr="006D4CDE">
              <w:t>170</w:t>
            </w:r>
            <w:r w:rsidR="00B45330">
              <w:t>,</w:t>
            </w:r>
            <w:r w:rsidRPr="006D4CDE">
              <w:t xml:space="preserve">623 </w:t>
            </w:r>
          </w:p>
        </w:tc>
        <w:tc>
          <w:tcPr>
            <w:tcW w:w="1877" w:type="dxa"/>
            <w:tcBorders>
              <w:top w:val="nil"/>
              <w:left w:val="single" w:sz="4" w:space="0" w:color="000000"/>
              <w:bottom w:val="nil"/>
            </w:tcBorders>
            <w:noWrap/>
          </w:tcPr>
          <w:p w14:paraId="6A8F3D37" w14:textId="1EABBFAF" w:rsidR="008809C2" w:rsidRPr="00BC736B" w:rsidRDefault="008809C2" w:rsidP="008809C2">
            <w:pPr>
              <w:spacing w:after="120"/>
              <w:ind w:left="-58"/>
              <w:jc w:val="right"/>
              <w:rPr>
                <w:rFonts w:cs="Arial"/>
                <w:bCs/>
              </w:rPr>
            </w:pPr>
            <w:r w:rsidRPr="006D4CDE">
              <w:t>2</w:t>
            </w:r>
            <w:r w:rsidR="00B45330">
              <w:t>,</w:t>
            </w:r>
            <w:r w:rsidRPr="006D4CDE">
              <w:t>369</w:t>
            </w:r>
            <w:r w:rsidR="00B45330">
              <w:t>,</w:t>
            </w:r>
            <w:r w:rsidRPr="006D4CDE">
              <w:t>170</w:t>
            </w:r>
            <w:r w:rsidR="00B45330">
              <w:t>,</w:t>
            </w:r>
            <w:r w:rsidRPr="006D4CDE">
              <w:t xml:space="preserve">623 </w:t>
            </w:r>
          </w:p>
        </w:tc>
      </w:tr>
      <w:tr w:rsidR="008809C2" w:rsidRPr="0076583B" w14:paraId="77A18350" w14:textId="77777777" w:rsidTr="004501E3">
        <w:tc>
          <w:tcPr>
            <w:tcW w:w="706" w:type="dxa"/>
            <w:tcBorders>
              <w:top w:val="single" w:sz="4" w:space="0" w:color="000000"/>
              <w:right w:val="single" w:sz="4" w:space="0" w:color="000000"/>
            </w:tcBorders>
            <w:noWrap/>
          </w:tcPr>
          <w:p w14:paraId="7CCE10C0" w14:textId="57C1BC60" w:rsidR="008809C2" w:rsidRPr="00BC736B" w:rsidRDefault="008809C2" w:rsidP="008809C2">
            <w:pPr>
              <w:spacing w:before="120" w:after="120"/>
              <w:ind w:left="-58" w:right="-58"/>
              <w:jc w:val="center"/>
              <w:rPr>
                <w:rFonts w:cs="Arial"/>
                <w:b/>
                <w:bCs/>
              </w:rPr>
            </w:pPr>
            <w:r w:rsidRPr="00BC736B">
              <w:rPr>
                <w:rFonts w:cs="Arial"/>
                <w:b/>
                <w:bCs/>
              </w:rPr>
              <w:t>270</w:t>
            </w:r>
          </w:p>
        </w:tc>
        <w:tc>
          <w:tcPr>
            <w:tcW w:w="3643" w:type="dxa"/>
            <w:tcBorders>
              <w:top w:val="single" w:sz="4" w:space="0" w:color="000000"/>
              <w:left w:val="single" w:sz="4" w:space="0" w:color="000000"/>
              <w:right w:val="single" w:sz="4" w:space="0" w:color="000000"/>
            </w:tcBorders>
            <w:noWrap/>
            <w:vAlign w:val="bottom"/>
          </w:tcPr>
          <w:p w14:paraId="08659761" w14:textId="4629BFC1" w:rsidR="008809C2" w:rsidRPr="00BC736B" w:rsidRDefault="008809C2" w:rsidP="008809C2">
            <w:pPr>
              <w:spacing w:before="120" w:after="120"/>
              <w:ind w:left="302" w:hanging="360"/>
              <w:rPr>
                <w:rFonts w:cs="Arial"/>
                <w:b/>
                <w:bCs/>
              </w:rPr>
            </w:pPr>
            <w:r w:rsidRPr="00CE045A">
              <w:rPr>
                <w:rFonts w:cs="Arial"/>
                <w:b/>
                <w:bCs/>
              </w:rPr>
              <w:t>TOTAL ASSETS</w:t>
            </w:r>
          </w:p>
        </w:tc>
        <w:tc>
          <w:tcPr>
            <w:tcW w:w="778" w:type="dxa"/>
            <w:tcBorders>
              <w:top w:val="single" w:sz="4" w:space="0" w:color="000000"/>
              <w:left w:val="single" w:sz="4" w:space="0" w:color="000000"/>
              <w:right w:val="single" w:sz="4" w:space="0" w:color="000000"/>
            </w:tcBorders>
            <w:noWrap/>
          </w:tcPr>
          <w:p w14:paraId="3C6D2101" w14:textId="77777777" w:rsidR="008809C2" w:rsidRPr="00F422E9" w:rsidRDefault="008809C2" w:rsidP="008809C2">
            <w:pPr>
              <w:spacing w:before="120" w:after="120"/>
              <w:ind w:left="-58" w:right="-58"/>
              <w:jc w:val="center"/>
              <w:rPr>
                <w:rFonts w:cs="Arial"/>
                <w:b/>
                <w:bCs/>
                <w:lang w:val="vi-VN"/>
              </w:rPr>
            </w:pPr>
          </w:p>
        </w:tc>
        <w:tc>
          <w:tcPr>
            <w:tcW w:w="1886" w:type="dxa"/>
            <w:tcBorders>
              <w:top w:val="single" w:sz="4" w:space="0" w:color="000000"/>
              <w:left w:val="single" w:sz="4" w:space="0" w:color="000000"/>
              <w:right w:val="single" w:sz="4" w:space="0" w:color="000000"/>
            </w:tcBorders>
          </w:tcPr>
          <w:p w14:paraId="4198091E" w14:textId="075233F1" w:rsidR="008809C2" w:rsidRPr="00B45330" w:rsidRDefault="008809C2" w:rsidP="008809C2">
            <w:pPr>
              <w:spacing w:before="120" w:after="120"/>
              <w:ind w:left="-58"/>
              <w:jc w:val="right"/>
              <w:rPr>
                <w:rFonts w:cs="Arial"/>
                <w:b/>
                <w:bCs/>
              </w:rPr>
            </w:pPr>
            <w:r w:rsidRPr="00B45330">
              <w:rPr>
                <w:b/>
                <w:bCs/>
              </w:rPr>
              <w:t>3</w:t>
            </w:r>
            <w:r w:rsidR="00B45330">
              <w:rPr>
                <w:b/>
                <w:bCs/>
              </w:rPr>
              <w:t>,</w:t>
            </w:r>
            <w:r w:rsidRPr="00B45330">
              <w:rPr>
                <w:b/>
                <w:bCs/>
              </w:rPr>
              <w:t>305</w:t>
            </w:r>
            <w:r w:rsidR="00B45330">
              <w:rPr>
                <w:b/>
                <w:bCs/>
              </w:rPr>
              <w:t>,</w:t>
            </w:r>
            <w:r w:rsidRPr="00B45330">
              <w:rPr>
                <w:b/>
                <w:bCs/>
              </w:rPr>
              <w:t>572</w:t>
            </w:r>
            <w:r w:rsidR="00B45330">
              <w:rPr>
                <w:b/>
                <w:bCs/>
              </w:rPr>
              <w:t>,</w:t>
            </w:r>
            <w:r w:rsidRPr="00B45330">
              <w:rPr>
                <w:b/>
                <w:bCs/>
              </w:rPr>
              <w:t>151</w:t>
            </w:r>
            <w:r w:rsidR="00B45330">
              <w:rPr>
                <w:b/>
                <w:bCs/>
              </w:rPr>
              <w:t>,</w:t>
            </w:r>
            <w:r w:rsidRPr="00B45330">
              <w:rPr>
                <w:b/>
                <w:bCs/>
              </w:rPr>
              <w:t xml:space="preserve">073 </w:t>
            </w:r>
          </w:p>
        </w:tc>
        <w:tc>
          <w:tcPr>
            <w:tcW w:w="1877" w:type="dxa"/>
            <w:tcBorders>
              <w:top w:val="single" w:sz="4" w:space="0" w:color="000000"/>
              <w:left w:val="single" w:sz="4" w:space="0" w:color="000000"/>
            </w:tcBorders>
            <w:noWrap/>
          </w:tcPr>
          <w:p w14:paraId="00A29101" w14:textId="0B887FD7" w:rsidR="008809C2" w:rsidRPr="00B45330" w:rsidRDefault="008809C2" w:rsidP="008809C2">
            <w:pPr>
              <w:spacing w:before="120" w:after="120"/>
              <w:ind w:left="-58"/>
              <w:jc w:val="right"/>
              <w:rPr>
                <w:rFonts w:cs="Arial"/>
                <w:b/>
                <w:bCs/>
              </w:rPr>
            </w:pPr>
            <w:r w:rsidRPr="00B45330">
              <w:rPr>
                <w:b/>
                <w:bCs/>
              </w:rPr>
              <w:t>2</w:t>
            </w:r>
            <w:r w:rsidR="00B45330">
              <w:rPr>
                <w:b/>
                <w:bCs/>
              </w:rPr>
              <w:t>,</w:t>
            </w:r>
            <w:r w:rsidRPr="00B45330">
              <w:rPr>
                <w:b/>
                <w:bCs/>
              </w:rPr>
              <w:t>493</w:t>
            </w:r>
            <w:r w:rsidR="00B45330">
              <w:rPr>
                <w:b/>
                <w:bCs/>
              </w:rPr>
              <w:t>,</w:t>
            </w:r>
            <w:r w:rsidRPr="00B45330">
              <w:rPr>
                <w:b/>
                <w:bCs/>
              </w:rPr>
              <w:t>797</w:t>
            </w:r>
            <w:r w:rsidR="00B45330">
              <w:rPr>
                <w:b/>
                <w:bCs/>
              </w:rPr>
              <w:t>,</w:t>
            </w:r>
            <w:r w:rsidRPr="00B45330">
              <w:rPr>
                <w:b/>
                <w:bCs/>
              </w:rPr>
              <w:t>831</w:t>
            </w:r>
            <w:r w:rsidR="00B45330">
              <w:rPr>
                <w:b/>
                <w:bCs/>
              </w:rPr>
              <w:t>,</w:t>
            </w:r>
            <w:r w:rsidRPr="00B45330">
              <w:rPr>
                <w:b/>
                <w:bCs/>
              </w:rPr>
              <w:t xml:space="preserve">690 </w:t>
            </w:r>
          </w:p>
        </w:tc>
      </w:tr>
    </w:tbl>
    <w:p w14:paraId="73218B6C" w14:textId="77777777" w:rsidR="000F6856" w:rsidRPr="002A0B87" w:rsidRDefault="000F6856">
      <w:pPr>
        <w:pStyle w:val="BodyText"/>
        <w:jc w:val="right"/>
        <w:rPr>
          <w:rFonts w:ascii="Arial" w:hAnsi="Arial" w:cs="Arial"/>
          <w:lang w:val="vi-VN"/>
        </w:rPr>
        <w:sectPr w:rsidR="000F6856" w:rsidRPr="002A0B87" w:rsidSect="009032CF">
          <w:headerReference w:type="even" r:id="rId30"/>
          <w:headerReference w:type="default" r:id="rId31"/>
          <w:footerReference w:type="default" r:id="rId32"/>
          <w:headerReference w:type="first" r:id="rId33"/>
          <w:type w:val="nextColumn"/>
          <w:pgSz w:w="11909" w:h="16834" w:code="9"/>
          <w:pgMar w:top="1440" w:right="1440" w:bottom="862" w:left="1582" w:header="720" w:footer="578" w:gutter="0"/>
          <w:pgNumType w:start="6"/>
          <w:cols w:space="720"/>
          <w:docGrid w:linePitch="272"/>
        </w:sectPr>
      </w:pPr>
    </w:p>
    <w:tbl>
      <w:tblPr>
        <w:tblW w:w="8891"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708"/>
        <w:gridCol w:w="3637"/>
        <w:gridCol w:w="772"/>
        <w:gridCol w:w="1887"/>
        <w:gridCol w:w="1887"/>
      </w:tblGrid>
      <w:tr w:rsidR="003B3161" w:rsidRPr="00505043" w14:paraId="35EF4C0C" w14:textId="77777777" w:rsidTr="00BF3FF9">
        <w:trPr>
          <w:trHeight w:val="108"/>
        </w:trPr>
        <w:tc>
          <w:tcPr>
            <w:tcW w:w="708" w:type="dxa"/>
            <w:tcBorders>
              <w:top w:val="double" w:sz="6" w:space="0" w:color="auto"/>
              <w:bottom w:val="single" w:sz="4" w:space="0" w:color="000000"/>
              <w:right w:val="single" w:sz="4" w:space="0" w:color="auto"/>
            </w:tcBorders>
            <w:noWrap/>
            <w:vAlign w:val="bottom"/>
          </w:tcPr>
          <w:p w14:paraId="1150FE75" w14:textId="091623C8" w:rsidR="003B3161" w:rsidRPr="00505043" w:rsidRDefault="00E12759" w:rsidP="00656B56">
            <w:pPr>
              <w:spacing w:before="120" w:after="120"/>
              <w:ind w:left="-58" w:right="-58"/>
              <w:jc w:val="center"/>
              <w:rPr>
                <w:rFonts w:cs="Arial"/>
                <w:i/>
                <w:iCs/>
                <w:lang w:val="vi-VN"/>
              </w:rPr>
            </w:pPr>
            <w:r w:rsidRPr="00E12759">
              <w:rPr>
                <w:rFonts w:cs="Arial"/>
                <w:i/>
                <w:iCs/>
                <w:lang w:val="vi-VN"/>
              </w:rPr>
              <w:lastRenderedPageBreak/>
              <w:t>Code</w:t>
            </w:r>
          </w:p>
        </w:tc>
        <w:tc>
          <w:tcPr>
            <w:tcW w:w="3637" w:type="dxa"/>
            <w:tcBorders>
              <w:top w:val="double" w:sz="6" w:space="0" w:color="auto"/>
              <w:left w:val="single" w:sz="4" w:space="0" w:color="auto"/>
              <w:bottom w:val="single" w:sz="4" w:space="0" w:color="000000"/>
              <w:right w:val="single" w:sz="4" w:space="0" w:color="auto"/>
            </w:tcBorders>
            <w:noWrap/>
            <w:vAlign w:val="bottom"/>
          </w:tcPr>
          <w:p w14:paraId="6B3E929D" w14:textId="31675F63" w:rsidR="003B3161" w:rsidRPr="00505043" w:rsidRDefault="002448B0" w:rsidP="00656B56">
            <w:pPr>
              <w:spacing w:before="120" w:after="120"/>
              <w:ind w:left="-58"/>
              <w:rPr>
                <w:rFonts w:cs="Arial"/>
                <w:i/>
                <w:iCs/>
                <w:lang w:val="vi-VN"/>
              </w:rPr>
            </w:pPr>
            <w:r w:rsidRPr="002448B0">
              <w:rPr>
                <w:rFonts w:cs="Arial"/>
                <w:i/>
                <w:iCs/>
                <w:lang w:val="vi-VN"/>
              </w:rPr>
              <w:t>ITEMS</w:t>
            </w:r>
          </w:p>
        </w:tc>
        <w:tc>
          <w:tcPr>
            <w:tcW w:w="772" w:type="dxa"/>
            <w:tcBorders>
              <w:top w:val="double" w:sz="6" w:space="0" w:color="auto"/>
              <w:left w:val="single" w:sz="4" w:space="0" w:color="auto"/>
              <w:bottom w:val="single" w:sz="4" w:space="0" w:color="auto"/>
              <w:right w:val="single" w:sz="4" w:space="0" w:color="auto"/>
            </w:tcBorders>
            <w:noWrap/>
            <w:vAlign w:val="bottom"/>
          </w:tcPr>
          <w:p w14:paraId="5A8B6F25" w14:textId="65C3277D" w:rsidR="003B3161" w:rsidRPr="00505043" w:rsidRDefault="000D7889" w:rsidP="00656B56">
            <w:pPr>
              <w:spacing w:before="120" w:after="120"/>
              <w:ind w:left="-58" w:right="-58"/>
              <w:jc w:val="center"/>
              <w:rPr>
                <w:rFonts w:cs="Arial"/>
                <w:i/>
                <w:iCs/>
                <w:lang w:val="vi-VN"/>
              </w:rPr>
            </w:pPr>
            <w:r w:rsidRPr="000D7889">
              <w:rPr>
                <w:rFonts w:cs="Arial"/>
                <w:i/>
                <w:iCs/>
                <w:lang w:val="vi-VN"/>
              </w:rPr>
              <w:t>Notes</w:t>
            </w:r>
          </w:p>
        </w:tc>
        <w:tc>
          <w:tcPr>
            <w:tcW w:w="1887" w:type="dxa"/>
            <w:tcBorders>
              <w:top w:val="double" w:sz="6" w:space="0" w:color="auto"/>
              <w:left w:val="single" w:sz="4" w:space="0" w:color="auto"/>
              <w:bottom w:val="single" w:sz="4" w:space="0" w:color="000000"/>
              <w:right w:val="single" w:sz="4" w:space="0" w:color="auto"/>
            </w:tcBorders>
            <w:vAlign w:val="bottom"/>
          </w:tcPr>
          <w:p w14:paraId="25800836" w14:textId="77777777" w:rsidR="00FA1394" w:rsidRPr="00FA1394" w:rsidRDefault="00FA1394" w:rsidP="00FA1394">
            <w:pPr>
              <w:spacing w:before="120"/>
              <w:jc w:val="right"/>
              <w:rPr>
                <w:rFonts w:cs="Arial"/>
                <w:i/>
              </w:rPr>
            </w:pPr>
            <w:r w:rsidRPr="00FA1394">
              <w:rPr>
                <w:rFonts w:cs="Arial"/>
                <w:i/>
              </w:rPr>
              <w:t>Ending balance</w:t>
            </w:r>
          </w:p>
          <w:p w14:paraId="06006A85" w14:textId="6602A228" w:rsidR="003B3161" w:rsidRPr="00505043" w:rsidRDefault="00FA1394" w:rsidP="00461FA9">
            <w:pPr>
              <w:spacing w:after="120"/>
              <w:jc w:val="right"/>
              <w:rPr>
                <w:rFonts w:cs="Arial"/>
                <w:i/>
                <w:lang w:val="vi-VN"/>
              </w:rPr>
            </w:pPr>
            <w:r w:rsidRPr="00FA1394">
              <w:rPr>
                <w:rFonts w:cs="Arial"/>
                <w:i/>
              </w:rPr>
              <w:t>VND</w:t>
            </w:r>
          </w:p>
        </w:tc>
        <w:tc>
          <w:tcPr>
            <w:tcW w:w="1887" w:type="dxa"/>
            <w:tcBorders>
              <w:top w:val="double" w:sz="6" w:space="0" w:color="auto"/>
              <w:left w:val="single" w:sz="4" w:space="0" w:color="auto"/>
              <w:bottom w:val="single" w:sz="4" w:space="0" w:color="000000"/>
            </w:tcBorders>
            <w:noWrap/>
            <w:vAlign w:val="bottom"/>
          </w:tcPr>
          <w:p w14:paraId="47E02ECC" w14:textId="77777777" w:rsidR="00532714" w:rsidRPr="00532714" w:rsidRDefault="00532714" w:rsidP="00532714">
            <w:pPr>
              <w:spacing w:before="120"/>
              <w:jc w:val="right"/>
              <w:rPr>
                <w:rFonts w:cs="Arial"/>
                <w:i/>
              </w:rPr>
            </w:pPr>
            <w:r w:rsidRPr="00532714">
              <w:rPr>
                <w:rFonts w:cs="Arial"/>
                <w:i/>
              </w:rPr>
              <w:t>Opening balance</w:t>
            </w:r>
          </w:p>
          <w:p w14:paraId="69F6A39A" w14:textId="0E61EAEB" w:rsidR="003B3161" w:rsidRPr="00505043" w:rsidRDefault="00532714" w:rsidP="00461FA9">
            <w:pPr>
              <w:spacing w:after="120"/>
              <w:jc w:val="right"/>
              <w:rPr>
                <w:rFonts w:cs="Arial"/>
                <w:i/>
                <w:iCs/>
              </w:rPr>
            </w:pPr>
            <w:r w:rsidRPr="00532714">
              <w:rPr>
                <w:rFonts w:cs="Arial"/>
                <w:i/>
              </w:rPr>
              <w:t>VND</w:t>
            </w:r>
          </w:p>
        </w:tc>
      </w:tr>
      <w:tr w:rsidR="00156974" w:rsidRPr="00505043" w14:paraId="74F740CF" w14:textId="77777777" w:rsidTr="007470A7">
        <w:tc>
          <w:tcPr>
            <w:tcW w:w="708" w:type="dxa"/>
            <w:tcBorders>
              <w:top w:val="single" w:sz="4" w:space="0" w:color="000000"/>
              <w:bottom w:val="nil"/>
              <w:right w:val="single" w:sz="4" w:space="0" w:color="auto"/>
            </w:tcBorders>
            <w:noWrap/>
          </w:tcPr>
          <w:p w14:paraId="384540ED" w14:textId="0512E161" w:rsidR="00156974" w:rsidRPr="00505043" w:rsidRDefault="00156974" w:rsidP="00156974">
            <w:pPr>
              <w:spacing w:before="120"/>
              <w:ind w:left="-58" w:right="-58"/>
              <w:jc w:val="center"/>
              <w:rPr>
                <w:rFonts w:cs="Arial"/>
                <w:b/>
                <w:bCs/>
                <w:lang w:val="vi-VN"/>
              </w:rPr>
            </w:pPr>
            <w:r w:rsidRPr="00505043">
              <w:rPr>
                <w:rFonts w:cs="Arial"/>
                <w:b/>
                <w:bCs/>
              </w:rPr>
              <w:t>300</w:t>
            </w:r>
          </w:p>
        </w:tc>
        <w:tc>
          <w:tcPr>
            <w:tcW w:w="3637" w:type="dxa"/>
            <w:tcBorders>
              <w:top w:val="single" w:sz="4" w:space="0" w:color="000000"/>
              <w:left w:val="single" w:sz="4" w:space="0" w:color="auto"/>
              <w:bottom w:val="nil"/>
              <w:right w:val="single" w:sz="4" w:space="0" w:color="auto"/>
            </w:tcBorders>
            <w:noWrap/>
            <w:vAlign w:val="bottom"/>
          </w:tcPr>
          <w:p w14:paraId="53D89266" w14:textId="5D7DFC81" w:rsidR="00156974" w:rsidRPr="00505043" w:rsidRDefault="00156974" w:rsidP="00156974">
            <w:pPr>
              <w:spacing w:before="120"/>
              <w:ind w:left="302" w:hanging="360"/>
              <w:rPr>
                <w:rFonts w:cs="Arial"/>
                <w:b/>
                <w:bCs/>
              </w:rPr>
            </w:pPr>
            <w:r w:rsidRPr="00505043">
              <w:rPr>
                <w:rFonts w:cs="Arial"/>
                <w:b/>
                <w:bCs/>
              </w:rPr>
              <w:t>C</w:t>
            </w:r>
            <w:r w:rsidRPr="00505043">
              <w:rPr>
                <w:rFonts w:cs="Arial"/>
                <w:b/>
                <w:bCs/>
                <w:lang w:val="vi-VN"/>
              </w:rPr>
              <w:t>.</w:t>
            </w:r>
            <w:r w:rsidRPr="00505043">
              <w:rPr>
                <w:rFonts w:cs="Arial"/>
                <w:b/>
                <w:bCs/>
                <w:lang w:val="vi-VN"/>
              </w:rPr>
              <w:tab/>
            </w:r>
            <w:r w:rsidRPr="008F42D7">
              <w:rPr>
                <w:rFonts w:cs="Arial"/>
                <w:b/>
                <w:bCs/>
              </w:rPr>
              <w:t>LIABILITIES</w:t>
            </w:r>
          </w:p>
        </w:tc>
        <w:tc>
          <w:tcPr>
            <w:tcW w:w="772" w:type="dxa"/>
            <w:tcBorders>
              <w:top w:val="single" w:sz="4" w:space="0" w:color="auto"/>
              <w:left w:val="single" w:sz="4" w:space="0" w:color="auto"/>
              <w:bottom w:val="nil"/>
              <w:right w:val="single" w:sz="4" w:space="0" w:color="auto"/>
            </w:tcBorders>
            <w:noWrap/>
            <w:vAlign w:val="bottom"/>
          </w:tcPr>
          <w:p w14:paraId="367525C7" w14:textId="77777777" w:rsidR="00156974" w:rsidRPr="00F422E9" w:rsidRDefault="00156974" w:rsidP="00156974">
            <w:pPr>
              <w:spacing w:before="120"/>
              <w:ind w:left="-58" w:right="-58"/>
              <w:jc w:val="center"/>
              <w:rPr>
                <w:rFonts w:cs="Arial"/>
                <w:b/>
                <w:bCs/>
                <w:lang w:val="vi-VN"/>
              </w:rPr>
            </w:pPr>
          </w:p>
        </w:tc>
        <w:tc>
          <w:tcPr>
            <w:tcW w:w="1887" w:type="dxa"/>
            <w:tcBorders>
              <w:top w:val="single" w:sz="4" w:space="0" w:color="000000"/>
              <w:left w:val="single" w:sz="4" w:space="0" w:color="auto"/>
              <w:bottom w:val="nil"/>
              <w:right w:val="single" w:sz="4" w:space="0" w:color="auto"/>
            </w:tcBorders>
            <w:vAlign w:val="bottom"/>
          </w:tcPr>
          <w:p w14:paraId="47370B26" w14:textId="230AC3E8" w:rsidR="00156974" w:rsidRPr="00156974" w:rsidRDefault="00156974" w:rsidP="007470A7">
            <w:pPr>
              <w:spacing w:before="120"/>
              <w:jc w:val="right"/>
              <w:rPr>
                <w:rFonts w:cs="Arial"/>
                <w:b/>
                <w:bCs/>
                <w:lang w:val="vi-VN"/>
              </w:rPr>
            </w:pPr>
            <w:r w:rsidRPr="00156974">
              <w:rPr>
                <w:b/>
                <w:bCs/>
              </w:rPr>
              <w:t>1</w:t>
            </w:r>
            <w:r w:rsidR="00CA695B">
              <w:rPr>
                <w:b/>
                <w:bCs/>
              </w:rPr>
              <w:t>,</w:t>
            </w:r>
            <w:r w:rsidRPr="00156974">
              <w:rPr>
                <w:b/>
                <w:bCs/>
              </w:rPr>
              <w:t>996</w:t>
            </w:r>
            <w:r w:rsidR="00CA695B">
              <w:rPr>
                <w:b/>
                <w:bCs/>
              </w:rPr>
              <w:t>,</w:t>
            </w:r>
            <w:r w:rsidRPr="00156974">
              <w:rPr>
                <w:b/>
                <w:bCs/>
              </w:rPr>
              <w:t>577</w:t>
            </w:r>
            <w:r w:rsidR="00CA695B">
              <w:rPr>
                <w:b/>
                <w:bCs/>
              </w:rPr>
              <w:t>,</w:t>
            </w:r>
            <w:r w:rsidRPr="00156974">
              <w:rPr>
                <w:b/>
                <w:bCs/>
              </w:rPr>
              <w:t>626</w:t>
            </w:r>
            <w:r w:rsidR="00CA695B">
              <w:rPr>
                <w:b/>
                <w:bCs/>
              </w:rPr>
              <w:t>,</w:t>
            </w:r>
            <w:r w:rsidRPr="00156974">
              <w:rPr>
                <w:b/>
                <w:bCs/>
              </w:rPr>
              <w:t xml:space="preserve">577 </w:t>
            </w:r>
          </w:p>
        </w:tc>
        <w:tc>
          <w:tcPr>
            <w:tcW w:w="1887" w:type="dxa"/>
            <w:tcBorders>
              <w:top w:val="single" w:sz="4" w:space="0" w:color="000000"/>
              <w:left w:val="single" w:sz="4" w:space="0" w:color="auto"/>
              <w:bottom w:val="nil"/>
            </w:tcBorders>
            <w:noWrap/>
            <w:vAlign w:val="bottom"/>
          </w:tcPr>
          <w:p w14:paraId="25B39210" w14:textId="3243827D" w:rsidR="00156974" w:rsidRPr="00156974" w:rsidRDefault="00156974" w:rsidP="007470A7">
            <w:pPr>
              <w:spacing w:before="120"/>
              <w:jc w:val="right"/>
              <w:rPr>
                <w:rFonts w:cs="Arial"/>
                <w:b/>
                <w:bCs/>
              </w:rPr>
            </w:pPr>
            <w:r w:rsidRPr="00156974">
              <w:rPr>
                <w:b/>
                <w:bCs/>
              </w:rPr>
              <w:t>1</w:t>
            </w:r>
            <w:r w:rsidR="00CA695B">
              <w:rPr>
                <w:b/>
                <w:bCs/>
              </w:rPr>
              <w:t>,</w:t>
            </w:r>
            <w:r w:rsidRPr="00156974">
              <w:rPr>
                <w:b/>
                <w:bCs/>
              </w:rPr>
              <w:t>215</w:t>
            </w:r>
            <w:r w:rsidR="00CA695B">
              <w:rPr>
                <w:b/>
                <w:bCs/>
              </w:rPr>
              <w:t>,</w:t>
            </w:r>
            <w:r w:rsidRPr="00156974">
              <w:rPr>
                <w:b/>
                <w:bCs/>
              </w:rPr>
              <w:t>367</w:t>
            </w:r>
            <w:r w:rsidR="00CA695B">
              <w:rPr>
                <w:b/>
                <w:bCs/>
              </w:rPr>
              <w:t>,</w:t>
            </w:r>
            <w:r w:rsidRPr="00156974">
              <w:rPr>
                <w:b/>
                <w:bCs/>
              </w:rPr>
              <w:t>021</w:t>
            </w:r>
            <w:r w:rsidR="00CA695B">
              <w:rPr>
                <w:b/>
                <w:bCs/>
              </w:rPr>
              <w:t>,</w:t>
            </w:r>
            <w:r w:rsidRPr="00156974">
              <w:rPr>
                <w:b/>
                <w:bCs/>
              </w:rPr>
              <w:t xml:space="preserve">646 </w:t>
            </w:r>
          </w:p>
        </w:tc>
      </w:tr>
      <w:tr w:rsidR="00156974" w:rsidRPr="00505043" w14:paraId="20035755" w14:textId="77777777" w:rsidTr="007470A7">
        <w:tc>
          <w:tcPr>
            <w:tcW w:w="708" w:type="dxa"/>
            <w:tcBorders>
              <w:top w:val="nil"/>
              <w:right w:val="single" w:sz="4" w:space="0" w:color="auto"/>
            </w:tcBorders>
            <w:noWrap/>
          </w:tcPr>
          <w:p w14:paraId="4C7E2C9A" w14:textId="2B1C29BD" w:rsidR="00156974" w:rsidRPr="00505043" w:rsidRDefault="00156974" w:rsidP="00156974">
            <w:pPr>
              <w:spacing w:before="120"/>
              <w:ind w:left="-58" w:right="-58"/>
              <w:jc w:val="center"/>
              <w:rPr>
                <w:rFonts w:cs="Arial"/>
                <w:b/>
                <w:bCs/>
                <w:i/>
              </w:rPr>
            </w:pPr>
            <w:r w:rsidRPr="00505043">
              <w:rPr>
                <w:rFonts w:cs="Arial"/>
                <w:b/>
                <w:bCs/>
                <w:i/>
              </w:rPr>
              <w:t>310</w:t>
            </w:r>
          </w:p>
        </w:tc>
        <w:tc>
          <w:tcPr>
            <w:tcW w:w="3637" w:type="dxa"/>
            <w:tcBorders>
              <w:top w:val="nil"/>
              <w:left w:val="single" w:sz="4" w:space="0" w:color="auto"/>
              <w:right w:val="single" w:sz="4" w:space="0" w:color="auto"/>
            </w:tcBorders>
            <w:noWrap/>
            <w:vAlign w:val="bottom"/>
          </w:tcPr>
          <w:p w14:paraId="1F81DCE6" w14:textId="00C0C1FF" w:rsidR="00156974" w:rsidRPr="00505043" w:rsidRDefault="00156974" w:rsidP="00156974">
            <w:pPr>
              <w:spacing w:before="120"/>
              <w:ind w:left="302" w:hanging="360"/>
              <w:rPr>
                <w:rFonts w:cs="Arial"/>
                <w:b/>
                <w:bCs/>
                <w:i/>
              </w:rPr>
            </w:pPr>
            <w:r w:rsidRPr="00505043">
              <w:rPr>
                <w:rFonts w:cs="Arial"/>
                <w:b/>
                <w:bCs/>
                <w:i/>
              </w:rPr>
              <w:t>I.</w:t>
            </w:r>
            <w:r w:rsidRPr="00505043">
              <w:rPr>
                <w:rFonts w:cs="Arial"/>
                <w:b/>
                <w:bCs/>
                <w:i/>
              </w:rPr>
              <w:tab/>
            </w:r>
            <w:r w:rsidRPr="00F44939">
              <w:rPr>
                <w:rFonts w:cs="Arial"/>
                <w:b/>
                <w:bCs/>
                <w:i/>
              </w:rPr>
              <w:t>Current liabilities</w:t>
            </w:r>
          </w:p>
        </w:tc>
        <w:tc>
          <w:tcPr>
            <w:tcW w:w="772" w:type="dxa"/>
            <w:tcBorders>
              <w:top w:val="nil"/>
              <w:left w:val="single" w:sz="4" w:space="0" w:color="auto"/>
              <w:bottom w:val="nil"/>
              <w:right w:val="single" w:sz="4" w:space="0" w:color="auto"/>
            </w:tcBorders>
            <w:noWrap/>
            <w:vAlign w:val="bottom"/>
          </w:tcPr>
          <w:p w14:paraId="54042BEF" w14:textId="77777777" w:rsidR="00156974" w:rsidRPr="00F422E9" w:rsidRDefault="00156974" w:rsidP="00156974">
            <w:pPr>
              <w:spacing w:before="120"/>
              <w:ind w:left="-58" w:right="-58"/>
              <w:jc w:val="center"/>
              <w:rPr>
                <w:rFonts w:cs="Arial"/>
                <w:b/>
                <w:bCs/>
                <w:i/>
                <w:lang w:val="vi-VN"/>
              </w:rPr>
            </w:pPr>
          </w:p>
        </w:tc>
        <w:tc>
          <w:tcPr>
            <w:tcW w:w="1887" w:type="dxa"/>
            <w:tcBorders>
              <w:top w:val="nil"/>
              <w:left w:val="single" w:sz="4" w:space="0" w:color="auto"/>
              <w:right w:val="single" w:sz="4" w:space="0" w:color="auto"/>
            </w:tcBorders>
            <w:vAlign w:val="bottom"/>
          </w:tcPr>
          <w:p w14:paraId="3F165B7F" w14:textId="3C9F777C" w:rsidR="00156974" w:rsidRPr="00156974" w:rsidRDefault="00156974" w:rsidP="007470A7">
            <w:pPr>
              <w:spacing w:before="120"/>
              <w:jc w:val="right"/>
              <w:rPr>
                <w:rFonts w:cs="Arial"/>
                <w:b/>
                <w:bCs/>
                <w:i/>
                <w:iCs/>
                <w:lang w:val="vi-VN"/>
              </w:rPr>
            </w:pPr>
            <w:r w:rsidRPr="00156974">
              <w:rPr>
                <w:b/>
                <w:bCs/>
                <w:i/>
                <w:iCs/>
              </w:rPr>
              <w:t>1</w:t>
            </w:r>
            <w:r w:rsidR="00CA695B">
              <w:rPr>
                <w:b/>
                <w:bCs/>
                <w:i/>
                <w:iCs/>
              </w:rPr>
              <w:t>,</w:t>
            </w:r>
            <w:r w:rsidRPr="00156974">
              <w:rPr>
                <w:b/>
                <w:bCs/>
                <w:i/>
                <w:iCs/>
              </w:rPr>
              <w:t>996</w:t>
            </w:r>
            <w:r w:rsidR="00CA695B">
              <w:rPr>
                <w:b/>
                <w:bCs/>
                <w:i/>
                <w:iCs/>
              </w:rPr>
              <w:t>,</w:t>
            </w:r>
            <w:r w:rsidRPr="00156974">
              <w:rPr>
                <w:b/>
                <w:bCs/>
                <w:i/>
                <w:iCs/>
              </w:rPr>
              <w:t>340</w:t>
            </w:r>
            <w:r w:rsidR="00CA695B">
              <w:rPr>
                <w:b/>
                <w:bCs/>
                <w:i/>
                <w:iCs/>
              </w:rPr>
              <w:t>,</w:t>
            </w:r>
            <w:r w:rsidRPr="00156974">
              <w:rPr>
                <w:b/>
                <w:bCs/>
                <w:i/>
                <w:iCs/>
              </w:rPr>
              <w:t>425</w:t>
            </w:r>
            <w:r w:rsidR="00CA695B">
              <w:rPr>
                <w:b/>
                <w:bCs/>
                <w:i/>
                <w:iCs/>
              </w:rPr>
              <w:t>,</w:t>
            </w:r>
            <w:r w:rsidRPr="00156974">
              <w:rPr>
                <w:b/>
                <w:bCs/>
                <w:i/>
                <w:iCs/>
              </w:rPr>
              <w:t xml:space="preserve">569 </w:t>
            </w:r>
          </w:p>
        </w:tc>
        <w:tc>
          <w:tcPr>
            <w:tcW w:w="1887" w:type="dxa"/>
            <w:tcBorders>
              <w:top w:val="nil"/>
              <w:left w:val="single" w:sz="4" w:space="0" w:color="auto"/>
            </w:tcBorders>
            <w:noWrap/>
            <w:vAlign w:val="bottom"/>
          </w:tcPr>
          <w:p w14:paraId="57C0F1A6" w14:textId="011521FD" w:rsidR="00156974" w:rsidRPr="00156974" w:rsidRDefault="00156974" w:rsidP="007470A7">
            <w:pPr>
              <w:spacing w:before="120"/>
              <w:jc w:val="right"/>
              <w:rPr>
                <w:rFonts w:cs="Arial"/>
                <w:b/>
                <w:bCs/>
                <w:i/>
                <w:iCs/>
                <w:lang w:val="vi-VN"/>
              </w:rPr>
            </w:pPr>
            <w:r w:rsidRPr="00156974">
              <w:rPr>
                <w:b/>
                <w:bCs/>
                <w:i/>
                <w:iCs/>
              </w:rPr>
              <w:t>1</w:t>
            </w:r>
            <w:r w:rsidR="00CA695B">
              <w:rPr>
                <w:b/>
                <w:bCs/>
                <w:i/>
                <w:iCs/>
              </w:rPr>
              <w:t>,</w:t>
            </w:r>
            <w:r w:rsidRPr="00156974">
              <w:rPr>
                <w:b/>
                <w:bCs/>
                <w:i/>
                <w:iCs/>
              </w:rPr>
              <w:t>215</w:t>
            </w:r>
            <w:r w:rsidR="00CA695B">
              <w:rPr>
                <w:b/>
                <w:bCs/>
                <w:i/>
                <w:iCs/>
              </w:rPr>
              <w:t>,</w:t>
            </w:r>
            <w:r w:rsidRPr="00156974">
              <w:rPr>
                <w:b/>
                <w:bCs/>
                <w:i/>
                <w:iCs/>
              </w:rPr>
              <w:t>367</w:t>
            </w:r>
            <w:r w:rsidR="00CA695B">
              <w:rPr>
                <w:b/>
                <w:bCs/>
                <w:i/>
                <w:iCs/>
              </w:rPr>
              <w:t>,</w:t>
            </w:r>
            <w:r w:rsidRPr="00156974">
              <w:rPr>
                <w:b/>
                <w:bCs/>
                <w:i/>
                <w:iCs/>
              </w:rPr>
              <w:t>021</w:t>
            </w:r>
            <w:r w:rsidR="00CA695B">
              <w:rPr>
                <w:b/>
                <w:bCs/>
                <w:i/>
                <w:iCs/>
              </w:rPr>
              <w:t>,</w:t>
            </w:r>
            <w:r w:rsidRPr="00156974">
              <w:rPr>
                <w:b/>
                <w:bCs/>
                <w:i/>
                <w:iCs/>
              </w:rPr>
              <w:t xml:space="preserve">646 </w:t>
            </w:r>
          </w:p>
        </w:tc>
      </w:tr>
      <w:tr w:rsidR="00156974" w:rsidRPr="00505043" w14:paraId="41AE2C39" w14:textId="77777777" w:rsidTr="007470A7">
        <w:tc>
          <w:tcPr>
            <w:tcW w:w="708" w:type="dxa"/>
            <w:tcBorders>
              <w:right w:val="single" w:sz="4" w:space="0" w:color="auto"/>
            </w:tcBorders>
            <w:noWrap/>
          </w:tcPr>
          <w:p w14:paraId="3B3A0C2E" w14:textId="20FE2DF3" w:rsidR="00156974" w:rsidRPr="00505043" w:rsidRDefault="00156974" w:rsidP="00156974">
            <w:pPr>
              <w:spacing w:before="120"/>
              <w:ind w:left="-58" w:right="-58"/>
              <w:jc w:val="center"/>
              <w:rPr>
                <w:rFonts w:cs="Arial"/>
                <w:bCs/>
              </w:rPr>
            </w:pPr>
            <w:r w:rsidRPr="00505043">
              <w:rPr>
                <w:rFonts w:cs="Arial"/>
              </w:rPr>
              <w:t>311</w:t>
            </w:r>
          </w:p>
        </w:tc>
        <w:tc>
          <w:tcPr>
            <w:tcW w:w="3637" w:type="dxa"/>
            <w:tcBorders>
              <w:left w:val="single" w:sz="4" w:space="0" w:color="auto"/>
              <w:right w:val="single" w:sz="4" w:space="0" w:color="auto"/>
            </w:tcBorders>
            <w:noWrap/>
            <w:vAlign w:val="bottom"/>
          </w:tcPr>
          <w:p w14:paraId="3CF2124F" w14:textId="66C79C1B" w:rsidR="00156974" w:rsidRPr="00505043" w:rsidRDefault="00156974" w:rsidP="00156974">
            <w:pPr>
              <w:spacing w:before="120"/>
              <w:ind w:left="302" w:hanging="360"/>
              <w:jc w:val="left"/>
              <w:rPr>
                <w:rFonts w:cs="Arial"/>
                <w:bCs/>
              </w:rPr>
            </w:pPr>
            <w:r w:rsidRPr="00505043">
              <w:rPr>
                <w:rFonts w:cs="Arial"/>
              </w:rPr>
              <w:t>1.</w:t>
            </w:r>
            <w:r w:rsidRPr="00505043">
              <w:rPr>
                <w:rFonts w:cs="Arial"/>
              </w:rPr>
              <w:tab/>
            </w:r>
            <w:r w:rsidRPr="00B82B6D">
              <w:rPr>
                <w:rFonts w:cs="Arial"/>
                <w:lang w:val="vi-VN"/>
              </w:rPr>
              <w:t>Current borrowings and financial leases</w:t>
            </w:r>
          </w:p>
        </w:tc>
        <w:tc>
          <w:tcPr>
            <w:tcW w:w="772" w:type="dxa"/>
            <w:tcBorders>
              <w:top w:val="nil"/>
              <w:left w:val="single" w:sz="4" w:space="0" w:color="auto"/>
              <w:bottom w:val="nil"/>
              <w:right w:val="single" w:sz="4" w:space="0" w:color="auto"/>
            </w:tcBorders>
            <w:noWrap/>
          </w:tcPr>
          <w:p w14:paraId="2DB5331F" w14:textId="663E8664" w:rsidR="00156974" w:rsidRPr="00F422E9" w:rsidRDefault="00156974" w:rsidP="00156974">
            <w:pPr>
              <w:spacing w:before="120"/>
              <w:ind w:left="-58" w:right="-58"/>
              <w:jc w:val="center"/>
              <w:rPr>
                <w:rFonts w:cs="Arial"/>
                <w:bCs/>
              </w:rPr>
            </w:pPr>
            <w:r w:rsidRPr="00F422E9">
              <w:rPr>
                <w:rFonts w:cs="Arial"/>
                <w:bCs/>
              </w:rPr>
              <w:t>14</w:t>
            </w:r>
          </w:p>
        </w:tc>
        <w:tc>
          <w:tcPr>
            <w:tcW w:w="1887" w:type="dxa"/>
            <w:tcBorders>
              <w:left w:val="single" w:sz="4" w:space="0" w:color="auto"/>
              <w:right w:val="single" w:sz="4" w:space="0" w:color="auto"/>
            </w:tcBorders>
            <w:vAlign w:val="bottom"/>
          </w:tcPr>
          <w:p w14:paraId="1B76FE9C" w14:textId="713E3E40" w:rsidR="00156974" w:rsidRPr="003C222B" w:rsidRDefault="00156974" w:rsidP="007470A7">
            <w:pPr>
              <w:spacing w:before="120"/>
              <w:jc w:val="right"/>
              <w:rPr>
                <w:rFonts w:cs="Arial"/>
                <w:lang w:val="vi-VN"/>
              </w:rPr>
            </w:pPr>
            <w:r w:rsidRPr="005A140F">
              <w:t>1</w:t>
            </w:r>
            <w:r w:rsidR="00CA695B">
              <w:t>,</w:t>
            </w:r>
            <w:r w:rsidRPr="005A140F">
              <w:t>970</w:t>
            </w:r>
            <w:r w:rsidR="00CA695B">
              <w:t>,</w:t>
            </w:r>
            <w:r w:rsidRPr="005A140F">
              <w:t>589</w:t>
            </w:r>
            <w:r w:rsidR="00CA695B">
              <w:t>,</w:t>
            </w:r>
            <w:r w:rsidRPr="005A140F">
              <w:t>400</w:t>
            </w:r>
            <w:r w:rsidR="00CA695B">
              <w:t>,</w:t>
            </w:r>
            <w:r w:rsidRPr="005A140F">
              <w:t xml:space="preserve">000 </w:t>
            </w:r>
          </w:p>
        </w:tc>
        <w:tc>
          <w:tcPr>
            <w:tcW w:w="1887" w:type="dxa"/>
            <w:tcBorders>
              <w:left w:val="single" w:sz="4" w:space="0" w:color="auto"/>
            </w:tcBorders>
            <w:noWrap/>
            <w:vAlign w:val="bottom"/>
          </w:tcPr>
          <w:p w14:paraId="3F12720D" w14:textId="783F58D5" w:rsidR="00156974" w:rsidRPr="00505043" w:rsidRDefault="00156974" w:rsidP="007470A7">
            <w:pPr>
              <w:spacing w:before="120"/>
              <w:jc w:val="right"/>
              <w:rPr>
                <w:rFonts w:cs="Arial"/>
                <w:bCs/>
                <w:lang w:val="vi-VN"/>
              </w:rPr>
            </w:pPr>
            <w:r w:rsidRPr="005A140F">
              <w:t>1</w:t>
            </w:r>
            <w:r w:rsidR="00CA695B">
              <w:t>,</w:t>
            </w:r>
            <w:r w:rsidRPr="005A140F">
              <w:t>187</w:t>
            </w:r>
            <w:r w:rsidR="00CA695B">
              <w:t>,</w:t>
            </w:r>
            <w:r w:rsidRPr="005A140F">
              <w:t>760</w:t>
            </w:r>
            <w:r w:rsidR="00CA695B">
              <w:t>,</w:t>
            </w:r>
            <w:r w:rsidRPr="005A140F">
              <w:t>000</w:t>
            </w:r>
            <w:r w:rsidR="00CA695B">
              <w:t>,</w:t>
            </w:r>
            <w:r w:rsidRPr="005A140F">
              <w:t xml:space="preserve">000 </w:t>
            </w:r>
          </w:p>
        </w:tc>
      </w:tr>
      <w:tr w:rsidR="00156974" w:rsidRPr="00505043" w14:paraId="61CBC6FE" w14:textId="77777777" w:rsidTr="007470A7">
        <w:tc>
          <w:tcPr>
            <w:tcW w:w="708" w:type="dxa"/>
            <w:tcBorders>
              <w:right w:val="single" w:sz="4" w:space="0" w:color="auto"/>
            </w:tcBorders>
            <w:noWrap/>
          </w:tcPr>
          <w:p w14:paraId="51E355D5" w14:textId="44588486" w:rsidR="00156974" w:rsidRPr="00505043" w:rsidRDefault="00156974" w:rsidP="00156974">
            <w:pPr>
              <w:ind w:left="-58" w:right="-58"/>
              <w:jc w:val="center"/>
              <w:rPr>
                <w:rFonts w:cs="Arial"/>
                <w:bCs/>
              </w:rPr>
            </w:pPr>
            <w:r w:rsidRPr="00505043">
              <w:rPr>
                <w:rFonts w:cs="Arial"/>
                <w:i/>
              </w:rPr>
              <w:t>312</w:t>
            </w:r>
          </w:p>
        </w:tc>
        <w:tc>
          <w:tcPr>
            <w:tcW w:w="3637" w:type="dxa"/>
            <w:tcBorders>
              <w:left w:val="single" w:sz="4" w:space="0" w:color="auto"/>
              <w:right w:val="single" w:sz="4" w:space="0" w:color="auto"/>
            </w:tcBorders>
            <w:noWrap/>
            <w:vAlign w:val="bottom"/>
          </w:tcPr>
          <w:p w14:paraId="19609F07" w14:textId="02D752DB" w:rsidR="00156974" w:rsidRPr="00505043" w:rsidRDefault="00156974" w:rsidP="00156974">
            <w:pPr>
              <w:ind w:left="662" w:hanging="360"/>
              <w:rPr>
                <w:rFonts w:cs="Arial"/>
                <w:bCs/>
              </w:rPr>
            </w:pPr>
            <w:r w:rsidRPr="00505043">
              <w:rPr>
                <w:rFonts w:cs="Arial"/>
                <w:i/>
              </w:rPr>
              <w:t>1.1</w:t>
            </w:r>
            <w:r>
              <w:rPr>
                <w:rFonts w:cs="Arial"/>
                <w:i/>
              </w:rPr>
              <w:tab/>
            </w:r>
            <w:r w:rsidRPr="006A4EBB">
              <w:rPr>
                <w:rFonts w:cs="Arial"/>
                <w:i/>
              </w:rPr>
              <w:t>Current borrowings</w:t>
            </w:r>
          </w:p>
        </w:tc>
        <w:tc>
          <w:tcPr>
            <w:tcW w:w="772" w:type="dxa"/>
            <w:tcBorders>
              <w:top w:val="nil"/>
              <w:left w:val="single" w:sz="4" w:space="0" w:color="auto"/>
              <w:bottom w:val="nil"/>
              <w:right w:val="single" w:sz="4" w:space="0" w:color="auto"/>
            </w:tcBorders>
            <w:noWrap/>
            <w:vAlign w:val="bottom"/>
          </w:tcPr>
          <w:p w14:paraId="2AC1906F" w14:textId="77777777" w:rsidR="00156974" w:rsidRPr="00F422E9" w:rsidRDefault="00156974" w:rsidP="00156974">
            <w:pPr>
              <w:ind w:left="-58" w:right="-58"/>
              <w:jc w:val="center"/>
              <w:rPr>
                <w:rFonts w:cs="Arial"/>
                <w:bCs/>
                <w:lang w:val="vi-VN"/>
              </w:rPr>
            </w:pPr>
          </w:p>
        </w:tc>
        <w:tc>
          <w:tcPr>
            <w:tcW w:w="1887" w:type="dxa"/>
            <w:tcBorders>
              <w:left w:val="single" w:sz="4" w:space="0" w:color="auto"/>
              <w:right w:val="single" w:sz="4" w:space="0" w:color="auto"/>
            </w:tcBorders>
            <w:vAlign w:val="bottom"/>
          </w:tcPr>
          <w:p w14:paraId="5ECEB156" w14:textId="07540772" w:rsidR="00156974" w:rsidRPr="00156974" w:rsidRDefault="00156974" w:rsidP="007470A7">
            <w:pPr>
              <w:jc w:val="right"/>
              <w:rPr>
                <w:rFonts w:cs="Arial"/>
                <w:i/>
                <w:iCs/>
                <w:lang w:val="vi-VN"/>
              </w:rPr>
            </w:pPr>
            <w:r w:rsidRPr="00156974">
              <w:rPr>
                <w:i/>
                <w:iCs/>
              </w:rPr>
              <w:t>1</w:t>
            </w:r>
            <w:r w:rsidR="00CA695B">
              <w:rPr>
                <w:i/>
                <w:iCs/>
              </w:rPr>
              <w:t>,</w:t>
            </w:r>
            <w:r w:rsidRPr="00156974">
              <w:rPr>
                <w:i/>
                <w:iCs/>
              </w:rPr>
              <w:t>970</w:t>
            </w:r>
            <w:r w:rsidR="00CA695B">
              <w:rPr>
                <w:i/>
                <w:iCs/>
              </w:rPr>
              <w:t>,</w:t>
            </w:r>
            <w:r w:rsidRPr="00156974">
              <w:rPr>
                <w:i/>
                <w:iCs/>
              </w:rPr>
              <w:t>589</w:t>
            </w:r>
            <w:r w:rsidR="00CA695B">
              <w:rPr>
                <w:i/>
                <w:iCs/>
              </w:rPr>
              <w:t>,</w:t>
            </w:r>
            <w:r w:rsidRPr="00156974">
              <w:rPr>
                <w:i/>
                <w:iCs/>
              </w:rPr>
              <w:t>400</w:t>
            </w:r>
            <w:r w:rsidR="00CA695B">
              <w:rPr>
                <w:i/>
                <w:iCs/>
              </w:rPr>
              <w:t>,</w:t>
            </w:r>
            <w:r w:rsidRPr="00156974">
              <w:rPr>
                <w:i/>
                <w:iCs/>
              </w:rPr>
              <w:t xml:space="preserve">000 </w:t>
            </w:r>
          </w:p>
        </w:tc>
        <w:tc>
          <w:tcPr>
            <w:tcW w:w="1887" w:type="dxa"/>
            <w:tcBorders>
              <w:left w:val="single" w:sz="4" w:space="0" w:color="auto"/>
            </w:tcBorders>
            <w:noWrap/>
            <w:vAlign w:val="bottom"/>
          </w:tcPr>
          <w:p w14:paraId="3A76273B" w14:textId="0F69E3F7" w:rsidR="00156974" w:rsidRPr="00156974" w:rsidRDefault="00156974" w:rsidP="007470A7">
            <w:pPr>
              <w:jc w:val="right"/>
              <w:rPr>
                <w:rFonts w:cs="Arial"/>
                <w:bCs/>
                <w:i/>
                <w:iCs/>
                <w:lang w:val="vi-VN"/>
              </w:rPr>
            </w:pPr>
            <w:r w:rsidRPr="00156974">
              <w:rPr>
                <w:i/>
                <w:iCs/>
              </w:rPr>
              <w:t>1</w:t>
            </w:r>
            <w:r w:rsidR="00CA695B">
              <w:rPr>
                <w:i/>
                <w:iCs/>
              </w:rPr>
              <w:t>,</w:t>
            </w:r>
            <w:r w:rsidRPr="00156974">
              <w:rPr>
                <w:i/>
                <w:iCs/>
              </w:rPr>
              <w:t>187</w:t>
            </w:r>
            <w:r w:rsidR="00CA695B">
              <w:rPr>
                <w:i/>
                <w:iCs/>
              </w:rPr>
              <w:t>,</w:t>
            </w:r>
            <w:r w:rsidRPr="00156974">
              <w:rPr>
                <w:i/>
                <w:iCs/>
              </w:rPr>
              <w:t>760</w:t>
            </w:r>
            <w:r w:rsidR="00CA695B">
              <w:rPr>
                <w:i/>
                <w:iCs/>
              </w:rPr>
              <w:t>,</w:t>
            </w:r>
            <w:r w:rsidRPr="00156974">
              <w:rPr>
                <w:i/>
                <w:iCs/>
              </w:rPr>
              <w:t>000</w:t>
            </w:r>
            <w:r w:rsidR="00CA695B">
              <w:rPr>
                <w:i/>
                <w:iCs/>
              </w:rPr>
              <w:t>,</w:t>
            </w:r>
            <w:r w:rsidRPr="00156974">
              <w:rPr>
                <w:i/>
                <w:iCs/>
              </w:rPr>
              <w:t xml:space="preserve">000 </w:t>
            </w:r>
          </w:p>
        </w:tc>
      </w:tr>
      <w:tr w:rsidR="00156974" w:rsidRPr="00505043" w14:paraId="768F339A" w14:textId="77777777" w:rsidTr="007470A7">
        <w:tc>
          <w:tcPr>
            <w:tcW w:w="708" w:type="dxa"/>
            <w:tcBorders>
              <w:right w:val="single" w:sz="4" w:space="0" w:color="auto"/>
            </w:tcBorders>
            <w:noWrap/>
          </w:tcPr>
          <w:p w14:paraId="2F6DEA09" w14:textId="7224DCC5" w:rsidR="00156974" w:rsidRPr="00505043" w:rsidRDefault="00156974" w:rsidP="00156974">
            <w:pPr>
              <w:ind w:left="-58" w:right="-58"/>
              <w:jc w:val="center"/>
              <w:rPr>
                <w:rFonts w:cs="Arial"/>
                <w:bCs/>
              </w:rPr>
            </w:pPr>
            <w:r w:rsidRPr="00505043">
              <w:rPr>
                <w:rFonts w:cs="Arial"/>
              </w:rPr>
              <w:t>318</w:t>
            </w:r>
          </w:p>
        </w:tc>
        <w:tc>
          <w:tcPr>
            <w:tcW w:w="3637" w:type="dxa"/>
            <w:tcBorders>
              <w:left w:val="single" w:sz="4" w:space="0" w:color="auto"/>
              <w:right w:val="single" w:sz="4" w:space="0" w:color="auto"/>
            </w:tcBorders>
            <w:noWrap/>
            <w:vAlign w:val="bottom"/>
          </w:tcPr>
          <w:p w14:paraId="26B83483" w14:textId="7642F4E0" w:rsidR="00156974" w:rsidRPr="00FA28E4" w:rsidRDefault="00156974" w:rsidP="00156974">
            <w:pPr>
              <w:ind w:left="302" w:hanging="360"/>
              <w:jc w:val="left"/>
              <w:rPr>
                <w:rFonts w:cs="Arial"/>
              </w:rPr>
            </w:pPr>
            <w:r w:rsidRPr="00505043">
              <w:rPr>
                <w:rFonts w:cs="Arial"/>
              </w:rPr>
              <w:t>2</w:t>
            </w:r>
            <w:r w:rsidRPr="00505043">
              <w:rPr>
                <w:rFonts w:cs="Arial"/>
                <w:lang w:val="vi-VN"/>
              </w:rPr>
              <w:t>.</w:t>
            </w:r>
            <w:r w:rsidRPr="00505043">
              <w:rPr>
                <w:rFonts w:cs="Arial"/>
                <w:lang w:val="vi-VN"/>
              </w:rPr>
              <w:tab/>
            </w:r>
            <w:r w:rsidRPr="000D5167">
              <w:rPr>
                <w:rFonts w:cs="Arial"/>
                <w:lang w:val="vi-VN"/>
              </w:rPr>
              <w:t>Payables for securities trading activities</w:t>
            </w:r>
          </w:p>
        </w:tc>
        <w:tc>
          <w:tcPr>
            <w:tcW w:w="772" w:type="dxa"/>
            <w:tcBorders>
              <w:top w:val="nil"/>
              <w:left w:val="single" w:sz="4" w:space="0" w:color="auto"/>
              <w:bottom w:val="nil"/>
              <w:right w:val="single" w:sz="4" w:space="0" w:color="auto"/>
            </w:tcBorders>
            <w:noWrap/>
            <w:vAlign w:val="bottom"/>
          </w:tcPr>
          <w:p w14:paraId="03C345E2" w14:textId="22E20557" w:rsidR="00156974" w:rsidRPr="00F422E9" w:rsidRDefault="00156974" w:rsidP="00156974">
            <w:pPr>
              <w:ind w:left="-58" w:right="-58"/>
              <w:jc w:val="center"/>
              <w:rPr>
                <w:rFonts w:cs="Arial"/>
                <w:bCs/>
              </w:rPr>
            </w:pPr>
          </w:p>
        </w:tc>
        <w:tc>
          <w:tcPr>
            <w:tcW w:w="1887" w:type="dxa"/>
            <w:tcBorders>
              <w:left w:val="single" w:sz="4" w:space="0" w:color="auto"/>
              <w:right w:val="single" w:sz="4" w:space="0" w:color="auto"/>
            </w:tcBorders>
            <w:vAlign w:val="bottom"/>
          </w:tcPr>
          <w:p w14:paraId="755C9CBB" w14:textId="3F117258" w:rsidR="00156974" w:rsidRPr="003C222B" w:rsidRDefault="00156974" w:rsidP="007470A7">
            <w:pPr>
              <w:jc w:val="right"/>
              <w:rPr>
                <w:rFonts w:cs="Arial"/>
                <w:lang w:val="vi-VN"/>
              </w:rPr>
            </w:pPr>
            <w:r w:rsidRPr="005A140F">
              <w:t>49</w:t>
            </w:r>
            <w:r w:rsidR="00CA695B">
              <w:t>,</w:t>
            </w:r>
            <w:r w:rsidRPr="005A140F">
              <w:t>482</w:t>
            </w:r>
            <w:r w:rsidR="00CA695B">
              <w:t>,</w:t>
            </w:r>
            <w:r w:rsidRPr="005A140F">
              <w:t xml:space="preserve">075 </w:t>
            </w:r>
          </w:p>
        </w:tc>
        <w:tc>
          <w:tcPr>
            <w:tcW w:w="1887" w:type="dxa"/>
            <w:tcBorders>
              <w:left w:val="single" w:sz="4" w:space="0" w:color="auto"/>
            </w:tcBorders>
            <w:noWrap/>
            <w:vAlign w:val="bottom"/>
          </w:tcPr>
          <w:p w14:paraId="7CF5A386" w14:textId="0DE649E8" w:rsidR="00156974" w:rsidRPr="00505043" w:rsidRDefault="00156974" w:rsidP="007470A7">
            <w:pPr>
              <w:jc w:val="right"/>
              <w:rPr>
                <w:rFonts w:cs="Arial"/>
                <w:bCs/>
                <w:lang w:val="vi-VN"/>
              </w:rPr>
            </w:pPr>
            <w:r w:rsidRPr="005A140F">
              <w:t>45</w:t>
            </w:r>
            <w:r w:rsidR="00CA695B">
              <w:t>,</w:t>
            </w:r>
            <w:r w:rsidRPr="005A140F">
              <w:t>245</w:t>
            </w:r>
            <w:r w:rsidR="00CA695B">
              <w:t>,</w:t>
            </w:r>
            <w:r w:rsidRPr="005A140F">
              <w:t xml:space="preserve">013 </w:t>
            </w:r>
          </w:p>
        </w:tc>
      </w:tr>
      <w:tr w:rsidR="00156974" w:rsidRPr="00505043" w14:paraId="3DF9097E" w14:textId="77777777" w:rsidTr="007470A7">
        <w:tc>
          <w:tcPr>
            <w:tcW w:w="708" w:type="dxa"/>
            <w:tcBorders>
              <w:right w:val="single" w:sz="4" w:space="0" w:color="auto"/>
            </w:tcBorders>
            <w:noWrap/>
          </w:tcPr>
          <w:p w14:paraId="6EBB98BF" w14:textId="137287D7" w:rsidR="00156974" w:rsidRPr="00505043" w:rsidRDefault="00156974" w:rsidP="00156974">
            <w:pPr>
              <w:ind w:left="-58" w:right="-58"/>
              <w:jc w:val="center"/>
              <w:rPr>
                <w:rFonts w:cs="Arial"/>
                <w:bCs/>
              </w:rPr>
            </w:pPr>
            <w:r w:rsidRPr="00505043">
              <w:rPr>
                <w:rFonts w:cs="Arial"/>
              </w:rPr>
              <w:t>320</w:t>
            </w:r>
          </w:p>
        </w:tc>
        <w:tc>
          <w:tcPr>
            <w:tcW w:w="3637" w:type="dxa"/>
            <w:tcBorders>
              <w:left w:val="single" w:sz="4" w:space="0" w:color="auto"/>
              <w:right w:val="single" w:sz="4" w:space="0" w:color="auto"/>
            </w:tcBorders>
            <w:noWrap/>
            <w:vAlign w:val="bottom"/>
          </w:tcPr>
          <w:p w14:paraId="2DDFD6B1" w14:textId="64113C9C" w:rsidR="00156974" w:rsidRPr="00505043" w:rsidRDefault="00156974" w:rsidP="00156974">
            <w:pPr>
              <w:ind w:left="302" w:hanging="360"/>
              <w:rPr>
                <w:rFonts w:cs="Arial"/>
                <w:lang w:val="vi-VN"/>
              </w:rPr>
            </w:pPr>
            <w:r w:rsidRPr="00505043">
              <w:rPr>
                <w:rFonts w:cs="Arial"/>
              </w:rPr>
              <w:t>3</w:t>
            </w:r>
            <w:r w:rsidRPr="00505043">
              <w:rPr>
                <w:rFonts w:cs="Arial"/>
                <w:lang w:val="vi-VN"/>
              </w:rPr>
              <w:t>.</w:t>
            </w:r>
            <w:r w:rsidRPr="00505043">
              <w:rPr>
                <w:rFonts w:cs="Arial"/>
                <w:lang w:val="vi-VN"/>
              </w:rPr>
              <w:tab/>
            </w:r>
            <w:r w:rsidRPr="00E555BA">
              <w:rPr>
                <w:rFonts w:cs="Arial"/>
                <w:lang w:val="vi-VN"/>
              </w:rPr>
              <w:t>Current trade payables</w:t>
            </w:r>
          </w:p>
        </w:tc>
        <w:tc>
          <w:tcPr>
            <w:tcW w:w="772" w:type="dxa"/>
            <w:tcBorders>
              <w:top w:val="nil"/>
              <w:left w:val="single" w:sz="4" w:space="0" w:color="auto"/>
              <w:bottom w:val="nil"/>
              <w:right w:val="single" w:sz="4" w:space="0" w:color="auto"/>
            </w:tcBorders>
            <w:noWrap/>
            <w:vAlign w:val="bottom"/>
          </w:tcPr>
          <w:p w14:paraId="7F3C0F27" w14:textId="53F3B053" w:rsidR="00156974" w:rsidRPr="00F422E9" w:rsidRDefault="00156974" w:rsidP="00156974">
            <w:pPr>
              <w:ind w:left="-58" w:right="-58"/>
              <w:jc w:val="center"/>
              <w:rPr>
                <w:rFonts w:cs="Arial"/>
                <w:bCs/>
              </w:rPr>
            </w:pPr>
            <w:r w:rsidRPr="00F422E9">
              <w:rPr>
                <w:rFonts w:cs="Arial"/>
                <w:bCs/>
              </w:rPr>
              <w:t>15</w:t>
            </w:r>
          </w:p>
        </w:tc>
        <w:tc>
          <w:tcPr>
            <w:tcW w:w="1887" w:type="dxa"/>
            <w:tcBorders>
              <w:left w:val="single" w:sz="4" w:space="0" w:color="auto"/>
              <w:right w:val="single" w:sz="4" w:space="0" w:color="auto"/>
            </w:tcBorders>
            <w:vAlign w:val="bottom"/>
          </w:tcPr>
          <w:p w14:paraId="3E1E369E" w14:textId="5E610435" w:rsidR="00156974" w:rsidRPr="003C222B" w:rsidRDefault="00156974" w:rsidP="007470A7">
            <w:pPr>
              <w:jc w:val="right"/>
              <w:rPr>
                <w:rFonts w:cs="Arial"/>
                <w:lang w:val="vi-VN"/>
              </w:rPr>
            </w:pPr>
            <w:r w:rsidRPr="005A140F">
              <w:t>1</w:t>
            </w:r>
            <w:r w:rsidR="00CA695B">
              <w:t>,</w:t>
            </w:r>
            <w:r w:rsidRPr="005A140F">
              <w:t>765</w:t>
            </w:r>
            <w:r w:rsidR="00CA695B">
              <w:t>,</w:t>
            </w:r>
            <w:r w:rsidRPr="005A140F">
              <w:t>045</w:t>
            </w:r>
            <w:r w:rsidR="00CA695B">
              <w:t>,</w:t>
            </w:r>
            <w:r w:rsidRPr="005A140F">
              <w:t xml:space="preserve">999 </w:t>
            </w:r>
          </w:p>
        </w:tc>
        <w:tc>
          <w:tcPr>
            <w:tcW w:w="1887" w:type="dxa"/>
            <w:tcBorders>
              <w:left w:val="single" w:sz="4" w:space="0" w:color="auto"/>
            </w:tcBorders>
            <w:noWrap/>
            <w:vAlign w:val="bottom"/>
          </w:tcPr>
          <w:p w14:paraId="28221129" w14:textId="20283E0D" w:rsidR="00156974" w:rsidRPr="00505043" w:rsidRDefault="00156974" w:rsidP="007470A7">
            <w:pPr>
              <w:jc w:val="right"/>
              <w:rPr>
                <w:rFonts w:cs="Arial"/>
                <w:bCs/>
                <w:lang w:val="vi-VN"/>
              </w:rPr>
            </w:pPr>
            <w:r w:rsidRPr="005A140F">
              <w:t>3</w:t>
            </w:r>
            <w:r w:rsidR="00CA695B">
              <w:t>,</w:t>
            </w:r>
            <w:r w:rsidRPr="005A140F">
              <w:t>136</w:t>
            </w:r>
            <w:r w:rsidR="00CA695B">
              <w:t>,</w:t>
            </w:r>
            <w:r w:rsidRPr="005A140F">
              <w:t>446</w:t>
            </w:r>
            <w:r w:rsidR="00CA695B">
              <w:t>,</w:t>
            </w:r>
            <w:r w:rsidRPr="005A140F">
              <w:t xml:space="preserve">526 </w:t>
            </w:r>
          </w:p>
        </w:tc>
      </w:tr>
      <w:tr w:rsidR="00156974" w:rsidRPr="00505043" w14:paraId="1C02E23F" w14:textId="77777777" w:rsidTr="007470A7">
        <w:tc>
          <w:tcPr>
            <w:tcW w:w="708" w:type="dxa"/>
            <w:tcBorders>
              <w:right w:val="single" w:sz="4" w:space="0" w:color="auto"/>
            </w:tcBorders>
            <w:noWrap/>
          </w:tcPr>
          <w:p w14:paraId="4EE415F8" w14:textId="5366EE3E" w:rsidR="00156974" w:rsidRPr="00505043" w:rsidRDefault="00156974" w:rsidP="00156974">
            <w:pPr>
              <w:ind w:left="-58" w:right="-58"/>
              <w:jc w:val="center"/>
              <w:rPr>
                <w:rFonts w:cs="Arial"/>
                <w:bCs/>
              </w:rPr>
            </w:pPr>
            <w:r w:rsidRPr="00505043">
              <w:rPr>
                <w:rFonts w:cs="Arial"/>
                <w:bCs/>
              </w:rPr>
              <w:t>322</w:t>
            </w:r>
          </w:p>
        </w:tc>
        <w:tc>
          <w:tcPr>
            <w:tcW w:w="3637" w:type="dxa"/>
            <w:tcBorders>
              <w:left w:val="single" w:sz="4" w:space="0" w:color="auto"/>
              <w:right w:val="single" w:sz="4" w:space="0" w:color="auto"/>
            </w:tcBorders>
            <w:noWrap/>
            <w:vAlign w:val="bottom"/>
          </w:tcPr>
          <w:p w14:paraId="1F2BAC21" w14:textId="7807BA0F" w:rsidR="00156974" w:rsidRPr="00A1553D" w:rsidRDefault="00156974" w:rsidP="00156974">
            <w:pPr>
              <w:ind w:left="302" w:right="-86" w:hanging="360"/>
              <w:rPr>
                <w:rFonts w:cs="Arial"/>
                <w:spacing w:val="-6"/>
                <w:lang w:val="vi-VN"/>
              </w:rPr>
            </w:pPr>
            <w:r w:rsidRPr="00A1553D">
              <w:rPr>
                <w:rFonts w:cs="Arial"/>
                <w:spacing w:val="-6"/>
              </w:rPr>
              <w:t>4</w:t>
            </w:r>
            <w:r w:rsidRPr="00A1553D">
              <w:rPr>
                <w:rFonts w:cs="Arial"/>
                <w:spacing w:val="-6"/>
                <w:lang w:val="vi-VN"/>
              </w:rPr>
              <w:t>.</w:t>
            </w:r>
            <w:r w:rsidRPr="00A1553D">
              <w:rPr>
                <w:rFonts w:cs="Arial"/>
                <w:spacing w:val="-6"/>
                <w:lang w:val="vi-VN"/>
              </w:rPr>
              <w:tab/>
            </w:r>
            <w:r w:rsidRPr="00811CE6">
              <w:rPr>
                <w:rFonts w:cs="Arial"/>
                <w:spacing w:val="-6"/>
                <w:lang w:val="vi-VN"/>
              </w:rPr>
              <w:t>Statutory obligations</w:t>
            </w:r>
          </w:p>
        </w:tc>
        <w:tc>
          <w:tcPr>
            <w:tcW w:w="772" w:type="dxa"/>
            <w:tcBorders>
              <w:top w:val="nil"/>
              <w:left w:val="single" w:sz="4" w:space="0" w:color="auto"/>
              <w:bottom w:val="nil"/>
              <w:right w:val="single" w:sz="4" w:space="0" w:color="auto"/>
            </w:tcBorders>
            <w:noWrap/>
            <w:vAlign w:val="bottom"/>
          </w:tcPr>
          <w:p w14:paraId="69772A14" w14:textId="46C03233" w:rsidR="00156974" w:rsidRPr="00F422E9" w:rsidRDefault="00156974" w:rsidP="00156974">
            <w:pPr>
              <w:ind w:left="-58" w:right="-58"/>
              <w:jc w:val="center"/>
              <w:rPr>
                <w:rFonts w:cs="Arial"/>
                <w:bCs/>
              </w:rPr>
            </w:pPr>
            <w:r w:rsidRPr="00F422E9">
              <w:rPr>
                <w:rFonts w:cs="Arial"/>
                <w:bCs/>
              </w:rPr>
              <w:t>16</w:t>
            </w:r>
          </w:p>
        </w:tc>
        <w:tc>
          <w:tcPr>
            <w:tcW w:w="1887" w:type="dxa"/>
            <w:tcBorders>
              <w:left w:val="single" w:sz="4" w:space="0" w:color="auto"/>
              <w:right w:val="single" w:sz="4" w:space="0" w:color="auto"/>
            </w:tcBorders>
            <w:vAlign w:val="bottom"/>
          </w:tcPr>
          <w:p w14:paraId="1B963508" w14:textId="7507B0C2" w:rsidR="00156974" w:rsidRPr="003C222B" w:rsidRDefault="00156974" w:rsidP="007470A7">
            <w:pPr>
              <w:jc w:val="right"/>
              <w:rPr>
                <w:rFonts w:cs="Arial"/>
                <w:lang w:val="vi-VN"/>
              </w:rPr>
            </w:pPr>
            <w:r w:rsidRPr="005A140F">
              <w:t>2</w:t>
            </w:r>
            <w:r w:rsidR="00CA695B">
              <w:t>,</w:t>
            </w:r>
            <w:r w:rsidRPr="005A140F">
              <w:t>460</w:t>
            </w:r>
            <w:r w:rsidR="00CA695B">
              <w:t>,</w:t>
            </w:r>
            <w:r w:rsidRPr="005A140F">
              <w:t>861</w:t>
            </w:r>
            <w:r w:rsidR="00CA695B">
              <w:t>,</w:t>
            </w:r>
            <w:r w:rsidRPr="005A140F">
              <w:t xml:space="preserve">204 </w:t>
            </w:r>
          </w:p>
        </w:tc>
        <w:tc>
          <w:tcPr>
            <w:tcW w:w="1887" w:type="dxa"/>
            <w:tcBorders>
              <w:left w:val="single" w:sz="4" w:space="0" w:color="auto"/>
            </w:tcBorders>
            <w:noWrap/>
            <w:vAlign w:val="bottom"/>
          </w:tcPr>
          <w:p w14:paraId="6C7D3FBB" w14:textId="55A7B915" w:rsidR="00156974" w:rsidRPr="00505043" w:rsidRDefault="00156974" w:rsidP="007470A7">
            <w:pPr>
              <w:jc w:val="right"/>
              <w:rPr>
                <w:rFonts w:cs="Arial"/>
                <w:bCs/>
                <w:lang w:val="vi-VN"/>
              </w:rPr>
            </w:pPr>
            <w:r w:rsidRPr="005A140F">
              <w:t>13</w:t>
            </w:r>
            <w:r w:rsidR="00CA695B">
              <w:t>,</w:t>
            </w:r>
            <w:r w:rsidRPr="005A140F">
              <w:t>700</w:t>
            </w:r>
            <w:r w:rsidR="00CA695B">
              <w:t>,</w:t>
            </w:r>
            <w:r w:rsidRPr="005A140F">
              <w:t>910</w:t>
            </w:r>
            <w:r w:rsidR="00CA695B">
              <w:t>,</w:t>
            </w:r>
            <w:r w:rsidRPr="005A140F">
              <w:t xml:space="preserve">116 </w:t>
            </w:r>
          </w:p>
        </w:tc>
      </w:tr>
      <w:tr w:rsidR="00156974" w:rsidRPr="00505043" w14:paraId="3533D43C" w14:textId="77777777" w:rsidTr="007470A7">
        <w:tc>
          <w:tcPr>
            <w:tcW w:w="708" w:type="dxa"/>
            <w:tcBorders>
              <w:right w:val="single" w:sz="4" w:space="0" w:color="auto"/>
            </w:tcBorders>
            <w:noWrap/>
          </w:tcPr>
          <w:p w14:paraId="1027B347" w14:textId="283219C5" w:rsidR="00156974" w:rsidRPr="00505043" w:rsidRDefault="00156974" w:rsidP="00156974">
            <w:pPr>
              <w:ind w:left="-58" w:right="-58"/>
              <w:jc w:val="center"/>
              <w:rPr>
                <w:rFonts w:cs="Arial"/>
                <w:bCs/>
              </w:rPr>
            </w:pPr>
            <w:r w:rsidRPr="00505043">
              <w:rPr>
                <w:rFonts w:cs="Arial"/>
                <w:bCs/>
              </w:rPr>
              <w:t>323</w:t>
            </w:r>
          </w:p>
        </w:tc>
        <w:tc>
          <w:tcPr>
            <w:tcW w:w="3637" w:type="dxa"/>
            <w:tcBorders>
              <w:left w:val="single" w:sz="4" w:space="0" w:color="auto"/>
              <w:right w:val="single" w:sz="4" w:space="0" w:color="auto"/>
            </w:tcBorders>
            <w:noWrap/>
            <w:vAlign w:val="bottom"/>
          </w:tcPr>
          <w:p w14:paraId="5E156370" w14:textId="22EFD8FF" w:rsidR="00156974" w:rsidRPr="00505043" w:rsidRDefault="00156974" w:rsidP="00156974">
            <w:pPr>
              <w:ind w:left="302" w:hanging="360"/>
              <w:rPr>
                <w:rFonts w:cs="Arial"/>
                <w:lang w:val="vi-VN"/>
              </w:rPr>
            </w:pPr>
            <w:r w:rsidRPr="00505043">
              <w:rPr>
                <w:rFonts w:cs="Arial"/>
              </w:rPr>
              <w:t>5</w:t>
            </w:r>
            <w:r w:rsidRPr="00505043">
              <w:rPr>
                <w:rFonts w:cs="Arial"/>
                <w:lang w:val="vi-VN"/>
              </w:rPr>
              <w:t>.</w:t>
            </w:r>
            <w:r w:rsidRPr="00505043">
              <w:rPr>
                <w:rFonts w:cs="Arial"/>
                <w:lang w:val="vi-VN"/>
              </w:rPr>
              <w:tab/>
            </w:r>
            <w:r w:rsidRPr="00D07245">
              <w:rPr>
                <w:rFonts w:cs="Arial"/>
                <w:lang w:val="vi-VN"/>
              </w:rPr>
              <w:t>Payables to employees</w:t>
            </w:r>
          </w:p>
        </w:tc>
        <w:tc>
          <w:tcPr>
            <w:tcW w:w="772" w:type="dxa"/>
            <w:tcBorders>
              <w:top w:val="nil"/>
              <w:left w:val="single" w:sz="4" w:space="0" w:color="auto"/>
              <w:bottom w:val="nil"/>
              <w:right w:val="single" w:sz="4" w:space="0" w:color="auto"/>
            </w:tcBorders>
            <w:noWrap/>
            <w:vAlign w:val="bottom"/>
          </w:tcPr>
          <w:p w14:paraId="7594A5D0" w14:textId="77777777" w:rsidR="00156974" w:rsidRPr="00F422E9" w:rsidRDefault="00156974" w:rsidP="00156974">
            <w:pPr>
              <w:ind w:left="-58" w:right="-58"/>
              <w:jc w:val="center"/>
              <w:rPr>
                <w:rFonts w:cs="Arial"/>
                <w:bCs/>
                <w:lang w:val="vi-VN"/>
              </w:rPr>
            </w:pPr>
          </w:p>
        </w:tc>
        <w:tc>
          <w:tcPr>
            <w:tcW w:w="1887" w:type="dxa"/>
            <w:tcBorders>
              <w:left w:val="single" w:sz="4" w:space="0" w:color="auto"/>
              <w:right w:val="single" w:sz="4" w:space="0" w:color="auto"/>
            </w:tcBorders>
            <w:vAlign w:val="bottom"/>
          </w:tcPr>
          <w:p w14:paraId="62AA0C81" w14:textId="0078D89E" w:rsidR="00156974" w:rsidRPr="003C222B" w:rsidRDefault="00156974" w:rsidP="007470A7">
            <w:pPr>
              <w:jc w:val="right"/>
              <w:rPr>
                <w:rFonts w:cs="Arial"/>
                <w:lang w:val="vi-VN"/>
              </w:rPr>
            </w:pPr>
            <w:r w:rsidRPr="005A140F">
              <w:t>2</w:t>
            </w:r>
            <w:r w:rsidR="00CA695B">
              <w:t>,</w:t>
            </w:r>
            <w:r w:rsidRPr="005A140F">
              <w:t>584</w:t>
            </w:r>
            <w:r w:rsidR="00CA695B">
              <w:t>,</w:t>
            </w:r>
            <w:r w:rsidRPr="005A140F">
              <w:t>436</w:t>
            </w:r>
            <w:r w:rsidR="00CA695B">
              <w:t>,</w:t>
            </w:r>
            <w:r w:rsidRPr="005A140F">
              <w:t xml:space="preserve">034 </w:t>
            </w:r>
          </w:p>
        </w:tc>
        <w:tc>
          <w:tcPr>
            <w:tcW w:w="1887" w:type="dxa"/>
            <w:tcBorders>
              <w:left w:val="single" w:sz="4" w:space="0" w:color="auto"/>
            </w:tcBorders>
            <w:noWrap/>
            <w:vAlign w:val="bottom"/>
          </w:tcPr>
          <w:p w14:paraId="30AE9917" w14:textId="75BC0B5F" w:rsidR="00156974" w:rsidRPr="00505043" w:rsidRDefault="00156974" w:rsidP="007470A7">
            <w:pPr>
              <w:jc w:val="right"/>
              <w:rPr>
                <w:rFonts w:cs="Arial"/>
                <w:lang w:val="vi-VN"/>
              </w:rPr>
            </w:pPr>
            <w:r w:rsidRPr="005A140F">
              <w:t>2</w:t>
            </w:r>
            <w:r w:rsidR="00CA695B">
              <w:t>,</w:t>
            </w:r>
            <w:r w:rsidRPr="005A140F">
              <w:t>909</w:t>
            </w:r>
            <w:r w:rsidR="00CA695B">
              <w:t>,</w:t>
            </w:r>
            <w:r w:rsidRPr="005A140F">
              <w:t>213</w:t>
            </w:r>
            <w:r w:rsidR="00CA695B">
              <w:t>,</w:t>
            </w:r>
            <w:r w:rsidRPr="005A140F">
              <w:t xml:space="preserve">691 </w:t>
            </w:r>
          </w:p>
        </w:tc>
      </w:tr>
      <w:tr w:rsidR="00156974" w:rsidRPr="00505043" w14:paraId="43EEDB40" w14:textId="77777777" w:rsidTr="007470A7">
        <w:tc>
          <w:tcPr>
            <w:tcW w:w="708" w:type="dxa"/>
            <w:tcBorders>
              <w:right w:val="single" w:sz="4" w:space="0" w:color="auto"/>
            </w:tcBorders>
            <w:noWrap/>
          </w:tcPr>
          <w:p w14:paraId="35AE415C" w14:textId="1116AA3F" w:rsidR="00156974" w:rsidRPr="00505043" w:rsidRDefault="00156974" w:rsidP="00156974">
            <w:pPr>
              <w:ind w:left="-58" w:right="-58"/>
              <w:jc w:val="center"/>
              <w:rPr>
                <w:rFonts w:cs="Arial"/>
                <w:bCs/>
              </w:rPr>
            </w:pPr>
            <w:r w:rsidRPr="00505043">
              <w:rPr>
                <w:rFonts w:cs="Arial"/>
                <w:bCs/>
              </w:rPr>
              <w:t>325</w:t>
            </w:r>
          </w:p>
        </w:tc>
        <w:tc>
          <w:tcPr>
            <w:tcW w:w="3637" w:type="dxa"/>
            <w:tcBorders>
              <w:left w:val="single" w:sz="4" w:space="0" w:color="auto"/>
              <w:right w:val="single" w:sz="4" w:space="0" w:color="auto"/>
            </w:tcBorders>
            <w:noWrap/>
            <w:vAlign w:val="bottom"/>
          </w:tcPr>
          <w:p w14:paraId="790E4248" w14:textId="1866FB91" w:rsidR="00156974" w:rsidRPr="00505043" w:rsidRDefault="00156974" w:rsidP="00156974">
            <w:pPr>
              <w:ind w:left="302" w:hanging="360"/>
              <w:rPr>
                <w:rFonts w:cs="Arial"/>
                <w:lang w:val="vi-VN"/>
              </w:rPr>
            </w:pPr>
            <w:r w:rsidRPr="00505043">
              <w:rPr>
                <w:rFonts w:cs="Arial"/>
              </w:rPr>
              <w:t>6</w:t>
            </w:r>
            <w:r w:rsidRPr="00505043">
              <w:rPr>
                <w:rFonts w:cs="Arial"/>
                <w:lang w:val="vi-VN"/>
              </w:rPr>
              <w:t>.</w:t>
            </w:r>
            <w:r w:rsidRPr="00505043">
              <w:rPr>
                <w:rFonts w:cs="Arial"/>
                <w:lang w:val="vi-VN"/>
              </w:rPr>
              <w:tab/>
            </w:r>
            <w:r w:rsidRPr="00761119">
              <w:rPr>
                <w:rFonts w:cs="Arial"/>
                <w:lang w:val="vi-VN"/>
              </w:rPr>
              <w:t>Current accrued expenses</w:t>
            </w:r>
          </w:p>
        </w:tc>
        <w:tc>
          <w:tcPr>
            <w:tcW w:w="772" w:type="dxa"/>
            <w:tcBorders>
              <w:top w:val="nil"/>
              <w:left w:val="single" w:sz="4" w:space="0" w:color="auto"/>
              <w:bottom w:val="nil"/>
              <w:right w:val="single" w:sz="4" w:space="0" w:color="auto"/>
            </w:tcBorders>
            <w:noWrap/>
            <w:vAlign w:val="bottom"/>
          </w:tcPr>
          <w:p w14:paraId="3311B885" w14:textId="5652A465" w:rsidR="00156974" w:rsidRPr="00F422E9" w:rsidRDefault="00156974" w:rsidP="00156974">
            <w:pPr>
              <w:ind w:left="-58" w:right="-58"/>
              <w:jc w:val="center"/>
              <w:rPr>
                <w:rFonts w:cs="Arial"/>
                <w:bCs/>
              </w:rPr>
            </w:pPr>
            <w:r w:rsidRPr="00F422E9">
              <w:rPr>
                <w:rFonts w:cs="Arial"/>
                <w:bCs/>
              </w:rPr>
              <w:t>17</w:t>
            </w:r>
          </w:p>
        </w:tc>
        <w:tc>
          <w:tcPr>
            <w:tcW w:w="1887" w:type="dxa"/>
            <w:tcBorders>
              <w:left w:val="single" w:sz="4" w:space="0" w:color="auto"/>
              <w:right w:val="single" w:sz="4" w:space="0" w:color="auto"/>
            </w:tcBorders>
            <w:vAlign w:val="bottom"/>
          </w:tcPr>
          <w:p w14:paraId="49E0A39A" w14:textId="452A1653" w:rsidR="00156974" w:rsidRPr="003C222B" w:rsidRDefault="00156974" w:rsidP="007470A7">
            <w:pPr>
              <w:jc w:val="right"/>
              <w:rPr>
                <w:rFonts w:cs="Arial"/>
                <w:lang w:val="vi-VN"/>
              </w:rPr>
            </w:pPr>
            <w:r w:rsidRPr="005A140F">
              <w:t>18</w:t>
            </w:r>
            <w:r w:rsidR="00CA695B">
              <w:t>,</w:t>
            </w:r>
            <w:r w:rsidRPr="005A140F">
              <w:t>890</w:t>
            </w:r>
            <w:r w:rsidR="00CA695B">
              <w:t>,</w:t>
            </w:r>
            <w:r w:rsidRPr="005A140F">
              <w:t>627</w:t>
            </w:r>
            <w:r w:rsidR="00CA695B">
              <w:t>,</w:t>
            </w:r>
            <w:r w:rsidRPr="005A140F">
              <w:t xml:space="preserve">093 </w:t>
            </w:r>
          </w:p>
        </w:tc>
        <w:tc>
          <w:tcPr>
            <w:tcW w:w="1887" w:type="dxa"/>
            <w:tcBorders>
              <w:left w:val="single" w:sz="4" w:space="0" w:color="auto"/>
            </w:tcBorders>
            <w:noWrap/>
            <w:vAlign w:val="bottom"/>
          </w:tcPr>
          <w:p w14:paraId="49F12A41" w14:textId="2B6F723C" w:rsidR="00156974" w:rsidRPr="00505043" w:rsidRDefault="00156974" w:rsidP="007470A7">
            <w:pPr>
              <w:jc w:val="right"/>
              <w:rPr>
                <w:rFonts w:cs="Arial"/>
                <w:bCs/>
                <w:lang w:val="vi-VN"/>
              </w:rPr>
            </w:pPr>
            <w:r w:rsidRPr="005A140F">
              <w:t>5</w:t>
            </w:r>
            <w:r w:rsidR="00CA695B">
              <w:t>,</w:t>
            </w:r>
            <w:r w:rsidRPr="005A140F">
              <w:t>401</w:t>
            </w:r>
            <w:r w:rsidR="00CA695B">
              <w:t>,</w:t>
            </w:r>
            <w:r w:rsidRPr="005A140F">
              <w:t>400</w:t>
            </w:r>
            <w:r w:rsidR="00CA695B">
              <w:t>,</w:t>
            </w:r>
            <w:r w:rsidRPr="005A140F">
              <w:t xml:space="preserve">775 </w:t>
            </w:r>
          </w:p>
        </w:tc>
      </w:tr>
      <w:tr w:rsidR="00156974" w:rsidRPr="00505043" w14:paraId="44EFE0C4" w14:textId="77777777" w:rsidTr="007470A7">
        <w:tc>
          <w:tcPr>
            <w:tcW w:w="708" w:type="dxa"/>
            <w:tcBorders>
              <w:right w:val="single" w:sz="4" w:space="0" w:color="auto"/>
            </w:tcBorders>
            <w:noWrap/>
          </w:tcPr>
          <w:p w14:paraId="73EAEF50" w14:textId="3F7B1FFA" w:rsidR="00156974" w:rsidRPr="00505043" w:rsidRDefault="00156974" w:rsidP="00156974">
            <w:pPr>
              <w:ind w:left="-58" w:right="-58"/>
              <w:jc w:val="center"/>
              <w:rPr>
                <w:rFonts w:cs="Arial"/>
                <w:bCs/>
              </w:rPr>
            </w:pPr>
            <w:r w:rsidRPr="00505043">
              <w:rPr>
                <w:rFonts w:cs="Arial"/>
                <w:bCs/>
              </w:rPr>
              <w:t>329</w:t>
            </w:r>
          </w:p>
        </w:tc>
        <w:tc>
          <w:tcPr>
            <w:tcW w:w="3637" w:type="dxa"/>
            <w:tcBorders>
              <w:left w:val="single" w:sz="4" w:space="0" w:color="auto"/>
              <w:right w:val="single" w:sz="4" w:space="0" w:color="auto"/>
            </w:tcBorders>
            <w:noWrap/>
            <w:vAlign w:val="bottom"/>
          </w:tcPr>
          <w:p w14:paraId="16EBC04F" w14:textId="28572B01" w:rsidR="00156974" w:rsidRPr="00505043" w:rsidRDefault="00156974" w:rsidP="00156974">
            <w:pPr>
              <w:ind w:left="302" w:hanging="360"/>
              <w:rPr>
                <w:rFonts w:cs="Arial"/>
                <w:lang w:val="vi-VN"/>
              </w:rPr>
            </w:pPr>
            <w:r w:rsidRPr="00505043">
              <w:rPr>
                <w:rFonts w:cs="Arial"/>
              </w:rPr>
              <w:t>7</w:t>
            </w:r>
            <w:r w:rsidRPr="00505043">
              <w:rPr>
                <w:rFonts w:cs="Arial"/>
                <w:lang w:val="vi-VN"/>
              </w:rPr>
              <w:t>.</w:t>
            </w:r>
            <w:r w:rsidRPr="00505043">
              <w:rPr>
                <w:rFonts w:cs="Arial"/>
                <w:lang w:val="vi-VN"/>
              </w:rPr>
              <w:tab/>
            </w:r>
            <w:r w:rsidRPr="00E629B3">
              <w:rPr>
                <w:rFonts w:cs="Arial"/>
                <w:lang w:val="vi-VN"/>
              </w:rPr>
              <w:t>Other current payables</w:t>
            </w:r>
          </w:p>
        </w:tc>
        <w:tc>
          <w:tcPr>
            <w:tcW w:w="772" w:type="dxa"/>
            <w:tcBorders>
              <w:top w:val="nil"/>
              <w:left w:val="single" w:sz="4" w:space="0" w:color="auto"/>
              <w:bottom w:val="nil"/>
              <w:right w:val="single" w:sz="4" w:space="0" w:color="auto"/>
            </w:tcBorders>
            <w:noWrap/>
            <w:vAlign w:val="bottom"/>
          </w:tcPr>
          <w:p w14:paraId="6D3D4E12" w14:textId="77777777" w:rsidR="00156974" w:rsidRPr="00F422E9" w:rsidRDefault="00156974" w:rsidP="00156974">
            <w:pPr>
              <w:ind w:left="-58" w:right="-58"/>
              <w:jc w:val="center"/>
              <w:rPr>
                <w:rFonts w:cs="Arial"/>
                <w:bCs/>
                <w:lang w:val="vi-VN"/>
              </w:rPr>
            </w:pPr>
          </w:p>
        </w:tc>
        <w:tc>
          <w:tcPr>
            <w:tcW w:w="1887" w:type="dxa"/>
            <w:tcBorders>
              <w:left w:val="single" w:sz="4" w:space="0" w:color="auto"/>
              <w:right w:val="single" w:sz="4" w:space="0" w:color="auto"/>
            </w:tcBorders>
            <w:vAlign w:val="bottom"/>
          </w:tcPr>
          <w:p w14:paraId="63E8EB4B" w14:textId="1D83D497" w:rsidR="00156974" w:rsidRPr="003C222B" w:rsidRDefault="00156974" w:rsidP="007470A7">
            <w:pPr>
              <w:jc w:val="right"/>
              <w:rPr>
                <w:rFonts w:cs="Arial"/>
                <w:lang w:val="vi-VN"/>
              </w:rPr>
            </w:pPr>
            <w:r w:rsidRPr="005A140F">
              <w:t>573</w:t>
            </w:r>
            <w:r w:rsidR="00CA695B">
              <w:t>,</w:t>
            </w:r>
            <w:r w:rsidRPr="005A140F">
              <w:t xml:space="preserve">164 </w:t>
            </w:r>
          </w:p>
        </w:tc>
        <w:tc>
          <w:tcPr>
            <w:tcW w:w="1887" w:type="dxa"/>
            <w:tcBorders>
              <w:left w:val="single" w:sz="4" w:space="0" w:color="auto"/>
            </w:tcBorders>
            <w:noWrap/>
            <w:vAlign w:val="bottom"/>
          </w:tcPr>
          <w:p w14:paraId="799785AB" w14:textId="723CD1FA" w:rsidR="00156974" w:rsidRPr="00505043" w:rsidRDefault="00156974" w:rsidP="007470A7">
            <w:pPr>
              <w:jc w:val="right"/>
              <w:rPr>
                <w:rFonts w:cs="Arial"/>
                <w:bCs/>
                <w:lang w:val="vi-VN"/>
              </w:rPr>
            </w:pPr>
            <w:r w:rsidRPr="005A140F">
              <w:t>13</w:t>
            </w:r>
            <w:r w:rsidR="00CA695B">
              <w:t>,</w:t>
            </w:r>
            <w:r w:rsidRPr="005A140F">
              <w:t>805</w:t>
            </w:r>
            <w:r w:rsidR="00CA695B">
              <w:t>,</w:t>
            </w:r>
            <w:r w:rsidRPr="005A140F">
              <w:t xml:space="preserve">525 </w:t>
            </w:r>
          </w:p>
        </w:tc>
      </w:tr>
      <w:tr w:rsidR="00156974" w:rsidRPr="00505043" w14:paraId="54785903" w14:textId="77777777" w:rsidTr="007470A7">
        <w:tc>
          <w:tcPr>
            <w:tcW w:w="708" w:type="dxa"/>
            <w:tcBorders>
              <w:right w:val="single" w:sz="4" w:space="0" w:color="auto"/>
            </w:tcBorders>
            <w:noWrap/>
          </w:tcPr>
          <w:p w14:paraId="5CA77AB0" w14:textId="3F665A86" w:rsidR="00156974" w:rsidRPr="00505043" w:rsidRDefault="00156974" w:rsidP="00156974">
            <w:pPr>
              <w:ind w:left="-58" w:right="-58"/>
              <w:jc w:val="center"/>
              <w:rPr>
                <w:rFonts w:cs="Arial"/>
                <w:bCs/>
              </w:rPr>
            </w:pPr>
            <w:r>
              <w:rPr>
                <w:rFonts w:cs="Arial"/>
                <w:bCs/>
              </w:rPr>
              <w:t>330</w:t>
            </w:r>
          </w:p>
        </w:tc>
        <w:tc>
          <w:tcPr>
            <w:tcW w:w="3637" w:type="dxa"/>
            <w:tcBorders>
              <w:left w:val="single" w:sz="4" w:space="0" w:color="auto"/>
              <w:right w:val="single" w:sz="4" w:space="0" w:color="auto"/>
            </w:tcBorders>
            <w:noWrap/>
            <w:vAlign w:val="bottom"/>
          </w:tcPr>
          <w:p w14:paraId="201A93DF" w14:textId="1AAD0E4F" w:rsidR="00156974" w:rsidRPr="00505043" w:rsidRDefault="00156974" w:rsidP="00156974">
            <w:pPr>
              <w:ind w:left="302" w:hanging="360"/>
              <w:rPr>
                <w:rFonts w:cs="Arial"/>
              </w:rPr>
            </w:pPr>
            <w:r>
              <w:rPr>
                <w:rFonts w:cs="Arial"/>
              </w:rPr>
              <w:t>8.</w:t>
            </w:r>
            <w:r>
              <w:rPr>
                <w:rFonts w:cs="Arial"/>
              </w:rPr>
              <w:tab/>
              <w:t>Current provision liabilities</w:t>
            </w:r>
          </w:p>
        </w:tc>
        <w:tc>
          <w:tcPr>
            <w:tcW w:w="772" w:type="dxa"/>
            <w:tcBorders>
              <w:top w:val="nil"/>
              <w:left w:val="single" w:sz="4" w:space="0" w:color="auto"/>
              <w:bottom w:val="nil"/>
              <w:right w:val="single" w:sz="4" w:space="0" w:color="auto"/>
            </w:tcBorders>
            <w:noWrap/>
            <w:vAlign w:val="bottom"/>
          </w:tcPr>
          <w:p w14:paraId="36A79500" w14:textId="77777777" w:rsidR="00156974" w:rsidRPr="00F422E9" w:rsidRDefault="00156974" w:rsidP="00156974">
            <w:pPr>
              <w:ind w:left="-58" w:right="-58"/>
              <w:rPr>
                <w:rFonts w:cs="Arial"/>
                <w:bCs/>
                <w:lang w:val="vi-VN"/>
              </w:rPr>
            </w:pPr>
          </w:p>
        </w:tc>
        <w:tc>
          <w:tcPr>
            <w:tcW w:w="1887" w:type="dxa"/>
            <w:tcBorders>
              <w:left w:val="single" w:sz="4" w:space="0" w:color="auto"/>
              <w:right w:val="single" w:sz="4" w:space="0" w:color="auto"/>
            </w:tcBorders>
            <w:vAlign w:val="bottom"/>
          </w:tcPr>
          <w:p w14:paraId="560BE34F" w14:textId="6EFB75B6" w:rsidR="00156974" w:rsidRPr="00DF58F1" w:rsidRDefault="00156974" w:rsidP="007470A7">
            <w:pPr>
              <w:jc w:val="right"/>
              <w:rPr>
                <w:rFonts w:cs="Arial"/>
                <w:bCs/>
                <w:lang w:val="vi-VN"/>
              </w:rPr>
            </w:pPr>
            <w:r w:rsidRPr="005A140F">
              <w:t>-</w:t>
            </w:r>
          </w:p>
        </w:tc>
        <w:tc>
          <w:tcPr>
            <w:tcW w:w="1887" w:type="dxa"/>
            <w:tcBorders>
              <w:left w:val="single" w:sz="4" w:space="0" w:color="auto"/>
            </w:tcBorders>
            <w:noWrap/>
            <w:vAlign w:val="bottom"/>
          </w:tcPr>
          <w:p w14:paraId="211C4463" w14:textId="208F4517" w:rsidR="00156974" w:rsidRDefault="00156974" w:rsidP="007470A7">
            <w:pPr>
              <w:jc w:val="right"/>
              <w:rPr>
                <w:rFonts w:cs="Arial"/>
                <w:bCs/>
                <w:lang w:val="vi-VN"/>
              </w:rPr>
            </w:pPr>
            <w:r w:rsidRPr="005A140F">
              <w:t>2</w:t>
            </w:r>
            <w:r w:rsidR="00CA695B">
              <w:t>,</w:t>
            </w:r>
            <w:r w:rsidRPr="005A140F">
              <w:t>400</w:t>
            </w:r>
            <w:r w:rsidR="00CA695B">
              <w:t>,</w:t>
            </w:r>
            <w:r w:rsidRPr="005A140F">
              <w:t>000</w:t>
            </w:r>
            <w:r w:rsidR="00CA695B">
              <w:t>,</w:t>
            </w:r>
            <w:r w:rsidRPr="005A140F">
              <w:t>000</w:t>
            </w:r>
          </w:p>
        </w:tc>
      </w:tr>
      <w:tr w:rsidR="00156974" w:rsidRPr="00505043" w14:paraId="0A5823B2" w14:textId="77777777" w:rsidTr="007470A7">
        <w:tc>
          <w:tcPr>
            <w:tcW w:w="708" w:type="dxa"/>
            <w:tcBorders>
              <w:right w:val="single" w:sz="4" w:space="0" w:color="auto"/>
            </w:tcBorders>
            <w:noWrap/>
          </w:tcPr>
          <w:p w14:paraId="70805700" w14:textId="2579B0F7" w:rsidR="00156974" w:rsidRDefault="00156974" w:rsidP="00156974">
            <w:pPr>
              <w:ind w:left="-58" w:right="-58"/>
              <w:jc w:val="center"/>
              <w:rPr>
                <w:rFonts w:cs="Arial"/>
                <w:bCs/>
              </w:rPr>
            </w:pPr>
            <w:r w:rsidRPr="00505043">
              <w:rPr>
                <w:rFonts w:cs="Arial"/>
                <w:b/>
                <w:bCs/>
                <w:i/>
              </w:rPr>
              <w:t>310</w:t>
            </w:r>
          </w:p>
        </w:tc>
        <w:tc>
          <w:tcPr>
            <w:tcW w:w="3637" w:type="dxa"/>
            <w:tcBorders>
              <w:left w:val="single" w:sz="4" w:space="0" w:color="auto"/>
              <w:right w:val="single" w:sz="4" w:space="0" w:color="auto"/>
            </w:tcBorders>
            <w:noWrap/>
            <w:vAlign w:val="bottom"/>
          </w:tcPr>
          <w:p w14:paraId="06969703" w14:textId="093A9853" w:rsidR="00156974" w:rsidRDefault="00156974" w:rsidP="00156974">
            <w:pPr>
              <w:ind w:left="302" w:hanging="360"/>
              <w:rPr>
                <w:rFonts w:cs="Arial"/>
              </w:rPr>
            </w:pPr>
            <w:r>
              <w:rPr>
                <w:rFonts w:cs="Arial"/>
                <w:b/>
                <w:bCs/>
                <w:i/>
              </w:rPr>
              <w:t>I</w:t>
            </w:r>
            <w:r w:rsidRPr="00505043">
              <w:rPr>
                <w:rFonts w:cs="Arial"/>
                <w:b/>
                <w:bCs/>
                <w:i/>
              </w:rPr>
              <w:t>I.</w:t>
            </w:r>
            <w:r w:rsidRPr="00505043">
              <w:rPr>
                <w:rFonts w:cs="Arial"/>
                <w:b/>
                <w:bCs/>
                <w:i/>
              </w:rPr>
              <w:tab/>
            </w:r>
            <w:r>
              <w:rPr>
                <w:rFonts w:cs="Arial"/>
                <w:b/>
                <w:bCs/>
                <w:i/>
              </w:rPr>
              <w:t>Non-c</w:t>
            </w:r>
            <w:r w:rsidRPr="00F44939">
              <w:rPr>
                <w:rFonts w:cs="Arial"/>
                <w:b/>
                <w:bCs/>
                <w:i/>
              </w:rPr>
              <w:t>urrent liabilities</w:t>
            </w:r>
          </w:p>
        </w:tc>
        <w:tc>
          <w:tcPr>
            <w:tcW w:w="772" w:type="dxa"/>
            <w:tcBorders>
              <w:top w:val="nil"/>
              <w:left w:val="single" w:sz="4" w:space="0" w:color="auto"/>
              <w:bottom w:val="nil"/>
              <w:right w:val="single" w:sz="4" w:space="0" w:color="auto"/>
            </w:tcBorders>
            <w:noWrap/>
            <w:vAlign w:val="bottom"/>
          </w:tcPr>
          <w:p w14:paraId="5A2BF2E1" w14:textId="77777777" w:rsidR="00156974" w:rsidRPr="00F422E9" w:rsidRDefault="00156974" w:rsidP="00156974">
            <w:pPr>
              <w:ind w:left="-58" w:right="-58"/>
              <w:rPr>
                <w:rFonts w:cs="Arial"/>
                <w:bCs/>
                <w:lang w:val="vi-VN"/>
              </w:rPr>
            </w:pPr>
          </w:p>
        </w:tc>
        <w:tc>
          <w:tcPr>
            <w:tcW w:w="1887" w:type="dxa"/>
            <w:tcBorders>
              <w:left w:val="single" w:sz="4" w:space="0" w:color="auto"/>
              <w:right w:val="single" w:sz="4" w:space="0" w:color="auto"/>
            </w:tcBorders>
            <w:vAlign w:val="bottom"/>
          </w:tcPr>
          <w:p w14:paraId="631182B2" w14:textId="58E97016" w:rsidR="00156974" w:rsidRPr="00156974" w:rsidRDefault="00156974" w:rsidP="007470A7">
            <w:pPr>
              <w:jc w:val="right"/>
              <w:rPr>
                <w:b/>
                <w:bCs/>
                <w:i/>
                <w:iCs/>
              </w:rPr>
            </w:pPr>
            <w:r w:rsidRPr="00156974">
              <w:rPr>
                <w:b/>
                <w:bCs/>
                <w:i/>
                <w:iCs/>
              </w:rPr>
              <w:t>237</w:t>
            </w:r>
            <w:r w:rsidR="00CA695B">
              <w:rPr>
                <w:b/>
                <w:bCs/>
                <w:i/>
                <w:iCs/>
              </w:rPr>
              <w:t>,</w:t>
            </w:r>
            <w:r w:rsidRPr="00156974">
              <w:rPr>
                <w:b/>
                <w:bCs/>
                <w:i/>
                <w:iCs/>
              </w:rPr>
              <w:t>201</w:t>
            </w:r>
            <w:r w:rsidR="00CA695B">
              <w:rPr>
                <w:b/>
                <w:bCs/>
                <w:i/>
                <w:iCs/>
              </w:rPr>
              <w:t>,</w:t>
            </w:r>
            <w:r w:rsidRPr="00156974">
              <w:rPr>
                <w:b/>
                <w:bCs/>
                <w:i/>
                <w:iCs/>
              </w:rPr>
              <w:t xml:space="preserve">008 </w:t>
            </w:r>
          </w:p>
        </w:tc>
        <w:tc>
          <w:tcPr>
            <w:tcW w:w="1887" w:type="dxa"/>
            <w:tcBorders>
              <w:left w:val="single" w:sz="4" w:space="0" w:color="auto"/>
            </w:tcBorders>
            <w:noWrap/>
            <w:vAlign w:val="bottom"/>
          </w:tcPr>
          <w:p w14:paraId="31CFC227" w14:textId="636E50EC" w:rsidR="00156974" w:rsidRPr="00156974" w:rsidRDefault="00156974" w:rsidP="007470A7">
            <w:pPr>
              <w:jc w:val="right"/>
              <w:rPr>
                <w:b/>
                <w:bCs/>
                <w:i/>
                <w:iCs/>
              </w:rPr>
            </w:pPr>
            <w:r w:rsidRPr="00156974">
              <w:rPr>
                <w:b/>
                <w:bCs/>
                <w:i/>
                <w:iCs/>
              </w:rPr>
              <w:t>-</w:t>
            </w:r>
          </w:p>
        </w:tc>
      </w:tr>
      <w:tr w:rsidR="00156974" w:rsidRPr="00505043" w14:paraId="5C154F38" w14:textId="77777777" w:rsidTr="007470A7">
        <w:tc>
          <w:tcPr>
            <w:tcW w:w="708" w:type="dxa"/>
            <w:tcBorders>
              <w:right w:val="single" w:sz="4" w:space="0" w:color="auto"/>
            </w:tcBorders>
            <w:noWrap/>
          </w:tcPr>
          <w:p w14:paraId="6FD443B3" w14:textId="67547A60" w:rsidR="00156974" w:rsidRDefault="00156974" w:rsidP="00156974">
            <w:pPr>
              <w:ind w:left="-58" w:right="-58"/>
              <w:jc w:val="center"/>
              <w:rPr>
                <w:rFonts w:cs="Arial"/>
                <w:bCs/>
              </w:rPr>
            </w:pPr>
            <w:r>
              <w:rPr>
                <w:rFonts w:cs="Arial"/>
                <w:bCs/>
              </w:rPr>
              <w:t>356</w:t>
            </w:r>
          </w:p>
        </w:tc>
        <w:tc>
          <w:tcPr>
            <w:tcW w:w="3637" w:type="dxa"/>
            <w:tcBorders>
              <w:left w:val="single" w:sz="4" w:space="0" w:color="auto"/>
              <w:right w:val="single" w:sz="4" w:space="0" w:color="auto"/>
            </w:tcBorders>
            <w:noWrap/>
            <w:vAlign w:val="bottom"/>
          </w:tcPr>
          <w:p w14:paraId="3D361BD8" w14:textId="36546266" w:rsidR="00156974" w:rsidRDefault="00156974" w:rsidP="00156974">
            <w:pPr>
              <w:ind w:left="302" w:hanging="360"/>
              <w:rPr>
                <w:rFonts w:cs="Arial"/>
              </w:rPr>
            </w:pPr>
            <w:r>
              <w:rPr>
                <w:rFonts w:cs="Arial"/>
              </w:rPr>
              <w:t>1.</w:t>
            </w:r>
            <w:r>
              <w:rPr>
                <w:rFonts w:cs="Arial"/>
              </w:rPr>
              <w:tab/>
              <w:t>Deferred tax liabilities</w:t>
            </w:r>
          </w:p>
        </w:tc>
        <w:tc>
          <w:tcPr>
            <w:tcW w:w="772" w:type="dxa"/>
            <w:tcBorders>
              <w:top w:val="nil"/>
              <w:left w:val="single" w:sz="4" w:space="0" w:color="auto"/>
              <w:bottom w:val="nil"/>
              <w:right w:val="single" w:sz="4" w:space="0" w:color="auto"/>
            </w:tcBorders>
            <w:noWrap/>
            <w:vAlign w:val="bottom"/>
          </w:tcPr>
          <w:p w14:paraId="5FD70402" w14:textId="77777777" w:rsidR="00156974" w:rsidRPr="00F422E9" w:rsidRDefault="00156974" w:rsidP="00156974">
            <w:pPr>
              <w:ind w:left="-58" w:right="-58"/>
              <w:rPr>
                <w:rFonts w:cs="Arial"/>
                <w:bCs/>
                <w:lang w:val="vi-VN"/>
              </w:rPr>
            </w:pPr>
          </w:p>
        </w:tc>
        <w:tc>
          <w:tcPr>
            <w:tcW w:w="1887" w:type="dxa"/>
            <w:tcBorders>
              <w:left w:val="single" w:sz="4" w:space="0" w:color="auto"/>
              <w:right w:val="single" w:sz="4" w:space="0" w:color="auto"/>
            </w:tcBorders>
            <w:vAlign w:val="bottom"/>
          </w:tcPr>
          <w:p w14:paraId="56C1B90F" w14:textId="027AC3FC" w:rsidR="00156974" w:rsidRPr="00E47D1E" w:rsidRDefault="00156974" w:rsidP="007470A7">
            <w:pPr>
              <w:jc w:val="right"/>
            </w:pPr>
            <w:r w:rsidRPr="005A140F">
              <w:t>237</w:t>
            </w:r>
            <w:r w:rsidR="00CA695B">
              <w:t>,</w:t>
            </w:r>
            <w:r w:rsidRPr="005A140F">
              <w:t>201</w:t>
            </w:r>
            <w:r w:rsidR="00CA695B">
              <w:t>,</w:t>
            </w:r>
            <w:r w:rsidRPr="005A140F">
              <w:t>008</w:t>
            </w:r>
          </w:p>
        </w:tc>
        <w:tc>
          <w:tcPr>
            <w:tcW w:w="1887" w:type="dxa"/>
            <w:tcBorders>
              <w:left w:val="single" w:sz="4" w:space="0" w:color="auto"/>
            </w:tcBorders>
            <w:noWrap/>
            <w:vAlign w:val="bottom"/>
          </w:tcPr>
          <w:p w14:paraId="60E569B6" w14:textId="5C0C840E" w:rsidR="00156974" w:rsidRPr="00E47D1E" w:rsidRDefault="00156974" w:rsidP="007470A7">
            <w:pPr>
              <w:jc w:val="right"/>
            </w:pPr>
            <w:r w:rsidRPr="005A140F">
              <w:t>-</w:t>
            </w:r>
          </w:p>
        </w:tc>
      </w:tr>
      <w:tr w:rsidR="00156974" w:rsidRPr="00505043" w14:paraId="5E456838" w14:textId="77777777" w:rsidTr="007470A7">
        <w:tc>
          <w:tcPr>
            <w:tcW w:w="708" w:type="dxa"/>
            <w:tcBorders>
              <w:right w:val="single" w:sz="4" w:space="0" w:color="auto"/>
            </w:tcBorders>
            <w:noWrap/>
          </w:tcPr>
          <w:p w14:paraId="2E8A939E" w14:textId="491B4F54" w:rsidR="00156974" w:rsidRPr="00505043" w:rsidRDefault="00156974" w:rsidP="00156974">
            <w:pPr>
              <w:spacing w:before="120"/>
              <w:ind w:left="-58" w:right="-58"/>
              <w:jc w:val="center"/>
              <w:rPr>
                <w:rFonts w:cs="Arial"/>
                <w:bCs/>
              </w:rPr>
            </w:pPr>
            <w:r w:rsidRPr="00505043">
              <w:rPr>
                <w:rFonts w:cs="Arial"/>
                <w:b/>
                <w:bCs/>
              </w:rPr>
              <w:t>400</w:t>
            </w:r>
          </w:p>
        </w:tc>
        <w:tc>
          <w:tcPr>
            <w:tcW w:w="3637" w:type="dxa"/>
            <w:tcBorders>
              <w:left w:val="single" w:sz="4" w:space="0" w:color="auto"/>
              <w:right w:val="single" w:sz="4" w:space="0" w:color="auto"/>
            </w:tcBorders>
            <w:noWrap/>
            <w:vAlign w:val="bottom"/>
          </w:tcPr>
          <w:p w14:paraId="154DD0F2" w14:textId="0925A09A" w:rsidR="00156974" w:rsidRPr="00505043" w:rsidRDefault="00156974" w:rsidP="00156974">
            <w:pPr>
              <w:spacing w:before="120"/>
              <w:ind w:left="302" w:hanging="360"/>
              <w:rPr>
                <w:rFonts w:cs="Arial"/>
                <w:bCs/>
              </w:rPr>
            </w:pPr>
            <w:r w:rsidRPr="00505043">
              <w:rPr>
                <w:rFonts w:cs="Arial"/>
                <w:b/>
                <w:bCs/>
              </w:rPr>
              <w:t>D</w:t>
            </w:r>
            <w:r w:rsidRPr="00505043">
              <w:rPr>
                <w:rFonts w:cs="Arial"/>
                <w:b/>
                <w:bCs/>
                <w:lang w:val="vi-VN"/>
              </w:rPr>
              <w:t>.</w:t>
            </w:r>
            <w:r w:rsidRPr="00505043">
              <w:rPr>
                <w:rFonts w:cs="Arial"/>
                <w:b/>
                <w:bCs/>
                <w:lang w:val="vi-VN"/>
              </w:rPr>
              <w:tab/>
            </w:r>
            <w:r w:rsidRPr="00C553DA">
              <w:rPr>
                <w:rFonts w:cs="Arial"/>
                <w:b/>
                <w:bCs/>
              </w:rPr>
              <w:t>OWNERS' EQUITY</w:t>
            </w:r>
          </w:p>
        </w:tc>
        <w:tc>
          <w:tcPr>
            <w:tcW w:w="772" w:type="dxa"/>
            <w:tcBorders>
              <w:top w:val="nil"/>
              <w:left w:val="single" w:sz="4" w:space="0" w:color="auto"/>
              <w:bottom w:val="nil"/>
              <w:right w:val="single" w:sz="4" w:space="0" w:color="auto"/>
            </w:tcBorders>
            <w:noWrap/>
            <w:vAlign w:val="bottom"/>
          </w:tcPr>
          <w:p w14:paraId="65557E65" w14:textId="77777777" w:rsidR="00156974" w:rsidRPr="00F422E9" w:rsidRDefault="00156974" w:rsidP="00156974">
            <w:pPr>
              <w:spacing w:before="120"/>
              <w:ind w:left="-58" w:right="-58"/>
              <w:jc w:val="center"/>
              <w:rPr>
                <w:rFonts w:cs="Arial"/>
                <w:bCs/>
                <w:lang w:val="vi-VN"/>
              </w:rPr>
            </w:pPr>
          </w:p>
        </w:tc>
        <w:tc>
          <w:tcPr>
            <w:tcW w:w="1887" w:type="dxa"/>
            <w:tcBorders>
              <w:left w:val="single" w:sz="4" w:space="0" w:color="auto"/>
              <w:right w:val="single" w:sz="4" w:space="0" w:color="auto"/>
            </w:tcBorders>
            <w:vAlign w:val="bottom"/>
          </w:tcPr>
          <w:p w14:paraId="1BDEE886" w14:textId="48CAD056" w:rsidR="00156974" w:rsidRPr="007470A7" w:rsidRDefault="00156974" w:rsidP="007470A7">
            <w:pPr>
              <w:spacing w:before="120"/>
              <w:jc w:val="right"/>
              <w:rPr>
                <w:rFonts w:cs="Arial"/>
                <w:b/>
                <w:bCs/>
              </w:rPr>
            </w:pPr>
            <w:r w:rsidRPr="007470A7">
              <w:rPr>
                <w:b/>
                <w:bCs/>
              </w:rPr>
              <w:t>1</w:t>
            </w:r>
            <w:r w:rsidR="009F4F7C">
              <w:t>,</w:t>
            </w:r>
            <w:r w:rsidRPr="007470A7">
              <w:rPr>
                <w:b/>
                <w:bCs/>
              </w:rPr>
              <w:t>308</w:t>
            </w:r>
            <w:r w:rsidR="009F4F7C">
              <w:t>,</w:t>
            </w:r>
            <w:r w:rsidRPr="007470A7">
              <w:rPr>
                <w:b/>
                <w:bCs/>
              </w:rPr>
              <w:t>994</w:t>
            </w:r>
            <w:r w:rsidR="009F4F7C">
              <w:t>,</w:t>
            </w:r>
            <w:r w:rsidRPr="007470A7">
              <w:rPr>
                <w:b/>
                <w:bCs/>
              </w:rPr>
              <w:t>524</w:t>
            </w:r>
            <w:r w:rsidR="009F4F7C">
              <w:t>,</w:t>
            </w:r>
            <w:r w:rsidRPr="007470A7">
              <w:rPr>
                <w:b/>
                <w:bCs/>
              </w:rPr>
              <w:t xml:space="preserve">496 </w:t>
            </w:r>
          </w:p>
        </w:tc>
        <w:tc>
          <w:tcPr>
            <w:tcW w:w="1887" w:type="dxa"/>
            <w:tcBorders>
              <w:left w:val="single" w:sz="4" w:space="0" w:color="auto"/>
            </w:tcBorders>
            <w:noWrap/>
            <w:vAlign w:val="bottom"/>
          </w:tcPr>
          <w:p w14:paraId="518B0B82" w14:textId="533EA575" w:rsidR="00156974" w:rsidRPr="007470A7" w:rsidRDefault="00156974" w:rsidP="007470A7">
            <w:pPr>
              <w:spacing w:before="120"/>
              <w:jc w:val="right"/>
              <w:rPr>
                <w:rFonts w:cs="Arial"/>
                <w:b/>
                <w:bCs/>
              </w:rPr>
            </w:pPr>
            <w:r w:rsidRPr="007470A7">
              <w:rPr>
                <w:b/>
                <w:bCs/>
              </w:rPr>
              <w:t>1</w:t>
            </w:r>
            <w:r w:rsidR="009F4F7C">
              <w:t>,</w:t>
            </w:r>
            <w:r w:rsidRPr="007470A7">
              <w:rPr>
                <w:b/>
                <w:bCs/>
              </w:rPr>
              <w:t>278</w:t>
            </w:r>
            <w:r w:rsidR="009F4F7C">
              <w:t>,</w:t>
            </w:r>
            <w:r w:rsidRPr="007470A7">
              <w:rPr>
                <w:b/>
                <w:bCs/>
              </w:rPr>
              <w:t>430</w:t>
            </w:r>
            <w:r w:rsidR="009F4F7C">
              <w:t>,</w:t>
            </w:r>
            <w:r w:rsidRPr="007470A7">
              <w:rPr>
                <w:b/>
                <w:bCs/>
              </w:rPr>
              <w:t>810</w:t>
            </w:r>
            <w:r w:rsidR="009F4F7C">
              <w:t>,</w:t>
            </w:r>
            <w:r w:rsidRPr="007470A7">
              <w:rPr>
                <w:b/>
                <w:bCs/>
              </w:rPr>
              <w:t xml:space="preserve">044 </w:t>
            </w:r>
          </w:p>
        </w:tc>
      </w:tr>
      <w:tr w:rsidR="00156974" w:rsidRPr="00505043" w14:paraId="30CF6159" w14:textId="77777777" w:rsidTr="007470A7">
        <w:tc>
          <w:tcPr>
            <w:tcW w:w="708" w:type="dxa"/>
            <w:tcBorders>
              <w:right w:val="single" w:sz="4" w:space="0" w:color="auto"/>
            </w:tcBorders>
            <w:noWrap/>
          </w:tcPr>
          <w:p w14:paraId="27BC1F10" w14:textId="141EEB42" w:rsidR="00156974" w:rsidRPr="00505043" w:rsidRDefault="00156974" w:rsidP="00156974">
            <w:pPr>
              <w:spacing w:before="120"/>
              <w:ind w:left="-58" w:right="-58"/>
              <w:jc w:val="center"/>
              <w:rPr>
                <w:rFonts w:cs="Arial"/>
                <w:bCs/>
              </w:rPr>
            </w:pPr>
            <w:r w:rsidRPr="00505043">
              <w:rPr>
                <w:rFonts w:cs="Arial"/>
                <w:b/>
                <w:bCs/>
                <w:i/>
              </w:rPr>
              <w:t>410</w:t>
            </w:r>
          </w:p>
        </w:tc>
        <w:tc>
          <w:tcPr>
            <w:tcW w:w="3637" w:type="dxa"/>
            <w:tcBorders>
              <w:left w:val="single" w:sz="4" w:space="0" w:color="auto"/>
              <w:right w:val="single" w:sz="4" w:space="0" w:color="auto"/>
            </w:tcBorders>
            <w:noWrap/>
            <w:vAlign w:val="bottom"/>
          </w:tcPr>
          <w:p w14:paraId="77005FCF" w14:textId="77733AF0" w:rsidR="00156974" w:rsidRPr="00505043" w:rsidRDefault="00156974" w:rsidP="00156974">
            <w:pPr>
              <w:spacing w:before="120"/>
              <w:ind w:left="302" w:hanging="360"/>
              <w:rPr>
                <w:rFonts w:cs="Arial"/>
                <w:bCs/>
              </w:rPr>
            </w:pPr>
            <w:r w:rsidRPr="00505043">
              <w:rPr>
                <w:rFonts w:cs="Arial"/>
                <w:b/>
                <w:bCs/>
                <w:i/>
              </w:rPr>
              <w:t>I.</w:t>
            </w:r>
            <w:r w:rsidRPr="00505043">
              <w:rPr>
                <w:rFonts w:cs="Arial"/>
                <w:b/>
                <w:bCs/>
                <w:i/>
              </w:rPr>
              <w:tab/>
            </w:r>
            <w:r w:rsidRPr="00F17A1E">
              <w:rPr>
                <w:rFonts w:cs="Arial"/>
                <w:b/>
                <w:bCs/>
                <w:i/>
                <w:lang w:val="vi-VN"/>
              </w:rPr>
              <w:t>Owners' equity</w:t>
            </w:r>
          </w:p>
        </w:tc>
        <w:tc>
          <w:tcPr>
            <w:tcW w:w="772" w:type="dxa"/>
            <w:tcBorders>
              <w:top w:val="nil"/>
              <w:left w:val="single" w:sz="4" w:space="0" w:color="auto"/>
              <w:bottom w:val="nil"/>
              <w:right w:val="single" w:sz="4" w:space="0" w:color="auto"/>
            </w:tcBorders>
            <w:noWrap/>
            <w:vAlign w:val="bottom"/>
          </w:tcPr>
          <w:p w14:paraId="64686E79" w14:textId="3B7996AD" w:rsidR="00156974" w:rsidRPr="00F422E9" w:rsidRDefault="00156974" w:rsidP="00156974">
            <w:pPr>
              <w:spacing w:before="120"/>
              <w:ind w:left="-58" w:right="-58"/>
              <w:jc w:val="center"/>
              <w:rPr>
                <w:rFonts w:cs="Arial"/>
                <w:b/>
                <w:bCs/>
                <w:i/>
              </w:rPr>
            </w:pPr>
            <w:r w:rsidRPr="00F422E9">
              <w:rPr>
                <w:rFonts w:cs="Arial"/>
                <w:b/>
                <w:bCs/>
                <w:i/>
              </w:rPr>
              <w:t>18</w:t>
            </w:r>
          </w:p>
        </w:tc>
        <w:tc>
          <w:tcPr>
            <w:tcW w:w="1887" w:type="dxa"/>
            <w:tcBorders>
              <w:left w:val="single" w:sz="4" w:space="0" w:color="auto"/>
              <w:right w:val="single" w:sz="4" w:space="0" w:color="auto"/>
            </w:tcBorders>
            <w:vAlign w:val="bottom"/>
          </w:tcPr>
          <w:p w14:paraId="156315EA" w14:textId="4D8D199C" w:rsidR="00156974" w:rsidRPr="007470A7" w:rsidRDefault="00156974" w:rsidP="007470A7">
            <w:pPr>
              <w:spacing w:before="120"/>
              <w:jc w:val="right"/>
              <w:rPr>
                <w:rFonts w:cs="Arial"/>
                <w:b/>
                <w:bCs/>
                <w:i/>
                <w:iCs/>
              </w:rPr>
            </w:pPr>
            <w:r w:rsidRPr="007470A7">
              <w:rPr>
                <w:b/>
                <w:bCs/>
                <w:i/>
                <w:iCs/>
              </w:rPr>
              <w:t>1</w:t>
            </w:r>
            <w:r w:rsidR="009F4F7C">
              <w:t>,</w:t>
            </w:r>
            <w:r w:rsidRPr="007470A7">
              <w:rPr>
                <w:b/>
                <w:bCs/>
                <w:i/>
                <w:iCs/>
              </w:rPr>
              <w:t>308</w:t>
            </w:r>
            <w:r w:rsidR="009F4F7C">
              <w:t>,</w:t>
            </w:r>
            <w:r w:rsidRPr="007470A7">
              <w:rPr>
                <w:b/>
                <w:bCs/>
                <w:i/>
                <w:iCs/>
              </w:rPr>
              <w:t>994</w:t>
            </w:r>
            <w:r w:rsidR="009F4F7C">
              <w:t>,</w:t>
            </w:r>
            <w:r w:rsidRPr="007470A7">
              <w:rPr>
                <w:b/>
                <w:bCs/>
                <w:i/>
                <w:iCs/>
              </w:rPr>
              <w:t>524</w:t>
            </w:r>
            <w:r w:rsidR="009F4F7C">
              <w:t>,</w:t>
            </w:r>
            <w:r w:rsidRPr="007470A7">
              <w:rPr>
                <w:b/>
                <w:bCs/>
                <w:i/>
                <w:iCs/>
              </w:rPr>
              <w:t>496</w:t>
            </w:r>
          </w:p>
        </w:tc>
        <w:tc>
          <w:tcPr>
            <w:tcW w:w="1887" w:type="dxa"/>
            <w:tcBorders>
              <w:left w:val="single" w:sz="4" w:space="0" w:color="auto"/>
            </w:tcBorders>
            <w:noWrap/>
            <w:vAlign w:val="bottom"/>
          </w:tcPr>
          <w:p w14:paraId="154C7273" w14:textId="604C3962" w:rsidR="00156974" w:rsidRPr="007470A7" w:rsidRDefault="00156974" w:rsidP="007470A7">
            <w:pPr>
              <w:spacing w:before="120"/>
              <w:jc w:val="right"/>
              <w:rPr>
                <w:rFonts w:cs="Arial"/>
                <w:b/>
                <w:bCs/>
                <w:i/>
                <w:iCs/>
              </w:rPr>
            </w:pPr>
            <w:r w:rsidRPr="007470A7">
              <w:rPr>
                <w:b/>
                <w:bCs/>
                <w:i/>
                <w:iCs/>
              </w:rPr>
              <w:t>1</w:t>
            </w:r>
            <w:r w:rsidR="009F4F7C">
              <w:t>,</w:t>
            </w:r>
            <w:r w:rsidRPr="007470A7">
              <w:rPr>
                <w:b/>
                <w:bCs/>
                <w:i/>
                <w:iCs/>
              </w:rPr>
              <w:t>278</w:t>
            </w:r>
            <w:r w:rsidR="009F4F7C">
              <w:t>,</w:t>
            </w:r>
            <w:r w:rsidRPr="007470A7">
              <w:rPr>
                <w:b/>
                <w:bCs/>
                <w:i/>
                <w:iCs/>
              </w:rPr>
              <w:t>430</w:t>
            </w:r>
            <w:r w:rsidR="009F4F7C">
              <w:t>,</w:t>
            </w:r>
            <w:r w:rsidRPr="007470A7">
              <w:rPr>
                <w:b/>
                <w:bCs/>
                <w:i/>
                <w:iCs/>
              </w:rPr>
              <w:t>810</w:t>
            </w:r>
            <w:r w:rsidR="009F4F7C">
              <w:t>,</w:t>
            </w:r>
            <w:r w:rsidRPr="007470A7">
              <w:rPr>
                <w:b/>
                <w:bCs/>
                <w:i/>
                <w:iCs/>
              </w:rPr>
              <w:t xml:space="preserve">044 </w:t>
            </w:r>
          </w:p>
        </w:tc>
      </w:tr>
      <w:tr w:rsidR="00156974" w:rsidRPr="00811828" w14:paraId="001DA047" w14:textId="77777777" w:rsidTr="007470A7">
        <w:tc>
          <w:tcPr>
            <w:tcW w:w="708" w:type="dxa"/>
            <w:tcBorders>
              <w:right w:val="single" w:sz="4" w:space="0" w:color="auto"/>
            </w:tcBorders>
            <w:noWrap/>
          </w:tcPr>
          <w:p w14:paraId="1ED65652" w14:textId="574FD681" w:rsidR="00156974" w:rsidRPr="00505043" w:rsidRDefault="00156974" w:rsidP="00156974">
            <w:pPr>
              <w:spacing w:before="120"/>
              <w:ind w:left="-58" w:right="-58"/>
              <w:jc w:val="center"/>
              <w:rPr>
                <w:rFonts w:cs="Arial"/>
                <w:bCs/>
              </w:rPr>
            </w:pPr>
            <w:r w:rsidRPr="00505043">
              <w:rPr>
                <w:rFonts w:cs="Arial"/>
                <w:bCs/>
              </w:rPr>
              <w:t>411</w:t>
            </w:r>
          </w:p>
        </w:tc>
        <w:tc>
          <w:tcPr>
            <w:tcW w:w="3637" w:type="dxa"/>
            <w:tcBorders>
              <w:left w:val="single" w:sz="4" w:space="0" w:color="auto"/>
              <w:right w:val="single" w:sz="4" w:space="0" w:color="auto"/>
            </w:tcBorders>
            <w:noWrap/>
            <w:vAlign w:val="bottom"/>
          </w:tcPr>
          <w:p w14:paraId="1FBA4A1A" w14:textId="3D4B5F57" w:rsidR="00156974" w:rsidRPr="00505043" w:rsidRDefault="00156974" w:rsidP="00156974">
            <w:pPr>
              <w:spacing w:before="120"/>
              <w:ind w:left="302" w:hanging="360"/>
              <w:rPr>
                <w:rFonts w:cs="Arial"/>
                <w:bCs/>
              </w:rPr>
            </w:pPr>
            <w:r w:rsidRPr="00505043">
              <w:rPr>
                <w:rFonts w:cs="Arial"/>
                <w:bCs/>
              </w:rPr>
              <w:t>1.</w:t>
            </w:r>
            <w:r w:rsidRPr="00505043">
              <w:rPr>
                <w:rFonts w:cs="Arial"/>
                <w:bCs/>
              </w:rPr>
              <w:tab/>
            </w:r>
            <w:r w:rsidRPr="00C01512">
              <w:rPr>
                <w:rFonts w:cs="Arial"/>
                <w:bCs/>
                <w:lang w:val="vi-VN"/>
              </w:rPr>
              <w:t>Share capital</w:t>
            </w:r>
          </w:p>
        </w:tc>
        <w:tc>
          <w:tcPr>
            <w:tcW w:w="772" w:type="dxa"/>
            <w:tcBorders>
              <w:top w:val="nil"/>
              <w:left w:val="single" w:sz="4" w:space="0" w:color="auto"/>
              <w:bottom w:val="nil"/>
              <w:right w:val="single" w:sz="4" w:space="0" w:color="auto"/>
            </w:tcBorders>
            <w:noWrap/>
            <w:vAlign w:val="bottom"/>
          </w:tcPr>
          <w:p w14:paraId="48B997C5" w14:textId="77777777" w:rsidR="00156974" w:rsidRPr="00F422E9" w:rsidRDefault="00156974" w:rsidP="00156974">
            <w:pPr>
              <w:spacing w:before="120"/>
              <w:ind w:left="-58" w:right="-58"/>
              <w:jc w:val="center"/>
              <w:rPr>
                <w:rFonts w:cs="Arial"/>
                <w:bCs/>
                <w:lang w:val="vi-VN"/>
              </w:rPr>
            </w:pPr>
          </w:p>
        </w:tc>
        <w:tc>
          <w:tcPr>
            <w:tcW w:w="1887" w:type="dxa"/>
            <w:tcBorders>
              <w:left w:val="single" w:sz="4" w:space="0" w:color="auto"/>
              <w:right w:val="single" w:sz="4" w:space="0" w:color="auto"/>
            </w:tcBorders>
            <w:vAlign w:val="bottom"/>
          </w:tcPr>
          <w:p w14:paraId="13002F9E" w14:textId="639F6C79" w:rsidR="00156974" w:rsidRPr="003C222B" w:rsidRDefault="00156974" w:rsidP="007470A7">
            <w:pPr>
              <w:spacing w:before="120"/>
              <w:jc w:val="right"/>
              <w:rPr>
                <w:rFonts w:cs="Arial"/>
              </w:rPr>
            </w:pPr>
            <w:r w:rsidRPr="005A140F">
              <w:t>1239</w:t>
            </w:r>
            <w:r w:rsidR="009F4F7C">
              <w:t>,</w:t>
            </w:r>
            <w:r w:rsidRPr="005A140F">
              <w:t>000</w:t>
            </w:r>
            <w:r w:rsidR="009F4F7C">
              <w:t>,</w:t>
            </w:r>
            <w:r w:rsidRPr="005A140F">
              <w:t>000</w:t>
            </w:r>
            <w:r w:rsidR="009F4F7C">
              <w:t>,</w:t>
            </w:r>
            <w:r w:rsidRPr="005A140F">
              <w:t xml:space="preserve">000 </w:t>
            </w:r>
          </w:p>
        </w:tc>
        <w:tc>
          <w:tcPr>
            <w:tcW w:w="1887" w:type="dxa"/>
            <w:tcBorders>
              <w:left w:val="single" w:sz="4" w:space="0" w:color="auto"/>
            </w:tcBorders>
            <w:noWrap/>
            <w:vAlign w:val="bottom"/>
          </w:tcPr>
          <w:p w14:paraId="092F8C14" w14:textId="0527C8AD" w:rsidR="00156974" w:rsidRPr="00811828" w:rsidRDefault="00156974" w:rsidP="007470A7">
            <w:pPr>
              <w:spacing w:before="120"/>
              <w:jc w:val="right"/>
              <w:rPr>
                <w:rFonts w:cs="Arial"/>
                <w:bCs/>
              </w:rPr>
            </w:pPr>
            <w:r w:rsidRPr="005A140F">
              <w:t>1</w:t>
            </w:r>
            <w:r w:rsidR="009F4F7C">
              <w:t>,</w:t>
            </w:r>
            <w:r w:rsidRPr="005A140F">
              <w:t>239</w:t>
            </w:r>
            <w:r w:rsidR="009F4F7C">
              <w:t>,</w:t>
            </w:r>
            <w:r w:rsidRPr="005A140F">
              <w:t>000</w:t>
            </w:r>
            <w:r w:rsidR="009F4F7C">
              <w:t>,</w:t>
            </w:r>
            <w:r w:rsidRPr="005A140F">
              <w:t>000</w:t>
            </w:r>
            <w:r w:rsidR="009F4F7C">
              <w:t>,</w:t>
            </w:r>
            <w:r w:rsidRPr="005A140F">
              <w:t xml:space="preserve">000 </w:t>
            </w:r>
          </w:p>
        </w:tc>
      </w:tr>
      <w:tr w:rsidR="00156974" w:rsidRPr="00811828" w14:paraId="43D63DA4" w14:textId="77777777" w:rsidTr="007470A7">
        <w:tc>
          <w:tcPr>
            <w:tcW w:w="708" w:type="dxa"/>
            <w:tcBorders>
              <w:right w:val="single" w:sz="4" w:space="0" w:color="auto"/>
            </w:tcBorders>
            <w:noWrap/>
          </w:tcPr>
          <w:p w14:paraId="0B9A8270" w14:textId="20DF9CD0" w:rsidR="00156974" w:rsidRPr="00811828" w:rsidRDefault="00156974" w:rsidP="00156974">
            <w:pPr>
              <w:ind w:left="-58" w:right="-58"/>
              <w:jc w:val="center"/>
              <w:rPr>
                <w:rFonts w:cs="Arial"/>
                <w:bCs/>
                <w:i/>
              </w:rPr>
            </w:pPr>
            <w:r w:rsidRPr="00811828">
              <w:rPr>
                <w:rFonts w:cs="Arial"/>
                <w:bCs/>
                <w:i/>
              </w:rPr>
              <w:t>411.1</w:t>
            </w:r>
          </w:p>
        </w:tc>
        <w:tc>
          <w:tcPr>
            <w:tcW w:w="3637" w:type="dxa"/>
            <w:tcBorders>
              <w:left w:val="single" w:sz="4" w:space="0" w:color="auto"/>
              <w:right w:val="single" w:sz="4" w:space="0" w:color="auto"/>
            </w:tcBorders>
            <w:noWrap/>
            <w:vAlign w:val="bottom"/>
          </w:tcPr>
          <w:p w14:paraId="418AB078" w14:textId="3D56A172" w:rsidR="00156974" w:rsidRPr="00811828" w:rsidRDefault="00156974" w:rsidP="00156974">
            <w:pPr>
              <w:ind w:left="662" w:hanging="360"/>
              <w:rPr>
                <w:rFonts w:cs="Arial"/>
                <w:bCs/>
              </w:rPr>
            </w:pPr>
            <w:r w:rsidRPr="00811828">
              <w:rPr>
                <w:rFonts w:cs="Arial"/>
                <w:i/>
              </w:rPr>
              <w:t>1.1</w:t>
            </w:r>
            <w:r w:rsidRPr="00811828">
              <w:rPr>
                <w:rFonts w:cs="Arial"/>
                <w:i/>
              </w:rPr>
              <w:tab/>
            </w:r>
            <w:r w:rsidRPr="006C3855">
              <w:rPr>
                <w:rFonts w:cs="Arial"/>
                <w:i/>
              </w:rPr>
              <w:t>Capital contribution</w:t>
            </w:r>
          </w:p>
        </w:tc>
        <w:tc>
          <w:tcPr>
            <w:tcW w:w="772" w:type="dxa"/>
            <w:tcBorders>
              <w:top w:val="nil"/>
              <w:left w:val="single" w:sz="4" w:space="0" w:color="auto"/>
              <w:bottom w:val="nil"/>
              <w:right w:val="single" w:sz="4" w:space="0" w:color="auto"/>
            </w:tcBorders>
            <w:noWrap/>
            <w:vAlign w:val="bottom"/>
          </w:tcPr>
          <w:p w14:paraId="00A0D324" w14:textId="77777777" w:rsidR="00156974" w:rsidRPr="00F422E9" w:rsidRDefault="00156974" w:rsidP="00156974">
            <w:pPr>
              <w:ind w:left="-58" w:right="-58"/>
              <w:jc w:val="center"/>
              <w:rPr>
                <w:rFonts w:cs="Arial"/>
                <w:bCs/>
                <w:i/>
                <w:lang w:val="vi-VN"/>
              </w:rPr>
            </w:pPr>
          </w:p>
        </w:tc>
        <w:tc>
          <w:tcPr>
            <w:tcW w:w="1887" w:type="dxa"/>
            <w:tcBorders>
              <w:left w:val="single" w:sz="4" w:space="0" w:color="auto"/>
              <w:right w:val="single" w:sz="4" w:space="0" w:color="auto"/>
            </w:tcBorders>
            <w:vAlign w:val="bottom"/>
          </w:tcPr>
          <w:p w14:paraId="34D0B152" w14:textId="13810F60" w:rsidR="00156974" w:rsidRPr="007470A7" w:rsidRDefault="00156974" w:rsidP="007470A7">
            <w:pPr>
              <w:jc w:val="right"/>
              <w:rPr>
                <w:rFonts w:cs="Arial"/>
                <w:i/>
                <w:iCs/>
              </w:rPr>
            </w:pPr>
            <w:r w:rsidRPr="007470A7">
              <w:rPr>
                <w:i/>
                <w:iCs/>
              </w:rPr>
              <w:t>1</w:t>
            </w:r>
            <w:r w:rsidR="009F4F7C">
              <w:t>,</w:t>
            </w:r>
            <w:r w:rsidRPr="007470A7">
              <w:rPr>
                <w:i/>
                <w:iCs/>
              </w:rPr>
              <w:t>239</w:t>
            </w:r>
            <w:r w:rsidR="009F4F7C">
              <w:t>,</w:t>
            </w:r>
            <w:r w:rsidRPr="007470A7">
              <w:rPr>
                <w:i/>
                <w:iCs/>
              </w:rPr>
              <w:t>000</w:t>
            </w:r>
            <w:r w:rsidR="009F4F7C">
              <w:t>,</w:t>
            </w:r>
            <w:r w:rsidRPr="007470A7">
              <w:rPr>
                <w:i/>
                <w:iCs/>
              </w:rPr>
              <w:t>000</w:t>
            </w:r>
            <w:r w:rsidR="009F4F7C">
              <w:t>,</w:t>
            </w:r>
            <w:r w:rsidRPr="007470A7">
              <w:rPr>
                <w:i/>
                <w:iCs/>
              </w:rPr>
              <w:t xml:space="preserve">000 </w:t>
            </w:r>
          </w:p>
        </w:tc>
        <w:tc>
          <w:tcPr>
            <w:tcW w:w="1887" w:type="dxa"/>
            <w:tcBorders>
              <w:left w:val="single" w:sz="4" w:space="0" w:color="auto"/>
            </w:tcBorders>
            <w:noWrap/>
            <w:vAlign w:val="bottom"/>
          </w:tcPr>
          <w:p w14:paraId="452F54D5" w14:textId="3CFC104F" w:rsidR="00156974" w:rsidRPr="007470A7" w:rsidRDefault="00156974" w:rsidP="007470A7">
            <w:pPr>
              <w:jc w:val="right"/>
              <w:rPr>
                <w:rFonts w:cs="Arial"/>
                <w:bCs/>
                <w:i/>
                <w:iCs/>
              </w:rPr>
            </w:pPr>
            <w:r w:rsidRPr="007470A7">
              <w:rPr>
                <w:i/>
                <w:iCs/>
              </w:rPr>
              <w:t>1</w:t>
            </w:r>
            <w:r w:rsidR="009F4F7C">
              <w:t>,</w:t>
            </w:r>
            <w:r w:rsidRPr="007470A7">
              <w:rPr>
                <w:i/>
                <w:iCs/>
              </w:rPr>
              <w:t>239</w:t>
            </w:r>
            <w:r w:rsidR="009F4F7C">
              <w:t>,</w:t>
            </w:r>
            <w:r w:rsidRPr="007470A7">
              <w:rPr>
                <w:i/>
                <w:iCs/>
              </w:rPr>
              <w:t>000</w:t>
            </w:r>
            <w:r w:rsidR="009F4F7C">
              <w:t>,</w:t>
            </w:r>
            <w:r w:rsidRPr="007470A7">
              <w:rPr>
                <w:i/>
                <w:iCs/>
              </w:rPr>
              <w:t>000</w:t>
            </w:r>
            <w:r w:rsidR="009F4F7C">
              <w:t>,</w:t>
            </w:r>
            <w:r w:rsidRPr="007470A7">
              <w:rPr>
                <w:i/>
                <w:iCs/>
              </w:rPr>
              <w:t xml:space="preserve">000 </w:t>
            </w:r>
          </w:p>
        </w:tc>
      </w:tr>
      <w:tr w:rsidR="00156974" w:rsidRPr="00811828" w14:paraId="6BB04859" w14:textId="77777777" w:rsidTr="007470A7">
        <w:tc>
          <w:tcPr>
            <w:tcW w:w="708" w:type="dxa"/>
            <w:tcBorders>
              <w:right w:val="single" w:sz="4" w:space="0" w:color="auto"/>
            </w:tcBorders>
            <w:noWrap/>
          </w:tcPr>
          <w:p w14:paraId="4FB6BA33" w14:textId="070A81EE" w:rsidR="00156974" w:rsidRPr="005C55A7" w:rsidRDefault="00156974" w:rsidP="00156974">
            <w:pPr>
              <w:ind w:left="-58" w:right="-58"/>
              <w:jc w:val="center"/>
              <w:rPr>
                <w:rFonts w:cs="Arial"/>
                <w:bCs/>
              </w:rPr>
            </w:pPr>
            <w:r w:rsidRPr="005C55A7">
              <w:rPr>
                <w:rFonts w:cs="Arial"/>
                <w:bCs/>
              </w:rPr>
              <w:t>414</w:t>
            </w:r>
          </w:p>
        </w:tc>
        <w:tc>
          <w:tcPr>
            <w:tcW w:w="3637" w:type="dxa"/>
            <w:tcBorders>
              <w:left w:val="single" w:sz="4" w:space="0" w:color="auto"/>
              <w:right w:val="single" w:sz="4" w:space="0" w:color="auto"/>
            </w:tcBorders>
            <w:noWrap/>
            <w:vAlign w:val="bottom"/>
          </w:tcPr>
          <w:p w14:paraId="30120B46" w14:textId="7404CF2E" w:rsidR="00156974" w:rsidRPr="00FA28E4" w:rsidRDefault="00156974" w:rsidP="00156974">
            <w:pPr>
              <w:ind w:left="302" w:hanging="360"/>
              <w:jc w:val="left"/>
              <w:rPr>
                <w:rFonts w:cs="Arial"/>
                <w:bCs/>
                <w:lang w:val="vi-VN"/>
              </w:rPr>
            </w:pPr>
            <w:r w:rsidRPr="00FA28E4">
              <w:rPr>
                <w:rFonts w:cs="Arial"/>
                <w:bCs/>
              </w:rPr>
              <w:t>2</w:t>
            </w:r>
            <w:r w:rsidRPr="00FA28E4">
              <w:rPr>
                <w:rFonts w:cs="Arial"/>
                <w:bCs/>
                <w:lang w:val="vi-VN"/>
              </w:rPr>
              <w:t>.</w:t>
            </w:r>
            <w:r w:rsidRPr="00FA28E4">
              <w:rPr>
                <w:rFonts w:cs="Arial"/>
                <w:bCs/>
                <w:lang w:val="vi-VN"/>
              </w:rPr>
              <w:tab/>
            </w:r>
            <w:r w:rsidRPr="00FA28E4">
              <w:rPr>
                <w:rFonts w:cs="Arial"/>
                <w:bCs/>
                <w:lang w:val="vi-VN"/>
              </w:rPr>
              <w:tab/>
            </w:r>
            <w:r w:rsidRPr="005C55A7">
              <w:rPr>
                <w:rFonts w:cs="Arial"/>
                <w:bCs/>
                <w:lang w:val="vi-VN"/>
              </w:rPr>
              <w:t>Charter capital supplementary reserve</w:t>
            </w:r>
          </w:p>
        </w:tc>
        <w:tc>
          <w:tcPr>
            <w:tcW w:w="772" w:type="dxa"/>
            <w:tcBorders>
              <w:top w:val="nil"/>
              <w:left w:val="single" w:sz="4" w:space="0" w:color="auto"/>
              <w:bottom w:val="nil"/>
              <w:right w:val="single" w:sz="4" w:space="0" w:color="auto"/>
            </w:tcBorders>
            <w:noWrap/>
            <w:vAlign w:val="bottom"/>
          </w:tcPr>
          <w:p w14:paraId="3F47409D" w14:textId="77777777" w:rsidR="00156974" w:rsidRPr="00F422E9" w:rsidRDefault="00156974" w:rsidP="00156974">
            <w:pPr>
              <w:ind w:left="-58" w:right="-58"/>
              <w:jc w:val="center"/>
              <w:rPr>
                <w:rFonts w:cs="Arial"/>
                <w:bCs/>
                <w:lang w:val="vi-VN"/>
              </w:rPr>
            </w:pPr>
          </w:p>
        </w:tc>
        <w:tc>
          <w:tcPr>
            <w:tcW w:w="1887" w:type="dxa"/>
            <w:tcBorders>
              <w:left w:val="single" w:sz="4" w:space="0" w:color="auto"/>
              <w:right w:val="single" w:sz="4" w:space="0" w:color="auto"/>
            </w:tcBorders>
            <w:vAlign w:val="bottom"/>
          </w:tcPr>
          <w:p w14:paraId="2B86AC1D" w14:textId="7F5669C7" w:rsidR="00156974" w:rsidRPr="003C222B" w:rsidRDefault="00156974" w:rsidP="007470A7">
            <w:pPr>
              <w:jc w:val="right"/>
              <w:rPr>
                <w:rFonts w:cs="Arial"/>
              </w:rPr>
            </w:pPr>
            <w:r w:rsidRPr="005A140F">
              <w:t>113</w:t>
            </w:r>
            <w:r w:rsidR="009F4F7C">
              <w:t>,</w:t>
            </w:r>
            <w:r w:rsidRPr="005A140F">
              <w:t>649</w:t>
            </w:r>
            <w:r w:rsidR="009F4F7C">
              <w:t>,</w:t>
            </w:r>
            <w:r w:rsidRPr="005A140F">
              <w:t xml:space="preserve">448 </w:t>
            </w:r>
          </w:p>
        </w:tc>
        <w:tc>
          <w:tcPr>
            <w:tcW w:w="1887" w:type="dxa"/>
            <w:tcBorders>
              <w:left w:val="single" w:sz="4" w:space="0" w:color="auto"/>
            </w:tcBorders>
            <w:noWrap/>
            <w:vAlign w:val="bottom"/>
          </w:tcPr>
          <w:p w14:paraId="6885AFA5" w14:textId="292E15BD" w:rsidR="00156974" w:rsidRPr="00811828" w:rsidRDefault="00156974" w:rsidP="007470A7">
            <w:pPr>
              <w:jc w:val="right"/>
              <w:rPr>
                <w:rFonts w:cs="Arial"/>
                <w:bCs/>
              </w:rPr>
            </w:pPr>
            <w:r w:rsidRPr="005A140F">
              <w:t>113</w:t>
            </w:r>
            <w:r w:rsidR="009F4F7C">
              <w:t>,</w:t>
            </w:r>
            <w:r w:rsidRPr="005A140F">
              <w:t>649</w:t>
            </w:r>
            <w:r w:rsidR="009F4F7C">
              <w:t>,</w:t>
            </w:r>
            <w:r w:rsidRPr="005A140F">
              <w:t xml:space="preserve">448 </w:t>
            </w:r>
          </w:p>
        </w:tc>
      </w:tr>
      <w:tr w:rsidR="00156974" w:rsidRPr="00811828" w14:paraId="4FE6DC69" w14:textId="77777777" w:rsidTr="007470A7">
        <w:tc>
          <w:tcPr>
            <w:tcW w:w="708" w:type="dxa"/>
            <w:tcBorders>
              <w:right w:val="single" w:sz="4" w:space="0" w:color="auto"/>
            </w:tcBorders>
            <w:noWrap/>
          </w:tcPr>
          <w:p w14:paraId="4524F72C" w14:textId="0E13DB65" w:rsidR="00156974" w:rsidRPr="005C55A7" w:rsidRDefault="00156974" w:rsidP="00156974">
            <w:pPr>
              <w:ind w:left="-58" w:right="-58"/>
              <w:jc w:val="center"/>
              <w:rPr>
                <w:rFonts w:cs="Arial"/>
                <w:bCs/>
              </w:rPr>
            </w:pPr>
            <w:r w:rsidRPr="005C55A7">
              <w:rPr>
                <w:rFonts w:cs="Arial"/>
                <w:bCs/>
              </w:rPr>
              <w:t>415</w:t>
            </w:r>
          </w:p>
        </w:tc>
        <w:tc>
          <w:tcPr>
            <w:tcW w:w="3637" w:type="dxa"/>
            <w:tcBorders>
              <w:left w:val="single" w:sz="4" w:space="0" w:color="auto"/>
              <w:right w:val="single" w:sz="4" w:space="0" w:color="auto"/>
            </w:tcBorders>
            <w:noWrap/>
            <w:vAlign w:val="bottom"/>
          </w:tcPr>
          <w:p w14:paraId="362B3092" w14:textId="3BE63CF6" w:rsidR="00156974" w:rsidRPr="00FA28E4" w:rsidRDefault="00156974" w:rsidP="00156974">
            <w:pPr>
              <w:ind w:left="302" w:hanging="360"/>
              <w:jc w:val="left"/>
              <w:rPr>
                <w:rFonts w:cs="Arial"/>
                <w:bCs/>
              </w:rPr>
            </w:pPr>
            <w:r w:rsidRPr="00FA28E4">
              <w:rPr>
                <w:rFonts w:cs="Arial"/>
                <w:bCs/>
                <w:lang w:val="vi-VN"/>
              </w:rPr>
              <w:t>3.</w:t>
            </w:r>
            <w:r w:rsidRPr="00FA28E4">
              <w:rPr>
                <w:rFonts w:cs="Arial"/>
                <w:bCs/>
                <w:lang w:val="vi-VN"/>
              </w:rPr>
              <w:tab/>
            </w:r>
            <w:r w:rsidRPr="005C55A7">
              <w:rPr>
                <w:rFonts w:cs="Arial"/>
                <w:bCs/>
              </w:rPr>
              <w:tab/>
              <w:t>Operational risk and financial reserve</w:t>
            </w:r>
          </w:p>
        </w:tc>
        <w:tc>
          <w:tcPr>
            <w:tcW w:w="772" w:type="dxa"/>
            <w:tcBorders>
              <w:top w:val="nil"/>
              <w:left w:val="single" w:sz="4" w:space="0" w:color="auto"/>
              <w:bottom w:val="nil"/>
              <w:right w:val="single" w:sz="4" w:space="0" w:color="auto"/>
            </w:tcBorders>
            <w:noWrap/>
            <w:vAlign w:val="bottom"/>
          </w:tcPr>
          <w:p w14:paraId="31F325DC" w14:textId="77777777" w:rsidR="00156974" w:rsidRPr="00F422E9" w:rsidRDefault="00156974" w:rsidP="00156974">
            <w:pPr>
              <w:ind w:left="-58" w:right="-58"/>
              <w:jc w:val="center"/>
              <w:rPr>
                <w:rFonts w:cs="Arial"/>
                <w:bCs/>
                <w:lang w:val="vi-VN"/>
              </w:rPr>
            </w:pPr>
          </w:p>
        </w:tc>
        <w:tc>
          <w:tcPr>
            <w:tcW w:w="1887" w:type="dxa"/>
            <w:tcBorders>
              <w:left w:val="single" w:sz="4" w:space="0" w:color="auto"/>
              <w:right w:val="single" w:sz="4" w:space="0" w:color="auto"/>
            </w:tcBorders>
            <w:vAlign w:val="bottom"/>
          </w:tcPr>
          <w:p w14:paraId="58003413" w14:textId="4F6F6D33" w:rsidR="00156974" w:rsidRPr="003C222B" w:rsidRDefault="00156974" w:rsidP="007470A7">
            <w:pPr>
              <w:jc w:val="right"/>
              <w:rPr>
                <w:rFonts w:cs="Arial"/>
              </w:rPr>
            </w:pPr>
            <w:r w:rsidRPr="005A140F">
              <w:t>113</w:t>
            </w:r>
            <w:r w:rsidR="009F4F7C">
              <w:t>,</w:t>
            </w:r>
            <w:r w:rsidRPr="005A140F">
              <w:t>649</w:t>
            </w:r>
            <w:r w:rsidR="009F4F7C">
              <w:t>,</w:t>
            </w:r>
            <w:r w:rsidRPr="005A140F">
              <w:t xml:space="preserve">448 </w:t>
            </w:r>
          </w:p>
        </w:tc>
        <w:tc>
          <w:tcPr>
            <w:tcW w:w="1887" w:type="dxa"/>
            <w:tcBorders>
              <w:left w:val="single" w:sz="4" w:space="0" w:color="auto"/>
            </w:tcBorders>
            <w:noWrap/>
            <w:vAlign w:val="bottom"/>
          </w:tcPr>
          <w:p w14:paraId="1ADA9DDD" w14:textId="52D90C6F" w:rsidR="00156974" w:rsidRPr="00811828" w:rsidRDefault="00156974" w:rsidP="007470A7">
            <w:pPr>
              <w:jc w:val="right"/>
              <w:rPr>
                <w:rFonts w:cs="Arial"/>
                <w:bCs/>
              </w:rPr>
            </w:pPr>
            <w:r w:rsidRPr="005A140F">
              <w:t>113</w:t>
            </w:r>
            <w:r w:rsidR="009F4F7C">
              <w:t>,</w:t>
            </w:r>
            <w:r w:rsidRPr="005A140F">
              <w:t>649</w:t>
            </w:r>
            <w:r w:rsidR="009F4F7C">
              <w:t>,</w:t>
            </w:r>
            <w:r w:rsidRPr="005A140F">
              <w:t xml:space="preserve">448 </w:t>
            </w:r>
          </w:p>
        </w:tc>
      </w:tr>
      <w:tr w:rsidR="00156974" w:rsidRPr="00811828" w14:paraId="2DA6D0FC" w14:textId="77777777" w:rsidTr="007470A7">
        <w:tc>
          <w:tcPr>
            <w:tcW w:w="708" w:type="dxa"/>
            <w:tcBorders>
              <w:right w:val="single" w:sz="4" w:space="0" w:color="auto"/>
            </w:tcBorders>
            <w:noWrap/>
          </w:tcPr>
          <w:p w14:paraId="66A279AA" w14:textId="0ECFCB39" w:rsidR="00156974" w:rsidRPr="00811828" w:rsidRDefault="00156974" w:rsidP="00156974">
            <w:pPr>
              <w:ind w:left="-58" w:right="-58"/>
              <w:jc w:val="center"/>
              <w:rPr>
                <w:rFonts w:cs="Arial"/>
                <w:bCs/>
              </w:rPr>
            </w:pPr>
            <w:r w:rsidRPr="00811828">
              <w:rPr>
                <w:rFonts w:cs="Arial"/>
                <w:bCs/>
              </w:rPr>
              <w:t>417</w:t>
            </w:r>
          </w:p>
        </w:tc>
        <w:tc>
          <w:tcPr>
            <w:tcW w:w="3637" w:type="dxa"/>
            <w:tcBorders>
              <w:left w:val="single" w:sz="4" w:space="0" w:color="auto"/>
              <w:right w:val="single" w:sz="4" w:space="0" w:color="auto"/>
            </w:tcBorders>
            <w:noWrap/>
            <w:vAlign w:val="bottom"/>
          </w:tcPr>
          <w:p w14:paraId="02226094" w14:textId="0133353F" w:rsidR="00156974" w:rsidRPr="00811828" w:rsidRDefault="00156974" w:rsidP="00156974">
            <w:pPr>
              <w:ind w:left="302" w:hanging="360"/>
              <w:rPr>
                <w:rFonts w:cs="Arial"/>
                <w:bCs/>
                <w:lang w:val="vi-VN"/>
              </w:rPr>
            </w:pPr>
            <w:r w:rsidRPr="00811828">
              <w:rPr>
                <w:rFonts w:cs="Arial"/>
                <w:bCs/>
                <w:lang w:val="vi-VN"/>
              </w:rPr>
              <w:t>4.</w:t>
            </w:r>
            <w:r w:rsidRPr="00811828">
              <w:rPr>
                <w:rFonts w:cs="Arial"/>
                <w:bCs/>
                <w:lang w:val="vi-VN"/>
              </w:rPr>
              <w:tab/>
            </w:r>
            <w:r w:rsidRPr="00811828">
              <w:rPr>
                <w:rFonts w:cs="Arial"/>
                <w:bCs/>
                <w:lang w:val="vi-VN"/>
              </w:rPr>
              <w:tab/>
            </w:r>
            <w:r w:rsidRPr="00986394">
              <w:rPr>
                <w:rFonts w:cs="Arial"/>
                <w:bCs/>
                <w:lang w:val="vi-VN"/>
              </w:rPr>
              <w:t>Undistributed profit/(loss)</w:t>
            </w:r>
          </w:p>
        </w:tc>
        <w:tc>
          <w:tcPr>
            <w:tcW w:w="772" w:type="dxa"/>
            <w:tcBorders>
              <w:top w:val="nil"/>
              <w:left w:val="single" w:sz="4" w:space="0" w:color="auto"/>
              <w:bottom w:val="nil"/>
              <w:right w:val="single" w:sz="4" w:space="0" w:color="auto"/>
            </w:tcBorders>
            <w:noWrap/>
            <w:vAlign w:val="bottom"/>
          </w:tcPr>
          <w:p w14:paraId="7BDFBDDE" w14:textId="42963879" w:rsidR="00156974" w:rsidRPr="00F422E9" w:rsidRDefault="00156974" w:rsidP="00156974">
            <w:pPr>
              <w:ind w:left="-58" w:right="-58"/>
              <w:jc w:val="center"/>
              <w:rPr>
                <w:rFonts w:cs="Arial"/>
                <w:bCs/>
              </w:rPr>
            </w:pPr>
            <w:r w:rsidRPr="00F422E9">
              <w:rPr>
                <w:rFonts w:cs="Arial"/>
                <w:bCs/>
              </w:rPr>
              <w:t>18.3</w:t>
            </w:r>
          </w:p>
        </w:tc>
        <w:tc>
          <w:tcPr>
            <w:tcW w:w="1887" w:type="dxa"/>
            <w:tcBorders>
              <w:left w:val="single" w:sz="4" w:space="0" w:color="auto"/>
              <w:right w:val="single" w:sz="4" w:space="0" w:color="auto"/>
            </w:tcBorders>
            <w:vAlign w:val="bottom"/>
          </w:tcPr>
          <w:p w14:paraId="5183DF04" w14:textId="4DD85B30" w:rsidR="00156974" w:rsidRPr="003C222B" w:rsidRDefault="00156974" w:rsidP="007470A7">
            <w:pPr>
              <w:jc w:val="right"/>
              <w:rPr>
                <w:rFonts w:cs="Arial"/>
              </w:rPr>
            </w:pPr>
            <w:r w:rsidRPr="005A140F">
              <w:t>69</w:t>
            </w:r>
            <w:r w:rsidR="009F4F7C">
              <w:t>,</w:t>
            </w:r>
            <w:r w:rsidRPr="005A140F">
              <w:t>767</w:t>
            </w:r>
            <w:r w:rsidR="009F4F7C">
              <w:t>,</w:t>
            </w:r>
            <w:r w:rsidRPr="005A140F">
              <w:t>225</w:t>
            </w:r>
            <w:r w:rsidR="009F4F7C">
              <w:t>,</w:t>
            </w:r>
            <w:r w:rsidRPr="005A140F">
              <w:t xml:space="preserve">600 </w:t>
            </w:r>
          </w:p>
        </w:tc>
        <w:tc>
          <w:tcPr>
            <w:tcW w:w="1887" w:type="dxa"/>
            <w:tcBorders>
              <w:left w:val="single" w:sz="4" w:space="0" w:color="auto"/>
            </w:tcBorders>
            <w:noWrap/>
            <w:vAlign w:val="bottom"/>
          </w:tcPr>
          <w:p w14:paraId="4B0F867A" w14:textId="639A582A" w:rsidR="00156974" w:rsidRPr="00811828" w:rsidRDefault="00156974" w:rsidP="007470A7">
            <w:pPr>
              <w:jc w:val="right"/>
              <w:rPr>
                <w:rFonts w:cs="Arial"/>
                <w:bCs/>
              </w:rPr>
            </w:pPr>
            <w:r w:rsidRPr="005A140F">
              <w:t>39</w:t>
            </w:r>
            <w:r w:rsidR="009F4F7C">
              <w:t>,</w:t>
            </w:r>
            <w:r w:rsidRPr="005A140F">
              <w:t>203</w:t>
            </w:r>
            <w:r w:rsidR="009F4F7C">
              <w:t>,</w:t>
            </w:r>
            <w:r w:rsidRPr="005A140F">
              <w:t>511</w:t>
            </w:r>
            <w:r w:rsidR="009F4F7C">
              <w:t>,</w:t>
            </w:r>
            <w:r w:rsidRPr="005A140F">
              <w:t xml:space="preserve">148 </w:t>
            </w:r>
          </w:p>
        </w:tc>
      </w:tr>
      <w:tr w:rsidR="00156974" w:rsidRPr="00811828" w14:paraId="5C1FBB2A" w14:textId="77777777" w:rsidTr="007470A7">
        <w:tc>
          <w:tcPr>
            <w:tcW w:w="708" w:type="dxa"/>
            <w:tcBorders>
              <w:top w:val="nil"/>
              <w:bottom w:val="nil"/>
              <w:right w:val="single" w:sz="4" w:space="0" w:color="auto"/>
            </w:tcBorders>
            <w:noWrap/>
          </w:tcPr>
          <w:p w14:paraId="720855EC" w14:textId="2DFFA005" w:rsidR="00156974" w:rsidRPr="00811828" w:rsidRDefault="00156974" w:rsidP="00156974">
            <w:pPr>
              <w:ind w:left="-58" w:right="-58"/>
              <w:jc w:val="center"/>
              <w:rPr>
                <w:rFonts w:cs="Arial"/>
                <w:bCs/>
                <w:i/>
              </w:rPr>
            </w:pPr>
            <w:r w:rsidRPr="00811828">
              <w:rPr>
                <w:rFonts w:cs="Arial"/>
                <w:bCs/>
                <w:i/>
              </w:rPr>
              <w:t>417.1</w:t>
            </w:r>
          </w:p>
        </w:tc>
        <w:tc>
          <w:tcPr>
            <w:tcW w:w="3637" w:type="dxa"/>
            <w:tcBorders>
              <w:top w:val="nil"/>
              <w:left w:val="single" w:sz="4" w:space="0" w:color="auto"/>
              <w:bottom w:val="nil"/>
              <w:right w:val="single" w:sz="4" w:space="0" w:color="auto"/>
            </w:tcBorders>
            <w:noWrap/>
            <w:vAlign w:val="bottom"/>
          </w:tcPr>
          <w:p w14:paraId="44D525FC" w14:textId="7629E790" w:rsidR="00156974" w:rsidRPr="00811828" w:rsidRDefault="00156974" w:rsidP="00156974">
            <w:pPr>
              <w:ind w:left="662" w:hanging="360"/>
              <w:rPr>
                <w:rFonts w:cs="Arial"/>
                <w:i/>
              </w:rPr>
            </w:pPr>
            <w:r w:rsidRPr="00811828">
              <w:rPr>
                <w:rFonts w:cs="Arial"/>
                <w:i/>
              </w:rPr>
              <w:t>4.1</w:t>
            </w:r>
            <w:r w:rsidRPr="00811828">
              <w:rPr>
                <w:rFonts w:cs="Arial"/>
                <w:i/>
              </w:rPr>
              <w:tab/>
            </w:r>
            <w:r w:rsidRPr="00BF7D02">
              <w:rPr>
                <w:rFonts w:cs="Arial"/>
                <w:i/>
              </w:rPr>
              <w:t>Realized profit/(loss)</w:t>
            </w:r>
          </w:p>
        </w:tc>
        <w:tc>
          <w:tcPr>
            <w:tcW w:w="772" w:type="dxa"/>
            <w:tcBorders>
              <w:top w:val="nil"/>
              <w:left w:val="single" w:sz="4" w:space="0" w:color="auto"/>
              <w:bottom w:val="nil"/>
              <w:right w:val="single" w:sz="4" w:space="0" w:color="auto"/>
            </w:tcBorders>
            <w:noWrap/>
            <w:vAlign w:val="bottom"/>
          </w:tcPr>
          <w:p w14:paraId="401F1A13" w14:textId="77777777" w:rsidR="00156974" w:rsidRPr="00F422E9" w:rsidRDefault="00156974" w:rsidP="00156974">
            <w:pPr>
              <w:ind w:left="-58" w:right="-58"/>
              <w:jc w:val="center"/>
              <w:rPr>
                <w:rFonts w:cs="Arial"/>
                <w:bCs/>
                <w:i/>
                <w:lang w:val="vi-VN"/>
              </w:rPr>
            </w:pPr>
          </w:p>
        </w:tc>
        <w:tc>
          <w:tcPr>
            <w:tcW w:w="1887" w:type="dxa"/>
            <w:tcBorders>
              <w:top w:val="nil"/>
              <w:left w:val="single" w:sz="4" w:space="0" w:color="auto"/>
              <w:bottom w:val="nil"/>
              <w:right w:val="single" w:sz="4" w:space="0" w:color="auto"/>
            </w:tcBorders>
            <w:vAlign w:val="bottom"/>
          </w:tcPr>
          <w:p w14:paraId="04382977" w14:textId="0178A013" w:rsidR="00156974" w:rsidRPr="007470A7" w:rsidRDefault="00156974" w:rsidP="007470A7">
            <w:pPr>
              <w:jc w:val="right"/>
              <w:rPr>
                <w:rFonts w:cs="Arial"/>
                <w:i/>
                <w:iCs/>
              </w:rPr>
            </w:pPr>
            <w:r w:rsidRPr="007470A7">
              <w:rPr>
                <w:i/>
                <w:iCs/>
              </w:rPr>
              <w:t>68</w:t>
            </w:r>
            <w:r w:rsidR="009F4F7C">
              <w:t>,</w:t>
            </w:r>
            <w:r w:rsidRPr="007470A7">
              <w:rPr>
                <w:i/>
                <w:iCs/>
              </w:rPr>
              <w:t>553</w:t>
            </w:r>
            <w:r w:rsidR="009F4F7C">
              <w:t>,</w:t>
            </w:r>
            <w:r w:rsidRPr="007470A7">
              <w:rPr>
                <w:i/>
                <w:iCs/>
              </w:rPr>
              <w:t>125</w:t>
            </w:r>
            <w:r w:rsidR="009F4F7C">
              <w:t>,</w:t>
            </w:r>
            <w:r w:rsidRPr="007470A7">
              <w:rPr>
                <w:i/>
                <w:iCs/>
              </w:rPr>
              <w:t>205</w:t>
            </w:r>
          </w:p>
        </w:tc>
        <w:tc>
          <w:tcPr>
            <w:tcW w:w="1887" w:type="dxa"/>
            <w:tcBorders>
              <w:top w:val="nil"/>
              <w:left w:val="single" w:sz="4" w:space="0" w:color="auto"/>
              <w:bottom w:val="nil"/>
            </w:tcBorders>
            <w:noWrap/>
            <w:vAlign w:val="bottom"/>
          </w:tcPr>
          <w:p w14:paraId="799B768B" w14:textId="5E423D45" w:rsidR="00156974" w:rsidRPr="007470A7" w:rsidRDefault="00156974" w:rsidP="007470A7">
            <w:pPr>
              <w:jc w:val="right"/>
              <w:rPr>
                <w:rFonts w:cs="Arial"/>
                <w:bCs/>
                <w:i/>
                <w:iCs/>
              </w:rPr>
            </w:pPr>
            <w:r w:rsidRPr="007470A7">
              <w:rPr>
                <w:i/>
                <w:iCs/>
              </w:rPr>
              <w:t>39</w:t>
            </w:r>
            <w:r w:rsidR="009F4F7C">
              <w:t>,</w:t>
            </w:r>
            <w:r w:rsidRPr="007470A7">
              <w:rPr>
                <w:i/>
                <w:iCs/>
              </w:rPr>
              <w:t>175</w:t>
            </w:r>
            <w:r w:rsidR="009F4F7C">
              <w:t>,</w:t>
            </w:r>
            <w:r w:rsidRPr="007470A7">
              <w:rPr>
                <w:i/>
                <w:iCs/>
              </w:rPr>
              <w:t>415</w:t>
            </w:r>
            <w:r w:rsidR="009F4F7C">
              <w:t>,</w:t>
            </w:r>
            <w:r w:rsidRPr="007470A7">
              <w:rPr>
                <w:i/>
                <w:iCs/>
              </w:rPr>
              <w:t>791</w:t>
            </w:r>
          </w:p>
        </w:tc>
      </w:tr>
      <w:tr w:rsidR="00156974" w:rsidRPr="00811828" w14:paraId="3B44BD41" w14:textId="77777777" w:rsidTr="007470A7">
        <w:tc>
          <w:tcPr>
            <w:tcW w:w="708" w:type="dxa"/>
            <w:tcBorders>
              <w:top w:val="nil"/>
              <w:bottom w:val="nil"/>
              <w:right w:val="single" w:sz="4" w:space="0" w:color="auto"/>
            </w:tcBorders>
            <w:noWrap/>
          </w:tcPr>
          <w:p w14:paraId="485C2016" w14:textId="4FC1B696" w:rsidR="00156974" w:rsidRPr="00811828" w:rsidRDefault="00156974" w:rsidP="00156974">
            <w:pPr>
              <w:spacing w:after="120"/>
              <w:ind w:left="-58" w:right="-58"/>
              <w:jc w:val="center"/>
              <w:rPr>
                <w:rFonts w:cs="Arial"/>
                <w:bCs/>
                <w:i/>
              </w:rPr>
            </w:pPr>
            <w:r w:rsidRPr="00811828">
              <w:rPr>
                <w:rFonts w:cs="Arial"/>
                <w:bCs/>
                <w:i/>
              </w:rPr>
              <w:t>417.2</w:t>
            </w:r>
          </w:p>
        </w:tc>
        <w:tc>
          <w:tcPr>
            <w:tcW w:w="3637" w:type="dxa"/>
            <w:tcBorders>
              <w:top w:val="nil"/>
              <w:left w:val="single" w:sz="4" w:space="0" w:color="auto"/>
              <w:bottom w:val="nil"/>
              <w:right w:val="single" w:sz="4" w:space="0" w:color="auto"/>
            </w:tcBorders>
            <w:noWrap/>
            <w:vAlign w:val="bottom"/>
          </w:tcPr>
          <w:p w14:paraId="1147C011" w14:textId="7A0C3709" w:rsidR="00156974" w:rsidRPr="00811828" w:rsidRDefault="00156974" w:rsidP="00156974">
            <w:pPr>
              <w:spacing w:after="120"/>
              <w:ind w:left="662" w:hanging="360"/>
              <w:rPr>
                <w:rFonts w:cs="Arial"/>
                <w:i/>
              </w:rPr>
            </w:pPr>
            <w:r w:rsidRPr="00811828">
              <w:rPr>
                <w:rFonts w:cs="Arial"/>
                <w:i/>
              </w:rPr>
              <w:t>4.2</w:t>
            </w:r>
            <w:r w:rsidRPr="00811828">
              <w:rPr>
                <w:rFonts w:cs="Arial"/>
                <w:i/>
              </w:rPr>
              <w:tab/>
            </w:r>
            <w:r w:rsidRPr="00A3183A">
              <w:rPr>
                <w:rFonts w:cs="Arial"/>
                <w:i/>
              </w:rPr>
              <w:t xml:space="preserve">Unrealized </w:t>
            </w:r>
            <w:r>
              <w:rPr>
                <w:rFonts w:cs="Arial"/>
                <w:i/>
              </w:rPr>
              <w:t>profit/(</w:t>
            </w:r>
            <w:r w:rsidRPr="00A3183A">
              <w:rPr>
                <w:rFonts w:cs="Arial"/>
                <w:i/>
              </w:rPr>
              <w:t>loss</w:t>
            </w:r>
            <w:r>
              <w:rPr>
                <w:rFonts w:cs="Arial"/>
                <w:i/>
              </w:rPr>
              <w:t>)</w:t>
            </w:r>
          </w:p>
        </w:tc>
        <w:tc>
          <w:tcPr>
            <w:tcW w:w="772" w:type="dxa"/>
            <w:tcBorders>
              <w:top w:val="nil"/>
              <w:left w:val="single" w:sz="4" w:space="0" w:color="auto"/>
              <w:bottom w:val="nil"/>
              <w:right w:val="single" w:sz="4" w:space="0" w:color="auto"/>
            </w:tcBorders>
            <w:noWrap/>
            <w:vAlign w:val="bottom"/>
          </w:tcPr>
          <w:p w14:paraId="089FF803" w14:textId="77777777" w:rsidR="00156974" w:rsidRPr="00F422E9" w:rsidRDefault="00156974" w:rsidP="00156974">
            <w:pPr>
              <w:spacing w:after="120"/>
              <w:ind w:left="-58" w:right="-58"/>
              <w:jc w:val="center"/>
              <w:rPr>
                <w:rFonts w:cs="Arial"/>
                <w:bCs/>
                <w:i/>
                <w:lang w:val="vi-VN"/>
              </w:rPr>
            </w:pPr>
          </w:p>
        </w:tc>
        <w:tc>
          <w:tcPr>
            <w:tcW w:w="1887" w:type="dxa"/>
            <w:tcBorders>
              <w:top w:val="nil"/>
              <w:left w:val="single" w:sz="4" w:space="0" w:color="auto"/>
              <w:bottom w:val="nil"/>
              <w:right w:val="single" w:sz="4" w:space="0" w:color="auto"/>
            </w:tcBorders>
            <w:vAlign w:val="bottom"/>
          </w:tcPr>
          <w:p w14:paraId="7BFA4887" w14:textId="4D85FEA6" w:rsidR="00156974" w:rsidRPr="007470A7" w:rsidRDefault="00156974" w:rsidP="007470A7">
            <w:pPr>
              <w:spacing w:after="120"/>
              <w:jc w:val="right"/>
              <w:rPr>
                <w:rFonts w:cs="Arial"/>
                <w:i/>
                <w:iCs/>
              </w:rPr>
            </w:pPr>
            <w:r w:rsidRPr="007470A7">
              <w:rPr>
                <w:i/>
                <w:iCs/>
              </w:rPr>
              <w:t>1</w:t>
            </w:r>
            <w:r w:rsidR="009F4F7C">
              <w:t>,</w:t>
            </w:r>
            <w:r w:rsidRPr="007470A7">
              <w:rPr>
                <w:i/>
                <w:iCs/>
              </w:rPr>
              <w:t>214</w:t>
            </w:r>
            <w:r w:rsidR="009F4F7C">
              <w:t>,</w:t>
            </w:r>
            <w:r w:rsidRPr="007470A7">
              <w:rPr>
                <w:i/>
                <w:iCs/>
              </w:rPr>
              <w:t>100</w:t>
            </w:r>
            <w:r w:rsidR="009F4F7C">
              <w:t>,</w:t>
            </w:r>
            <w:r w:rsidRPr="007470A7">
              <w:rPr>
                <w:i/>
                <w:iCs/>
              </w:rPr>
              <w:t>395</w:t>
            </w:r>
          </w:p>
        </w:tc>
        <w:tc>
          <w:tcPr>
            <w:tcW w:w="1887" w:type="dxa"/>
            <w:tcBorders>
              <w:top w:val="nil"/>
              <w:left w:val="single" w:sz="4" w:space="0" w:color="auto"/>
              <w:bottom w:val="nil"/>
            </w:tcBorders>
            <w:noWrap/>
            <w:vAlign w:val="bottom"/>
          </w:tcPr>
          <w:p w14:paraId="4BBD6126" w14:textId="02090D9E" w:rsidR="00156974" w:rsidRPr="007470A7" w:rsidRDefault="00156974" w:rsidP="007470A7">
            <w:pPr>
              <w:spacing w:after="120"/>
              <w:jc w:val="right"/>
              <w:rPr>
                <w:rFonts w:cs="Arial"/>
                <w:bCs/>
                <w:i/>
                <w:iCs/>
              </w:rPr>
            </w:pPr>
            <w:r w:rsidRPr="007470A7">
              <w:rPr>
                <w:i/>
                <w:iCs/>
              </w:rPr>
              <w:t>28</w:t>
            </w:r>
            <w:r w:rsidR="009F4F7C">
              <w:t>,</w:t>
            </w:r>
            <w:r w:rsidRPr="007470A7">
              <w:rPr>
                <w:i/>
                <w:iCs/>
              </w:rPr>
              <w:t>095</w:t>
            </w:r>
            <w:r w:rsidR="009F4F7C">
              <w:t>,</w:t>
            </w:r>
            <w:r w:rsidRPr="007470A7">
              <w:rPr>
                <w:i/>
                <w:iCs/>
              </w:rPr>
              <w:t>357</w:t>
            </w:r>
          </w:p>
        </w:tc>
      </w:tr>
      <w:tr w:rsidR="00156974" w:rsidRPr="00811828" w14:paraId="7DF798E1" w14:textId="77777777" w:rsidTr="007470A7">
        <w:tc>
          <w:tcPr>
            <w:tcW w:w="708" w:type="dxa"/>
            <w:tcBorders>
              <w:top w:val="single" w:sz="4" w:space="0" w:color="000000"/>
              <w:bottom w:val="double" w:sz="6" w:space="0" w:color="auto"/>
              <w:right w:val="single" w:sz="4" w:space="0" w:color="auto"/>
            </w:tcBorders>
            <w:noWrap/>
          </w:tcPr>
          <w:p w14:paraId="571D4745" w14:textId="204F2006" w:rsidR="00156974" w:rsidRPr="00811828" w:rsidRDefault="00156974" w:rsidP="00156974">
            <w:pPr>
              <w:spacing w:before="120" w:after="120"/>
              <w:ind w:left="-58" w:right="-58"/>
              <w:jc w:val="center"/>
              <w:rPr>
                <w:rFonts w:cs="Arial"/>
                <w:b/>
                <w:bCs/>
              </w:rPr>
            </w:pPr>
            <w:r w:rsidRPr="00811828">
              <w:rPr>
                <w:rFonts w:cs="Arial"/>
                <w:b/>
                <w:bCs/>
              </w:rPr>
              <w:t>440</w:t>
            </w:r>
          </w:p>
        </w:tc>
        <w:tc>
          <w:tcPr>
            <w:tcW w:w="3637" w:type="dxa"/>
            <w:tcBorders>
              <w:top w:val="single" w:sz="4" w:space="0" w:color="000000"/>
              <w:left w:val="single" w:sz="4" w:space="0" w:color="auto"/>
              <w:right w:val="single" w:sz="4" w:space="0" w:color="auto"/>
            </w:tcBorders>
            <w:noWrap/>
            <w:vAlign w:val="bottom"/>
          </w:tcPr>
          <w:p w14:paraId="1944080C" w14:textId="44242150" w:rsidR="00156974" w:rsidRPr="00811828" w:rsidRDefault="00156974" w:rsidP="00156974">
            <w:pPr>
              <w:spacing w:before="120" w:after="120"/>
              <w:ind w:left="-57"/>
              <w:rPr>
                <w:rFonts w:cs="Arial"/>
                <w:b/>
                <w:bCs/>
              </w:rPr>
            </w:pPr>
            <w:r w:rsidRPr="0010307E">
              <w:rPr>
                <w:rFonts w:cs="Arial"/>
                <w:b/>
                <w:bCs/>
              </w:rPr>
              <w:t>TOTAL LIABILITIES AND OWNERS’ EQUITY</w:t>
            </w:r>
          </w:p>
        </w:tc>
        <w:tc>
          <w:tcPr>
            <w:tcW w:w="772" w:type="dxa"/>
            <w:tcBorders>
              <w:top w:val="single" w:sz="4" w:space="0" w:color="auto"/>
              <w:left w:val="single" w:sz="4" w:space="0" w:color="auto"/>
              <w:bottom w:val="double" w:sz="6" w:space="0" w:color="auto"/>
              <w:right w:val="single" w:sz="4" w:space="0" w:color="auto"/>
            </w:tcBorders>
            <w:noWrap/>
            <w:vAlign w:val="bottom"/>
          </w:tcPr>
          <w:p w14:paraId="61F57000" w14:textId="77777777" w:rsidR="00156974" w:rsidRPr="00F422E9" w:rsidRDefault="00156974" w:rsidP="00156974">
            <w:pPr>
              <w:spacing w:before="120" w:after="120"/>
              <w:ind w:left="-58" w:right="-58"/>
              <w:jc w:val="center"/>
              <w:rPr>
                <w:rFonts w:cs="Arial"/>
                <w:b/>
                <w:bCs/>
                <w:lang w:val="vi-VN"/>
              </w:rPr>
            </w:pPr>
          </w:p>
        </w:tc>
        <w:tc>
          <w:tcPr>
            <w:tcW w:w="1887" w:type="dxa"/>
            <w:tcBorders>
              <w:top w:val="single" w:sz="4" w:space="0" w:color="000000"/>
              <w:left w:val="single" w:sz="4" w:space="0" w:color="auto"/>
              <w:bottom w:val="double" w:sz="6" w:space="0" w:color="auto"/>
              <w:right w:val="single" w:sz="4" w:space="0" w:color="auto"/>
            </w:tcBorders>
            <w:vAlign w:val="bottom"/>
          </w:tcPr>
          <w:p w14:paraId="1FD6A052" w14:textId="1DEDE7A9" w:rsidR="00156974" w:rsidRPr="007470A7" w:rsidRDefault="00156974" w:rsidP="007470A7">
            <w:pPr>
              <w:spacing w:before="120" w:after="120"/>
              <w:jc w:val="right"/>
              <w:rPr>
                <w:rFonts w:cs="Arial"/>
                <w:b/>
                <w:bCs/>
              </w:rPr>
            </w:pPr>
            <w:r w:rsidRPr="007470A7">
              <w:rPr>
                <w:b/>
                <w:bCs/>
              </w:rPr>
              <w:t>3</w:t>
            </w:r>
            <w:r w:rsidR="0017144F">
              <w:rPr>
                <w:b/>
                <w:bCs/>
              </w:rPr>
              <w:t>,</w:t>
            </w:r>
            <w:r w:rsidRPr="007470A7">
              <w:rPr>
                <w:b/>
                <w:bCs/>
              </w:rPr>
              <w:t>305</w:t>
            </w:r>
            <w:r w:rsidR="0017144F">
              <w:rPr>
                <w:b/>
                <w:bCs/>
              </w:rPr>
              <w:t>,</w:t>
            </w:r>
            <w:r w:rsidRPr="007470A7">
              <w:rPr>
                <w:b/>
                <w:bCs/>
              </w:rPr>
              <w:t>572</w:t>
            </w:r>
            <w:r w:rsidR="0017144F">
              <w:rPr>
                <w:b/>
                <w:bCs/>
              </w:rPr>
              <w:t>,</w:t>
            </w:r>
            <w:r w:rsidRPr="007470A7">
              <w:rPr>
                <w:b/>
                <w:bCs/>
              </w:rPr>
              <w:t>151</w:t>
            </w:r>
            <w:r w:rsidR="0017144F">
              <w:rPr>
                <w:b/>
                <w:bCs/>
              </w:rPr>
              <w:t>,</w:t>
            </w:r>
            <w:r w:rsidRPr="007470A7">
              <w:rPr>
                <w:b/>
                <w:bCs/>
              </w:rPr>
              <w:t xml:space="preserve">073 </w:t>
            </w:r>
          </w:p>
        </w:tc>
        <w:tc>
          <w:tcPr>
            <w:tcW w:w="1887" w:type="dxa"/>
            <w:tcBorders>
              <w:top w:val="single" w:sz="4" w:space="0" w:color="000000"/>
              <w:left w:val="single" w:sz="4" w:space="0" w:color="auto"/>
            </w:tcBorders>
            <w:noWrap/>
            <w:vAlign w:val="bottom"/>
          </w:tcPr>
          <w:p w14:paraId="07D127FC" w14:textId="1D53C6F1" w:rsidR="00156974" w:rsidRPr="007470A7" w:rsidRDefault="00156974" w:rsidP="007470A7">
            <w:pPr>
              <w:spacing w:before="120" w:after="120"/>
              <w:jc w:val="right"/>
              <w:rPr>
                <w:rFonts w:cs="Arial"/>
                <w:b/>
                <w:bCs/>
              </w:rPr>
            </w:pPr>
            <w:r w:rsidRPr="007470A7">
              <w:rPr>
                <w:b/>
                <w:bCs/>
              </w:rPr>
              <w:t>2</w:t>
            </w:r>
            <w:r w:rsidR="0017144F">
              <w:rPr>
                <w:b/>
                <w:bCs/>
              </w:rPr>
              <w:t>,</w:t>
            </w:r>
            <w:r w:rsidRPr="007470A7">
              <w:rPr>
                <w:b/>
                <w:bCs/>
              </w:rPr>
              <w:t>493</w:t>
            </w:r>
            <w:r w:rsidR="0017144F">
              <w:rPr>
                <w:b/>
                <w:bCs/>
              </w:rPr>
              <w:t>,</w:t>
            </w:r>
            <w:r w:rsidRPr="007470A7">
              <w:rPr>
                <w:b/>
                <w:bCs/>
              </w:rPr>
              <w:t>797</w:t>
            </w:r>
            <w:r w:rsidR="0017144F">
              <w:rPr>
                <w:b/>
                <w:bCs/>
              </w:rPr>
              <w:t>,</w:t>
            </w:r>
            <w:r w:rsidRPr="007470A7">
              <w:rPr>
                <w:b/>
                <w:bCs/>
              </w:rPr>
              <w:t>831</w:t>
            </w:r>
            <w:r w:rsidR="0017144F">
              <w:rPr>
                <w:b/>
                <w:bCs/>
              </w:rPr>
              <w:t>,</w:t>
            </w:r>
            <w:r w:rsidRPr="007470A7">
              <w:rPr>
                <w:b/>
                <w:bCs/>
              </w:rPr>
              <w:t xml:space="preserve">690 </w:t>
            </w:r>
          </w:p>
        </w:tc>
      </w:tr>
    </w:tbl>
    <w:p w14:paraId="05B49D50" w14:textId="77777777" w:rsidR="00DC1FEF" w:rsidRPr="002A0B87" w:rsidRDefault="00DC1FEF" w:rsidP="00C37147">
      <w:pPr>
        <w:pStyle w:val="BodyText"/>
        <w:rPr>
          <w:rFonts w:ascii="Arial" w:hAnsi="Arial" w:cs="Arial"/>
          <w:lang w:val="en-GB"/>
        </w:rPr>
      </w:pPr>
    </w:p>
    <w:p w14:paraId="139E2D0C" w14:textId="77777777" w:rsidR="00DC1FEF" w:rsidRPr="002A0B87" w:rsidRDefault="00DC1FEF" w:rsidP="00C37147">
      <w:pPr>
        <w:pStyle w:val="BodyText"/>
        <w:rPr>
          <w:rFonts w:ascii="Arial" w:hAnsi="Arial" w:cs="Arial"/>
          <w:lang w:val="en-GB"/>
        </w:rPr>
        <w:sectPr w:rsidR="00DC1FEF" w:rsidRPr="002A0B87" w:rsidSect="009032CF">
          <w:headerReference w:type="default" r:id="rId34"/>
          <w:type w:val="nextColumn"/>
          <w:pgSz w:w="11909" w:h="16834" w:code="9"/>
          <w:pgMar w:top="1440" w:right="1440" w:bottom="862" w:left="1582" w:header="720" w:footer="578" w:gutter="0"/>
          <w:cols w:space="720"/>
          <w:docGrid w:linePitch="272"/>
        </w:sectPr>
      </w:pPr>
    </w:p>
    <w:p w14:paraId="59F089E6" w14:textId="700F35AE" w:rsidR="00C37147" w:rsidRPr="002A0B87" w:rsidRDefault="006A5EAC" w:rsidP="005E3FAF">
      <w:pPr>
        <w:pStyle w:val="Heading1"/>
        <w:rPr>
          <w:lang w:val="en-GB"/>
        </w:rPr>
      </w:pPr>
      <w:r w:rsidRPr="006A5EAC">
        <w:rPr>
          <w:lang w:val="en-GB"/>
        </w:rPr>
        <w:lastRenderedPageBreak/>
        <w:t>OFF-BALANCE SHEET ITEMS</w:t>
      </w:r>
      <w:r w:rsidRPr="006A5EAC" w:rsidDel="006A5EAC">
        <w:rPr>
          <w:lang w:val="en-GB"/>
        </w:rPr>
        <w:t xml:space="preserve"> </w:t>
      </w:r>
    </w:p>
    <w:p w14:paraId="58789CE8" w14:textId="26285D61" w:rsidR="0036742F" w:rsidRPr="002A0B87" w:rsidRDefault="0036742F" w:rsidP="005E3FAF">
      <w:pPr>
        <w:rPr>
          <w:lang w:val="en-GB"/>
        </w:rPr>
      </w:pPr>
    </w:p>
    <w:tbl>
      <w:tblPr>
        <w:tblW w:w="8891"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708"/>
        <w:gridCol w:w="3637"/>
        <w:gridCol w:w="772"/>
        <w:gridCol w:w="1887"/>
        <w:gridCol w:w="1887"/>
      </w:tblGrid>
      <w:tr w:rsidR="00541E80" w:rsidRPr="007759BD" w14:paraId="27C99E9F" w14:textId="77777777" w:rsidTr="7D59BCB4">
        <w:trPr>
          <w:trHeight w:val="108"/>
        </w:trPr>
        <w:tc>
          <w:tcPr>
            <w:tcW w:w="708" w:type="dxa"/>
            <w:tcBorders>
              <w:top w:val="double" w:sz="6" w:space="0" w:color="auto"/>
              <w:bottom w:val="single" w:sz="4" w:space="0" w:color="000000" w:themeColor="text1"/>
              <w:right w:val="single" w:sz="4" w:space="0" w:color="000000" w:themeColor="text1"/>
            </w:tcBorders>
            <w:noWrap/>
            <w:vAlign w:val="bottom"/>
          </w:tcPr>
          <w:p w14:paraId="51EDA62C" w14:textId="128B438F" w:rsidR="00541E80" w:rsidRPr="00FA28E4" w:rsidRDefault="004A599C" w:rsidP="007F2AE2">
            <w:pPr>
              <w:spacing w:before="120" w:after="120"/>
              <w:ind w:left="-58" w:right="-58"/>
              <w:jc w:val="center"/>
              <w:rPr>
                <w:rFonts w:cs="Arial"/>
                <w:i/>
                <w:iCs/>
              </w:rPr>
            </w:pPr>
            <w:r>
              <w:rPr>
                <w:rFonts w:cs="Arial"/>
                <w:i/>
                <w:iCs/>
              </w:rPr>
              <w:t>Code</w:t>
            </w:r>
          </w:p>
        </w:tc>
        <w:tc>
          <w:tcPr>
            <w:tcW w:w="3637" w:type="dxa"/>
            <w:tcBorders>
              <w:top w:val="double" w:sz="6" w:space="0" w:color="auto"/>
              <w:left w:val="single" w:sz="4" w:space="0" w:color="000000" w:themeColor="text1"/>
              <w:bottom w:val="single" w:sz="4" w:space="0" w:color="000000" w:themeColor="text1"/>
              <w:right w:val="single" w:sz="4" w:space="0" w:color="000000" w:themeColor="text1"/>
            </w:tcBorders>
            <w:noWrap/>
            <w:vAlign w:val="bottom"/>
          </w:tcPr>
          <w:p w14:paraId="250CCCB7" w14:textId="03AB756F" w:rsidR="00541E80" w:rsidRPr="00FA28E4" w:rsidRDefault="004A599C" w:rsidP="007F2AE2">
            <w:pPr>
              <w:spacing w:before="120" w:after="120"/>
              <w:ind w:left="-58"/>
              <w:rPr>
                <w:rFonts w:cs="Arial"/>
                <w:i/>
                <w:iCs/>
              </w:rPr>
            </w:pPr>
            <w:r>
              <w:rPr>
                <w:rFonts w:cs="Arial"/>
                <w:i/>
                <w:iCs/>
              </w:rPr>
              <w:t>ITEMS</w:t>
            </w:r>
          </w:p>
        </w:tc>
        <w:tc>
          <w:tcPr>
            <w:tcW w:w="772" w:type="dxa"/>
            <w:tcBorders>
              <w:top w:val="double" w:sz="6" w:space="0" w:color="auto"/>
              <w:left w:val="single" w:sz="4" w:space="0" w:color="000000" w:themeColor="text1"/>
              <w:bottom w:val="single" w:sz="4" w:space="0" w:color="000000" w:themeColor="text1"/>
              <w:right w:val="single" w:sz="4" w:space="0" w:color="000000" w:themeColor="text1"/>
            </w:tcBorders>
            <w:noWrap/>
            <w:vAlign w:val="bottom"/>
          </w:tcPr>
          <w:p w14:paraId="77163D14" w14:textId="63C4C471" w:rsidR="00541E80" w:rsidRPr="00FA28E4" w:rsidRDefault="004A599C" w:rsidP="007F2AE2">
            <w:pPr>
              <w:spacing w:before="120" w:after="120"/>
              <w:ind w:left="-58" w:right="-58"/>
              <w:jc w:val="center"/>
              <w:rPr>
                <w:rFonts w:cs="Arial"/>
                <w:i/>
                <w:iCs/>
              </w:rPr>
            </w:pPr>
            <w:r>
              <w:rPr>
                <w:rFonts w:cs="Arial"/>
                <w:i/>
                <w:iCs/>
              </w:rPr>
              <w:t>Notes</w:t>
            </w:r>
          </w:p>
        </w:tc>
        <w:tc>
          <w:tcPr>
            <w:tcW w:w="1887" w:type="dxa"/>
            <w:tcBorders>
              <w:top w:val="double" w:sz="6" w:space="0" w:color="auto"/>
              <w:left w:val="single" w:sz="4" w:space="0" w:color="000000" w:themeColor="text1"/>
              <w:bottom w:val="single" w:sz="4" w:space="0" w:color="000000" w:themeColor="text1"/>
              <w:right w:val="single" w:sz="4" w:space="0" w:color="000000" w:themeColor="text1"/>
            </w:tcBorders>
            <w:vAlign w:val="bottom"/>
          </w:tcPr>
          <w:p w14:paraId="30FC47D1" w14:textId="77777777" w:rsidR="005B5144" w:rsidRPr="005B5144" w:rsidRDefault="005B5144" w:rsidP="005B5144">
            <w:pPr>
              <w:spacing w:before="120"/>
              <w:jc w:val="right"/>
              <w:rPr>
                <w:rFonts w:cs="Arial"/>
                <w:i/>
              </w:rPr>
            </w:pPr>
            <w:r w:rsidRPr="005B5144">
              <w:rPr>
                <w:rFonts w:cs="Arial"/>
                <w:i/>
              </w:rPr>
              <w:t>Ending balance</w:t>
            </w:r>
          </w:p>
          <w:p w14:paraId="3B78B5AC" w14:textId="66A609A8" w:rsidR="00541E80" w:rsidRPr="007759BD" w:rsidRDefault="005B5144" w:rsidP="00461FA9">
            <w:pPr>
              <w:spacing w:after="120"/>
              <w:jc w:val="right"/>
              <w:rPr>
                <w:rFonts w:cs="Arial"/>
                <w:i/>
                <w:lang w:val="vi-VN"/>
              </w:rPr>
            </w:pPr>
            <w:r w:rsidRPr="005B5144">
              <w:rPr>
                <w:rFonts w:cs="Arial"/>
                <w:i/>
              </w:rPr>
              <w:t>VND</w:t>
            </w:r>
          </w:p>
        </w:tc>
        <w:tc>
          <w:tcPr>
            <w:tcW w:w="1887" w:type="dxa"/>
            <w:tcBorders>
              <w:top w:val="double" w:sz="6" w:space="0" w:color="auto"/>
              <w:left w:val="single" w:sz="4" w:space="0" w:color="000000" w:themeColor="text1"/>
              <w:bottom w:val="single" w:sz="4" w:space="0" w:color="000000" w:themeColor="text1"/>
            </w:tcBorders>
            <w:noWrap/>
            <w:vAlign w:val="bottom"/>
          </w:tcPr>
          <w:p w14:paraId="78833E2C" w14:textId="77777777" w:rsidR="00DE75A7" w:rsidRPr="00DE75A7" w:rsidRDefault="00DE75A7" w:rsidP="00DE75A7">
            <w:pPr>
              <w:spacing w:before="120"/>
              <w:jc w:val="right"/>
              <w:rPr>
                <w:rFonts w:cs="Arial"/>
                <w:i/>
              </w:rPr>
            </w:pPr>
            <w:r w:rsidRPr="00DE75A7">
              <w:rPr>
                <w:rFonts w:cs="Arial"/>
                <w:i/>
              </w:rPr>
              <w:t>Opening balance</w:t>
            </w:r>
          </w:p>
          <w:p w14:paraId="0E6DDD25" w14:textId="2CDE9110" w:rsidR="00541E80" w:rsidRPr="007759BD" w:rsidRDefault="00DE75A7" w:rsidP="00461FA9">
            <w:pPr>
              <w:spacing w:after="120"/>
              <w:jc w:val="right"/>
              <w:rPr>
                <w:rFonts w:cs="Arial"/>
                <w:i/>
                <w:iCs/>
              </w:rPr>
            </w:pPr>
            <w:r w:rsidRPr="00DE75A7">
              <w:rPr>
                <w:rFonts w:cs="Arial"/>
                <w:i/>
              </w:rPr>
              <w:t>VND</w:t>
            </w:r>
          </w:p>
        </w:tc>
      </w:tr>
      <w:tr w:rsidR="004D57F8" w:rsidRPr="007759BD" w14:paraId="5B96B87E" w14:textId="77777777" w:rsidTr="7D59BCB4">
        <w:tc>
          <w:tcPr>
            <w:tcW w:w="708" w:type="dxa"/>
            <w:tcBorders>
              <w:top w:val="single" w:sz="4" w:space="0" w:color="000000" w:themeColor="text1"/>
              <w:bottom w:val="nil"/>
              <w:right w:val="single" w:sz="4" w:space="0" w:color="000000" w:themeColor="text1"/>
            </w:tcBorders>
            <w:noWrap/>
          </w:tcPr>
          <w:p w14:paraId="7CD70CDB" w14:textId="3E516980" w:rsidR="004D57F8" w:rsidRPr="007759BD" w:rsidRDefault="004D57F8" w:rsidP="008064F8">
            <w:pPr>
              <w:spacing w:before="120"/>
              <w:ind w:left="302" w:right="-58" w:hanging="360"/>
              <w:jc w:val="center"/>
              <w:rPr>
                <w:rFonts w:cs="Arial"/>
                <w:b/>
                <w:bCs/>
                <w:lang w:val="vi-VN"/>
              </w:rPr>
            </w:pPr>
          </w:p>
        </w:tc>
        <w:tc>
          <w:tcPr>
            <w:tcW w:w="8183" w:type="dxa"/>
            <w:gridSpan w:val="4"/>
            <w:tcBorders>
              <w:top w:val="single" w:sz="4" w:space="0" w:color="000000" w:themeColor="text1"/>
              <w:left w:val="single" w:sz="4" w:space="0" w:color="000000" w:themeColor="text1"/>
              <w:bottom w:val="nil"/>
            </w:tcBorders>
            <w:noWrap/>
            <w:vAlign w:val="bottom"/>
          </w:tcPr>
          <w:p w14:paraId="70828E37" w14:textId="517263D0" w:rsidR="004D57F8" w:rsidRPr="007759BD" w:rsidRDefault="004D57F8" w:rsidP="00FA28E4">
            <w:pPr>
              <w:ind w:left="329" w:right="-58" w:hanging="329"/>
              <w:rPr>
                <w:rFonts w:cs="Arial"/>
                <w:b/>
                <w:bCs/>
              </w:rPr>
            </w:pPr>
            <w:r w:rsidRPr="007759BD">
              <w:rPr>
                <w:rFonts w:cs="Arial"/>
                <w:b/>
                <w:bCs/>
                <w:lang w:val="vi-VN"/>
              </w:rPr>
              <w:t>A.</w:t>
            </w:r>
            <w:r w:rsidRPr="007759BD">
              <w:rPr>
                <w:rFonts w:cs="Arial"/>
                <w:b/>
                <w:bCs/>
                <w:lang w:val="vi-VN"/>
              </w:rPr>
              <w:tab/>
            </w:r>
            <w:r w:rsidR="00727A94" w:rsidRPr="00727A94">
              <w:rPr>
                <w:rFonts w:cs="Arial"/>
                <w:b/>
                <w:bCs/>
                <w:lang w:val="vi-VN"/>
              </w:rPr>
              <w:t>ASSETS OF THE COMPANY AND ASSETS MANAGED UNDER AGREEMENTS</w:t>
            </w:r>
          </w:p>
        </w:tc>
      </w:tr>
      <w:tr w:rsidR="00C474EE" w:rsidRPr="007759BD" w14:paraId="6A2617E5" w14:textId="77777777" w:rsidTr="00C7431E">
        <w:tc>
          <w:tcPr>
            <w:tcW w:w="708" w:type="dxa"/>
            <w:tcBorders>
              <w:right w:val="single" w:sz="4" w:space="0" w:color="000000" w:themeColor="text1"/>
            </w:tcBorders>
            <w:noWrap/>
          </w:tcPr>
          <w:p w14:paraId="79EF8069" w14:textId="7FADE9F1" w:rsidR="00C474EE" w:rsidRPr="007759BD" w:rsidRDefault="00C474EE" w:rsidP="00C474EE">
            <w:pPr>
              <w:spacing w:before="120"/>
              <w:ind w:left="-58" w:right="-58"/>
              <w:jc w:val="center"/>
              <w:rPr>
                <w:rFonts w:cs="Arial"/>
                <w:bCs/>
              </w:rPr>
            </w:pPr>
            <w:r w:rsidRPr="007759BD">
              <w:rPr>
                <w:rFonts w:cs="Arial"/>
              </w:rPr>
              <w:t>005</w:t>
            </w:r>
          </w:p>
        </w:tc>
        <w:tc>
          <w:tcPr>
            <w:tcW w:w="3637" w:type="dxa"/>
            <w:tcBorders>
              <w:left w:val="single" w:sz="4" w:space="0" w:color="000000" w:themeColor="text1"/>
              <w:right w:val="single" w:sz="4" w:space="0" w:color="000000" w:themeColor="text1"/>
            </w:tcBorders>
            <w:noWrap/>
            <w:vAlign w:val="bottom"/>
          </w:tcPr>
          <w:p w14:paraId="741E475C" w14:textId="4714DDB3" w:rsidR="00C474EE" w:rsidRPr="007759BD" w:rsidRDefault="00C474EE" w:rsidP="00C474EE">
            <w:pPr>
              <w:spacing w:before="120"/>
              <w:ind w:left="-58"/>
              <w:rPr>
                <w:rFonts w:cs="Arial"/>
                <w:bCs/>
              </w:rPr>
            </w:pPr>
            <w:r w:rsidRPr="00C66B35">
              <w:rPr>
                <w:rFonts w:cs="Arial"/>
              </w:rPr>
              <w:t>Foreign currencies (USD)</w:t>
            </w:r>
          </w:p>
        </w:tc>
        <w:tc>
          <w:tcPr>
            <w:tcW w:w="772" w:type="dxa"/>
            <w:tcBorders>
              <w:left w:val="single" w:sz="4" w:space="0" w:color="000000" w:themeColor="text1"/>
              <w:right w:val="single" w:sz="4" w:space="0" w:color="000000" w:themeColor="text1"/>
            </w:tcBorders>
            <w:noWrap/>
            <w:vAlign w:val="bottom"/>
          </w:tcPr>
          <w:p w14:paraId="48A48125" w14:textId="18015AB1" w:rsidR="00C474EE" w:rsidRPr="007759BD" w:rsidRDefault="00C474EE" w:rsidP="00C474EE">
            <w:pPr>
              <w:spacing w:before="120"/>
              <w:ind w:left="-58" w:right="-58"/>
              <w:jc w:val="center"/>
              <w:rPr>
                <w:rFonts w:cs="Arial"/>
                <w:bCs/>
              </w:rPr>
            </w:pPr>
            <w:r>
              <w:rPr>
                <w:rFonts w:cs="Arial"/>
                <w:bCs/>
              </w:rPr>
              <w:t>19.1</w:t>
            </w:r>
          </w:p>
        </w:tc>
        <w:tc>
          <w:tcPr>
            <w:tcW w:w="1887" w:type="dxa"/>
            <w:tcBorders>
              <w:left w:val="single" w:sz="4" w:space="0" w:color="000000" w:themeColor="text1"/>
              <w:right w:val="single" w:sz="4" w:space="0" w:color="000000" w:themeColor="text1"/>
            </w:tcBorders>
          </w:tcPr>
          <w:p w14:paraId="69FB317F" w14:textId="755082DB" w:rsidR="00C474EE" w:rsidRPr="003C222B" w:rsidRDefault="00C474EE" w:rsidP="00C474EE">
            <w:pPr>
              <w:spacing w:before="120"/>
              <w:ind w:left="-58"/>
              <w:jc w:val="right"/>
              <w:rPr>
                <w:rFonts w:cs="Arial"/>
                <w:lang w:val="vi-VN"/>
              </w:rPr>
            </w:pPr>
            <w:r w:rsidRPr="00C51011">
              <w:t>8</w:t>
            </w:r>
            <w:r>
              <w:t>,</w:t>
            </w:r>
            <w:r w:rsidRPr="00C51011">
              <w:t>386</w:t>
            </w:r>
            <w:r>
              <w:t>.</w:t>
            </w:r>
            <w:r w:rsidRPr="00C51011">
              <w:t>35</w:t>
            </w:r>
          </w:p>
        </w:tc>
        <w:tc>
          <w:tcPr>
            <w:tcW w:w="1887" w:type="dxa"/>
            <w:tcBorders>
              <w:left w:val="single" w:sz="4" w:space="0" w:color="000000" w:themeColor="text1"/>
            </w:tcBorders>
            <w:noWrap/>
          </w:tcPr>
          <w:p w14:paraId="64A6B2CC" w14:textId="3E491BA0" w:rsidR="00C474EE" w:rsidRPr="003C222B" w:rsidRDefault="00C474EE" w:rsidP="00C474EE">
            <w:pPr>
              <w:spacing w:before="120"/>
              <w:ind w:left="-58"/>
              <w:jc w:val="right"/>
              <w:rPr>
                <w:rFonts w:cs="Arial"/>
                <w:lang w:val="vi-VN"/>
              </w:rPr>
            </w:pPr>
            <w:r w:rsidRPr="00C51011">
              <w:t>6</w:t>
            </w:r>
            <w:r>
              <w:t>,</w:t>
            </w:r>
            <w:r w:rsidRPr="00C51011">
              <w:t>345</w:t>
            </w:r>
            <w:r>
              <w:t>.</w:t>
            </w:r>
            <w:r w:rsidRPr="00C51011">
              <w:t>96</w:t>
            </w:r>
          </w:p>
        </w:tc>
      </w:tr>
      <w:tr w:rsidR="00C474EE" w:rsidRPr="007759BD" w14:paraId="483E884C" w14:textId="77777777" w:rsidTr="00C7431E">
        <w:tc>
          <w:tcPr>
            <w:tcW w:w="708" w:type="dxa"/>
            <w:tcBorders>
              <w:right w:val="single" w:sz="4" w:space="0" w:color="000000" w:themeColor="text1"/>
            </w:tcBorders>
            <w:noWrap/>
          </w:tcPr>
          <w:p w14:paraId="108DC8D8" w14:textId="4D186146" w:rsidR="00C474EE" w:rsidRPr="007759BD" w:rsidRDefault="00C474EE" w:rsidP="00C474EE">
            <w:pPr>
              <w:spacing w:before="120"/>
              <w:ind w:left="-58" w:right="-58"/>
              <w:jc w:val="center"/>
              <w:rPr>
                <w:rFonts w:cs="Arial"/>
                <w:bCs/>
              </w:rPr>
            </w:pPr>
            <w:r w:rsidRPr="007759BD">
              <w:rPr>
                <w:rFonts w:cs="Arial"/>
              </w:rPr>
              <w:t>008</w:t>
            </w:r>
          </w:p>
        </w:tc>
        <w:tc>
          <w:tcPr>
            <w:tcW w:w="3637" w:type="dxa"/>
            <w:tcBorders>
              <w:left w:val="single" w:sz="4" w:space="0" w:color="000000" w:themeColor="text1"/>
              <w:right w:val="single" w:sz="4" w:space="0" w:color="000000" w:themeColor="text1"/>
            </w:tcBorders>
            <w:noWrap/>
            <w:vAlign w:val="bottom"/>
          </w:tcPr>
          <w:p w14:paraId="2A5EC88F" w14:textId="5D567BA0" w:rsidR="00C474EE" w:rsidRPr="007759BD" w:rsidRDefault="00C474EE" w:rsidP="00C474EE">
            <w:pPr>
              <w:spacing w:before="120"/>
              <w:ind w:left="-58"/>
              <w:jc w:val="left"/>
              <w:rPr>
                <w:rFonts w:cs="Arial"/>
                <w:lang w:val="vi-VN"/>
              </w:rPr>
            </w:pPr>
            <w:r w:rsidRPr="00646542">
              <w:rPr>
                <w:rFonts w:cs="Arial"/>
                <w:lang w:val="vi-VN"/>
              </w:rPr>
              <w:t>Financial assets listed/registered for trading at VSD of the Company</w:t>
            </w:r>
          </w:p>
        </w:tc>
        <w:tc>
          <w:tcPr>
            <w:tcW w:w="772" w:type="dxa"/>
            <w:tcBorders>
              <w:left w:val="single" w:sz="4" w:space="0" w:color="000000" w:themeColor="text1"/>
              <w:right w:val="single" w:sz="4" w:space="0" w:color="000000" w:themeColor="text1"/>
            </w:tcBorders>
            <w:noWrap/>
            <w:vAlign w:val="bottom"/>
          </w:tcPr>
          <w:p w14:paraId="1140D15F" w14:textId="0700FEE3" w:rsidR="00C474EE" w:rsidRPr="003C222B" w:rsidRDefault="00C474EE" w:rsidP="00C474EE">
            <w:pPr>
              <w:spacing w:before="120"/>
              <w:ind w:left="-58" w:right="-58"/>
              <w:jc w:val="center"/>
              <w:rPr>
                <w:rFonts w:cs="Arial"/>
              </w:rPr>
            </w:pPr>
            <w:r w:rsidRPr="003C222B">
              <w:rPr>
                <w:rFonts w:cs="Arial"/>
              </w:rPr>
              <w:t>19.2</w:t>
            </w:r>
          </w:p>
        </w:tc>
        <w:tc>
          <w:tcPr>
            <w:tcW w:w="1887" w:type="dxa"/>
            <w:tcBorders>
              <w:left w:val="single" w:sz="4" w:space="0" w:color="000000" w:themeColor="text1"/>
              <w:right w:val="single" w:sz="4" w:space="0" w:color="000000" w:themeColor="text1"/>
            </w:tcBorders>
          </w:tcPr>
          <w:p w14:paraId="7EACDE8F" w14:textId="37D5D8D1" w:rsidR="00C474EE" w:rsidRPr="003C222B" w:rsidRDefault="00C474EE" w:rsidP="00C474EE">
            <w:pPr>
              <w:spacing w:before="120"/>
              <w:ind w:left="-58"/>
              <w:jc w:val="right"/>
              <w:rPr>
                <w:rFonts w:cs="Arial"/>
                <w:lang w:val="vi-VN"/>
              </w:rPr>
            </w:pPr>
            <w:r w:rsidRPr="00C51011">
              <w:t>125</w:t>
            </w:r>
            <w:r>
              <w:t>,</w:t>
            </w:r>
            <w:r w:rsidRPr="00C51011">
              <w:t>097</w:t>
            </w:r>
            <w:r>
              <w:t>,</w:t>
            </w:r>
            <w:r w:rsidRPr="00C51011">
              <w:t>650</w:t>
            </w:r>
            <w:r>
              <w:t>,</w:t>
            </w:r>
            <w:r w:rsidRPr="00C51011">
              <w:t xml:space="preserve">000 </w:t>
            </w:r>
          </w:p>
        </w:tc>
        <w:tc>
          <w:tcPr>
            <w:tcW w:w="1887" w:type="dxa"/>
            <w:tcBorders>
              <w:left w:val="single" w:sz="4" w:space="0" w:color="000000" w:themeColor="text1"/>
            </w:tcBorders>
            <w:noWrap/>
          </w:tcPr>
          <w:p w14:paraId="48E304DE" w14:textId="26F3B991" w:rsidR="00C474EE" w:rsidRPr="007759BD" w:rsidRDefault="00C474EE" w:rsidP="00C474EE">
            <w:pPr>
              <w:spacing w:before="120"/>
              <w:ind w:left="-58"/>
              <w:jc w:val="right"/>
              <w:rPr>
                <w:rFonts w:cs="Arial"/>
                <w:bCs/>
                <w:lang w:val="vi-VN"/>
              </w:rPr>
            </w:pPr>
            <w:r w:rsidRPr="00C51011">
              <w:t>65</w:t>
            </w:r>
            <w:r>
              <w:t>,</w:t>
            </w:r>
            <w:r w:rsidRPr="00C51011">
              <w:t>980</w:t>
            </w:r>
            <w:r>
              <w:t>,</w:t>
            </w:r>
            <w:r w:rsidRPr="00C51011">
              <w:t>000</w:t>
            </w:r>
          </w:p>
        </w:tc>
      </w:tr>
      <w:tr w:rsidR="00C474EE" w:rsidRPr="007759BD" w14:paraId="3149CE57" w14:textId="77777777" w:rsidTr="00C7431E">
        <w:tc>
          <w:tcPr>
            <w:tcW w:w="708" w:type="dxa"/>
            <w:tcBorders>
              <w:right w:val="single" w:sz="4" w:space="0" w:color="000000" w:themeColor="text1"/>
            </w:tcBorders>
            <w:noWrap/>
          </w:tcPr>
          <w:p w14:paraId="5F2EC4EA" w14:textId="092A792C" w:rsidR="00C474EE" w:rsidRPr="007759BD" w:rsidRDefault="00C474EE" w:rsidP="00C474EE">
            <w:pPr>
              <w:spacing w:before="120"/>
              <w:ind w:left="-58" w:right="-58"/>
              <w:jc w:val="center"/>
              <w:rPr>
                <w:rFonts w:cs="Arial"/>
              </w:rPr>
            </w:pPr>
            <w:r>
              <w:rPr>
                <w:rFonts w:cs="Arial"/>
              </w:rPr>
              <w:t>009</w:t>
            </w:r>
          </w:p>
        </w:tc>
        <w:tc>
          <w:tcPr>
            <w:tcW w:w="3637" w:type="dxa"/>
            <w:tcBorders>
              <w:left w:val="single" w:sz="4" w:space="0" w:color="000000" w:themeColor="text1"/>
              <w:right w:val="single" w:sz="4" w:space="0" w:color="000000" w:themeColor="text1"/>
            </w:tcBorders>
            <w:noWrap/>
            <w:vAlign w:val="bottom"/>
          </w:tcPr>
          <w:p w14:paraId="20453B2C" w14:textId="6571A79C" w:rsidR="00C474EE" w:rsidRPr="00784B07" w:rsidRDefault="00C474EE" w:rsidP="00C474EE">
            <w:pPr>
              <w:spacing w:before="120"/>
              <w:ind w:left="-58"/>
              <w:jc w:val="left"/>
              <w:rPr>
                <w:rFonts w:cs="Arial"/>
              </w:rPr>
            </w:pPr>
            <w:r>
              <w:rPr>
                <w:rFonts w:cs="Arial"/>
              </w:rPr>
              <w:t>Financial assets listed/registered at VSD but not yet trading at Company</w:t>
            </w:r>
          </w:p>
        </w:tc>
        <w:tc>
          <w:tcPr>
            <w:tcW w:w="772" w:type="dxa"/>
            <w:tcBorders>
              <w:left w:val="single" w:sz="4" w:space="0" w:color="000000" w:themeColor="text1"/>
              <w:right w:val="single" w:sz="4" w:space="0" w:color="000000" w:themeColor="text1"/>
            </w:tcBorders>
            <w:noWrap/>
            <w:vAlign w:val="bottom"/>
          </w:tcPr>
          <w:p w14:paraId="1AFBCB9F" w14:textId="77777777" w:rsidR="00C474EE" w:rsidRPr="003C222B" w:rsidRDefault="00C474EE" w:rsidP="00C474EE">
            <w:pPr>
              <w:spacing w:before="120"/>
              <w:ind w:left="-58" w:right="-58"/>
              <w:jc w:val="center"/>
              <w:rPr>
                <w:rFonts w:cs="Arial"/>
              </w:rPr>
            </w:pPr>
          </w:p>
        </w:tc>
        <w:tc>
          <w:tcPr>
            <w:tcW w:w="1887" w:type="dxa"/>
            <w:tcBorders>
              <w:left w:val="single" w:sz="4" w:space="0" w:color="000000" w:themeColor="text1"/>
              <w:right w:val="single" w:sz="4" w:space="0" w:color="000000" w:themeColor="text1"/>
            </w:tcBorders>
          </w:tcPr>
          <w:p w14:paraId="48BF54EC" w14:textId="227A5712" w:rsidR="00C474EE" w:rsidRPr="00BB1BF6" w:rsidRDefault="00C474EE" w:rsidP="00C474EE">
            <w:pPr>
              <w:spacing w:before="120"/>
              <w:ind w:left="-58"/>
              <w:jc w:val="right"/>
              <w:rPr>
                <w:rFonts w:cs="Arial"/>
              </w:rPr>
            </w:pPr>
            <w:r w:rsidRPr="00C51011">
              <w:t>520</w:t>
            </w:r>
            <w:r>
              <w:t>,</w:t>
            </w:r>
            <w:r w:rsidRPr="00C51011">
              <w:t>000</w:t>
            </w:r>
          </w:p>
        </w:tc>
        <w:tc>
          <w:tcPr>
            <w:tcW w:w="1887" w:type="dxa"/>
            <w:tcBorders>
              <w:left w:val="single" w:sz="4" w:space="0" w:color="000000" w:themeColor="text1"/>
            </w:tcBorders>
            <w:noWrap/>
          </w:tcPr>
          <w:p w14:paraId="6F29CA7B" w14:textId="3D3130A4" w:rsidR="00C474EE" w:rsidRDefault="00C474EE" w:rsidP="00C474EE">
            <w:pPr>
              <w:spacing w:before="120"/>
              <w:ind w:left="-58"/>
              <w:jc w:val="right"/>
              <w:rPr>
                <w:rFonts w:cs="Arial"/>
              </w:rPr>
            </w:pPr>
            <w:r w:rsidRPr="00C51011">
              <w:t>-</w:t>
            </w:r>
          </w:p>
        </w:tc>
      </w:tr>
      <w:tr w:rsidR="004D6A69" w:rsidRPr="007759BD" w14:paraId="312C4E93" w14:textId="77777777" w:rsidTr="7D59BCB4">
        <w:tc>
          <w:tcPr>
            <w:tcW w:w="708" w:type="dxa"/>
            <w:tcBorders>
              <w:right w:val="single" w:sz="4" w:space="0" w:color="000000" w:themeColor="text1"/>
            </w:tcBorders>
            <w:noWrap/>
          </w:tcPr>
          <w:p w14:paraId="37FE2B7A" w14:textId="0BAC2737" w:rsidR="004D6A69" w:rsidRPr="007759BD" w:rsidRDefault="004D6A69" w:rsidP="004D6A69">
            <w:pPr>
              <w:spacing w:before="120"/>
              <w:ind w:left="-58" w:right="-58"/>
              <w:jc w:val="center"/>
              <w:rPr>
                <w:rFonts w:cs="Arial"/>
                <w:bCs/>
              </w:rPr>
            </w:pPr>
          </w:p>
        </w:tc>
        <w:tc>
          <w:tcPr>
            <w:tcW w:w="8183" w:type="dxa"/>
            <w:gridSpan w:val="4"/>
            <w:tcBorders>
              <w:left w:val="single" w:sz="4" w:space="0" w:color="000000" w:themeColor="text1"/>
            </w:tcBorders>
            <w:noWrap/>
            <w:vAlign w:val="bottom"/>
          </w:tcPr>
          <w:p w14:paraId="5F934E36" w14:textId="727C1D04" w:rsidR="004D6A69" w:rsidRPr="007759BD" w:rsidRDefault="004D6A69" w:rsidP="00AC0F4A">
            <w:pPr>
              <w:spacing w:before="120"/>
              <w:ind w:left="302" w:hanging="360"/>
              <w:jc w:val="left"/>
              <w:rPr>
                <w:rFonts w:cs="Arial"/>
                <w:bCs/>
              </w:rPr>
            </w:pPr>
            <w:r w:rsidRPr="007759BD">
              <w:rPr>
                <w:rFonts w:cs="Arial"/>
                <w:b/>
                <w:bCs/>
              </w:rPr>
              <w:t>B</w:t>
            </w:r>
            <w:r w:rsidRPr="007759BD">
              <w:rPr>
                <w:rFonts w:cs="Arial"/>
                <w:b/>
                <w:bCs/>
                <w:lang w:val="vi-VN"/>
              </w:rPr>
              <w:t>.</w:t>
            </w:r>
            <w:r w:rsidRPr="007759BD">
              <w:rPr>
                <w:rFonts w:cs="Arial"/>
                <w:b/>
                <w:bCs/>
                <w:lang w:val="vi-VN"/>
              </w:rPr>
              <w:tab/>
            </w:r>
            <w:r w:rsidR="00A62C3E" w:rsidRPr="00A62C3E">
              <w:rPr>
                <w:rFonts w:cs="Arial"/>
                <w:b/>
                <w:bCs/>
                <w:lang w:val="vi-VN"/>
              </w:rPr>
              <w:t>ASSETS AND PAYABLES UNDER AGREEMENT WITH INVESTORS</w:t>
            </w:r>
          </w:p>
        </w:tc>
      </w:tr>
      <w:tr w:rsidR="0085000F" w:rsidRPr="007759BD" w14:paraId="56FA3781" w14:textId="77777777" w:rsidTr="00CE549F">
        <w:tc>
          <w:tcPr>
            <w:tcW w:w="708" w:type="dxa"/>
            <w:tcBorders>
              <w:right w:val="single" w:sz="4" w:space="0" w:color="000000" w:themeColor="text1"/>
            </w:tcBorders>
            <w:noWrap/>
          </w:tcPr>
          <w:p w14:paraId="3B7D247B" w14:textId="468874DC" w:rsidR="0085000F" w:rsidRPr="007759BD" w:rsidRDefault="0085000F" w:rsidP="0085000F">
            <w:pPr>
              <w:spacing w:before="120"/>
              <w:ind w:left="-58" w:right="-58"/>
              <w:jc w:val="center"/>
              <w:rPr>
                <w:rFonts w:cs="Arial"/>
                <w:bCs/>
              </w:rPr>
            </w:pPr>
            <w:r w:rsidRPr="007759BD">
              <w:rPr>
                <w:rFonts w:cs="Arial"/>
                <w:bCs/>
              </w:rPr>
              <w:t>021</w:t>
            </w:r>
          </w:p>
        </w:tc>
        <w:tc>
          <w:tcPr>
            <w:tcW w:w="3637" w:type="dxa"/>
            <w:tcBorders>
              <w:left w:val="single" w:sz="4" w:space="0" w:color="000000" w:themeColor="text1"/>
              <w:right w:val="single" w:sz="4" w:space="0" w:color="000000" w:themeColor="text1"/>
            </w:tcBorders>
            <w:noWrap/>
            <w:vAlign w:val="bottom"/>
          </w:tcPr>
          <w:p w14:paraId="4AED5448" w14:textId="1E721DDD" w:rsidR="0085000F" w:rsidRPr="007759BD" w:rsidRDefault="0085000F" w:rsidP="0085000F">
            <w:pPr>
              <w:spacing w:before="120"/>
              <w:ind w:left="-58"/>
              <w:rPr>
                <w:rFonts w:cs="Arial"/>
                <w:bCs/>
              </w:rPr>
            </w:pPr>
            <w:r w:rsidRPr="007759BD">
              <w:rPr>
                <w:rFonts w:cs="Arial"/>
                <w:bCs/>
              </w:rPr>
              <w:tab/>
            </w:r>
            <w:r w:rsidRPr="00656DDE">
              <w:rPr>
                <w:rFonts w:cs="Arial"/>
                <w:bCs/>
              </w:rPr>
              <w:t>Financial assets listed/registered for trading at VSD of investors</w:t>
            </w:r>
          </w:p>
        </w:tc>
        <w:tc>
          <w:tcPr>
            <w:tcW w:w="772" w:type="dxa"/>
            <w:tcBorders>
              <w:left w:val="single" w:sz="4" w:space="0" w:color="000000" w:themeColor="text1"/>
              <w:right w:val="single" w:sz="4" w:space="0" w:color="000000" w:themeColor="text1"/>
            </w:tcBorders>
            <w:noWrap/>
            <w:vAlign w:val="bottom"/>
          </w:tcPr>
          <w:p w14:paraId="0DC72095" w14:textId="4C3F01FC" w:rsidR="0085000F" w:rsidRPr="003C222B" w:rsidRDefault="0085000F" w:rsidP="0085000F">
            <w:pPr>
              <w:spacing w:before="120"/>
              <w:ind w:left="-58" w:right="-58"/>
              <w:jc w:val="center"/>
              <w:rPr>
                <w:rFonts w:cs="Arial"/>
              </w:rPr>
            </w:pPr>
            <w:r w:rsidRPr="003C222B">
              <w:rPr>
                <w:rFonts w:cs="Arial"/>
              </w:rPr>
              <w:t>19.3</w:t>
            </w:r>
          </w:p>
        </w:tc>
        <w:tc>
          <w:tcPr>
            <w:tcW w:w="1887" w:type="dxa"/>
            <w:tcBorders>
              <w:left w:val="single" w:sz="4" w:space="0" w:color="000000" w:themeColor="text1"/>
              <w:right w:val="single" w:sz="4" w:space="0" w:color="000000" w:themeColor="text1"/>
            </w:tcBorders>
            <w:vAlign w:val="bottom"/>
          </w:tcPr>
          <w:p w14:paraId="2B39A01D" w14:textId="2EADDEF6" w:rsidR="0085000F" w:rsidRPr="003C222B" w:rsidRDefault="0085000F" w:rsidP="00CE549F">
            <w:pPr>
              <w:spacing w:before="120"/>
              <w:ind w:left="-58"/>
              <w:jc w:val="right"/>
              <w:rPr>
                <w:rFonts w:cs="Arial"/>
              </w:rPr>
            </w:pPr>
            <w:r w:rsidRPr="00233BDA">
              <w:t>1</w:t>
            </w:r>
            <w:r w:rsidR="00CE549F">
              <w:t>,</w:t>
            </w:r>
            <w:r w:rsidRPr="00233BDA">
              <w:t>381</w:t>
            </w:r>
            <w:r w:rsidR="00CE549F">
              <w:t>,</w:t>
            </w:r>
            <w:r w:rsidRPr="00233BDA">
              <w:t>447</w:t>
            </w:r>
            <w:r w:rsidR="00CE549F">
              <w:t>,</w:t>
            </w:r>
            <w:r w:rsidRPr="00233BDA">
              <w:t>240</w:t>
            </w:r>
            <w:r w:rsidR="00CE549F">
              <w:t>,</w:t>
            </w:r>
            <w:r w:rsidRPr="00233BDA">
              <w:t xml:space="preserve">000 </w:t>
            </w:r>
          </w:p>
        </w:tc>
        <w:tc>
          <w:tcPr>
            <w:tcW w:w="1887" w:type="dxa"/>
            <w:tcBorders>
              <w:left w:val="single" w:sz="4" w:space="0" w:color="000000" w:themeColor="text1"/>
            </w:tcBorders>
            <w:noWrap/>
            <w:vAlign w:val="bottom"/>
          </w:tcPr>
          <w:p w14:paraId="5CC043E9" w14:textId="0897A048" w:rsidR="0085000F" w:rsidRPr="007759BD" w:rsidRDefault="0085000F" w:rsidP="00CE549F">
            <w:pPr>
              <w:spacing w:before="120"/>
              <w:ind w:left="-58"/>
              <w:jc w:val="right"/>
              <w:rPr>
                <w:rFonts w:cs="Arial"/>
                <w:bCs/>
              </w:rPr>
            </w:pPr>
            <w:r w:rsidRPr="00233BDA">
              <w:t>1</w:t>
            </w:r>
            <w:r w:rsidR="00CE549F">
              <w:t>,</w:t>
            </w:r>
            <w:r w:rsidRPr="00233BDA">
              <w:t>153</w:t>
            </w:r>
            <w:r w:rsidR="00CE549F">
              <w:t>,</w:t>
            </w:r>
            <w:r w:rsidRPr="00233BDA">
              <w:t>385</w:t>
            </w:r>
            <w:r w:rsidR="00CE549F">
              <w:t>,</w:t>
            </w:r>
            <w:r w:rsidRPr="00233BDA">
              <w:t>910</w:t>
            </w:r>
            <w:r w:rsidR="00CE549F">
              <w:t>,</w:t>
            </w:r>
            <w:r w:rsidRPr="00233BDA">
              <w:t xml:space="preserve">000 </w:t>
            </w:r>
          </w:p>
        </w:tc>
      </w:tr>
      <w:tr w:rsidR="0085000F" w:rsidRPr="007759BD" w14:paraId="4851311F" w14:textId="77777777" w:rsidTr="00CE549F">
        <w:tc>
          <w:tcPr>
            <w:tcW w:w="708" w:type="dxa"/>
            <w:tcBorders>
              <w:right w:val="single" w:sz="4" w:space="0" w:color="000000" w:themeColor="text1"/>
            </w:tcBorders>
            <w:noWrap/>
          </w:tcPr>
          <w:p w14:paraId="5830455A" w14:textId="7CCEC7BF" w:rsidR="0085000F" w:rsidRPr="007759BD" w:rsidRDefault="0085000F" w:rsidP="0085000F">
            <w:pPr>
              <w:ind w:left="-58" w:right="-58"/>
              <w:jc w:val="center"/>
              <w:rPr>
                <w:rFonts w:cs="Arial"/>
                <w:bCs/>
                <w:i/>
              </w:rPr>
            </w:pPr>
            <w:r w:rsidRPr="007759BD">
              <w:rPr>
                <w:rFonts w:cs="Arial"/>
                <w:bCs/>
                <w:i/>
              </w:rPr>
              <w:t>021.1</w:t>
            </w:r>
          </w:p>
        </w:tc>
        <w:tc>
          <w:tcPr>
            <w:tcW w:w="3637" w:type="dxa"/>
            <w:tcBorders>
              <w:left w:val="single" w:sz="4" w:space="0" w:color="000000" w:themeColor="text1"/>
              <w:right w:val="single" w:sz="4" w:space="0" w:color="000000" w:themeColor="text1"/>
            </w:tcBorders>
            <w:noWrap/>
            <w:vAlign w:val="bottom"/>
          </w:tcPr>
          <w:p w14:paraId="4EE16057" w14:textId="58814060" w:rsidR="0085000F" w:rsidRPr="007759BD" w:rsidRDefault="0085000F" w:rsidP="0085000F">
            <w:pPr>
              <w:ind w:left="-58"/>
              <w:jc w:val="left"/>
              <w:rPr>
                <w:rFonts w:cs="Arial"/>
                <w:bCs/>
              </w:rPr>
            </w:pPr>
            <w:r w:rsidRPr="007759BD">
              <w:rPr>
                <w:rFonts w:cs="Arial"/>
                <w:i/>
              </w:rPr>
              <w:tab/>
            </w:r>
            <w:r w:rsidRPr="00C10D4D">
              <w:rPr>
                <w:rFonts w:cs="Arial"/>
                <w:i/>
              </w:rPr>
              <w:t>Unrestricted financial assets</w:t>
            </w:r>
          </w:p>
        </w:tc>
        <w:tc>
          <w:tcPr>
            <w:tcW w:w="772" w:type="dxa"/>
            <w:tcBorders>
              <w:left w:val="single" w:sz="4" w:space="0" w:color="000000" w:themeColor="text1"/>
              <w:right w:val="single" w:sz="4" w:space="0" w:color="000000" w:themeColor="text1"/>
            </w:tcBorders>
            <w:noWrap/>
            <w:vAlign w:val="bottom"/>
          </w:tcPr>
          <w:p w14:paraId="3739D0DC" w14:textId="77777777" w:rsidR="0085000F" w:rsidRPr="003C222B" w:rsidRDefault="0085000F" w:rsidP="0085000F">
            <w:pPr>
              <w:ind w:left="-58" w:right="-58"/>
              <w:jc w:val="center"/>
              <w:rPr>
                <w:rFonts w:cs="Arial"/>
                <w:i/>
                <w:lang w:val="vi-VN"/>
              </w:rPr>
            </w:pPr>
          </w:p>
        </w:tc>
        <w:tc>
          <w:tcPr>
            <w:tcW w:w="1887" w:type="dxa"/>
            <w:tcBorders>
              <w:left w:val="single" w:sz="4" w:space="0" w:color="000000" w:themeColor="text1"/>
              <w:right w:val="single" w:sz="4" w:space="0" w:color="000000" w:themeColor="text1"/>
            </w:tcBorders>
            <w:vAlign w:val="bottom"/>
          </w:tcPr>
          <w:p w14:paraId="400E46F0" w14:textId="752F9B67" w:rsidR="0085000F" w:rsidRPr="00F205D1" w:rsidRDefault="0085000F" w:rsidP="00CE549F">
            <w:pPr>
              <w:ind w:left="-58"/>
              <w:jc w:val="right"/>
              <w:rPr>
                <w:rFonts w:cs="Arial"/>
                <w:i/>
                <w:iCs/>
              </w:rPr>
            </w:pPr>
            <w:r w:rsidRPr="00F205D1">
              <w:rPr>
                <w:i/>
                <w:iCs/>
              </w:rPr>
              <w:t>1</w:t>
            </w:r>
            <w:r w:rsidR="00CE549F" w:rsidRPr="00F205D1">
              <w:rPr>
                <w:i/>
                <w:iCs/>
              </w:rPr>
              <w:t>,</w:t>
            </w:r>
            <w:r w:rsidRPr="00F205D1">
              <w:rPr>
                <w:i/>
                <w:iCs/>
              </w:rPr>
              <w:t>357</w:t>
            </w:r>
            <w:r w:rsidR="00CE549F" w:rsidRPr="00F205D1">
              <w:rPr>
                <w:i/>
                <w:iCs/>
              </w:rPr>
              <w:t>,</w:t>
            </w:r>
            <w:r w:rsidRPr="00F205D1">
              <w:rPr>
                <w:i/>
                <w:iCs/>
              </w:rPr>
              <w:t>905</w:t>
            </w:r>
            <w:r w:rsidR="00CE549F" w:rsidRPr="00F205D1">
              <w:rPr>
                <w:i/>
                <w:iCs/>
              </w:rPr>
              <w:t>,</w:t>
            </w:r>
            <w:r w:rsidRPr="00F205D1">
              <w:rPr>
                <w:i/>
                <w:iCs/>
              </w:rPr>
              <w:t>150</w:t>
            </w:r>
            <w:r w:rsidR="00CE549F" w:rsidRPr="00F205D1">
              <w:rPr>
                <w:i/>
                <w:iCs/>
              </w:rPr>
              <w:t>,</w:t>
            </w:r>
            <w:r w:rsidRPr="00F205D1">
              <w:rPr>
                <w:i/>
                <w:iCs/>
              </w:rPr>
              <w:t xml:space="preserve">000 </w:t>
            </w:r>
          </w:p>
        </w:tc>
        <w:tc>
          <w:tcPr>
            <w:tcW w:w="1887" w:type="dxa"/>
            <w:tcBorders>
              <w:left w:val="single" w:sz="4" w:space="0" w:color="000000" w:themeColor="text1"/>
            </w:tcBorders>
            <w:noWrap/>
            <w:vAlign w:val="bottom"/>
          </w:tcPr>
          <w:p w14:paraId="7EC435CF" w14:textId="7C399C84" w:rsidR="0085000F" w:rsidRPr="00F205D1" w:rsidRDefault="0085000F" w:rsidP="00CE549F">
            <w:pPr>
              <w:ind w:left="-58"/>
              <w:jc w:val="right"/>
              <w:rPr>
                <w:rFonts w:cs="Arial"/>
                <w:bCs/>
                <w:i/>
                <w:iCs/>
              </w:rPr>
            </w:pPr>
            <w:r w:rsidRPr="00F205D1">
              <w:rPr>
                <w:i/>
                <w:iCs/>
              </w:rPr>
              <w:t>1</w:t>
            </w:r>
            <w:r w:rsidR="00CE549F" w:rsidRPr="00F205D1">
              <w:rPr>
                <w:i/>
                <w:iCs/>
              </w:rPr>
              <w:t>,</w:t>
            </w:r>
            <w:r w:rsidRPr="00F205D1">
              <w:rPr>
                <w:i/>
                <w:iCs/>
              </w:rPr>
              <w:t>132</w:t>
            </w:r>
            <w:r w:rsidR="00CE549F" w:rsidRPr="00F205D1">
              <w:rPr>
                <w:i/>
                <w:iCs/>
              </w:rPr>
              <w:t>,</w:t>
            </w:r>
            <w:r w:rsidRPr="00F205D1">
              <w:rPr>
                <w:i/>
                <w:iCs/>
              </w:rPr>
              <w:t>139</w:t>
            </w:r>
            <w:r w:rsidR="00CE549F" w:rsidRPr="00F205D1">
              <w:rPr>
                <w:i/>
                <w:iCs/>
              </w:rPr>
              <w:t>,</w:t>
            </w:r>
            <w:r w:rsidRPr="00F205D1">
              <w:rPr>
                <w:i/>
                <w:iCs/>
              </w:rPr>
              <w:t>620</w:t>
            </w:r>
            <w:r w:rsidR="00CE549F" w:rsidRPr="00F205D1">
              <w:rPr>
                <w:i/>
                <w:iCs/>
              </w:rPr>
              <w:t>,</w:t>
            </w:r>
            <w:r w:rsidRPr="00F205D1">
              <w:rPr>
                <w:i/>
                <w:iCs/>
              </w:rPr>
              <w:t xml:space="preserve">000 </w:t>
            </w:r>
          </w:p>
        </w:tc>
      </w:tr>
      <w:tr w:rsidR="0085000F" w:rsidRPr="007759BD" w14:paraId="30734FC0" w14:textId="77777777" w:rsidTr="00CE549F">
        <w:tc>
          <w:tcPr>
            <w:tcW w:w="708" w:type="dxa"/>
            <w:tcBorders>
              <w:right w:val="single" w:sz="4" w:space="0" w:color="000000" w:themeColor="text1"/>
            </w:tcBorders>
            <w:noWrap/>
          </w:tcPr>
          <w:p w14:paraId="6DD653E4" w14:textId="794F62F3" w:rsidR="0085000F" w:rsidRPr="007759BD" w:rsidRDefault="0085000F" w:rsidP="0085000F">
            <w:pPr>
              <w:ind w:left="-58" w:right="-58"/>
              <w:jc w:val="center"/>
              <w:rPr>
                <w:rFonts w:cs="Arial"/>
                <w:bCs/>
                <w:i/>
              </w:rPr>
            </w:pPr>
            <w:r w:rsidRPr="007759BD">
              <w:rPr>
                <w:rFonts w:cs="Arial"/>
                <w:bCs/>
                <w:i/>
              </w:rPr>
              <w:t>021.2</w:t>
            </w:r>
          </w:p>
        </w:tc>
        <w:tc>
          <w:tcPr>
            <w:tcW w:w="3637" w:type="dxa"/>
            <w:tcBorders>
              <w:left w:val="single" w:sz="4" w:space="0" w:color="000000" w:themeColor="text1"/>
              <w:right w:val="single" w:sz="4" w:space="0" w:color="000000" w:themeColor="text1"/>
            </w:tcBorders>
            <w:noWrap/>
            <w:vAlign w:val="bottom"/>
          </w:tcPr>
          <w:p w14:paraId="525D45AB" w14:textId="77DEE56A" w:rsidR="0085000F" w:rsidRPr="007759BD" w:rsidRDefault="0085000F" w:rsidP="0085000F">
            <w:pPr>
              <w:ind w:left="-58"/>
              <w:jc w:val="left"/>
              <w:rPr>
                <w:rFonts w:cs="Arial"/>
                <w:bCs/>
              </w:rPr>
            </w:pPr>
            <w:r w:rsidRPr="007759BD">
              <w:rPr>
                <w:rFonts w:cs="Arial"/>
                <w:i/>
              </w:rPr>
              <w:tab/>
            </w:r>
            <w:r w:rsidRPr="00642654">
              <w:rPr>
                <w:rFonts w:cs="Arial"/>
                <w:i/>
              </w:rPr>
              <w:t>Restricted financial assets</w:t>
            </w:r>
          </w:p>
        </w:tc>
        <w:tc>
          <w:tcPr>
            <w:tcW w:w="772" w:type="dxa"/>
            <w:tcBorders>
              <w:left w:val="single" w:sz="4" w:space="0" w:color="000000" w:themeColor="text1"/>
              <w:right w:val="single" w:sz="4" w:space="0" w:color="000000" w:themeColor="text1"/>
            </w:tcBorders>
            <w:noWrap/>
            <w:vAlign w:val="bottom"/>
          </w:tcPr>
          <w:p w14:paraId="5F468411" w14:textId="77777777" w:rsidR="0085000F" w:rsidRPr="003C222B" w:rsidRDefault="0085000F" w:rsidP="0085000F">
            <w:pPr>
              <w:ind w:left="-58" w:right="-58"/>
              <w:jc w:val="center"/>
              <w:rPr>
                <w:rFonts w:cs="Arial"/>
                <w:i/>
                <w:lang w:val="vi-VN"/>
              </w:rPr>
            </w:pPr>
          </w:p>
        </w:tc>
        <w:tc>
          <w:tcPr>
            <w:tcW w:w="1887" w:type="dxa"/>
            <w:tcBorders>
              <w:left w:val="single" w:sz="4" w:space="0" w:color="000000" w:themeColor="text1"/>
              <w:right w:val="single" w:sz="4" w:space="0" w:color="000000" w:themeColor="text1"/>
            </w:tcBorders>
            <w:vAlign w:val="bottom"/>
          </w:tcPr>
          <w:p w14:paraId="2F455CF0" w14:textId="0A31B4F1" w:rsidR="0085000F" w:rsidRPr="00F205D1" w:rsidRDefault="0085000F" w:rsidP="00CE549F">
            <w:pPr>
              <w:ind w:left="-58"/>
              <w:jc w:val="right"/>
              <w:rPr>
                <w:rFonts w:cs="Arial"/>
                <w:i/>
                <w:iCs/>
              </w:rPr>
            </w:pPr>
            <w:r w:rsidRPr="00F205D1">
              <w:rPr>
                <w:i/>
                <w:iCs/>
              </w:rPr>
              <w:t>4</w:t>
            </w:r>
            <w:r w:rsidR="00CE549F" w:rsidRPr="00F205D1">
              <w:rPr>
                <w:i/>
                <w:iCs/>
              </w:rPr>
              <w:t>,</w:t>
            </w:r>
            <w:r w:rsidRPr="00F205D1">
              <w:rPr>
                <w:i/>
                <w:iCs/>
              </w:rPr>
              <w:t>032</w:t>
            </w:r>
            <w:r w:rsidR="00CE549F" w:rsidRPr="00F205D1">
              <w:rPr>
                <w:i/>
                <w:iCs/>
              </w:rPr>
              <w:t>,</w:t>
            </w:r>
            <w:r w:rsidRPr="00F205D1">
              <w:rPr>
                <w:i/>
                <w:iCs/>
              </w:rPr>
              <w:t>320</w:t>
            </w:r>
            <w:r w:rsidR="00CE549F" w:rsidRPr="00F205D1">
              <w:rPr>
                <w:i/>
                <w:iCs/>
              </w:rPr>
              <w:t>,</w:t>
            </w:r>
            <w:r w:rsidRPr="00F205D1">
              <w:rPr>
                <w:i/>
                <w:iCs/>
              </w:rPr>
              <w:t xml:space="preserve">000 </w:t>
            </w:r>
          </w:p>
        </w:tc>
        <w:tc>
          <w:tcPr>
            <w:tcW w:w="1887" w:type="dxa"/>
            <w:tcBorders>
              <w:left w:val="single" w:sz="4" w:space="0" w:color="000000" w:themeColor="text1"/>
            </w:tcBorders>
            <w:noWrap/>
            <w:vAlign w:val="bottom"/>
          </w:tcPr>
          <w:p w14:paraId="130B3816" w14:textId="049716EE" w:rsidR="0085000F" w:rsidRPr="00F205D1" w:rsidRDefault="0085000F" w:rsidP="00CE549F">
            <w:pPr>
              <w:ind w:left="-58"/>
              <w:jc w:val="right"/>
              <w:rPr>
                <w:rFonts w:cs="Arial"/>
                <w:bCs/>
                <w:i/>
                <w:iCs/>
              </w:rPr>
            </w:pPr>
            <w:r w:rsidRPr="00F205D1">
              <w:rPr>
                <w:i/>
                <w:iCs/>
              </w:rPr>
              <w:t xml:space="preserve">- </w:t>
            </w:r>
          </w:p>
        </w:tc>
      </w:tr>
      <w:tr w:rsidR="0085000F" w:rsidRPr="007759BD" w14:paraId="10C802BE" w14:textId="77777777" w:rsidTr="00CE549F">
        <w:tc>
          <w:tcPr>
            <w:tcW w:w="708" w:type="dxa"/>
            <w:tcBorders>
              <w:right w:val="single" w:sz="4" w:space="0" w:color="000000" w:themeColor="text1"/>
            </w:tcBorders>
            <w:noWrap/>
          </w:tcPr>
          <w:p w14:paraId="6EE9FC87" w14:textId="48774BB5" w:rsidR="0085000F" w:rsidRPr="007759BD" w:rsidRDefault="0085000F" w:rsidP="0085000F">
            <w:pPr>
              <w:ind w:left="-58" w:right="-58"/>
              <w:jc w:val="center"/>
              <w:rPr>
                <w:rFonts w:cs="Arial"/>
                <w:bCs/>
                <w:i/>
              </w:rPr>
            </w:pPr>
            <w:r w:rsidRPr="007759BD">
              <w:rPr>
                <w:rFonts w:cs="Arial"/>
                <w:bCs/>
                <w:i/>
              </w:rPr>
              <w:t>021.3</w:t>
            </w:r>
          </w:p>
        </w:tc>
        <w:tc>
          <w:tcPr>
            <w:tcW w:w="3637" w:type="dxa"/>
            <w:tcBorders>
              <w:left w:val="single" w:sz="4" w:space="0" w:color="000000" w:themeColor="text1"/>
              <w:right w:val="single" w:sz="4" w:space="0" w:color="000000" w:themeColor="text1"/>
            </w:tcBorders>
            <w:noWrap/>
            <w:vAlign w:val="bottom"/>
          </w:tcPr>
          <w:p w14:paraId="2189C646" w14:textId="441FF77E" w:rsidR="0085000F" w:rsidRPr="007759BD" w:rsidRDefault="0085000F" w:rsidP="0085000F">
            <w:pPr>
              <w:ind w:left="-58"/>
              <w:rPr>
                <w:rFonts w:cs="Arial"/>
                <w:i/>
              </w:rPr>
            </w:pPr>
            <w:r w:rsidRPr="007759BD">
              <w:rPr>
                <w:rFonts w:cs="Arial"/>
                <w:i/>
              </w:rPr>
              <w:tab/>
            </w:r>
            <w:r w:rsidRPr="002D275A">
              <w:rPr>
                <w:rFonts w:cs="Arial"/>
                <w:i/>
              </w:rPr>
              <w:t>Mortgaged financial assets</w:t>
            </w:r>
          </w:p>
        </w:tc>
        <w:tc>
          <w:tcPr>
            <w:tcW w:w="772" w:type="dxa"/>
            <w:tcBorders>
              <w:left w:val="single" w:sz="4" w:space="0" w:color="000000" w:themeColor="text1"/>
              <w:right w:val="single" w:sz="4" w:space="0" w:color="000000" w:themeColor="text1"/>
            </w:tcBorders>
            <w:noWrap/>
            <w:vAlign w:val="bottom"/>
          </w:tcPr>
          <w:p w14:paraId="3D882F64" w14:textId="77777777" w:rsidR="0085000F" w:rsidRPr="003C222B" w:rsidRDefault="0085000F" w:rsidP="0085000F">
            <w:pPr>
              <w:ind w:left="-58" w:right="-58"/>
              <w:jc w:val="center"/>
              <w:rPr>
                <w:rFonts w:cs="Arial"/>
                <w:i/>
                <w:lang w:val="vi-VN"/>
              </w:rPr>
            </w:pPr>
          </w:p>
        </w:tc>
        <w:tc>
          <w:tcPr>
            <w:tcW w:w="1887" w:type="dxa"/>
            <w:tcBorders>
              <w:left w:val="single" w:sz="4" w:space="0" w:color="000000" w:themeColor="text1"/>
              <w:right w:val="single" w:sz="4" w:space="0" w:color="000000" w:themeColor="text1"/>
            </w:tcBorders>
            <w:vAlign w:val="bottom"/>
          </w:tcPr>
          <w:p w14:paraId="2C8EDF81" w14:textId="6B0D55FA" w:rsidR="0085000F" w:rsidRPr="00F205D1" w:rsidRDefault="0085000F" w:rsidP="00CE549F">
            <w:pPr>
              <w:ind w:left="-58"/>
              <w:jc w:val="right"/>
              <w:rPr>
                <w:rFonts w:cs="Arial"/>
                <w:i/>
                <w:iCs/>
              </w:rPr>
            </w:pPr>
            <w:r w:rsidRPr="00F205D1">
              <w:rPr>
                <w:i/>
                <w:iCs/>
              </w:rPr>
              <w:t>1</w:t>
            </w:r>
            <w:r w:rsidR="00CE549F" w:rsidRPr="00F205D1">
              <w:rPr>
                <w:i/>
                <w:iCs/>
              </w:rPr>
              <w:t>,</w:t>
            </w:r>
            <w:r w:rsidRPr="00F205D1">
              <w:rPr>
                <w:i/>
                <w:iCs/>
              </w:rPr>
              <w:t>940</w:t>
            </w:r>
            <w:r w:rsidR="00CE549F" w:rsidRPr="00F205D1">
              <w:rPr>
                <w:i/>
                <w:iCs/>
              </w:rPr>
              <w:t>,</w:t>
            </w:r>
            <w:r w:rsidRPr="00F205D1">
              <w:rPr>
                <w:i/>
                <w:iCs/>
              </w:rPr>
              <w:t>000</w:t>
            </w:r>
            <w:r w:rsidR="00CE549F" w:rsidRPr="00F205D1">
              <w:rPr>
                <w:i/>
                <w:iCs/>
              </w:rPr>
              <w:t>,</w:t>
            </w:r>
            <w:r w:rsidRPr="00F205D1">
              <w:rPr>
                <w:i/>
                <w:iCs/>
              </w:rPr>
              <w:t xml:space="preserve">000 </w:t>
            </w:r>
          </w:p>
        </w:tc>
        <w:tc>
          <w:tcPr>
            <w:tcW w:w="1887" w:type="dxa"/>
            <w:tcBorders>
              <w:left w:val="single" w:sz="4" w:space="0" w:color="000000" w:themeColor="text1"/>
            </w:tcBorders>
            <w:noWrap/>
            <w:vAlign w:val="bottom"/>
          </w:tcPr>
          <w:p w14:paraId="002118FB" w14:textId="1E73B497" w:rsidR="0085000F" w:rsidRPr="00F205D1" w:rsidRDefault="0085000F" w:rsidP="00CE549F">
            <w:pPr>
              <w:ind w:left="-58"/>
              <w:jc w:val="right"/>
              <w:rPr>
                <w:rFonts w:cs="Arial"/>
                <w:bCs/>
                <w:i/>
                <w:iCs/>
              </w:rPr>
            </w:pPr>
            <w:r w:rsidRPr="00F205D1">
              <w:rPr>
                <w:i/>
                <w:iCs/>
              </w:rPr>
              <w:t>1</w:t>
            </w:r>
            <w:r w:rsidR="00CE549F" w:rsidRPr="00F205D1">
              <w:rPr>
                <w:i/>
                <w:iCs/>
              </w:rPr>
              <w:t>,</w:t>
            </w:r>
            <w:r w:rsidRPr="00F205D1">
              <w:rPr>
                <w:i/>
                <w:iCs/>
              </w:rPr>
              <w:t>940</w:t>
            </w:r>
            <w:r w:rsidR="00CE549F" w:rsidRPr="00F205D1">
              <w:rPr>
                <w:i/>
                <w:iCs/>
              </w:rPr>
              <w:t>,</w:t>
            </w:r>
            <w:r w:rsidRPr="00F205D1">
              <w:rPr>
                <w:i/>
                <w:iCs/>
              </w:rPr>
              <w:t>000</w:t>
            </w:r>
            <w:r w:rsidR="00CE549F" w:rsidRPr="00F205D1">
              <w:rPr>
                <w:i/>
                <w:iCs/>
              </w:rPr>
              <w:t>,</w:t>
            </w:r>
            <w:r w:rsidRPr="00F205D1">
              <w:rPr>
                <w:i/>
                <w:iCs/>
              </w:rPr>
              <w:t xml:space="preserve">000 </w:t>
            </w:r>
          </w:p>
        </w:tc>
      </w:tr>
      <w:tr w:rsidR="0085000F" w:rsidRPr="007759BD" w14:paraId="271DD793" w14:textId="77777777" w:rsidTr="00CE549F">
        <w:tc>
          <w:tcPr>
            <w:tcW w:w="708" w:type="dxa"/>
            <w:tcBorders>
              <w:right w:val="single" w:sz="4" w:space="0" w:color="000000" w:themeColor="text1"/>
            </w:tcBorders>
            <w:noWrap/>
          </w:tcPr>
          <w:p w14:paraId="50D21143" w14:textId="534E8B4A" w:rsidR="0085000F" w:rsidRPr="007759BD" w:rsidRDefault="0085000F" w:rsidP="0085000F">
            <w:pPr>
              <w:ind w:left="-58" w:right="-58"/>
              <w:jc w:val="center"/>
              <w:rPr>
                <w:rFonts w:cs="Arial"/>
                <w:bCs/>
                <w:i/>
              </w:rPr>
            </w:pPr>
            <w:r w:rsidRPr="007759BD">
              <w:rPr>
                <w:rFonts w:cs="Arial"/>
                <w:bCs/>
                <w:i/>
              </w:rPr>
              <w:t>021.5</w:t>
            </w:r>
          </w:p>
        </w:tc>
        <w:tc>
          <w:tcPr>
            <w:tcW w:w="3637" w:type="dxa"/>
            <w:tcBorders>
              <w:left w:val="single" w:sz="4" w:space="0" w:color="000000" w:themeColor="text1"/>
              <w:right w:val="single" w:sz="4" w:space="0" w:color="000000" w:themeColor="text1"/>
            </w:tcBorders>
            <w:noWrap/>
            <w:vAlign w:val="bottom"/>
          </w:tcPr>
          <w:p w14:paraId="25ED15E7" w14:textId="00FB12B8" w:rsidR="0085000F" w:rsidRPr="007759BD" w:rsidRDefault="0085000F" w:rsidP="0085000F">
            <w:pPr>
              <w:ind w:left="-58"/>
              <w:rPr>
                <w:rFonts w:cs="Arial"/>
                <w:i/>
              </w:rPr>
            </w:pPr>
            <w:r w:rsidRPr="007759BD">
              <w:rPr>
                <w:rFonts w:cs="Arial"/>
                <w:i/>
              </w:rPr>
              <w:tab/>
            </w:r>
            <w:r w:rsidRPr="00FB63E8">
              <w:rPr>
                <w:rFonts w:cs="Arial"/>
                <w:i/>
              </w:rPr>
              <w:tab/>
              <w:t>Financial assets awaiting settlement</w:t>
            </w:r>
          </w:p>
        </w:tc>
        <w:tc>
          <w:tcPr>
            <w:tcW w:w="772" w:type="dxa"/>
            <w:tcBorders>
              <w:left w:val="single" w:sz="4" w:space="0" w:color="000000" w:themeColor="text1"/>
              <w:right w:val="single" w:sz="4" w:space="0" w:color="000000" w:themeColor="text1"/>
            </w:tcBorders>
            <w:noWrap/>
            <w:vAlign w:val="bottom"/>
          </w:tcPr>
          <w:p w14:paraId="136DFB3D" w14:textId="77777777" w:rsidR="0085000F" w:rsidRPr="003C222B" w:rsidRDefault="0085000F" w:rsidP="0085000F">
            <w:pPr>
              <w:ind w:left="-58" w:right="-58"/>
              <w:jc w:val="center"/>
              <w:rPr>
                <w:rFonts w:cs="Arial"/>
                <w:i/>
                <w:lang w:val="vi-VN"/>
              </w:rPr>
            </w:pPr>
          </w:p>
        </w:tc>
        <w:tc>
          <w:tcPr>
            <w:tcW w:w="1887" w:type="dxa"/>
            <w:tcBorders>
              <w:left w:val="single" w:sz="4" w:space="0" w:color="000000" w:themeColor="text1"/>
              <w:right w:val="single" w:sz="4" w:space="0" w:color="000000" w:themeColor="text1"/>
            </w:tcBorders>
            <w:vAlign w:val="bottom"/>
          </w:tcPr>
          <w:p w14:paraId="7D4C0F19" w14:textId="5616133B" w:rsidR="0085000F" w:rsidRPr="00F205D1" w:rsidRDefault="0085000F" w:rsidP="00CE549F">
            <w:pPr>
              <w:ind w:left="-58"/>
              <w:jc w:val="right"/>
              <w:rPr>
                <w:rFonts w:cs="Arial"/>
                <w:i/>
                <w:iCs/>
              </w:rPr>
            </w:pPr>
            <w:r w:rsidRPr="00F205D1">
              <w:rPr>
                <w:i/>
                <w:iCs/>
              </w:rPr>
              <w:t>498</w:t>
            </w:r>
            <w:r w:rsidR="00CE549F" w:rsidRPr="00F205D1">
              <w:rPr>
                <w:i/>
                <w:iCs/>
              </w:rPr>
              <w:t>,</w:t>
            </w:r>
            <w:r w:rsidRPr="00F205D1">
              <w:rPr>
                <w:i/>
                <w:iCs/>
              </w:rPr>
              <w:t>390</w:t>
            </w:r>
            <w:r w:rsidR="00CE549F" w:rsidRPr="00F205D1">
              <w:rPr>
                <w:i/>
                <w:iCs/>
              </w:rPr>
              <w:t>,</w:t>
            </w:r>
            <w:r w:rsidRPr="00F205D1">
              <w:rPr>
                <w:i/>
                <w:iCs/>
              </w:rPr>
              <w:t>000</w:t>
            </w:r>
          </w:p>
        </w:tc>
        <w:tc>
          <w:tcPr>
            <w:tcW w:w="1887" w:type="dxa"/>
            <w:tcBorders>
              <w:left w:val="single" w:sz="4" w:space="0" w:color="000000" w:themeColor="text1"/>
            </w:tcBorders>
            <w:noWrap/>
            <w:vAlign w:val="bottom"/>
          </w:tcPr>
          <w:p w14:paraId="69EC3E45" w14:textId="5926CCEB" w:rsidR="0085000F" w:rsidRPr="00F205D1" w:rsidRDefault="0085000F" w:rsidP="00CE549F">
            <w:pPr>
              <w:ind w:left="-58"/>
              <w:jc w:val="right"/>
              <w:rPr>
                <w:rFonts w:cs="Arial"/>
                <w:bCs/>
                <w:i/>
                <w:iCs/>
              </w:rPr>
            </w:pPr>
            <w:r w:rsidRPr="00F205D1">
              <w:rPr>
                <w:i/>
                <w:iCs/>
              </w:rPr>
              <w:t>-</w:t>
            </w:r>
          </w:p>
        </w:tc>
      </w:tr>
      <w:tr w:rsidR="0085000F" w:rsidRPr="007759BD" w14:paraId="65E3FC9B" w14:textId="77777777" w:rsidTr="00CE549F">
        <w:tc>
          <w:tcPr>
            <w:tcW w:w="708" w:type="dxa"/>
            <w:tcBorders>
              <w:right w:val="single" w:sz="4" w:space="0" w:color="000000" w:themeColor="text1"/>
            </w:tcBorders>
            <w:noWrap/>
          </w:tcPr>
          <w:p w14:paraId="2C15CF2C" w14:textId="3ED117C0" w:rsidR="0085000F" w:rsidRPr="007759BD" w:rsidRDefault="0085000F" w:rsidP="0085000F">
            <w:pPr>
              <w:spacing w:before="120"/>
              <w:ind w:left="-58" w:right="-58"/>
              <w:jc w:val="center"/>
              <w:rPr>
                <w:rFonts w:cs="Arial"/>
                <w:bCs/>
              </w:rPr>
            </w:pPr>
            <w:r w:rsidRPr="007759BD">
              <w:rPr>
                <w:rFonts w:cs="Arial"/>
                <w:bCs/>
              </w:rPr>
              <w:t>022</w:t>
            </w:r>
          </w:p>
        </w:tc>
        <w:tc>
          <w:tcPr>
            <w:tcW w:w="3637" w:type="dxa"/>
            <w:tcBorders>
              <w:left w:val="single" w:sz="4" w:space="0" w:color="000000" w:themeColor="text1"/>
              <w:right w:val="single" w:sz="4" w:space="0" w:color="000000" w:themeColor="text1"/>
            </w:tcBorders>
            <w:noWrap/>
            <w:vAlign w:val="bottom"/>
          </w:tcPr>
          <w:p w14:paraId="5BB991B7" w14:textId="17EDAD28" w:rsidR="0085000F" w:rsidRPr="007759BD" w:rsidRDefault="0085000F" w:rsidP="0085000F">
            <w:pPr>
              <w:spacing w:before="120"/>
              <w:ind w:left="-58"/>
              <w:rPr>
                <w:rFonts w:cs="Arial"/>
              </w:rPr>
            </w:pPr>
            <w:r w:rsidRPr="007759BD">
              <w:rPr>
                <w:rFonts w:cs="Arial"/>
              </w:rPr>
              <w:tab/>
            </w:r>
            <w:r w:rsidRPr="00F74AA4">
              <w:rPr>
                <w:rFonts w:cs="Arial"/>
              </w:rPr>
              <w:tab/>
              <w:t>Non-traded financial assets deposited at VSD of investors</w:t>
            </w:r>
          </w:p>
        </w:tc>
        <w:tc>
          <w:tcPr>
            <w:tcW w:w="772" w:type="dxa"/>
            <w:tcBorders>
              <w:left w:val="single" w:sz="4" w:space="0" w:color="000000" w:themeColor="text1"/>
              <w:right w:val="single" w:sz="4" w:space="0" w:color="000000" w:themeColor="text1"/>
            </w:tcBorders>
            <w:noWrap/>
            <w:vAlign w:val="bottom"/>
          </w:tcPr>
          <w:p w14:paraId="7918054D" w14:textId="283C113E" w:rsidR="0085000F" w:rsidRPr="003C222B" w:rsidRDefault="0085000F" w:rsidP="0085000F">
            <w:pPr>
              <w:spacing w:before="120"/>
              <w:ind w:left="-58" w:right="-58"/>
              <w:jc w:val="center"/>
              <w:rPr>
                <w:rFonts w:cs="Arial"/>
              </w:rPr>
            </w:pPr>
            <w:r w:rsidRPr="003C222B">
              <w:rPr>
                <w:rFonts w:cs="Arial"/>
              </w:rPr>
              <w:t>19.4</w:t>
            </w:r>
          </w:p>
        </w:tc>
        <w:tc>
          <w:tcPr>
            <w:tcW w:w="1887" w:type="dxa"/>
            <w:tcBorders>
              <w:left w:val="single" w:sz="4" w:space="0" w:color="000000" w:themeColor="text1"/>
              <w:right w:val="single" w:sz="4" w:space="0" w:color="000000" w:themeColor="text1"/>
            </w:tcBorders>
            <w:vAlign w:val="bottom"/>
          </w:tcPr>
          <w:p w14:paraId="2990436D" w14:textId="4A3377D4" w:rsidR="0085000F" w:rsidRPr="003C222B" w:rsidRDefault="0085000F" w:rsidP="00CE549F">
            <w:pPr>
              <w:spacing w:before="120"/>
              <w:ind w:left="-58"/>
              <w:jc w:val="right"/>
              <w:rPr>
                <w:rFonts w:cs="Arial"/>
              </w:rPr>
            </w:pPr>
            <w:r w:rsidRPr="00233BDA">
              <w:t>17</w:t>
            </w:r>
            <w:r w:rsidR="00CE549F">
              <w:t>,</w:t>
            </w:r>
            <w:r w:rsidRPr="00233BDA">
              <w:t>071</w:t>
            </w:r>
            <w:r w:rsidR="00CE549F">
              <w:t>,</w:t>
            </w:r>
            <w:r w:rsidRPr="00233BDA">
              <w:t>380</w:t>
            </w:r>
            <w:r w:rsidR="00CE549F">
              <w:t>,</w:t>
            </w:r>
            <w:r w:rsidRPr="00233BDA">
              <w:t xml:space="preserve">000 </w:t>
            </w:r>
          </w:p>
        </w:tc>
        <w:tc>
          <w:tcPr>
            <w:tcW w:w="1887" w:type="dxa"/>
            <w:tcBorders>
              <w:left w:val="single" w:sz="4" w:space="0" w:color="000000" w:themeColor="text1"/>
            </w:tcBorders>
            <w:noWrap/>
            <w:vAlign w:val="bottom"/>
          </w:tcPr>
          <w:p w14:paraId="1E77682B" w14:textId="55410742" w:rsidR="0085000F" w:rsidRPr="007759BD" w:rsidRDefault="0085000F" w:rsidP="00CE549F">
            <w:pPr>
              <w:spacing w:before="120"/>
              <w:ind w:left="-58"/>
              <w:jc w:val="right"/>
              <w:rPr>
                <w:rFonts w:cs="Arial"/>
                <w:bCs/>
              </w:rPr>
            </w:pPr>
            <w:r w:rsidRPr="00233BDA">
              <w:t>19</w:t>
            </w:r>
            <w:r w:rsidR="00CE549F">
              <w:t>,</w:t>
            </w:r>
            <w:r w:rsidRPr="00233BDA">
              <w:t>306</w:t>
            </w:r>
            <w:r w:rsidR="00CE549F">
              <w:t>,</w:t>
            </w:r>
            <w:r w:rsidRPr="00233BDA">
              <w:t>290</w:t>
            </w:r>
            <w:r w:rsidR="00CE549F">
              <w:t>,</w:t>
            </w:r>
            <w:r w:rsidRPr="00233BDA">
              <w:t xml:space="preserve">000 </w:t>
            </w:r>
          </w:p>
        </w:tc>
      </w:tr>
      <w:tr w:rsidR="0085000F" w:rsidRPr="007759BD" w14:paraId="40609D94" w14:textId="77777777" w:rsidTr="00CE549F">
        <w:tc>
          <w:tcPr>
            <w:tcW w:w="708" w:type="dxa"/>
            <w:tcBorders>
              <w:right w:val="single" w:sz="4" w:space="0" w:color="000000" w:themeColor="text1"/>
            </w:tcBorders>
            <w:noWrap/>
          </w:tcPr>
          <w:p w14:paraId="13F1F010" w14:textId="54F61F7F" w:rsidR="0085000F" w:rsidRPr="00881BE8" w:rsidRDefault="0085000F" w:rsidP="0085000F">
            <w:pPr>
              <w:spacing w:before="120"/>
              <w:ind w:left="-58" w:right="-58"/>
              <w:jc w:val="center"/>
              <w:rPr>
                <w:rFonts w:cs="Arial"/>
                <w:bCs/>
                <w:i/>
                <w:iCs/>
              </w:rPr>
            </w:pPr>
            <w:r w:rsidRPr="00881BE8">
              <w:rPr>
                <w:rFonts w:cs="Arial"/>
                <w:bCs/>
                <w:i/>
                <w:iCs/>
              </w:rPr>
              <w:t>022.1</w:t>
            </w:r>
          </w:p>
        </w:tc>
        <w:tc>
          <w:tcPr>
            <w:tcW w:w="3637" w:type="dxa"/>
            <w:tcBorders>
              <w:left w:val="single" w:sz="4" w:space="0" w:color="000000" w:themeColor="text1"/>
              <w:right w:val="single" w:sz="4" w:space="0" w:color="000000" w:themeColor="text1"/>
            </w:tcBorders>
            <w:noWrap/>
            <w:vAlign w:val="bottom"/>
          </w:tcPr>
          <w:p w14:paraId="4393562D" w14:textId="3D7BB8F6" w:rsidR="0085000F" w:rsidRPr="00881BE8" w:rsidRDefault="0085000F" w:rsidP="0085000F">
            <w:pPr>
              <w:spacing w:before="120"/>
              <w:ind w:left="-58"/>
              <w:rPr>
                <w:rFonts w:cs="Arial"/>
                <w:i/>
                <w:iCs/>
              </w:rPr>
            </w:pPr>
            <w:r w:rsidRPr="00881BE8">
              <w:rPr>
                <w:rFonts w:cs="Arial"/>
                <w:i/>
                <w:iCs/>
              </w:rPr>
              <w:t>Financial assets registered at VSD but not yet traded, freely transferable</w:t>
            </w:r>
          </w:p>
        </w:tc>
        <w:tc>
          <w:tcPr>
            <w:tcW w:w="772" w:type="dxa"/>
            <w:tcBorders>
              <w:left w:val="single" w:sz="4" w:space="0" w:color="000000" w:themeColor="text1"/>
              <w:right w:val="single" w:sz="4" w:space="0" w:color="000000" w:themeColor="text1"/>
            </w:tcBorders>
            <w:noWrap/>
            <w:vAlign w:val="bottom"/>
          </w:tcPr>
          <w:p w14:paraId="065DD750" w14:textId="77777777" w:rsidR="0085000F" w:rsidRPr="003C222B" w:rsidRDefault="0085000F" w:rsidP="0085000F">
            <w:pPr>
              <w:spacing w:before="120"/>
              <w:ind w:left="-58" w:right="-58"/>
              <w:jc w:val="center"/>
              <w:rPr>
                <w:rFonts w:cs="Arial"/>
              </w:rPr>
            </w:pPr>
          </w:p>
        </w:tc>
        <w:tc>
          <w:tcPr>
            <w:tcW w:w="1887" w:type="dxa"/>
            <w:tcBorders>
              <w:left w:val="single" w:sz="4" w:space="0" w:color="000000" w:themeColor="text1"/>
              <w:right w:val="single" w:sz="4" w:space="0" w:color="000000" w:themeColor="text1"/>
            </w:tcBorders>
            <w:vAlign w:val="bottom"/>
          </w:tcPr>
          <w:p w14:paraId="5919DF2B" w14:textId="00B2AED8" w:rsidR="0085000F" w:rsidRPr="00F205D1" w:rsidRDefault="0085000F" w:rsidP="00CE549F">
            <w:pPr>
              <w:spacing w:before="120"/>
              <w:ind w:left="-58"/>
              <w:jc w:val="right"/>
              <w:rPr>
                <w:rFonts w:cs="Arial"/>
                <w:bCs/>
                <w:i/>
                <w:iCs/>
              </w:rPr>
            </w:pPr>
            <w:r w:rsidRPr="00F205D1">
              <w:rPr>
                <w:i/>
                <w:iCs/>
              </w:rPr>
              <w:t>9</w:t>
            </w:r>
            <w:r w:rsidR="00CE549F" w:rsidRPr="00F205D1">
              <w:rPr>
                <w:i/>
                <w:iCs/>
              </w:rPr>
              <w:t>,</w:t>
            </w:r>
            <w:r w:rsidRPr="00F205D1">
              <w:rPr>
                <w:i/>
                <w:iCs/>
              </w:rPr>
              <w:t>717</w:t>
            </w:r>
            <w:r w:rsidR="00CE549F" w:rsidRPr="00F205D1">
              <w:rPr>
                <w:i/>
                <w:iCs/>
              </w:rPr>
              <w:t>,</w:t>
            </w:r>
            <w:r w:rsidRPr="00F205D1">
              <w:rPr>
                <w:i/>
                <w:iCs/>
              </w:rPr>
              <w:t>440</w:t>
            </w:r>
            <w:r w:rsidR="00CE549F" w:rsidRPr="00F205D1">
              <w:rPr>
                <w:i/>
                <w:iCs/>
              </w:rPr>
              <w:t>,</w:t>
            </w:r>
            <w:r w:rsidRPr="00F205D1">
              <w:rPr>
                <w:i/>
                <w:iCs/>
              </w:rPr>
              <w:t>000</w:t>
            </w:r>
          </w:p>
        </w:tc>
        <w:tc>
          <w:tcPr>
            <w:tcW w:w="1887" w:type="dxa"/>
            <w:tcBorders>
              <w:left w:val="single" w:sz="4" w:space="0" w:color="000000" w:themeColor="text1"/>
            </w:tcBorders>
            <w:noWrap/>
            <w:vAlign w:val="bottom"/>
          </w:tcPr>
          <w:p w14:paraId="50935CEC" w14:textId="16631EB2" w:rsidR="0085000F" w:rsidRPr="00F205D1" w:rsidRDefault="0085000F" w:rsidP="00CE549F">
            <w:pPr>
              <w:spacing w:before="120"/>
              <w:ind w:left="-58"/>
              <w:jc w:val="right"/>
              <w:rPr>
                <w:rFonts w:cs="Arial"/>
                <w:bCs/>
                <w:i/>
                <w:iCs/>
              </w:rPr>
            </w:pPr>
            <w:r w:rsidRPr="00F205D1">
              <w:rPr>
                <w:i/>
                <w:iCs/>
              </w:rPr>
              <w:t>7</w:t>
            </w:r>
            <w:r w:rsidR="00CE549F" w:rsidRPr="00F205D1">
              <w:rPr>
                <w:i/>
                <w:iCs/>
              </w:rPr>
              <w:t>,</w:t>
            </w:r>
            <w:r w:rsidRPr="00F205D1">
              <w:rPr>
                <w:i/>
                <w:iCs/>
              </w:rPr>
              <w:t>289</w:t>
            </w:r>
            <w:r w:rsidR="00CE549F" w:rsidRPr="00F205D1">
              <w:rPr>
                <w:i/>
                <w:iCs/>
              </w:rPr>
              <w:t>,</w:t>
            </w:r>
            <w:r w:rsidRPr="00F205D1">
              <w:rPr>
                <w:i/>
                <w:iCs/>
              </w:rPr>
              <w:t>940</w:t>
            </w:r>
            <w:r w:rsidR="00CE549F" w:rsidRPr="00F205D1">
              <w:rPr>
                <w:i/>
                <w:iCs/>
              </w:rPr>
              <w:t>,</w:t>
            </w:r>
            <w:r w:rsidRPr="00F205D1">
              <w:rPr>
                <w:i/>
                <w:iCs/>
              </w:rPr>
              <w:t>000</w:t>
            </w:r>
          </w:p>
        </w:tc>
      </w:tr>
      <w:tr w:rsidR="0085000F" w:rsidRPr="007759BD" w14:paraId="2B380D80" w14:textId="77777777" w:rsidTr="00CE549F">
        <w:tc>
          <w:tcPr>
            <w:tcW w:w="708" w:type="dxa"/>
            <w:tcBorders>
              <w:right w:val="single" w:sz="4" w:space="0" w:color="000000" w:themeColor="text1"/>
            </w:tcBorders>
            <w:noWrap/>
          </w:tcPr>
          <w:p w14:paraId="230D6540" w14:textId="65679DCC" w:rsidR="0085000F" w:rsidRPr="00881BE8" w:rsidRDefault="0085000F" w:rsidP="0085000F">
            <w:pPr>
              <w:spacing w:before="120"/>
              <w:ind w:left="-58" w:right="-58"/>
              <w:jc w:val="center"/>
              <w:rPr>
                <w:rFonts w:cs="Arial"/>
                <w:bCs/>
                <w:i/>
                <w:iCs/>
              </w:rPr>
            </w:pPr>
            <w:r w:rsidRPr="00881BE8">
              <w:rPr>
                <w:rFonts w:cs="Arial"/>
                <w:bCs/>
                <w:i/>
                <w:iCs/>
              </w:rPr>
              <w:t>022.2</w:t>
            </w:r>
          </w:p>
        </w:tc>
        <w:tc>
          <w:tcPr>
            <w:tcW w:w="3637" w:type="dxa"/>
            <w:tcBorders>
              <w:left w:val="single" w:sz="4" w:space="0" w:color="000000" w:themeColor="text1"/>
              <w:right w:val="single" w:sz="4" w:space="0" w:color="000000" w:themeColor="text1"/>
            </w:tcBorders>
            <w:noWrap/>
            <w:vAlign w:val="bottom"/>
          </w:tcPr>
          <w:p w14:paraId="53F2029E" w14:textId="482DB76E" w:rsidR="0085000F" w:rsidRPr="00881BE8" w:rsidRDefault="0085000F" w:rsidP="0085000F">
            <w:pPr>
              <w:spacing w:before="120"/>
              <w:ind w:left="-58"/>
              <w:rPr>
                <w:rFonts w:cs="Arial"/>
                <w:i/>
                <w:iCs/>
              </w:rPr>
            </w:pPr>
            <w:r w:rsidRPr="00881BE8">
              <w:rPr>
                <w:rFonts w:cs="Arial"/>
                <w:i/>
                <w:iCs/>
              </w:rPr>
              <w:t>Financial assets registered at VSD but not yet traded, limited transferable</w:t>
            </w:r>
          </w:p>
        </w:tc>
        <w:tc>
          <w:tcPr>
            <w:tcW w:w="772" w:type="dxa"/>
            <w:tcBorders>
              <w:left w:val="single" w:sz="4" w:space="0" w:color="000000" w:themeColor="text1"/>
              <w:right w:val="single" w:sz="4" w:space="0" w:color="000000" w:themeColor="text1"/>
            </w:tcBorders>
            <w:noWrap/>
            <w:vAlign w:val="bottom"/>
          </w:tcPr>
          <w:p w14:paraId="065B5459" w14:textId="77777777" w:rsidR="0085000F" w:rsidRPr="003C222B" w:rsidRDefault="0085000F" w:rsidP="0085000F">
            <w:pPr>
              <w:spacing w:before="120"/>
              <w:ind w:left="-58" w:right="-58"/>
              <w:jc w:val="center"/>
              <w:rPr>
                <w:rFonts w:cs="Arial"/>
              </w:rPr>
            </w:pPr>
          </w:p>
        </w:tc>
        <w:tc>
          <w:tcPr>
            <w:tcW w:w="1887" w:type="dxa"/>
            <w:tcBorders>
              <w:left w:val="single" w:sz="4" w:space="0" w:color="000000" w:themeColor="text1"/>
              <w:right w:val="single" w:sz="4" w:space="0" w:color="000000" w:themeColor="text1"/>
            </w:tcBorders>
            <w:vAlign w:val="bottom"/>
          </w:tcPr>
          <w:p w14:paraId="78BF91DA" w14:textId="296EF3DD" w:rsidR="0085000F" w:rsidRPr="00F205D1" w:rsidRDefault="0085000F" w:rsidP="00CE549F">
            <w:pPr>
              <w:spacing w:before="120"/>
              <w:ind w:left="-58"/>
              <w:jc w:val="right"/>
              <w:rPr>
                <w:rFonts w:cs="Arial"/>
                <w:bCs/>
                <w:i/>
                <w:iCs/>
              </w:rPr>
            </w:pPr>
            <w:r w:rsidRPr="00F205D1">
              <w:rPr>
                <w:i/>
                <w:iCs/>
              </w:rPr>
              <w:t>9</w:t>
            </w:r>
            <w:r w:rsidR="00CE549F" w:rsidRPr="00F205D1">
              <w:rPr>
                <w:i/>
                <w:iCs/>
              </w:rPr>
              <w:t>,</w:t>
            </w:r>
            <w:r w:rsidRPr="00F205D1">
              <w:rPr>
                <w:i/>
                <w:iCs/>
              </w:rPr>
              <w:t>625</w:t>
            </w:r>
            <w:r w:rsidR="00CE549F" w:rsidRPr="00F205D1">
              <w:rPr>
                <w:i/>
                <w:iCs/>
              </w:rPr>
              <w:t>,</w:t>
            </w:r>
            <w:r w:rsidRPr="00F205D1">
              <w:rPr>
                <w:i/>
                <w:iCs/>
              </w:rPr>
              <w:t>740</w:t>
            </w:r>
            <w:r w:rsidR="00CE549F" w:rsidRPr="00F205D1">
              <w:rPr>
                <w:i/>
                <w:iCs/>
              </w:rPr>
              <w:t>,</w:t>
            </w:r>
            <w:r w:rsidRPr="00F205D1">
              <w:rPr>
                <w:i/>
                <w:iCs/>
              </w:rPr>
              <w:t xml:space="preserve">000 </w:t>
            </w:r>
          </w:p>
        </w:tc>
        <w:tc>
          <w:tcPr>
            <w:tcW w:w="1887" w:type="dxa"/>
            <w:tcBorders>
              <w:left w:val="single" w:sz="4" w:space="0" w:color="000000" w:themeColor="text1"/>
            </w:tcBorders>
            <w:noWrap/>
            <w:vAlign w:val="bottom"/>
          </w:tcPr>
          <w:p w14:paraId="684B48E3" w14:textId="7FC863D4" w:rsidR="0085000F" w:rsidRPr="00F205D1" w:rsidRDefault="0085000F" w:rsidP="00CE549F">
            <w:pPr>
              <w:spacing w:before="120"/>
              <w:ind w:left="-58"/>
              <w:jc w:val="right"/>
              <w:rPr>
                <w:rFonts w:cs="Arial"/>
                <w:bCs/>
                <w:i/>
                <w:iCs/>
              </w:rPr>
            </w:pPr>
            <w:r w:rsidRPr="00F205D1">
              <w:rPr>
                <w:i/>
                <w:iCs/>
              </w:rPr>
              <w:t>7</w:t>
            </w:r>
            <w:r w:rsidR="00CE549F" w:rsidRPr="00F205D1">
              <w:rPr>
                <w:i/>
                <w:iCs/>
              </w:rPr>
              <w:t>,</w:t>
            </w:r>
            <w:r w:rsidRPr="00F205D1">
              <w:rPr>
                <w:i/>
                <w:iCs/>
              </w:rPr>
              <w:t>289</w:t>
            </w:r>
            <w:r w:rsidR="00CE549F" w:rsidRPr="00F205D1">
              <w:rPr>
                <w:i/>
                <w:iCs/>
              </w:rPr>
              <w:t>,</w:t>
            </w:r>
            <w:r w:rsidRPr="00F205D1">
              <w:rPr>
                <w:i/>
                <w:iCs/>
              </w:rPr>
              <w:t>940</w:t>
            </w:r>
            <w:r w:rsidR="00CE549F" w:rsidRPr="00F205D1">
              <w:rPr>
                <w:i/>
                <w:iCs/>
              </w:rPr>
              <w:t>,</w:t>
            </w:r>
            <w:r w:rsidRPr="00F205D1">
              <w:rPr>
                <w:i/>
                <w:iCs/>
              </w:rPr>
              <w:t xml:space="preserve">000 </w:t>
            </w:r>
          </w:p>
        </w:tc>
      </w:tr>
      <w:tr w:rsidR="0085000F" w:rsidRPr="007759BD" w14:paraId="22959AE2" w14:textId="77777777" w:rsidTr="00CE549F">
        <w:tc>
          <w:tcPr>
            <w:tcW w:w="708" w:type="dxa"/>
            <w:tcBorders>
              <w:right w:val="single" w:sz="4" w:space="0" w:color="000000" w:themeColor="text1"/>
            </w:tcBorders>
            <w:noWrap/>
          </w:tcPr>
          <w:p w14:paraId="6CD8FDC0" w14:textId="3CBE41BB" w:rsidR="0085000F" w:rsidRPr="007759BD" w:rsidRDefault="0085000F" w:rsidP="0085000F">
            <w:pPr>
              <w:spacing w:before="120"/>
              <w:ind w:left="-58" w:right="-58"/>
              <w:jc w:val="center"/>
              <w:rPr>
                <w:rFonts w:cs="Arial"/>
                <w:bCs/>
              </w:rPr>
            </w:pPr>
            <w:r w:rsidRPr="007759BD">
              <w:rPr>
                <w:rFonts w:cs="Arial"/>
                <w:bCs/>
              </w:rPr>
              <w:t>023</w:t>
            </w:r>
          </w:p>
        </w:tc>
        <w:tc>
          <w:tcPr>
            <w:tcW w:w="3637" w:type="dxa"/>
            <w:tcBorders>
              <w:left w:val="single" w:sz="4" w:space="0" w:color="000000" w:themeColor="text1"/>
              <w:right w:val="single" w:sz="4" w:space="0" w:color="000000" w:themeColor="text1"/>
            </w:tcBorders>
            <w:noWrap/>
            <w:vAlign w:val="bottom"/>
          </w:tcPr>
          <w:p w14:paraId="5B8B98C6" w14:textId="0EB2A95E" w:rsidR="0085000F" w:rsidRPr="007759BD" w:rsidRDefault="0085000F" w:rsidP="0085000F">
            <w:pPr>
              <w:spacing w:before="120"/>
              <w:ind w:left="-58"/>
              <w:rPr>
                <w:rFonts w:cs="Arial"/>
                <w:bCs/>
              </w:rPr>
            </w:pPr>
            <w:r w:rsidRPr="00AE02B4">
              <w:rPr>
                <w:rFonts w:cs="Arial"/>
                <w:bCs/>
              </w:rPr>
              <w:t>Financial assets awaiting settlement of investors</w:t>
            </w:r>
          </w:p>
        </w:tc>
        <w:tc>
          <w:tcPr>
            <w:tcW w:w="772" w:type="dxa"/>
            <w:tcBorders>
              <w:left w:val="single" w:sz="4" w:space="0" w:color="000000" w:themeColor="text1"/>
              <w:right w:val="single" w:sz="4" w:space="0" w:color="000000" w:themeColor="text1"/>
            </w:tcBorders>
            <w:noWrap/>
            <w:vAlign w:val="bottom"/>
          </w:tcPr>
          <w:p w14:paraId="1570BEAC" w14:textId="236E3232" w:rsidR="0085000F" w:rsidRPr="003C222B" w:rsidRDefault="0085000F" w:rsidP="0085000F">
            <w:pPr>
              <w:spacing w:before="120"/>
              <w:ind w:left="-58" w:right="-58"/>
              <w:jc w:val="center"/>
              <w:rPr>
                <w:rFonts w:cs="Arial"/>
              </w:rPr>
            </w:pPr>
            <w:r w:rsidRPr="003C222B">
              <w:rPr>
                <w:rFonts w:cs="Arial"/>
              </w:rPr>
              <w:t>19.5</w:t>
            </w:r>
          </w:p>
        </w:tc>
        <w:tc>
          <w:tcPr>
            <w:tcW w:w="1887" w:type="dxa"/>
            <w:tcBorders>
              <w:left w:val="single" w:sz="4" w:space="0" w:color="000000" w:themeColor="text1"/>
              <w:right w:val="single" w:sz="4" w:space="0" w:color="000000" w:themeColor="text1"/>
            </w:tcBorders>
            <w:vAlign w:val="bottom"/>
          </w:tcPr>
          <w:p w14:paraId="214F7EB0" w14:textId="633B4FE2" w:rsidR="0085000F" w:rsidRPr="003C222B" w:rsidRDefault="0085000F" w:rsidP="00CE549F">
            <w:pPr>
              <w:spacing w:before="120"/>
              <w:ind w:left="-58"/>
              <w:jc w:val="right"/>
              <w:rPr>
                <w:rFonts w:cs="Arial"/>
              </w:rPr>
            </w:pPr>
            <w:r w:rsidRPr="00233BDA">
              <w:t>91</w:t>
            </w:r>
            <w:r w:rsidR="00CE549F">
              <w:t>,</w:t>
            </w:r>
            <w:r w:rsidRPr="00233BDA">
              <w:t>700</w:t>
            </w:r>
            <w:r w:rsidR="00CE549F">
              <w:t>,</w:t>
            </w:r>
            <w:r w:rsidRPr="00233BDA">
              <w:t>000</w:t>
            </w:r>
          </w:p>
        </w:tc>
        <w:tc>
          <w:tcPr>
            <w:tcW w:w="1887" w:type="dxa"/>
            <w:tcBorders>
              <w:left w:val="single" w:sz="4" w:space="0" w:color="000000" w:themeColor="text1"/>
            </w:tcBorders>
            <w:noWrap/>
            <w:vAlign w:val="bottom"/>
          </w:tcPr>
          <w:p w14:paraId="01BBF43E" w14:textId="420E4C08" w:rsidR="0085000F" w:rsidRPr="007759BD" w:rsidRDefault="0085000F" w:rsidP="00CE549F">
            <w:pPr>
              <w:spacing w:before="120"/>
              <w:ind w:left="-58"/>
              <w:jc w:val="right"/>
              <w:rPr>
                <w:rFonts w:cs="Arial"/>
                <w:bCs/>
              </w:rPr>
            </w:pPr>
            <w:r w:rsidRPr="00233BDA">
              <w:t>-</w:t>
            </w:r>
          </w:p>
        </w:tc>
      </w:tr>
      <w:tr w:rsidR="0085000F" w:rsidRPr="007759BD" w14:paraId="47182946" w14:textId="77777777" w:rsidTr="00CE549F">
        <w:tc>
          <w:tcPr>
            <w:tcW w:w="708" w:type="dxa"/>
            <w:tcBorders>
              <w:top w:val="nil"/>
              <w:bottom w:val="nil"/>
              <w:right w:val="single" w:sz="4" w:space="0" w:color="000000" w:themeColor="text1"/>
            </w:tcBorders>
            <w:noWrap/>
          </w:tcPr>
          <w:p w14:paraId="13E1CB9F" w14:textId="7359F47E" w:rsidR="0085000F" w:rsidRPr="007759BD" w:rsidRDefault="0085000F" w:rsidP="0085000F">
            <w:pPr>
              <w:spacing w:before="120"/>
              <w:ind w:left="-58" w:right="-58"/>
              <w:jc w:val="center"/>
              <w:rPr>
                <w:rFonts w:cs="Arial"/>
                <w:bCs/>
              </w:rPr>
            </w:pPr>
            <w:r w:rsidRPr="007759BD">
              <w:rPr>
                <w:rFonts w:cs="Arial"/>
                <w:bCs/>
              </w:rPr>
              <w:t>026</w:t>
            </w:r>
          </w:p>
        </w:tc>
        <w:tc>
          <w:tcPr>
            <w:tcW w:w="3637" w:type="dxa"/>
            <w:tcBorders>
              <w:top w:val="nil"/>
              <w:left w:val="single" w:sz="4" w:space="0" w:color="000000" w:themeColor="text1"/>
              <w:bottom w:val="nil"/>
              <w:right w:val="single" w:sz="4" w:space="0" w:color="000000" w:themeColor="text1"/>
            </w:tcBorders>
            <w:noWrap/>
            <w:vAlign w:val="bottom"/>
          </w:tcPr>
          <w:p w14:paraId="584D445D" w14:textId="13056D12" w:rsidR="0085000F" w:rsidRPr="007759BD" w:rsidRDefault="0085000F" w:rsidP="0085000F">
            <w:pPr>
              <w:spacing w:before="120"/>
              <w:ind w:left="-58"/>
              <w:rPr>
                <w:rFonts w:cs="Arial"/>
                <w:bCs/>
              </w:rPr>
            </w:pPr>
            <w:r w:rsidRPr="007759BD">
              <w:rPr>
                <w:rFonts w:cs="Arial"/>
                <w:bCs/>
              </w:rPr>
              <w:tab/>
            </w:r>
            <w:r w:rsidRPr="000A59C8">
              <w:rPr>
                <w:rFonts w:cs="Arial"/>
                <w:bCs/>
              </w:rPr>
              <w:tab/>
              <w:t>Investors' deposits</w:t>
            </w:r>
          </w:p>
        </w:tc>
        <w:tc>
          <w:tcPr>
            <w:tcW w:w="772" w:type="dxa"/>
            <w:tcBorders>
              <w:top w:val="nil"/>
              <w:left w:val="single" w:sz="4" w:space="0" w:color="000000" w:themeColor="text1"/>
              <w:bottom w:val="nil"/>
              <w:right w:val="single" w:sz="4" w:space="0" w:color="000000" w:themeColor="text1"/>
            </w:tcBorders>
            <w:noWrap/>
            <w:vAlign w:val="bottom"/>
          </w:tcPr>
          <w:p w14:paraId="27448711" w14:textId="4B819CF8" w:rsidR="0085000F" w:rsidRPr="003C222B" w:rsidRDefault="0085000F" w:rsidP="0085000F">
            <w:pPr>
              <w:spacing w:before="120"/>
              <w:ind w:left="-58" w:right="-58"/>
              <w:jc w:val="center"/>
              <w:rPr>
                <w:rFonts w:cs="Arial"/>
              </w:rPr>
            </w:pPr>
          </w:p>
        </w:tc>
        <w:tc>
          <w:tcPr>
            <w:tcW w:w="1887" w:type="dxa"/>
            <w:tcBorders>
              <w:top w:val="nil"/>
              <w:left w:val="single" w:sz="4" w:space="0" w:color="000000" w:themeColor="text1"/>
              <w:bottom w:val="nil"/>
              <w:right w:val="single" w:sz="4" w:space="0" w:color="000000" w:themeColor="text1"/>
            </w:tcBorders>
            <w:vAlign w:val="bottom"/>
          </w:tcPr>
          <w:p w14:paraId="0AFE6481" w14:textId="3E9BF8DC" w:rsidR="0085000F" w:rsidRPr="003C222B" w:rsidRDefault="0085000F" w:rsidP="00CE549F">
            <w:pPr>
              <w:spacing w:before="120"/>
              <w:ind w:left="-58"/>
              <w:jc w:val="right"/>
              <w:rPr>
                <w:rFonts w:cs="Arial"/>
              </w:rPr>
            </w:pPr>
            <w:r w:rsidRPr="00233BDA">
              <w:t>21</w:t>
            </w:r>
            <w:r w:rsidR="00CE549F">
              <w:t>,</w:t>
            </w:r>
            <w:r w:rsidRPr="00233BDA">
              <w:t>428</w:t>
            </w:r>
            <w:r w:rsidR="00CE549F">
              <w:t>,</w:t>
            </w:r>
            <w:r w:rsidRPr="00233BDA">
              <w:t>100</w:t>
            </w:r>
            <w:r w:rsidR="00CE549F">
              <w:t>,</w:t>
            </w:r>
            <w:r w:rsidRPr="00233BDA">
              <w:t xml:space="preserve">000 </w:t>
            </w:r>
          </w:p>
        </w:tc>
        <w:tc>
          <w:tcPr>
            <w:tcW w:w="1887" w:type="dxa"/>
            <w:tcBorders>
              <w:top w:val="nil"/>
              <w:left w:val="single" w:sz="4" w:space="0" w:color="000000" w:themeColor="text1"/>
              <w:bottom w:val="nil"/>
            </w:tcBorders>
            <w:noWrap/>
            <w:vAlign w:val="bottom"/>
          </w:tcPr>
          <w:p w14:paraId="5C626DB9" w14:textId="1A45B7BC" w:rsidR="0085000F" w:rsidRPr="007759BD" w:rsidRDefault="0085000F" w:rsidP="00CE549F">
            <w:pPr>
              <w:spacing w:before="120"/>
              <w:ind w:left="-58"/>
              <w:jc w:val="right"/>
              <w:rPr>
                <w:rFonts w:cs="Arial"/>
                <w:bCs/>
              </w:rPr>
            </w:pPr>
            <w:r w:rsidRPr="00233BDA">
              <w:t>29</w:t>
            </w:r>
            <w:r w:rsidR="00CE549F">
              <w:t>,</w:t>
            </w:r>
            <w:r w:rsidRPr="00233BDA">
              <w:t>709</w:t>
            </w:r>
            <w:r w:rsidR="00CE549F">
              <w:t>,</w:t>
            </w:r>
            <w:r w:rsidRPr="00233BDA">
              <w:t>460</w:t>
            </w:r>
            <w:r w:rsidR="00CE549F">
              <w:t>,</w:t>
            </w:r>
            <w:r w:rsidRPr="00233BDA">
              <w:t xml:space="preserve">000 </w:t>
            </w:r>
          </w:p>
        </w:tc>
      </w:tr>
      <w:tr w:rsidR="0085000F" w:rsidRPr="007759BD" w14:paraId="0E3A8365" w14:textId="77777777" w:rsidTr="00CE549F">
        <w:tc>
          <w:tcPr>
            <w:tcW w:w="708" w:type="dxa"/>
            <w:tcBorders>
              <w:top w:val="nil"/>
              <w:bottom w:val="nil"/>
              <w:right w:val="single" w:sz="4" w:space="0" w:color="000000" w:themeColor="text1"/>
            </w:tcBorders>
            <w:noWrap/>
          </w:tcPr>
          <w:p w14:paraId="693B0F71" w14:textId="4E639B5E" w:rsidR="0085000F" w:rsidRPr="007759BD" w:rsidRDefault="0085000F" w:rsidP="0085000F">
            <w:pPr>
              <w:spacing w:before="120"/>
              <w:ind w:left="-58" w:right="-58"/>
              <w:jc w:val="center"/>
              <w:rPr>
                <w:rFonts w:cs="Arial"/>
                <w:bCs/>
              </w:rPr>
            </w:pPr>
            <w:r w:rsidRPr="007759BD">
              <w:rPr>
                <w:rFonts w:cs="Arial"/>
                <w:bCs/>
              </w:rPr>
              <w:t>027a</w:t>
            </w:r>
          </w:p>
        </w:tc>
        <w:tc>
          <w:tcPr>
            <w:tcW w:w="3637" w:type="dxa"/>
            <w:tcBorders>
              <w:top w:val="nil"/>
              <w:left w:val="single" w:sz="4" w:space="0" w:color="000000" w:themeColor="text1"/>
              <w:bottom w:val="nil"/>
              <w:right w:val="single" w:sz="4" w:space="0" w:color="000000" w:themeColor="text1"/>
            </w:tcBorders>
            <w:noWrap/>
            <w:vAlign w:val="bottom"/>
          </w:tcPr>
          <w:p w14:paraId="19CC542B" w14:textId="26C5CD4F" w:rsidR="0085000F" w:rsidRPr="007759BD" w:rsidRDefault="0085000F" w:rsidP="0085000F">
            <w:pPr>
              <w:spacing w:before="120"/>
              <w:ind w:left="-58"/>
              <w:rPr>
                <w:rFonts w:cs="Arial"/>
                <w:bCs/>
              </w:rPr>
            </w:pPr>
            <w:r w:rsidRPr="007759BD">
              <w:rPr>
                <w:rFonts w:cs="Arial"/>
                <w:bCs/>
              </w:rPr>
              <w:tab/>
            </w:r>
            <w:r w:rsidRPr="002A2AE1">
              <w:rPr>
                <w:rFonts w:cs="Arial"/>
                <w:bCs/>
              </w:rPr>
              <w:t>Investors’ deposits for securities trading activities managed by the Company</w:t>
            </w:r>
          </w:p>
        </w:tc>
        <w:tc>
          <w:tcPr>
            <w:tcW w:w="772" w:type="dxa"/>
            <w:tcBorders>
              <w:top w:val="nil"/>
              <w:left w:val="single" w:sz="4" w:space="0" w:color="000000" w:themeColor="text1"/>
              <w:bottom w:val="nil"/>
              <w:right w:val="single" w:sz="4" w:space="0" w:color="000000" w:themeColor="text1"/>
            </w:tcBorders>
            <w:noWrap/>
            <w:vAlign w:val="bottom"/>
          </w:tcPr>
          <w:p w14:paraId="4EC5C199" w14:textId="55886441" w:rsidR="0085000F" w:rsidRPr="003C222B" w:rsidRDefault="0085000F" w:rsidP="0085000F">
            <w:pPr>
              <w:spacing w:before="120"/>
              <w:ind w:left="-58" w:right="-58"/>
              <w:jc w:val="center"/>
              <w:rPr>
                <w:rFonts w:cs="Arial"/>
                <w:lang w:val="vi-VN"/>
              </w:rPr>
            </w:pPr>
            <w:r w:rsidRPr="003C222B">
              <w:rPr>
                <w:rFonts w:cs="Arial"/>
              </w:rPr>
              <w:t>19.6</w:t>
            </w:r>
          </w:p>
        </w:tc>
        <w:tc>
          <w:tcPr>
            <w:tcW w:w="1887" w:type="dxa"/>
            <w:tcBorders>
              <w:top w:val="nil"/>
              <w:left w:val="single" w:sz="4" w:space="0" w:color="000000" w:themeColor="text1"/>
              <w:bottom w:val="nil"/>
              <w:right w:val="single" w:sz="4" w:space="0" w:color="000000" w:themeColor="text1"/>
            </w:tcBorders>
            <w:vAlign w:val="bottom"/>
          </w:tcPr>
          <w:p w14:paraId="13A0EB78" w14:textId="22071623" w:rsidR="0085000F" w:rsidRPr="003C222B" w:rsidRDefault="0085000F" w:rsidP="00CE549F">
            <w:pPr>
              <w:spacing w:before="120"/>
              <w:ind w:left="-58"/>
              <w:jc w:val="right"/>
              <w:rPr>
                <w:rFonts w:cs="Arial"/>
              </w:rPr>
            </w:pPr>
            <w:r w:rsidRPr="00233BDA">
              <w:t>118</w:t>
            </w:r>
            <w:r w:rsidR="00CE549F">
              <w:t>,</w:t>
            </w:r>
            <w:r w:rsidRPr="00233BDA">
              <w:t>908</w:t>
            </w:r>
            <w:r w:rsidR="00CE549F">
              <w:t>,</w:t>
            </w:r>
            <w:r w:rsidRPr="00233BDA">
              <w:t>742</w:t>
            </w:r>
            <w:r w:rsidR="00CE549F">
              <w:t>,</w:t>
            </w:r>
            <w:r w:rsidRPr="00233BDA">
              <w:t xml:space="preserve">569 </w:t>
            </w:r>
          </w:p>
        </w:tc>
        <w:tc>
          <w:tcPr>
            <w:tcW w:w="1887" w:type="dxa"/>
            <w:tcBorders>
              <w:top w:val="nil"/>
              <w:left w:val="single" w:sz="4" w:space="0" w:color="000000" w:themeColor="text1"/>
              <w:bottom w:val="nil"/>
            </w:tcBorders>
            <w:noWrap/>
            <w:vAlign w:val="bottom"/>
          </w:tcPr>
          <w:p w14:paraId="1F7608C0" w14:textId="5928A6B4" w:rsidR="0085000F" w:rsidRPr="007759BD" w:rsidRDefault="0085000F" w:rsidP="00CE549F">
            <w:pPr>
              <w:spacing w:before="120"/>
              <w:ind w:left="-58"/>
              <w:jc w:val="right"/>
              <w:rPr>
                <w:rFonts w:cs="Arial"/>
                <w:bCs/>
              </w:rPr>
            </w:pPr>
            <w:r w:rsidRPr="00233BDA">
              <w:t>183</w:t>
            </w:r>
            <w:r w:rsidR="00CE549F">
              <w:t>,</w:t>
            </w:r>
            <w:r w:rsidRPr="00233BDA">
              <w:t>339</w:t>
            </w:r>
            <w:r w:rsidR="00CE549F">
              <w:t>,</w:t>
            </w:r>
            <w:r w:rsidRPr="00233BDA">
              <w:t>389</w:t>
            </w:r>
            <w:r w:rsidR="00CE549F">
              <w:t>,</w:t>
            </w:r>
            <w:r w:rsidRPr="00233BDA">
              <w:t xml:space="preserve">419 </w:t>
            </w:r>
          </w:p>
        </w:tc>
      </w:tr>
      <w:tr w:rsidR="0085000F" w:rsidRPr="007759BD" w14:paraId="79B69D68" w14:textId="77777777" w:rsidTr="00CE549F">
        <w:tc>
          <w:tcPr>
            <w:tcW w:w="708" w:type="dxa"/>
            <w:tcBorders>
              <w:top w:val="nil"/>
              <w:bottom w:val="nil"/>
              <w:right w:val="single" w:sz="4" w:space="0" w:color="000000" w:themeColor="text1"/>
            </w:tcBorders>
            <w:noWrap/>
          </w:tcPr>
          <w:p w14:paraId="79EA3D8B" w14:textId="7065DB03" w:rsidR="0085000F" w:rsidRPr="007759BD" w:rsidRDefault="0085000F" w:rsidP="0085000F">
            <w:pPr>
              <w:spacing w:before="120"/>
              <w:ind w:left="-58" w:right="-58"/>
              <w:jc w:val="center"/>
              <w:rPr>
                <w:rFonts w:cs="Arial"/>
                <w:bCs/>
              </w:rPr>
            </w:pPr>
            <w:r w:rsidRPr="007759BD">
              <w:rPr>
                <w:rFonts w:cs="Arial"/>
                <w:bCs/>
              </w:rPr>
              <w:t>028</w:t>
            </w:r>
          </w:p>
        </w:tc>
        <w:tc>
          <w:tcPr>
            <w:tcW w:w="3637" w:type="dxa"/>
            <w:tcBorders>
              <w:top w:val="nil"/>
              <w:left w:val="single" w:sz="4" w:space="0" w:color="000000" w:themeColor="text1"/>
              <w:bottom w:val="nil"/>
              <w:right w:val="single" w:sz="4" w:space="0" w:color="000000" w:themeColor="text1"/>
            </w:tcBorders>
            <w:noWrap/>
            <w:vAlign w:val="bottom"/>
          </w:tcPr>
          <w:p w14:paraId="2A47E978" w14:textId="4237B69F" w:rsidR="0085000F" w:rsidRPr="007759BD" w:rsidRDefault="0085000F" w:rsidP="0085000F">
            <w:pPr>
              <w:spacing w:before="120"/>
              <w:ind w:left="-58"/>
              <w:jc w:val="left"/>
              <w:rPr>
                <w:rFonts w:cs="Arial"/>
                <w:bCs/>
              </w:rPr>
            </w:pPr>
            <w:r w:rsidRPr="007759BD">
              <w:rPr>
                <w:rFonts w:cs="Arial"/>
                <w:bCs/>
              </w:rPr>
              <w:tab/>
            </w:r>
            <w:r w:rsidRPr="005B6386">
              <w:rPr>
                <w:rFonts w:cs="Arial"/>
                <w:bCs/>
              </w:rPr>
              <w:t>Investor’s synthesizing deposits for securities trading activities</w:t>
            </w:r>
          </w:p>
        </w:tc>
        <w:tc>
          <w:tcPr>
            <w:tcW w:w="772" w:type="dxa"/>
            <w:tcBorders>
              <w:top w:val="nil"/>
              <w:left w:val="single" w:sz="4" w:space="0" w:color="000000" w:themeColor="text1"/>
              <w:bottom w:val="nil"/>
              <w:right w:val="single" w:sz="4" w:space="0" w:color="000000" w:themeColor="text1"/>
            </w:tcBorders>
            <w:noWrap/>
            <w:vAlign w:val="bottom"/>
          </w:tcPr>
          <w:p w14:paraId="23D470B2" w14:textId="6C7B0560" w:rsidR="0085000F" w:rsidRPr="003C222B" w:rsidRDefault="0085000F" w:rsidP="0085000F">
            <w:pPr>
              <w:spacing w:before="120"/>
              <w:ind w:left="-58" w:right="-58"/>
              <w:jc w:val="center"/>
              <w:rPr>
                <w:rFonts w:cs="Arial"/>
                <w:lang w:val="vi-VN"/>
              </w:rPr>
            </w:pPr>
            <w:r w:rsidRPr="003C222B">
              <w:rPr>
                <w:rFonts w:cs="Arial"/>
              </w:rPr>
              <w:t>19.6</w:t>
            </w:r>
          </w:p>
        </w:tc>
        <w:tc>
          <w:tcPr>
            <w:tcW w:w="1887" w:type="dxa"/>
            <w:tcBorders>
              <w:top w:val="nil"/>
              <w:left w:val="single" w:sz="4" w:space="0" w:color="000000" w:themeColor="text1"/>
              <w:bottom w:val="nil"/>
              <w:right w:val="single" w:sz="4" w:space="0" w:color="000000" w:themeColor="text1"/>
            </w:tcBorders>
            <w:vAlign w:val="bottom"/>
          </w:tcPr>
          <w:p w14:paraId="27F416CF" w14:textId="59489549" w:rsidR="0085000F" w:rsidRPr="003C222B" w:rsidRDefault="0085000F" w:rsidP="00CE549F">
            <w:pPr>
              <w:spacing w:before="120"/>
              <w:ind w:left="-58"/>
              <w:jc w:val="right"/>
              <w:rPr>
                <w:rFonts w:cs="Arial"/>
              </w:rPr>
            </w:pPr>
            <w:r w:rsidRPr="00233BDA">
              <w:t>118</w:t>
            </w:r>
            <w:r w:rsidR="00CE549F">
              <w:t>,</w:t>
            </w:r>
            <w:r w:rsidRPr="00233BDA">
              <w:t>898</w:t>
            </w:r>
            <w:r w:rsidR="00CE549F">
              <w:t>,</w:t>
            </w:r>
            <w:r w:rsidRPr="00233BDA">
              <w:t>614</w:t>
            </w:r>
            <w:r w:rsidR="00CE549F">
              <w:t>,</w:t>
            </w:r>
            <w:r w:rsidRPr="00233BDA">
              <w:t xml:space="preserve">487 </w:t>
            </w:r>
          </w:p>
        </w:tc>
        <w:tc>
          <w:tcPr>
            <w:tcW w:w="1887" w:type="dxa"/>
            <w:tcBorders>
              <w:top w:val="nil"/>
              <w:left w:val="single" w:sz="4" w:space="0" w:color="000000" w:themeColor="text1"/>
              <w:bottom w:val="nil"/>
            </w:tcBorders>
            <w:noWrap/>
            <w:vAlign w:val="bottom"/>
          </w:tcPr>
          <w:p w14:paraId="5A1BDB3D" w14:textId="765C82F5" w:rsidR="0085000F" w:rsidRPr="007759BD" w:rsidRDefault="0085000F" w:rsidP="00CE549F">
            <w:pPr>
              <w:spacing w:before="120"/>
              <w:ind w:left="-58"/>
              <w:jc w:val="right"/>
              <w:rPr>
                <w:rFonts w:cs="Arial"/>
                <w:bCs/>
              </w:rPr>
            </w:pPr>
            <w:r w:rsidRPr="00233BDA">
              <w:t>183</w:t>
            </w:r>
            <w:r w:rsidR="00CE549F">
              <w:t>,</w:t>
            </w:r>
            <w:r w:rsidRPr="00233BDA">
              <w:t>328</w:t>
            </w:r>
            <w:r w:rsidR="00CE549F">
              <w:t>,</w:t>
            </w:r>
            <w:r w:rsidRPr="00233BDA">
              <w:t>271</w:t>
            </w:r>
            <w:r w:rsidR="00CE549F">
              <w:t>,</w:t>
            </w:r>
            <w:r w:rsidRPr="00233BDA">
              <w:t xml:space="preserve">940 </w:t>
            </w:r>
          </w:p>
        </w:tc>
      </w:tr>
      <w:tr w:rsidR="0085000F" w:rsidRPr="007759BD" w14:paraId="05566410" w14:textId="77777777" w:rsidTr="00CE549F">
        <w:tc>
          <w:tcPr>
            <w:tcW w:w="708" w:type="dxa"/>
            <w:tcBorders>
              <w:top w:val="nil"/>
              <w:bottom w:val="nil"/>
              <w:right w:val="single" w:sz="4" w:space="0" w:color="000000" w:themeColor="text1"/>
            </w:tcBorders>
            <w:noWrap/>
          </w:tcPr>
          <w:p w14:paraId="08295A44" w14:textId="4B3C5991" w:rsidR="0085000F" w:rsidRPr="007759BD" w:rsidRDefault="0085000F" w:rsidP="0085000F">
            <w:pPr>
              <w:spacing w:before="120"/>
              <w:ind w:left="-58" w:right="-58"/>
              <w:jc w:val="center"/>
              <w:rPr>
                <w:rFonts w:cs="Arial"/>
                <w:bCs/>
              </w:rPr>
            </w:pPr>
            <w:r w:rsidRPr="007759BD">
              <w:rPr>
                <w:rFonts w:cs="Arial"/>
                <w:bCs/>
              </w:rPr>
              <w:t>029</w:t>
            </w:r>
          </w:p>
        </w:tc>
        <w:tc>
          <w:tcPr>
            <w:tcW w:w="3637" w:type="dxa"/>
            <w:tcBorders>
              <w:top w:val="nil"/>
              <w:left w:val="single" w:sz="4" w:space="0" w:color="000000" w:themeColor="text1"/>
              <w:bottom w:val="nil"/>
              <w:right w:val="single" w:sz="4" w:space="0" w:color="000000" w:themeColor="text1"/>
            </w:tcBorders>
            <w:noWrap/>
            <w:vAlign w:val="bottom"/>
          </w:tcPr>
          <w:p w14:paraId="35788DA3" w14:textId="054C044D" w:rsidR="0085000F" w:rsidRPr="007759BD" w:rsidRDefault="0085000F" w:rsidP="0085000F">
            <w:pPr>
              <w:spacing w:before="120"/>
              <w:ind w:left="-58"/>
              <w:jc w:val="left"/>
              <w:rPr>
                <w:rFonts w:cs="Arial"/>
                <w:bCs/>
              </w:rPr>
            </w:pPr>
            <w:r w:rsidRPr="007759BD">
              <w:rPr>
                <w:rFonts w:cs="Arial"/>
                <w:bCs/>
              </w:rPr>
              <w:tab/>
            </w:r>
            <w:r w:rsidRPr="00457228">
              <w:rPr>
                <w:rFonts w:cs="Arial"/>
                <w:bCs/>
              </w:rPr>
              <w:t>Investors' deposits for securities clearing and settlement</w:t>
            </w:r>
          </w:p>
        </w:tc>
        <w:tc>
          <w:tcPr>
            <w:tcW w:w="772" w:type="dxa"/>
            <w:tcBorders>
              <w:top w:val="nil"/>
              <w:left w:val="single" w:sz="4" w:space="0" w:color="000000" w:themeColor="text1"/>
              <w:bottom w:val="nil"/>
              <w:right w:val="single" w:sz="4" w:space="0" w:color="000000" w:themeColor="text1"/>
            </w:tcBorders>
            <w:noWrap/>
            <w:vAlign w:val="bottom"/>
          </w:tcPr>
          <w:p w14:paraId="6CDE8320" w14:textId="468A2611" w:rsidR="0085000F" w:rsidRPr="003C222B" w:rsidRDefault="0085000F" w:rsidP="0085000F">
            <w:pPr>
              <w:spacing w:before="120"/>
              <w:ind w:left="-58" w:right="-58"/>
              <w:jc w:val="center"/>
              <w:rPr>
                <w:rFonts w:cs="Arial"/>
              </w:rPr>
            </w:pPr>
            <w:r w:rsidRPr="003C222B">
              <w:rPr>
                <w:rFonts w:cs="Arial"/>
              </w:rPr>
              <w:t>19.6</w:t>
            </w:r>
          </w:p>
        </w:tc>
        <w:tc>
          <w:tcPr>
            <w:tcW w:w="1887" w:type="dxa"/>
            <w:tcBorders>
              <w:top w:val="nil"/>
              <w:left w:val="single" w:sz="4" w:space="0" w:color="000000" w:themeColor="text1"/>
              <w:bottom w:val="nil"/>
              <w:right w:val="single" w:sz="4" w:space="0" w:color="000000" w:themeColor="text1"/>
            </w:tcBorders>
            <w:vAlign w:val="bottom"/>
          </w:tcPr>
          <w:p w14:paraId="2F594575" w14:textId="30BE4C12" w:rsidR="0085000F" w:rsidRPr="007759BD" w:rsidRDefault="0085000F" w:rsidP="00CE549F">
            <w:pPr>
              <w:spacing w:before="120"/>
              <w:ind w:left="-58"/>
              <w:jc w:val="right"/>
              <w:rPr>
                <w:rFonts w:cs="Arial"/>
                <w:bCs/>
              </w:rPr>
            </w:pPr>
            <w:r w:rsidRPr="00233BDA">
              <w:t>7</w:t>
            </w:r>
            <w:r w:rsidR="00CE549F">
              <w:t>,</w:t>
            </w:r>
            <w:r w:rsidRPr="00233BDA">
              <w:t>753</w:t>
            </w:r>
            <w:r w:rsidR="00CE549F">
              <w:t>,</w:t>
            </w:r>
            <w:r w:rsidRPr="00233BDA">
              <w:t xml:space="preserve">284 </w:t>
            </w:r>
          </w:p>
        </w:tc>
        <w:tc>
          <w:tcPr>
            <w:tcW w:w="1887" w:type="dxa"/>
            <w:tcBorders>
              <w:top w:val="nil"/>
              <w:left w:val="single" w:sz="4" w:space="0" w:color="000000" w:themeColor="text1"/>
              <w:bottom w:val="nil"/>
            </w:tcBorders>
            <w:noWrap/>
            <w:vAlign w:val="bottom"/>
          </w:tcPr>
          <w:p w14:paraId="0ECA6376" w14:textId="630BF1EF" w:rsidR="0085000F" w:rsidRPr="007759BD" w:rsidRDefault="0085000F" w:rsidP="00CE549F">
            <w:pPr>
              <w:spacing w:before="120"/>
              <w:ind w:left="-58"/>
              <w:jc w:val="right"/>
              <w:rPr>
                <w:rFonts w:cs="Arial"/>
                <w:bCs/>
              </w:rPr>
            </w:pPr>
            <w:r w:rsidRPr="00233BDA">
              <w:t>8</w:t>
            </w:r>
            <w:r w:rsidR="00CE549F">
              <w:t>,</w:t>
            </w:r>
            <w:r w:rsidRPr="00233BDA">
              <w:t>220</w:t>
            </w:r>
            <w:r w:rsidR="00CE549F">
              <w:t>,</w:t>
            </w:r>
            <w:r w:rsidRPr="00233BDA">
              <w:t xml:space="preserve">832 </w:t>
            </w:r>
          </w:p>
        </w:tc>
      </w:tr>
      <w:tr w:rsidR="0085000F" w:rsidRPr="007759BD" w14:paraId="3EB3ED6B" w14:textId="77777777" w:rsidTr="00CE549F">
        <w:tc>
          <w:tcPr>
            <w:tcW w:w="708" w:type="dxa"/>
            <w:tcBorders>
              <w:top w:val="nil"/>
              <w:bottom w:val="nil"/>
              <w:right w:val="single" w:sz="4" w:space="0" w:color="000000" w:themeColor="text1"/>
            </w:tcBorders>
            <w:noWrap/>
          </w:tcPr>
          <w:p w14:paraId="0FAC3CCF" w14:textId="092E94D5" w:rsidR="0085000F" w:rsidRPr="007759BD" w:rsidRDefault="0085000F" w:rsidP="0085000F">
            <w:pPr>
              <w:ind w:left="-58" w:right="-58"/>
              <w:jc w:val="center"/>
              <w:rPr>
                <w:rFonts w:cs="Arial"/>
                <w:bCs/>
              </w:rPr>
            </w:pPr>
            <w:r w:rsidRPr="007759BD">
              <w:rPr>
                <w:rFonts w:cs="Arial"/>
                <w:bCs/>
                <w:i/>
              </w:rPr>
              <w:t>029.1</w:t>
            </w:r>
          </w:p>
        </w:tc>
        <w:tc>
          <w:tcPr>
            <w:tcW w:w="3637" w:type="dxa"/>
            <w:tcBorders>
              <w:top w:val="nil"/>
              <w:left w:val="single" w:sz="4" w:space="0" w:color="000000" w:themeColor="text1"/>
              <w:bottom w:val="nil"/>
              <w:right w:val="single" w:sz="4" w:space="0" w:color="000000" w:themeColor="text1"/>
            </w:tcBorders>
            <w:noWrap/>
            <w:vAlign w:val="bottom"/>
          </w:tcPr>
          <w:p w14:paraId="5DA57EAE" w14:textId="62FD7A11" w:rsidR="0085000F" w:rsidRPr="007759BD" w:rsidRDefault="0085000F" w:rsidP="0085000F">
            <w:pPr>
              <w:ind w:left="-58" w:right="-86"/>
              <w:jc w:val="left"/>
              <w:rPr>
                <w:rFonts w:cs="Arial"/>
                <w:bCs/>
              </w:rPr>
            </w:pPr>
            <w:r w:rsidRPr="004A308A">
              <w:rPr>
                <w:rFonts w:cs="Arial"/>
                <w:bCs/>
                <w:i/>
              </w:rPr>
              <w:t>Domestic investors' deposits for securities clearing and settlement</w:t>
            </w:r>
          </w:p>
        </w:tc>
        <w:tc>
          <w:tcPr>
            <w:tcW w:w="772" w:type="dxa"/>
            <w:tcBorders>
              <w:top w:val="nil"/>
              <w:left w:val="single" w:sz="4" w:space="0" w:color="000000" w:themeColor="text1"/>
              <w:bottom w:val="nil"/>
              <w:right w:val="single" w:sz="4" w:space="0" w:color="000000" w:themeColor="text1"/>
            </w:tcBorders>
            <w:noWrap/>
            <w:vAlign w:val="bottom"/>
          </w:tcPr>
          <w:p w14:paraId="30F9BCDE" w14:textId="77777777" w:rsidR="0085000F" w:rsidRPr="003C222B" w:rsidRDefault="0085000F" w:rsidP="0085000F">
            <w:pPr>
              <w:ind w:left="-58" w:right="-58"/>
              <w:jc w:val="center"/>
              <w:rPr>
                <w:rFonts w:cs="Arial"/>
              </w:rPr>
            </w:pPr>
          </w:p>
        </w:tc>
        <w:tc>
          <w:tcPr>
            <w:tcW w:w="1887" w:type="dxa"/>
            <w:tcBorders>
              <w:top w:val="nil"/>
              <w:left w:val="single" w:sz="4" w:space="0" w:color="000000" w:themeColor="text1"/>
              <w:bottom w:val="nil"/>
              <w:right w:val="single" w:sz="4" w:space="0" w:color="000000" w:themeColor="text1"/>
            </w:tcBorders>
            <w:vAlign w:val="bottom"/>
          </w:tcPr>
          <w:p w14:paraId="77CF5A73" w14:textId="0558EBC0" w:rsidR="0085000F" w:rsidRPr="00F205D1" w:rsidRDefault="0085000F" w:rsidP="00CE549F">
            <w:pPr>
              <w:ind w:left="-58"/>
              <w:jc w:val="right"/>
              <w:rPr>
                <w:rFonts w:cs="Arial"/>
                <w:bCs/>
                <w:i/>
                <w:iCs/>
              </w:rPr>
            </w:pPr>
            <w:r w:rsidRPr="00F205D1">
              <w:rPr>
                <w:i/>
                <w:iCs/>
              </w:rPr>
              <w:t>2</w:t>
            </w:r>
            <w:r w:rsidR="00CE549F" w:rsidRPr="00F205D1">
              <w:rPr>
                <w:i/>
                <w:iCs/>
              </w:rPr>
              <w:t>,</w:t>
            </w:r>
            <w:r w:rsidRPr="00F205D1">
              <w:rPr>
                <w:i/>
                <w:iCs/>
              </w:rPr>
              <w:t>374</w:t>
            </w:r>
            <w:r w:rsidR="00CE549F" w:rsidRPr="00F205D1">
              <w:rPr>
                <w:i/>
                <w:iCs/>
              </w:rPr>
              <w:t>,</w:t>
            </w:r>
            <w:r w:rsidRPr="00F205D1">
              <w:rPr>
                <w:i/>
                <w:iCs/>
              </w:rPr>
              <w:t xml:space="preserve">798 </w:t>
            </w:r>
          </w:p>
        </w:tc>
        <w:tc>
          <w:tcPr>
            <w:tcW w:w="1887" w:type="dxa"/>
            <w:tcBorders>
              <w:top w:val="nil"/>
              <w:left w:val="single" w:sz="4" w:space="0" w:color="000000" w:themeColor="text1"/>
              <w:bottom w:val="nil"/>
            </w:tcBorders>
            <w:noWrap/>
            <w:vAlign w:val="bottom"/>
          </w:tcPr>
          <w:p w14:paraId="68CDEAC1" w14:textId="36DFC17D" w:rsidR="0085000F" w:rsidRPr="00F205D1" w:rsidRDefault="0085000F" w:rsidP="00CE549F">
            <w:pPr>
              <w:ind w:left="-58"/>
              <w:jc w:val="right"/>
              <w:rPr>
                <w:rFonts w:cs="Arial"/>
                <w:bCs/>
                <w:i/>
                <w:iCs/>
              </w:rPr>
            </w:pPr>
            <w:r w:rsidRPr="00F205D1">
              <w:rPr>
                <w:i/>
                <w:iCs/>
              </w:rPr>
              <w:t>2</w:t>
            </w:r>
            <w:r w:rsidR="00CE549F" w:rsidRPr="00F205D1">
              <w:rPr>
                <w:i/>
                <w:iCs/>
              </w:rPr>
              <w:t>,</w:t>
            </w:r>
            <w:r w:rsidRPr="00F205D1">
              <w:rPr>
                <w:i/>
                <w:iCs/>
              </w:rPr>
              <w:t>896</w:t>
            </w:r>
            <w:r w:rsidR="00CE549F" w:rsidRPr="00F205D1">
              <w:rPr>
                <w:i/>
                <w:iCs/>
              </w:rPr>
              <w:t>,</w:t>
            </w:r>
            <w:r w:rsidRPr="00F205D1">
              <w:rPr>
                <w:i/>
                <w:iCs/>
              </w:rPr>
              <w:t xml:space="preserve">647 </w:t>
            </w:r>
          </w:p>
        </w:tc>
      </w:tr>
      <w:tr w:rsidR="0085000F" w:rsidRPr="007759BD" w14:paraId="4233F3B2" w14:textId="77777777" w:rsidTr="00CE549F">
        <w:tc>
          <w:tcPr>
            <w:tcW w:w="708" w:type="dxa"/>
            <w:tcBorders>
              <w:top w:val="nil"/>
              <w:bottom w:val="double" w:sz="6" w:space="0" w:color="auto"/>
              <w:right w:val="single" w:sz="4" w:space="0" w:color="000000" w:themeColor="text1"/>
            </w:tcBorders>
            <w:noWrap/>
          </w:tcPr>
          <w:p w14:paraId="7FC1603D" w14:textId="3ACE0A0B" w:rsidR="0085000F" w:rsidRPr="007759BD" w:rsidRDefault="0085000F" w:rsidP="0085000F">
            <w:pPr>
              <w:spacing w:after="120"/>
              <w:ind w:left="-58" w:right="-58"/>
              <w:jc w:val="center"/>
              <w:rPr>
                <w:rFonts w:cs="Arial"/>
                <w:bCs/>
              </w:rPr>
            </w:pPr>
            <w:r w:rsidRPr="007759BD">
              <w:rPr>
                <w:rFonts w:cs="Arial"/>
                <w:bCs/>
                <w:i/>
              </w:rPr>
              <w:t>029.2</w:t>
            </w:r>
          </w:p>
        </w:tc>
        <w:tc>
          <w:tcPr>
            <w:tcW w:w="3637" w:type="dxa"/>
            <w:tcBorders>
              <w:top w:val="nil"/>
              <w:left w:val="single" w:sz="4" w:space="0" w:color="000000" w:themeColor="text1"/>
              <w:bottom w:val="double" w:sz="6" w:space="0" w:color="auto"/>
              <w:right w:val="single" w:sz="4" w:space="0" w:color="000000" w:themeColor="text1"/>
            </w:tcBorders>
            <w:noWrap/>
            <w:vAlign w:val="bottom"/>
          </w:tcPr>
          <w:p w14:paraId="3895FD78" w14:textId="5DCC43EF" w:rsidR="0085000F" w:rsidRPr="007759BD" w:rsidRDefault="0085000F" w:rsidP="0085000F">
            <w:pPr>
              <w:spacing w:after="120"/>
              <w:ind w:left="-58" w:right="-86"/>
              <w:jc w:val="left"/>
              <w:rPr>
                <w:rFonts w:cs="Arial"/>
                <w:bCs/>
              </w:rPr>
            </w:pPr>
            <w:r w:rsidRPr="00AF4EC7">
              <w:rPr>
                <w:rFonts w:cs="Arial"/>
                <w:bCs/>
                <w:i/>
              </w:rPr>
              <w:t>Foreign investors' deposits for securities clearing and settlement</w:t>
            </w:r>
          </w:p>
        </w:tc>
        <w:tc>
          <w:tcPr>
            <w:tcW w:w="772" w:type="dxa"/>
            <w:tcBorders>
              <w:top w:val="nil"/>
              <w:left w:val="single" w:sz="4" w:space="0" w:color="000000" w:themeColor="text1"/>
              <w:bottom w:val="double" w:sz="6" w:space="0" w:color="auto"/>
              <w:right w:val="single" w:sz="4" w:space="0" w:color="000000" w:themeColor="text1"/>
            </w:tcBorders>
            <w:noWrap/>
            <w:vAlign w:val="bottom"/>
          </w:tcPr>
          <w:p w14:paraId="6D29C16D" w14:textId="77777777" w:rsidR="0085000F" w:rsidRPr="003C222B" w:rsidRDefault="0085000F" w:rsidP="0085000F">
            <w:pPr>
              <w:spacing w:after="120"/>
              <w:ind w:left="-58" w:right="-58"/>
              <w:jc w:val="center"/>
              <w:rPr>
                <w:rFonts w:cs="Arial"/>
              </w:rPr>
            </w:pPr>
          </w:p>
        </w:tc>
        <w:tc>
          <w:tcPr>
            <w:tcW w:w="1887" w:type="dxa"/>
            <w:tcBorders>
              <w:top w:val="nil"/>
              <w:left w:val="single" w:sz="4" w:space="0" w:color="000000" w:themeColor="text1"/>
              <w:bottom w:val="double" w:sz="6" w:space="0" w:color="auto"/>
              <w:right w:val="single" w:sz="4" w:space="0" w:color="000000" w:themeColor="text1"/>
            </w:tcBorders>
            <w:vAlign w:val="bottom"/>
          </w:tcPr>
          <w:p w14:paraId="75EE74D2" w14:textId="2CF90178" w:rsidR="0085000F" w:rsidRPr="00F205D1" w:rsidRDefault="0085000F" w:rsidP="00CE549F">
            <w:pPr>
              <w:spacing w:after="120"/>
              <w:ind w:left="-58"/>
              <w:jc w:val="right"/>
              <w:rPr>
                <w:rFonts w:cs="Arial"/>
                <w:bCs/>
                <w:i/>
                <w:iCs/>
              </w:rPr>
            </w:pPr>
            <w:r w:rsidRPr="00F205D1">
              <w:rPr>
                <w:i/>
                <w:iCs/>
              </w:rPr>
              <w:t>1</w:t>
            </w:r>
            <w:r w:rsidR="00CE549F" w:rsidRPr="00F205D1">
              <w:rPr>
                <w:i/>
                <w:iCs/>
              </w:rPr>
              <w:t>,</w:t>
            </w:r>
            <w:r w:rsidRPr="00F205D1">
              <w:rPr>
                <w:i/>
                <w:iCs/>
              </w:rPr>
              <w:t>193</w:t>
            </w:r>
            <w:r w:rsidR="00CE549F" w:rsidRPr="00F205D1">
              <w:rPr>
                <w:i/>
                <w:iCs/>
              </w:rPr>
              <w:t>,</w:t>
            </w:r>
            <w:r w:rsidRPr="00F205D1">
              <w:rPr>
                <w:i/>
                <w:iCs/>
              </w:rPr>
              <w:t xml:space="preserve">460 </w:t>
            </w:r>
          </w:p>
        </w:tc>
        <w:tc>
          <w:tcPr>
            <w:tcW w:w="1887" w:type="dxa"/>
            <w:tcBorders>
              <w:top w:val="nil"/>
              <w:left w:val="single" w:sz="4" w:space="0" w:color="000000" w:themeColor="text1"/>
              <w:bottom w:val="double" w:sz="6" w:space="0" w:color="auto"/>
            </w:tcBorders>
            <w:noWrap/>
            <w:vAlign w:val="bottom"/>
          </w:tcPr>
          <w:p w14:paraId="580490CD" w14:textId="5EF6842D" w:rsidR="0085000F" w:rsidRPr="00F205D1" w:rsidRDefault="0085000F" w:rsidP="00CE549F">
            <w:pPr>
              <w:spacing w:after="120"/>
              <w:ind w:left="-58"/>
              <w:jc w:val="right"/>
              <w:rPr>
                <w:rFonts w:cs="Arial"/>
                <w:bCs/>
                <w:i/>
                <w:iCs/>
              </w:rPr>
            </w:pPr>
            <w:r w:rsidRPr="00F205D1">
              <w:rPr>
                <w:i/>
                <w:iCs/>
              </w:rPr>
              <w:t>1</w:t>
            </w:r>
            <w:r w:rsidR="00CE549F" w:rsidRPr="00F205D1">
              <w:rPr>
                <w:i/>
                <w:iCs/>
              </w:rPr>
              <w:t>,</w:t>
            </w:r>
            <w:r w:rsidRPr="00F205D1">
              <w:rPr>
                <w:i/>
                <w:iCs/>
              </w:rPr>
              <w:t>454</w:t>
            </w:r>
            <w:r w:rsidR="00CE549F" w:rsidRPr="00F205D1">
              <w:rPr>
                <w:i/>
                <w:iCs/>
              </w:rPr>
              <w:t>,</w:t>
            </w:r>
            <w:r w:rsidRPr="00F205D1">
              <w:rPr>
                <w:i/>
                <w:iCs/>
              </w:rPr>
              <w:t xml:space="preserve">099 </w:t>
            </w:r>
          </w:p>
        </w:tc>
      </w:tr>
    </w:tbl>
    <w:p w14:paraId="0D19DAED" w14:textId="2158F277" w:rsidR="00D50FE0" w:rsidRPr="002A0B87" w:rsidRDefault="00D50FE0" w:rsidP="0075280E">
      <w:pPr>
        <w:pStyle w:val="BodyText"/>
        <w:rPr>
          <w:rFonts w:ascii="Arial" w:hAnsi="Arial" w:cs="Arial"/>
          <w:lang w:val="en-GB"/>
        </w:rPr>
        <w:sectPr w:rsidR="00D50FE0" w:rsidRPr="002A0B87" w:rsidSect="00DC1FEF">
          <w:pgSz w:w="11909" w:h="16834" w:code="9"/>
          <w:pgMar w:top="1440" w:right="1440" w:bottom="862" w:left="1582" w:header="720" w:footer="578" w:gutter="0"/>
          <w:cols w:space="720"/>
          <w:docGrid w:linePitch="272"/>
        </w:sectPr>
      </w:pPr>
    </w:p>
    <w:p w14:paraId="0703D3EF" w14:textId="64EEFBD2" w:rsidR="00A11A63" w:rsidRPr="002A0B87" w:rsidRDefault="006F6125" w:rsidP="00A11A63">
      <w:pPr>
        <w:pStyle w:val="BodyText"/>
        <w:rPr>
          <w:rFonts w:ascii="Arial" w:hAnsi="Arial" w:cs="Arial"/>
          <w:lang w:val="en-GB"/>
        </w:rPr>
      </w:pPr>
      <w:r w:rsidRPr="006F6125">
        <w:rPr>
          <w:rFonts w:ascii="Arial" w:hAnsi="Arial" w:cs="Arial"/>
          <w:b/>
          <w:lang w:val="en-GB"/>
        </w:rPr>
        <w:lastRenderedPageBreak/>
        <w:t xml:space="preserve">OFF-BALANCE SHEET ITEMS </w:t>
      </w:r>
      <w:r w:rsidRPr="00FA28E4">
        <w:rPr>
          <w:rFonts w:ascii="Arial" w:hAnsi="Arial" w:cs="Arial"/>
          <w:bCs/>
          <w:lang w:val="en-GB"/>
        </w:rPr>
        <w:t>(continued)</w:t>
      </w:r>
    </w:p>
    <w:p w14:paraId="38E6345E" w14:textId="77777777" w:rsidR="00A11A63" w:rsidRPr="002A0B87" w:rsidRDefault="00A11A63" w:rsidP="00A11A63">
      <w:pPr>
        <w:pStyle w:val="BodyText"/>
        <w:rPr>
          <w:rFonts w:ascii="Arial" w:hAnsi="Arial" w:cs="Arial"/>
          <w:lang w:val="en-GB"/>
        </w:rPr>
      </w:pPr>
    </w:p>
    <w:tbl>
      <w:tblPr>
        <w:tblW w:w="8891"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708"/>
        <w:gridCol w:w="3637"/>
        <w:gridCol w:w="772"/>
        <w:gridCol w:w="1887"/>
        <w:gridCol w:w="1887"/>
      </w:tblGrid>
      <w:tr w:rsidR="00A11A63" w:rsidRPr="007759BD" w14:paraId="60CF1B33" w14:textId="77777777" w:rsidTr="008A47E6">
        <w:trPr>
          <w:trHeight w:val="108"/>
        </w:trPr>
        <w:tc>
          <w:tcPr>
            <w:tcW w:w="708" w:type="dxa"/>
            <w:tcBorders>
              <w:top w:val="double" w:sz="6" w:space="0" w:color="auto"/>
              <w:bottom w:val="single" w:sz="4" w:space="0" w:color="000000"/>
              <w:right w:val="single" w:sz="4" w:space="0" w:color="000000"/>
            </w:tcBorders>
            <w:noWrap/>
            <w:vAlign w:val="bottom"/>
          </w:tcPr>
          <w:p w14:paraId="7273CAFE" w14:textId="3F3FA4A5" w:rsidR="00A11A63" w:rsidRPr="00FA28E4" w:rsidRDefault="00E650C5" w:rsidP="007F2AE2">
            <w:pPr>
              <w:spacing w:before="120" w:after="120"/>
              <w:ind w:left="-58" w:right="-58"/>
              <w:jc w:val="center"/>
              <w:rPr>
                <w:rFonts w:cs="Arial"/>
                <w:i/>
                <w:iCs/>
              </w:rPr>
            </w:pPr>
            <w:r>
              <w:rPr>
                <w:rFonts w:cs="Arial"/>
                <w:i/>
                <w:iCs/>
              </w:rPr>
              <w:t>Code</w:t>
            </w:r>
          </w:p>
        </w:tc>
        <w:tc>
          <w:tcPr>
            <w:tcW w:w="3637" w:type="dxa"/>
            <w:tcBorders>
              <w:top w:val="double" w:sz="6" w:space="0" w:color="auto"/>
              <w:left w:val="single" w:sz="4" w:space="0" w:color="000000"/>
              <w:bottom w:val="single" w:sz="4" w:space="0" w:color="000000"/>
              <w:right w:val="single" w:sz="4" w:space="0" w:color="000000"/>
            </w:tcBorders>
            <w:noWrap/>
            <w:vAlign w:val="bottom"/>
          </w:tcPr>
          <w:p w14:paraId="5F3F7219" w14:textId="079C235D" w:rsidR="00A11A63" w:rsidRPr="00FA28E4" w:rsidRDefault="00E650C5" w:rsidP="007F2AE2">
            <w:pPr>
              <w:spacing w:before="120" w:after="120"/>
              <w:ind w:left="-58"/>
              <w:rPr>
                <w:rFonts w:cs="Arial"/>
                <w:i/>
                <w:iCs/>
              </w:rPr>
            </w:pPr>
            <w:r>
              <w:rPr>
                <w:rFonts w:cs="Arial"/>
                <w:i/>
                <w:iCs/>
              </w:rPr>
              <w:t>ITEMS</w:t>
            </w:r>
          </w:p>
        </w:tc>
        <w:tc>
          <w:tcPr>
            <w:tcW w:w="772" w:type="dxa"/>
            <w:tcBorders>
              <w:top w:val="double" w:sz="6" w:space="0" w:color="auto"/>
              <w:left w:val="single" w:sz="4" w:space="0" w:color="000000"/>
              <w:bottom w:val="single" w:sz="4" w:space="0" w:color="000000"/>
              <w:right w:val="single" w:sz="4" w:space="0" w:color="000000"/>
            </w:tcBorders>
            <w:noWrap/>
            <w:vAlign w:val="bottom"/>
          </w:tcPr>
          <w:p w14:paraId="200924CA" w14:textId="0C055CF6" w:rsidR="00A11A63" w:rsidRPr="00FA28E4" w:rsidRDefault="004267B1" w:rsidP="007F2AE2">
            <w:pPr>
              <w:spacing w:before="120" w:after="120"/>
              <w:ind w:left="-58" w:right="-58"/>
              <w:jc w:val="center"/>
              <w:rPr>
                <w:rFonts w:cs="Arial"/>
                <w:i/>
                <w:iCs/>
              </w:rPr>
            </w:pPr>
            <w:r>
              <w:rPr>
                <w:rFonts w:cs="Arial"/>
                <w:i/>
                <w:iCs/>
              </w:rPr>
              <w:t>Notes</w:t>
            </w:r>
          </w:p>
        </w:tc>
        <w:tc>
          <w:tcPr>
            <w:tcW w:w="1887" w:type="dxa"/>
            <w:tcBorders>
              <w:top w:val="double" w:sz="6" w:space="0" w:color="auto"/>
              <w:left w:val="single" w:sz="4" w:space="0" w:color="000000"/>
              <w:bottom w:val="single" w:sz="4" w:space="0" w:color="000000"/>
              <w:right w:val="single" w:sz="4" w:space="0" w:color="000000"/>
            </w:tcBorders>
            <w:vAlign w:val="bottom"/>
          </w:tcPr>
          <w:p w14:paraId="266EE8BA" w14:textId="77777777" w:rsidR="00F17AE5" w:rsidRPr="00F17AE5" w:rsidRDefault="00F17AE5" w:rsidP="00F17AE5">
            <w:pPr>
              <w:spacing w:before="120"/>
              <w:ind w:left="58"/>
              <w:jc w:val="right"/>
              <w:rPr>
                <w:rFonts w:cs="Arial"/>
                <w:i/>
              </w:rPr>
            </w:pPr>
            <w:r w:rsidRPr="00F17AE5">
              <w:rPr>
                <w:rFonts w:cs="Arial"/>
                <w:i/>
              </w:rPr>
              <w:t>Ending balance</w:t>
            </w:r>
          </w:p>
          <w:p w14:paraId="22770AC1" w14:textId="38823DAF" w:rsidR="00A11A63" w:rsidRPr="00B12F22" w:rsidRDefault="00F17AE5" w:rsidP="00461FA9">
            <w:pPr>
              <w:spacing w:after="120"/>
              <w:ind w:left="58"/>
              <w:jc w:val="right"/>
              <w:rPr>
                <w:rFonts w:cs="Arial"/>
                <w:i/>
                <w:lang w:val="vi-VN"/>
              </w:rPr>
            </w:pPr>
            <w:r w:rsidRPr="00F17AE5">
              <w:rPr>
                <w:rFonts w:cs="Arial"/>
                <w:i/>
              </w:rPr>
              <w:t>VND</w:t>
            </w:r>
          </w:p>
        </w:tc>
        <w:tc>
          <w:tcPr>
            <w:tcW w:w="1887" w:type="dxa"/>
            <w:tcBorders>
              <w:top w:val="double" w:sz="6" w:space="0" w:color="auto"/>
              <w:left w:val="single" w:sz="4" w:space="0" w:color="000000"/>
              <w:bottom w:val="single" w:sz="4" w:space="0" w:color="000000"/>
            </w:tcBorders>
            <w:noWrap/>
            <w:vAlign w:val="bottom"/>
          </w:tcPr>
          <w:p w14:paraId="4BFB5A15" w14:textId="77777777" w:rsidR="00AE7D2A" w:rsidRPr="00AE7D2A" w:rsidRDefault="00AE7D2A" w:rsidP="00AE7D2A">
            <w:pPr>
              <w:spacing w:before="120"/>
              <w:ind w:left="58"/>
              <w:jc w:val="right"/>
              <w:rPr>
                <w:rFonts w:cs="Arial"/>
                <w:i/>
              </w:rPr>
            </w:pPr>
            <w:r w:rsidRPr="00AE7D2A">
              <w:rPr>
                <w:rFonts w:cs="Arial"/>
                <w:i/>
              </w:rPr>
              <w:t>Opening balance</w:t>
            </w:r>
          </w:p>
          <w:p w14:paraId="0F58E829" w14:textId="67EF9335" w:rsidR="00A11A63" w:rsidRPr="00B12F22" w:rsidRDefault="00AE7D2A" w:rsidP="00461FA9">
            <w:pPr>
              <w:spacing w:after="120"/>
              <w:ind w:left="58"/>
              <w:jc w:val="right"/>
              <w:rPr>
                <w:rFonts w:cs="Arial"/>
                <w:i/>
                <w:iCs/>
              </w:rPr>
            </w:pPr>
            <w:r w:rsidRPr="00AE7D2A">
              <w:rPr>
                <w:rFonts w:cs="Arial"/>
                <w:i/>
              </w:rPr>
              <w:t>VND</w:t>
            </w:r>
          </w:p>
        </w:tc>
      </w:tr>
      <w:tr w:rsidR="00A11A63" w:rsidRPr="007759BD" w14:paraId="69DF2DC7" w14:textId="77777777" w:rsidTr="008A47E6">
        <w:tc>
          <w:tcPr>
            <w:tcW w:w="708" w:type="dxa"/>
            <w:tcBorders>
              <w:right w:val="single" w:sz="4" w:space="0" w:color="000000"/>
            </w:tcBorders>
            <w:noWrap/>
          </w:tcPr>
          <w:p w14:paraId="2B96AA93" w14:textId="77777777" w:rsidR="00A11A63" w:rsidRPr="00B12F22" w:rsidRDefault="00A11A63" w:rsidP="007F2AE2">
            <w:pPr>
              <w:spacing w:before="120"/>
              <w:ind w:left="-58" w:right="-58"/>
              <w:jc w:val="center"/>
              <w:rPr>
                <w:rFonts w:cs="Arial"/>
                <w:bCs/>
              </w:rPr>
            </w:pPr>
          </w:p>
        </w:tc>
        <w:tc>
          <w:tcPr>
            <w:tcW w:w="8183" w:type="dxa"/>
            <w:gridSpan w:val="4"/>
            <w:tcBorders>
              <w:left w:val="single" w:sz="4" w:space="0" w:color="000000"/>
            </w:tcBorders>
            <w:noWrap/>
            <w:vAlign w:val="bottom"/>
          </w:tcPr>
          <w:p w14:paraId="4E1A814C" w14:textId="31A35A66" w:rsidR="00A11A63" w:rsidRPr="00B12F22" w:rsidRDefault="00A11A63" w:rsidP="00AC0F4A">
            <w:pPr>
              <w:spacing w:before="120"/>
              <w:ind w:left="302" w:hanging="360"/>
              <w:jc w:val="left"/>
              <w:rPr>
                <w:rFonts w:cs="Arial"/>
                <w:bCs/>
              </w:rPr>
            </w:pPr>
            <w:r w:rsidRPr="00B12F22">
              <w:rPr>
                <w:rFonts w:cs="Arial"/>
                <w:b/>
                <w:bCs/>
              </w:rPr>
              <w:t>B</w:t>
            </w:r>
            <w:r w:rsidRPr="00B12F22">
              <w:rPr>
                <w:rFonts w:cs="Arial"/>
                <w:b/>
                <w:bCs/>
                <w:lang w:val="vi-VN"/>
              </w:rPr>
              <w:t>.</w:t>
            </w:r>
            <w:r w:rsidRPr="00B12F22">
              <w:rPr>
                <w:rFonts w:cs="Arial"/>
                <w:b/>
                <w:bCs/>
                <w:lang w:val="vi-VN"/>
              </w:rPr>
              <w:tab/>
            </w:r>
            <w:r w:rsidR="0000451D" w:rsidRPr="0000451D">
              <w:rPr>
                <w:rFonts w:cs="Arial"/>
                <w:b/>
                <w:bCs/>
                <w:lang w:val="vi-VN"/>
              </w:rPr>
              <w:t xml:space="preserve">ASSETS AND PAYABLES UNDER AGREEMENT WITH INVESTORS </w:t>
            </w:r>
            <w:r w:rsidR="0000451D" w:rsidRPr="00FA28E4">
              <w:rPr>
                <w:rFonts w:cs="Arial"/>
                <w:lang w:val="vi-VN"/>
              </w:rPr>
              <w:t>(continued)</w:t>
            </w:r>
          </w:p>
        </w:tc>
      </w:tr>
      <w:tr w:rsidR="005B7A9B" w:rsidRPr="007759BD" w14:paraId="34C2B554" w14:textId="77777777" w:rsidTr="005B7A9B">
        <w:tc>
          <w:tcPr>
            <w:tcW w:w="708" w:type="dxa"/>
            <w:tcBorders>
              <w:right w:val="single" w:sz="4" w:space="0" w:color="000000"/>
            </w:tcBorders>
            <w:noWrap/>
          </w:tcPr>
          <w:p w14:paraId="31EC1E16" w14:textId="44EF11BA" w:rsidR="005B7A9B" w:rsidRPr="00B12F22" w:rsidRDefault="005B7A9B" w:rsidP="005B7A9B">
            <w:pPr>
              <w:spacing w:before="120"/>
              <w:ind w:left="-58" w:right="-58"/>
              <w:jc w:val="center"/>
              <w:rPr>
                <w:rFonts w:cs="Arial"/>
                <w:bCs/>
              </w:rPr>
            </w:pPr>
            <w:r w:rsidRPr="00B12F22">
              <w:rPr>
                <w:rFonts w:cs="Arial"/>
                <w:bCs/>
              </w:rPr>
              <w:t>031</w:t>
            </w:r>
          </w:p>
        </w:tc>
        <w:tc>
          <w:tcPr>
            <w:tcW w:w="3637" w:type="dxa"/>
            <w:tcBorders>
              <w:left w:val="single" w:sz="4" w:space="0" w:color="000000"/>
              <w:right w:val="single" w:sz="4" w:space="0" w:color="000000"/>
            </w:tcBorders>
            <w:noWrap/>
            <w:vAlign w:val="bottom"/>
          </w:tcPr>
          <w:p w14:paraId="4A4AEFF5" w14:textId="62CFBDD0" w:rsidR="005B7A9B" w:rsidRPr="00B12F22" w:rsidRDefault="005B7A9B" w:rsidP="005B7A9B">
            <w:pPr>
              <w:spacing w:before="120"/>
              <w:ind w:left="-58"/>
              <w:rPr>
                <w:rFonts w:cs="Arial"/>
                <w:bCs/>
              </w:rPr>
            </w:pPr>
            <w:r w:rsidRPr="00B12F22">
              <w:rPr>
                <w:rFonts w:cs="Arial"/>
                <w:bCs/>
              </w:rPr>
              <w:tab/>
            </w:r>
            <w:r w:rsidRPr="00C52263">
              <w:rPr>
                <w:rFonts w:cs="Arial"/>
                <w:bCs/>
              </w:rPr>
              <w:t>Payables to investors – investors’ deposits for securities trading activities managed by the Company</w:t>
            </w:r>
          </w:p>
        </w:tc>
        <w:tc>
          <w:tcPr>
            <w:tcW w:w="772" w:type="dxa"/>
            <w:tcBorders>
              <w:left w:val="single" w:sz="4" w:space="0" w:color="000000"/>
              <w:right w:val="single" w:sz="4" w:space="0" w:color="000000"/>
            </w:tcBorders>
            <w:noWrap/>
            <w:vAlign w:val="bottom"/>
          </w:tcPr>
          <w:p w14:paraId="37E46C29" w14:textId="7246DB05" w:rsidR="005B7A9B" w:rsidRPr="003C222B" w:rsidRDefault="005B7A9B" w:rsidP="005B7A9B">
            <w:pPr>
              <w:spacing w:before="120"/>
              <w:ind w:left="-58" w:right="-58"/>
              <w:jc w:val="center"/>
              <w:rPr>
                <w:rFonts w:cs="Arial"/>
              </w:rPr>
            </w:pPr>
            <w:r w:rsidRPr="003C222B">
              <w:rPr>
                <w:rFonts w:cs="Arial"/>
              </w:rPr>
              <w:t>19.7</w:t>
            </w:r>
          </w:p>
        </w:tc>
        <w:tc>
          <w:tcPr>
            <w:tcW w:w="1887" w:type="dxa"/>
            <w:tcBorders>
              <w:left w:val="single" w:sz="4" w:space="0" w:color="000000"/>
              <w:right w:val="single" w:sz="4" w:space="0" w:color="000000"/>
            </w:tcBorders>
            <w:vAlign w:val="bottom"/>
          </w:tcPr>
          <w:p w14:paraId="511638C9" w14:textId="76204EDD" w:rsidR="005B7A9B" w:rsidRPr="003C222B" w:rsidRDefault="005B7A9B" w:rsidP="005B7A9B">
            <w:pPr>
              <w:spacing w:before="120"/>
              <w:ind w:left="-58"/>
              <w:jc w:val="right"/>
              <w:rPr>
                <w:rFonts w:cs="Arial"/>
              </w:rPr>
            </w:pPr>
            <w:r w:rsidRPr="004C155A">
              <w:t>118</w:t>
            </w:r>
            <w:r w:rsidR="00772E2B">
              <w:t>,</w:t>
            </w:r>
            <w:r w:rsidRPr="004C155A">
              <w:t>908</w:t>
            </w:r>
            <w:r w:rsidR="00772E2B">
              <w:t>,</w:t>
            </w:r>
            <w:r w:rsidRPr="004C155A">
              <w:t>742</w:t>
            </w:r>
            <w:r w:rsidR="00772E2B">
              <w:t>,</w:t>
            </w:r>
            <w:r w:rsidRPr="004C155A">
              <w:t xml:space="preserve">569 </w:t>
            </w:r>
          </w:p>
        </w:tc>
        <w:tc>
          <w:tcPr>
            <w:tcW w:w="1887" w:type="dxa"/>
            <w:tcBorders>
              <w:left w:val="single" w:sz="4" w:space="0" w:color="000000"/>
            </w:tcBorders>
            <w:noWrap/>
            <w:vAlign w:val="bottom"/>
          </w:tcPr>
          <w:p w14:paraId="5C8D5354" w14:textId="33E3CFC7" w:rsidR="005B7A9B" w:rsidRPr="00B12F22" w:rsidRDefault="005B7A9B" w:rsidP="005B7A9B">
            <w:pPr>
              <w:spacing w:before="120"/>
              <w:ind w:left="-58"/>
              <w:jc w:val="right"/>
              <w:rPr>
                <w:rFonts w:cs="Arial"/>
                <w:bCs/>
              </w:rPr>
            </w:pPr>
            <w:r w:rsidRPr="004C155A">
              <w:t>183</w:t>
            </w:r>
            <w:r w:rsidR="00772E2B">
              <w:t>,</w:t>
            </w:r>
            <w:r w:rsidRPr="004C155A">
              <w:t>339</w:t>
            </w:r>
            <w:r w:rsidR="00772E2B">
              <w:t>,</w:t>
            </w:r>
            <w:r w:rsidRPr="004C155A">
              <w:t>389</w:t>
            </w:r>
            <w:r w:rsidR="00772E2B">
              <w:t>,</w:t>
            </w:r>
            <w:r w:rsidRPr="004C155A">
              <w:t xml:space="preserve">419 </w:t>
            </w:r>
          </w:p>
        </w:tc>
      </w:tr>
      <w:tr w:rsidR="005B7A9B" w:rsidRPr="007759BD" w14:paraId="6480FE10" w14:textId="77777777" w:rsidTr="005B7A9B">
        <w:tc>
          <w:tcPr>
            <w:tcW w:w="708" w:type="dxa"/>
            <w:tcBorders>
              <w:right w:val="single" w:sz="4" w:space="0" w:color="000000"/>
            </w:tcBorders>
            <w:noWrap/>
          </w:tcPr>
          <w:p w14:paraId="2CB31C00" w14:textId="51A50711" w:rsidR="005B7A9B" w:rsidRPr="00B12F22" w:rsidRDefault="005B7A9B" w:rsidP="005B7A9B">
            <w:pPr>
              <w:ind w:left="-58" w:right="-58"/>
              <w:jc w:val="center"/>
              <w:rPr>
                <w:rFonts w:cs="Arial"/>
                <w:bCs/>
                <w:i/>
              </w:rPr>
            </w:pPr>
            <w:r w:rsidRPr="00B12F22">
              <w:rPr>
                <w:rFonts w:cs="Arial"/>
                <w:bCs/>
                <w:i/>
              </w:rPr>
              <w:t>031.1</w:t>
            </w:r>
          </w:p>
        </w:tc>
        <w:tc>
          <w:tcPr>
            <w:tcW w:w="3637" w:type="dxa"/>
            <w:tcBorders>
              <w:left w:val="single" w:sz="4" w:space="0" w:color="000000"/>
              <w:right w:val="single" w:sz="4" w:space="0" w:color="000000"/>
            </w:tcBorders>
            <w:noWrap/>
            <w:vAlign w:val="bottom"/>
          </w:tcPr>
          <w:p w14:paraId="6E460696" w14:textId="39C63A7F" w:rsidR="005B7A9B" w:rsidRPr="00B12F22" w:rsidRDefault="005B7A9B" w:rsidP="005B7A9B">
            <w:pPr>
              <w:ind w:left="-58"/>
              <w:rPr>
                <w:rFonts w:cs="Arial"/>
                <w:bCs/>
              </w:rPr>
            </w:pPr>
            <w:r w:rsidRPr="00B12F22">
              <w:rPr>
                <w:rFonts w:cs="Arial"/>
                <w:i/>
              </w:rPr>
              <w:tab/>
            </w:r>
            <w:r w:rsidRPr="00FE67B2">
              <w:rPr>
                <w:rFonts w:cs="Arial"/>
                <w:i/>
              </w:rPr>
              <w:t>Payables to domestic investors for securities trading activities managed by the Company</w:t>
            </w:r>
          </w:p>
        </w:tc>
        <w:tc>
          <w:tcPr>
            <w:tcW w:w="772" w:type="dxa"/>
            <w:tcBorders>
              <w:left w:val="single" w:sz="4" w:space="0" w:color="000000"/>
              <w:right w:val="single" w:sz="4" w:space="0" w:color="000000"/>
            </w:tcBorders>
            <w:noWrap/>
            <w:vAlign w:val="bottom"/>
          </w:tcPr>
          <w:p w14:paraId="0F77997D" w14:textId="77777777" w:rsidR="005B7A9B" w:rsidRPr="003C222B" w:rsidRDefault="005B7A9B" w:rsidP="005B7A9B">
            <w:pPr>
              <w:ind w:left="-58" w:right="-58"/>
              <w:jc w:val="center"/>
              <w:rPr>
                <w:rFonts w:cs="Arial"/>
                <w:i/>
                <w:lang w:val="vi-VN"/>
              </w:rPr>
            </w:pPr>
          </w:p>
        </w:tc>
        <w:tc>
          <w:tcPr>
            <w:tcW w:w="1887" w:type="dxa"/>
            <w:tcBorders>
              <w:left w:val="single" w:sz="4" w:space="0" w:color="000000"/>
              <w:right w:val="single" w:sz="4" w:space="0" w:color="000000"/>
            </w:tcBorders>
            <w:vAlign w:val="bottom"/>
          </w:tcPr>
          <w:p w14:paraId="7A480096" w14:textId="0800A34C" w:rsidR="005B7A9B" w:rsidRPr="005B7A9B" w:rsidRDefault="005B7A9B" w:rsidP="005B7A9B">
            <w:pPr>
              <w:ind w:left="-58"/>
              <w:jc w:val="right"/>
              <w:rPr>
                <w:rFonts w:cs="Arial"/>
                <w:i/>
                <w:iCs/>
              </w:rPr>
            </w:pPr>
            <w:r w:rsidRPr="005B7A9B">
              <w:rPr>
                <w:i/>
                <w:iCs/>
              </w:rPr>
              <w:t>117</w:t>
            </w:r>
            <w:r w:rsidR="00772E2B">
              <w:rPr>
                <w:i/>
                <w:iCs/>
              </w:rPr>
              <w:t>,</w:t>
            </w:r>
            <w:r w:rsidRPr="005B7A9B">
              <w:rPr>
                <w:i/>
                <w:iCs/>
              </w:rPr>
              <w:t>442</w:t>
            </w:r>
            <w:r w:rsidR="00772E2B">
              <w:rPr>
                <w:i/>
                <w:iCs/>
              </w:rPr>
              <w:t>,</w:t>
            </w:r>
            <w:r w:rsidRPr="005B7A9B">
              <w:rPr>
                <w:i/>
                <w:iCs/>
              </w:rPr>
              <w:t>962</w:t>
            </w:r>
            <w:r w:rsidR="00772E2B">
              <w:rPr>
                <w:i/>
                <w:iCs/>
              </w:rPr>
              <w:t>,</w:t>
            </w:r>
            <w:r w:rsidRPr="005B7A9B">
              <w:rPr>
                <w:i/>
                <w:iCs/>
              </w:rPr>
              <w:t xml:space="preserve">389 </w:t>
            </w:r>
          </w:p>
        </w:tc>
        <w:tc>
          <w:tcPr>
            <w:tcW w:w="1887" w:type="dxa"/>
            <w:tcBorders>
              <w:left w:val="single" w:sz="4" w:space="0" w:color="000000"/>
            </w:tcBorders>
            <w:noWrap/>
            <w:vAlign w:val="bottom"/>
          </w:tcPr>
          <w:p w14:paraId="374B72D4" w14:textId="7161FF34" w:rsidR="005B7A9B" w:rsidRPr="005B7A9B" w:rsidRDefault="005B7A9B" w:rsidP="005B7A9B">
            <w:pPr>
              <w:ind w:left="-58"/>
              <w:jc w:val="right"/>
              <w:rPr>
                <w:rFonts w:cs="Arial"/>
                <w:bCs/>
                <w:i/>
                <w:iCs/>
              </w:rPr>
            </w:pPr>
            <w:r w:rsidRPr="005B7A9B">
              <w:rPr>
                <w:i/>
                <w:iCs/>
              </w:rPr>
              <w:t>177</w:t>
            </w:r>
            <w:r w:rsidR="00772E2B">
              <w:rPr>
                <w:i/>
                <w:iCs/>
              </w:rPr>
              <w:t>,</w:t>
            </w:r>
            <w:r w:rsidRPr="005B7A9B">
              <w:rPr>
                <w:i/>
                <w:iCs/>
              </w:rPr>
              <w:t>857</w:t>
            </w:r>
            <w:r w:rsidR="00772E2B">
              <w:rPr>
                <w:i/>
                <w:iCs/>
              </w:rPr>
              <w:t>,</w:t>
            </w:r>
            <w:r w:rsidRPr="005B7A9B">
              <w:rPr>
                <w:i/>
                <w:iCs/>
              </w:rPr>
              <w:t>542</w:t>
            </w:r>
            <w:r w:rsidR="00772E2B">
              <w:rPr>
                <w:i/>
                <w:iCs/>
              </w:rPr>
              <w:t>,</w:t>
            </w:r>
            <w:r w:rsidRPr="005B7A9B">
              <w:rPr>
                <w:i/>
                <w:iCs/>
              </w:rPr>
              <w:t xml:space="preserve">031 </w:t>
            </w:r>
          </w:p>
        </w:tc>
      </w:tr>
      <w:tr w:rsidR="005B7A9B" w:rsidRPr="007759BD" w14:paraId="35B9BF8B" w14:textId="77777777" w:rsidTr="005B7A9B">
        <w:tc>
          <w:tcPr>
            <w:tcW w:w="708" w:type="dxa"/>
            <w:tcBorders>
              <w:right w:val="single" w:sz="4" w:space="0" w:color="000000"/>
            </w:tcBorders>
            <w:noWrap/>
          </w:tcPr>
          <w:p w14:paraId="439F9DDA" w14:textId="64728202" w:rsidR="005B7A9B" w:rsidRPr="00B12F22" w:rsidRDefault="005B7A9B" w:rsidP="005B7A9B">
            <w:pPr>
              <w:spacing w:after="120"/>
              <w:ind w:left="-58" w:right="-58"/>
              <w:jc w:val="center"/>
              <w:rPr>
                <w:rFonts w:cs="Arial"/>
                <w:bCs/>
                <w:i/>
              </w:rPr>
            </w:pPr>
            <w:r w:rsidRPr="00B12F22">
              <w:rPr>
                <w:rFonts w:cs="Arial"/>
                <w:bCs/>
                <w:i/>
              </w:rPr>
              <w:t>031.2</w:t>
            </w:r>
          </w:p>
        </w:tc>
        <w:tc>
          <w:tcPr>
            <w:tcW w:w="3637" w:type="dxa"/>
            <w:tcBorders>
              <w:left w:val="single" w:sz="4" w:space="0" w:color="000000"/>
              <w:right w:val="single" w:sz="4" w:space="0" w:color="000000"/>
            </w:tcBorders>
            <w:noWrap/>
            <w:vAlign w:val="bottom"/>
          </w:tcPr>
          <w:p w14:paraId="5D779F91" w14:textId="0B5179FD" w:rsidR="005B7A9B" w:rsidRPr="00B12F22" w:rsidRDefault="005B7A9B" w:rsidP="005B7A9B">
            <w:pPr>
              <w:spacing w:after="120"/>
              <w:ind w:left="-58"/>
              <w:rPr>
                <w:rFonts w:cs="Arial"/>
                <w:bCs/>
              </w:rPr>
            </w:pPr>
            <w:r w:rsidRPr="00B12F22">
              <w:rPr>
                <w:rFonts w:cs="Arial"/>
                <w:i/>
              </w:rPr>
              <w:tab/>
            </w:r>
            <w:r w:rsidRPr="00BE6C8E">
              <w:rPr>
                <w:rFonts w:cs="Arial"/>
                <w:i/>
              </w:rPr>
              <w:t>Payables to foreign investors for securities trading activities managed by the Company</w:t>
            </w:r>
          </w:p>
        </w:tc>
        <w:tc>
          <w:tcPr>
            <w:tcW w:w="772" w:type="dxa"/>
            <w:tcBorders>
              <w:left w:val="single" w:sz="4" w:space="0" w:color="000000"/>
              <w:right w:val="single" w:sz="4" w:space="0" w:color="000000"/>
            </w:tcBorders>
            <w:noWrap/>
            <w:vAlign w:val="bottom"/>
          </w:tcPr>
          <w:p w14:paraId="513162AE" w14:textId="77777777" w:rsidR="005B7A9B" w:rsidRPr="003C222B" w:rsidRDefault="005B7A9B" w:rsidP="005B7A9B">
            <w:pPr>
              <w:spacing w:after="120"/>
              <w:ind w:left="-58" w:right="-58"/>
              <w:jc w:val="center"/>
              <w:rPr>
                <w:rFonts w:cs="Arial"/>
                <w:i/>
                <w:lang w:val="vi-VN"/>
              </w:rPr>
            </w:pPr>
          </w:p>
        </w:tc>
        <w:tc>
          <w:tcPr>
            <w:tcW w:w="1887" w:type="dxa"/>
            <w:tcBorders>
              <w:left w:val="single" w:sz="4" w:space="0" w:color="000000"/>
              <w:right w:val="single" w:sz="4" w:space="0" w:color="000000"/>
            </w:tcBorders>
            <w:vAlign w:val="bottom"/>
          </w:tcPr>
          <w:p w14:paraId="6EA3815A" w14:textId="3819DEA4" w:rsidR="005B7A9B" w:rsidRPr="005B7A9B" w:rsidRDefault="005B7A9B" w:rsidP="005B7A9B">
            <w:pPr>
              <w:spacing w:after="120"/>
              <w:ind w:left="-58"/>
              <w:jc w:val="right"/>
              <w:rPr>
                <w:rFonts w:cs="Arial"/>
                <w:i/>
                <w:iCs/>
              </w:rPr>
            </w:pPr>
            <w:r w:rsidRPr="005B7A9B">
              <w:rPr>
                <w:i/>
                <w:iCs/>
              </w:rPr>
              <w:t>1</w:t>
            </w:r>
            <w:r w:rsidR="00772E2B">
              <w:rPr>
                <w:i/>
                <w:iCs/>
              </w:rPr>
              <w:t>,</w:t>
            </w:r>
            <w:r w:rsidRPr="005B7A9B">
              <w:rPr>
                <w:i/>
                <w:iCs/>
              </w:rPr>
              <w:t>465</w:t>
            </w:r>
            <w:r w:rsidR="00772E2B">
              <w:rPr>
                <w:i/>
                <w:iCs/>
              </w:rPr>
              <w:t>,</w:t>
            </w:r>
            <w:r w:rsidRPr="005B7A9B">
              <w:rPr>
                <w:i/>
                <w:iCs/>
              </w:rPr>
              <w:t>780</w:t>
            </w:r>
            <w:r w:rsidR="00772E2B">
              <w:rPr>
                <w:i/>
                <w:iCs/>
              </w:rPr>
              <w:t>,</w:t>
            </w:r>
            <w:r w:rsidRPr="005B7A9B">
              <w:rPr>
                <w:i/>
                <w:iCs/>
              </w:rPr>
              <w:t xml:space="preserve">180 </w:t>
            </w:r>
          </w:p>
        </w:tc>
        <w:tc>
          <w:tcPr>
            <w:tcW w:w="1887" w:type="dxa"/>
            <w:tcBorders>
              <w:left w:val="single" w:sz="4" w:space="0" w:color="000000"/>
            </w:tcBorders>
            <w:noWrap/>
            <w:vAlign w:val="bottom"/>
          </w:tcPr>
          <w:p w14:paraId="11A6593A" w14:textId="50F18C8A" w:rsidR="005B7A9B" w:rsidRPr="005B7A9B" w:rsidRDefault="005B7A9B" w:rsidP="005B7A9B">
            <w:pPr>
              <w:spacing w:after="120"/>
              <w:ind w:left="-58"/>
              <w:jc w:val="right"/>
              <w:rPr>
                <w:rFonts w:cs="Arial"/>
                <w:bCs/>
                <w:i/>
                <w:iCs/>
              </w:rPr>
            </w:pPr>
            <w:r w:rsidRPr="005B7A9B">
              <w:rPr>
                <w:i/>
                <w:iCs/>
              </w:rPr>
              <w:t>5</w:t>
            </w:r>
            <w:r w:rsidR="00772E2B">
              <w:rPr>
                <w:i/>
                <w:iCs/>
              </w:rPr>
              <w:t>,</w:t>
            </w:r>
            <w:r w:rsidRPr="005B7A9B">
              <w:rPr>
                <w:i/>
                <w:iCs/>
              </w:rPr>
              <w:t>481</w:t>
            </w:r>
            <w:r w:rsidR="00772E2B">
              <w:rPr>
                <w:i/>
                <w:iCs/>
              </w:rPr>
              <w:t>,</w:t>
            </w:r>
            <w:r w:rsidRPr="005B7A9B">
              <w:rPr>
                <w:i/>
                <w:iCs/>
              </w:rPr>
              <w:t>847</w:t>
            </w:r>
            <w:r w:rsidR="00772E2B">
              <w:rPr>
                <w:i/>
                <w:iCs/>
              </w:rPr>
              <w:t>,</w:t>
            </w:r>
            <w:r w:rsidRPr="005B7A9B">
              <w:rPr>
                <w:i/>
                <w:iCs/>
              </w:rPr>
              <w:t xml:space="preserve">388 </w:t>
            </w:r>
          </w:p>
        </w:tc>
      </w:tr>
    </w:tbl>
    <w:p w14:paraId="2ABBD687" w14:textId="77777777" w:rsidR="00012253" w:rsidRPr="002A0B87" w:rsidRDefault="00012253" w:rsidP="003867C2">
      <w:pPr>
        <w:rPr>
          <w:rFonts w:cs="Arial"/>
        </w:rPr>
      </w:pPr>
    </w:p>
    <w:p w14:paraId="0321D476" w14:textId="77777777" w:rsidR="00012253" w:rsidRPr="002A0B87" w:rsidRDefault="00012253" w:rsidP="00557104">
      <w:pPr>
        <w:rPr>
          <w:rFonts w:cs="Arial"/>
        </w:rPr>
      </w:pPr>
    </w:p>
    <w:tbl>
      <w:tblPr>
        <w:tblW w:w="8903" w:type="dxa"/>
        <w:tblLook w:val="01E0" w:firstRow="1" w:lastRow="1" w:firstColumn="1" w:lastColumn="1" w:noHBand="0" w:noVBand="0"/>
      </w:tblPr>
      <w:tblGrid>
        <w:gridCol w:w="2967"/>
        <w:gridCol w:w="2968"/>
        <w:gridCol w:w="2968"/>
      </w:tblGrid>
      <w:tr w:rsidR="00012253" w:rsidRPr="002A0B87" w14:paraId="6416A782" w14:textId="77777777" w:rsidTr="007F2AE2">
        <w:tc>
          <w:tcPr>
            <w:tcW w:w="2967" w:type="dxa"/>
            <w:vAlign w:val="bottom"/>
          </w:tcPr>
          <w:p w14:paraId="43E0570F" w14:textId="324467A6" w:rsidR="00012253" w:rsidRPr="002A0B87" w:rsidRDefault="00473C1A" w:rsidP="00557104">
            <w:pPr>
              <w:widowControl w:val="0"/>
              <w:pBdr>
                <w:bottom w:val="single" w:sz="4" w:space="1" w:color="auto"/>
              </w:pBdr>
              <w:ind w:left="-115" w:right="58"/>
              <w:rPr>
                <w:rFonts w:cs="Arial"/>
              </w:rPr>
            </w:pPr>
            <w:r w:rsidRPr="00473C1A">
              <w:rPr>
                <w:rFonts w:cs="Arial"/>
              </w:rPr>
              <w:t>Prepared by:</w:t>
            </w:r>
          </w:p>
          <w:p w14:paraId="1078AA07" w14:textId="77777777" w:rsidR="00012253" w:rsidRPr="002A0B87" w:rsidRDefault="00012253" w:rsidP="00557104">
            <w:pPr>
              <w:widowControl w:val="0"/>
              <w:pBdr>
                <w:bottom w:val="single" w:sz="4" w:space="1" w:color="auto"/>
              </w:pBdr>
              <w:ind w:left="-115" w:right="58"/>
              <w:rPr>
                <w:rFonts w:cs="Arial"/>
              </w:rPr>
            </w:pPr>
          </w:p>
          <w:p w14:paraId="001F9548" w14:textId="77777777" w:rsidR="00012253" w:rsidRPr="002A0B87" w:rsidRDefault="00012253" w:rsidP="00557104">
            <w:pPr>
              <w:widowControl w:val="0"/>
              <w:pBdr>
                <w:bottom w:val="single" w:sz="4" w:space="1" w:color="auto"/>
              </w:pBdr>
              <w:ind w:left="-115" w:right="58"/>
              <w:rPr>
                <w:rFonts w:cs="Arial"/>
              </w:rPr>
            </w:pPr>
          </w:p>
          <w:p w14:paraId="56AE8A40" w14:textId="77777777" w:rsidR="00012253" w:rsidRPr="002A0B87" w:rsidRDefault="00012253" w:rsidP="00557104">
            <w:pPr>
              <w:widowControl w:val="0"/>
              <w:pBdr>
                <w:bottom w:val="single" w:sz="4" w:space="1" w:color="auto"/>
              </w:pBdr>
              <w:ind w:left="-115" w:right="58"/>
              <w:rPr>
                <w:rFonts w:cs="Arial"/>
              </w:rPr>
            </w:pPr>
          </w:p>
          <w:p w14:paraId="00FAA1B5" w14:textId="77777777" w:rsidR="00012253" w:rsidRPr="002A0B87" w:rsidRDefault="00012253" w:rsidP="00557104">
            <w:pPr>
              <w:widowControl w:val="0"/>
              <w:pBdr>
                <w:bottom w:val="single" w:sz="4" w:space="1" w:color="auto"/>
              </w:pBdr>
              <w:ind w:left="-115" w:right="58"/>
              <w:rPr>
                <w:rFonts w:cs="Arial"/>
              </w:rPr>
            </w:pPr>
          </w:p>
          <w:p w14:paraId="2A1A4032" w14:textId="77777777" w:rsidR="00012253" w:rsidRPr="002A0B87" w:rsidRDefault="00012253" w:rsidP="00557104">
            <w:pPr>
              <w:widowControl w:val="0"/>
              <w:pBdr>
                <w:bottom w:val="single" w:sz="4" w:space="1" w:color="auto"/>
              </w:pBdr>
              <w:ind w:left="-115" w:right="58"/>
              <w:rPr>
                <w:rFonts w:cs="Arial"/>
              </w:rPr>
            </w:pPr>
          </w:p>
          <w:p w14:paraId="4C1D94C8" w14:textId="77777777" w:rsidR="00012253" w:rsidRPr="002A0B87" w:rsidRDefault="00012253" w:rsidP="00557104">
            <w:pPr>
              <w:widowControl w:val="0"/>
              <w:pBdr>
                <w:bottom w:val="single" w:sz="4" w:space="1" w:color="auto"/>
              </w:pBdr>
              <w:ind w:left="-115" w:right="58"/>
              <w:rPr>
                <w:rFonts w:cs="Arial"/>
              </w:rPr>
            </w:pPr>
          </w:p>
        </w:tc>
        <w:tc>
          <w:tcPr>
            <w:tcW w:w="2968" w:type="dxa"/>
            <w:vAlign w:val="bottom"/>
          </w:tcPr>
          <w:p w14:paraId="25E1A119" w14:textId="05491F9A" w:rsidR="00012253" w:rsidRPr="002A0B87" w:rsidRDefault="002B3F12" w:rsidP="00557104">
            <w:pPr>
              <w:widowControl w:val="0"/>
              <w:pBdr>
                <w:bottom w:val="single" w:sz="4" w:space="1" w:color="auto"/>
              </w:pBdr>
              <w:ind w:left="-115" w:right="58"/>
              <w:rPr>
                <w:rFonts w:cs="Arial"/>
              </w:rPr>
            </w:pPr>
            <w:r w:rsidRPr="002B3F12">
              <w:rPr>
                <w:rFonts w:cs="Arial"/>
              </w:rPr>
              <w:t>Reviewed by:</w:t>
            </w:r>
          </w:p>
          <w:p w14:paraId="5BEE158C" w14:textId="77777777" w:rsidR="00012253" w:rsidRPr="002A0B87" w:rsidRDefault="00012253" w:rsidP="00557104">
            <w:pPr>
              <w:widowControl w:val="0"/>
              <w:pBdr>
                <w:bottom w:val="single" w:sz="4" w:space="1" w:color="auto"/>
              </w:pBdr>
              <w:ind w:left="-115" w:right="58"/>
              <w:rPr>
                <w:rFonts w:cs="Arial"/>
              </w:rPr>
            </w:pPr>
          </w:p>
          <w:p w14:paraId="57BD710D" w14:textId="77777777" w:rsidR="00012253" w:rsidRPr="002A0B87" w:rsidRDefault="00012253" w:rsidP="00557104">
            <w:pPr>
              <w:widowControl w:val="0"/>
              <w:pBdr>
                <w:bottom w:val="single" w:sz="4" w:space="1" w:color="auto"/>
              </w:pBdr>
              <w:ind w:left="-115" w:right="58"/>
              <w:rPr>
                <w:rFonts w:cs="Arial"/>
              </w:rPr>
            </w:pPr>
          </w:p>
          <w:p w14:paraId="19A6EDB8" w14:textId="77777777" w:rsidR="00012253" w:rsidRPr="002A0B87" w:rsidRDefault="00012253" w:rsidP="00557104">
            <w:pPr>
              <w:widowControl w:val="0"/>
              <w:pBdr>
                <w:bottom w:val="single" w:sz="4" w:space="1" w:color="auto"/>
              </w:pBdr>
              <w:ind w:left="-115" w:right="58"/>
              <w:rPr>
                <w:rFonts w:cs="Arial"/>
              </w:rPr>
            </w:pPr>
          </w:p>
          <w:p w14:paraId="33FA7832" w14:textId="77777777" w:rsidR="00012253" w:rsidRPr="002A0B87" w:rsidRDefault="00012253" w:rsidP="00557104">
            <w:pPr>
              <w:widowControl w:val="0"/>
              <w:pBdr>
                <w:bottom w:val="single" w:sz="4" w:space="1" w:color="auto"/>
              </w:pBdr>
              <w:ind w:left="-115" w:right="58"/>
              <w:rPr>
                <w:rFonts w:cs="Arial"/>
              </w:rPr>
            </w:pPr>
          </w:p>
          <w:p w14:paraId="2AE1F387" w14:textId="77777777" w:rsidR="00012253" w:rsidRPr="002A0B87" w:rsidRDefault="00012253" w:rsidP="00557104">
            <w:pPr>
              <w:widowControl w:val="0"/>
              <w:pBdr>
                <w:bottom w:val="single" w:sz="4" w:space="1" w:color="auto"/>
              </w:pBdr>
              <w:ind w:left="-115" w:right="58"/>
              <w:rPr>
                <w:rFonts w:cs="Arial"/>
              </w:rPr>
            </w:pPr>
          </w:p>
          <w:p w14:paraId="394841F5" w14:textId="77777777" w:rsidR="00012253" w:rsidRPr="002A0B87" w:rsidRDefault="00012253" w:rsidP="00557104">
            <w:pPr>
              <w:widowControl w:val="0"/>
              <w:pBdr>
                <w:bottom w:val="single" w:sz="4" w:space="1" w:color="auto"/>
              </w:pBdr>
              <w:ind w:left="-115" w:right="58"/>
              <w:rPr>
                <w:rFonts w:cs="Arial"/>
              </w:rPr>
            </w:pPr>
          </w:p>
        </w:tc>
        <w:tc>
          <w:tcPr>
            <w:tcW w:w="2968" w:type="dxa"/>
            <w:vAlign w:val="bottom"/>
          </w:tcPr>
          <w:p w14:paraId="24172B86" w14:textId="614E17AF" w:rsidR="00012253" w:rsidRPr="002A0B87" w:rsidRDefault="006E76AC" w:rsidP="00557104">
            <w:pPr>
              <w:widowControl w:val="0"/>
              <w:ind w:left="-115" w:right="58" w:firstLine="1"/>
              <w:rPr>
                <w:rFonts w:cs="Arial"/>
              </w:rPr>
            </w:pPr>
            <w:r w:rsidRPr="006E76AC">
              <w:rPr>
                <w:rFonts w:cs="Arial"/>
              </w:rPr>
              <w:t>Approved by:</w:t>
            </w:r>
          </w:p>
          <w:p w14:paraId="27ED6D27" w14:textId="77777777" w:rsidR="00012253" w:rsidRPr="002A0B87" w:rsidRDefault="00012253" w:rsidP="00557104">
            <w:pPr>
              <w:widowControl w:val="0"/>
              <w:ind w:left="-115" w:right="58"/>
              <w:rPr>
                <w:rFonts w:cs="Arial"/>
              </w:rPr>
            </w:pPr>
          </w:p>
          <w:p w14:paraId="5A8130DB" w14:textId="77777777" w:rsidR="00012253" w:rsidRPr="002A0B87" w:rsidRDefault="00012253" w:rsidP="00557104">
            <w:pPr>
              <w:widowControl w:val="0"/>
              <w:ind w:left="-115" w:right="58"/>
              <w:rPr>
                <w:rFonts w:cs="Arial"/>
              </w:rPr>
            </w:pPr>
          </w:p>
          <w:p w14:paraId="293C2A89" w14:textId="77777777" w:rsidR="00012253" w:rsidRPr="002A0B87" w:rsidRDefault="00012253" w:rsidP="00557104">
            <w:pPr>
              <w:widowControl w:val="0"/>
              <w:ind w:left="-115" w:right="58"/>
              <w:rPr>
                <w:rFonts w:cs="Arial"/>
              </w:rPr>
            </w:pPr>
          </w:p>
          <w:p w14:paraId="04388F9B" w14:textId="77777777" w:rsidR="00012253" w:rsidRPr="002A0B87" w:rsidRDefault="00012253" w:rsidP="00557104">
            <w:pPr>
              <w:widowControl w:val="0"/>
              <w:ind w:left="-115" w:right="58"/>
              <w:rPr>
                <w:rFonts w:cs="Arial"/>
              </w:rPr>
            </w:pPr>
          </w:p>
          <w:p w14:paraId="08E9EBE1" w14:textId="77777777" w:rsidR="00012253" w:rsidRPr="002A0B87" w:rsidRDefault="00012253" w:rsidP="00557104">
            <w:pPr>
              <w:widowControl w:val="0"/>
              <w:ind w:left="-115" w:right="58"/>
              <w:rPr>
                <w:rFonts w:cs="Arial"/>
              </w:rPr>
            </w:pPr>
          </w:p>
          <w:p w14:paraId="110ABD8E" w14:textId="77777777" w:rsidR="00012253" w:rsidRPr="002A0B87" w:rsidRDefault="00012253" w:rsidP="00557104">
            <w:pPr>
              <w:widowControl w:val="0"/>
              <w:pBdr>
                <w:bottom w:val="single" w:sz="4" w:space="1" w:color="auto"/>
              </w:pBdr>
              <w:ind w:left="-115" w:right="58"/>
              <w:rPr>
                <w:rFonts w:cs="Arial"/>
              </w:rPr>
            </w:pPr>
          </w:p>
        </w:tc>
      </w:tr>
      <w:tr w:rsidR="00012253" w:rsidRPr="002A0B87" w14:paraId="213DA52F" w14:textId="77777777" w:rsidTr="007F2AE2">
        <w:tc>
          <w:tcPr>
            <w:tcW w:w="2967" w:type="dxa"/>
          </w:tcPr>
          <w:p w14:paraId="54250589" w14:textId="533F5F60" w:rsidR="00012253" w:rsidRPr="002A0B87" w:rsidRDefault="00BB4652" w:rsidP="00557104">
            <w:pPr>
              <w:overflowPunct/>
              <w:autoSpaceDE/>
              <w:autoSpaceDN/>
              <w:adjustRightInd/>
              <w:ind w:left="-115" w:right="58"/>
              <w:textAlignment w:val="auto"/>
              <w:rPr>
                <w:rFonts w:eastAsia="Batang" w:cs="Arial"/>
              </w:rPr>
            </w:pPr>
            <w:r w:rsidRPr="00BB4652">
              <w:rPr>
                <w:rFonts w:eastAsia="Batang" w:cs="Arial"/>
              </w:rPr>
              <w:t>Ms. Pham Thi Yen</w:t>
            </w:r>
          </w:p>
          <w:p w14:paraId="2B523469" w14:textId="288E758B" w:rsidR="00012253" w:rsidRPr="002A0B87" w:rsidRDefault="00BB4652" w:rsidP="00557104">
            <w:pPr>
              <w:widowControl w:val="0"/>
              <w:ind w:left="-115" w:right="58"/>
              <w:rPr>
                <w:rFonts w:cs="Arial"/>
              </w:rPr>
            </w:pPr>
            <w:r>
              <w:rPr>
                <w:rFonts w:eastAsia="Batang" w:cs="Arial"/>
              </w:rPr>
              <w:t>Accountant</w:t>
            </w:r>
          </w:p>
        </w:tc>
        <w:tc>
          <w:tcPr>
            <w:tcW w:w="2968" w:type="dxa"/>
          </w:tcPr>
          <w:p w14:paraId="0BB1593E" w14:textId="1F537B6B" w:rsidR="00012253" w:rsidRPr="002A0B87" w:rsidRDefault="00D035D2" w:rsidP="00557104">
            <w:pPr>
              <w:widowControl w:val="0"/>
              <w:ind w:left="-115" w:right="58"/>
              <w:rPr>
                <w:rFonts w:cs="Arial"/>
              </w:rPr>
            </w:pPr>
            <w:r w:rsidRPr="00D035D2">
              <w:rPr>
                <w:rFonts w:cs="Arial"/>
              </w:rPr>
              <w:t>Ms. Nguyen Thi Van</w:t>
            </w:r>
          </w:p>
          <w:p w14:paraId="2DB962BC" w14:textId="386B1FE4" w:rsidR="00012253" w:rsidRPr="002A0B87" w:rsidRDefault="00D035D2" w:rsidP="00557104">
            <w:pPr>
              <w:widowControl w:val="0"/>
              <w:ind w:left="-115" w:right="58"/>
              <w:rPr>
                <w:rFonts w:cs="Arial"/>
              </w:rPr>
            </w:pPr>
            <w:r>
              <w:rPr>
                <w:rFonts w:cs="Arial"/>
              </w:rPr>
              <w:t>Chief Accountant</w:t>
            </w:r>
          </w:p>
        </w:tc>
        <w:tc>
          <w:tcPr>
            <w:tcW w:w="2968" w:type="dxa"/>
          </w:tcPr>
          <w:p w14:paraId="3C0D9D84" w14:textId="00B34ABE" w:rsidR="00012253" w:rsidRPr="002A0B87" w:rsidRDefault="00D035D2" w:rsidP="00557104">
            <w:pPr>
              <w:widowControl w:val="0"/>
              <w:ind w:left="-115" w:right="58"/>
              <w:contextualSpacing/>
              <w:rPr>
                <w:rFonts w:cs="Arial"/>
              </w:rPr>
            </w:pPr>
            <w:r>
              <w:rPr>
                <w:rFonts w:cs="Arial"/>
              </w:rPr>
              <w:t>Mr.</w:t>
            </w:r>
            <w:r w:rsidR="00B12F22">
              <w:rPr>
                <w:rFonts w:cs="Arial"/>
              </w:rPr>
              <w:t xml:space="preserve"> Lee </w:t>
            </w:r>
            <w:proofErr w:type="spellStart"/>
            <w:r w:rsidR="00B12F22">
              <w:rPr>
                <w:rFonts w:cs="Arial"/>
              </w:rPr>
              <w:t>Jin</w:t>
            </w:r>
            <w:proofErr w:type="spellEnd"/>
            <w:r w:rsidR="00B12F22">
              <w:rPr>
                <w:rFonts w:cs="Arial"/>
              </w:rPr>
              <w:t xml:space="preserve"> Hwan</w:t>
            </w:r>
          </w:p>
          <w:p w14:paraId="716094E9" w14:textId="7947177D" w:rsidR="00012253" w:rsidRPr="002A0B87" w:rsidRDefault="00D035D2" w:rsidP="00557104">
            <w:pPr>
              <w:widowControl w:val="0"/>
              <w:ind w:left="-115" w:right="58"/>
              <w:rPr>
                <w:rFonts w:cs="Arial"/>
              </w:rPr>
            </w:pPr>
            <w:r>
              <w:rPr>
                <w:rFonts w:cs="Arial"/>
              </w:rPr>
              <w:t>General Director</w:t>
            </w:r>
          </w:p>
        </w:tc>
      </w:tr>
    </w:tbl>
    <w:p w14:paraId="3EDBBABD" w14:textId="6DD82BB0" w:rsidR="00986C88" w:rsidRPr="002A0B87" w:rsidRDefault="00986C88" w:rsidP="0075280E"/>
    <w:p w14:paraId="1911006B" w14:textId="77777777" w:rsidR="003B2F7C" w:rsidRPr="002A0B87" w:rsidRDefault="003B2F7C" w:rsidP="0075280E"/>
    <w:p w14:paraId="28EE9777" w14:textId="06D51DCC" w:rsidR="00012253" w:rsidRPr="002A0B87" w:rsidRDefault="00012253" w:rsidP="007759BD">
      <w:r w:rsidRPr="002A0B87">
        <w:t>H</w:t>
      </w:r>
      <w:r w:rsidR="00181463">
        <w:t>anoi</w:t>
      </w:r>
      <w:r w:rsidRPr="002A0B87">
        <w:t>, Vi</w:t>
      </w:r>
      <w:r w:rsidR="00181463">
        <w:t>etnam</w:t>
      </w:r>
    </w:p>
    <w:p w14:paraId="643576A9" w14:textId="77777777" w:rsidR="00012253" w:rsidRPr="002A0B87" w:rsidRDefault="00012253" w:rsidP="007759BD"/>
    <w:p w14:paraId="721627B4" w14:textId="078C1DFA" w:rsidR="00012253" w:rsidRPr="002A0B87" w:rsidRDefault="00F2242E" w:rsidP="007759BD">
      <w:r w:rsidRPr="00254501">
        <w:t>07</w:t>
      </w:r>
      <w:r w:rsidR="006536DD" w:rsidRPr="00254501">
        <w:t xml:space="preserve"> March 202</w:t>
      </w:r>
      <w:r w:rsidR="00D87B8F">
        <w:t>3</w:t>
      </w:r>
    </w:p>
    <w:p w14:paraId="183342FF" w14:textId="480F250A" w:rsidR="000F6856" w:rsidRPr="002A0B87" w:rsidRDefault="000F6856" w:rsidP="007759BD">
      <w:pPr>
        <w:rPr>
          <w:lang w:val="en-GB"/>
        </w:rPr>
      </w:pPr>
    </w:p>
    <w:p w14:paraId="38EE7937" w14:textId="09EE5B5A" w:rsidR="00FD36D4" w:rsidRPr="002A0B87" w:rsidRDefault="00FD36D4">
      <w:pPr>
        <w:pStyle w:val="BodyText"/>
        <w:rPr>
          <w:rFonts w:ascii="Arial" w:hAnsi="Arial" w:cs="Arial"/>
          <w:lang w:val="en-GB"/>
        </w:rPr>
        <w:sectPr w:rsidR="00FD36D4" w:rsidRPr="002A0B87" w:rsidSect="00D1016E">
          <w:type w:val="nextColumn"/>
          <w:pgSz w:w="11909" w:h="16834" w:code="9"/>
          <w:pgMar w:top="1440" w:right="1440" w:bottom="862" w:left="1582" w:header="720" w:footer="578" w:gutter="0"/>
          <w:cols w:space="720"/>
          <w:docGrid w:linePitch="272"/>
        </w:sectPr>
      </w:pPr>
    </w:p>
    <w:tbl>
      <w:tblPr>
        <w:tblW w:w="8887"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706"/>
        <w:gridCol w:w="3643"/>
        <w:gridCol w:w="776"/>
        <w:gridCol w:w="1881"/>
        <w:gridCol w:w="1881"/>
      </w:tblGrid>
      <w:tr w:rsidR="007F2AE2" w:rsidRPr="00871AD8" w14:paraId="7315FB42" w14:textId="77777777" w:rsidTr="005E3FAF">
        <w:trPr>
          <w:trHeight w:val="108"/>
        </w:trPr>
        <w:tc>
          <w:tcPr>
            <w:tcW w:w="706" w:type="dxa"/>
            <w:tcBorders>
              <w:top w:val="double" w:sz="6" w:space="0" w:color="auto"/>
              <w:bottom w:val="single" w:sz="4" w:space="0" w:color="000000"/>
              <w:right w:val="single" w:sz="4" w:space="0" w:color="000000"/>
            </w:tcBorders>
            <w:noWrap/>
            <w:vAlign w:val="bottom"/>
          </w:tcPr>
          <w:p w14:paraId="091BEFF5" w14:textId="7687141A" w:rsidR="007F2AE2" w:rsidRPr="00FA28E4" w:rsidRDefault="007B5055" w:rsidP="007F2AE2">
            <w:pPr>
              <w:spacing w:before="120" w:after="120"/>
              <w:ind w:left="-58" w:right="-58"/>
              <w:jc w:val="center"/>
              <w:rPr>
                <w:rFonts w:cs="Arial"/>
                <w:i/>
                <w:iCs/>
              </w:rPr>
            </w:pPr>
            <w:r>
              <w:rPr>
                <w:rFonts w:cs="Arial"/>
                <w:i/>
                <w:iCs/>
              </w:rPr>
              <w:lastRenderedPageBreak/>
              <w:t>Code</w:t>
            </w:r>
          </w:p>
        </w:tc>
        <w:tc>
          <w:tcPr>
            <w:tcW w:w="3643" w:type="dxa"/>
            <w:tcBorders>
              <w:top w:val="double" w:sz="6" w:space="0" w:color="auto"/>
              <w:left w:val="single" w:sz="4" w:space="0" w:color="000000"/>
              <w:bottom w:val="single" w:sz="4" w:space="0" w:color="000000"/>
              <w:right w:val="single" w:sz="4" w:space="0" w:color="000000"/>
            </w:tcBorders>
            <w:noWrap/>
            <w:vAlign w:val="bottom"/>
          </w:tcPr>
          <w:p w14:paraId="0FD13E62" w14:textId="371B2C45" w:rsidR="007F2AE2" w:rsidRPr="00FA28E4" w:rsidRDefault="007B5055" w:rsidP="007F2AE2">
            <w:pPr>
              <w:spacing w:before="120" w:after="120"/>
              <w:ind w:left="-58"/>
              <w:rPr>
                <w:rFonts w:cs="Arial"/>
                <w:i/>
                <w:iCs/>
              </w:rPr>
            </w:pPr>
            <w:r>
              <w:rPr>
                <w:rFonts w:cs="Arial"/>
                <w:i/>
                <w:iCs/>
              </w:rPr>
              <w:t>ITEMS</w:t>
            </w:r>
          </w:p>
        </w:tc>
        <w:tc>
          <w:tcPr>
            <w:tcW w:w="776" w:type="dxa"/>
            <w:tcBorders>
              <w:top w:val="double" w:sz="6" w:space="0" w:color="auto"/>
              <w:left w:val="single" w:sz="4" w:space="0" w:color="000000"/>
              <w:bottom w:val="single" w:sz="4" w:space="0" w:color="000000"/>
              <w:right w:val="single" w:sz="4" w:space="0" w:color="000000"/>
            </w:tcBorders>
            <w:noWrap/>
            <w:vAlign w:val="bottom"/>
          </w:tcPr>
          <w:p w14:paraId="6952E7CD" w14:textId="287E329A" w:rsidR="007F2AE2" w:rsidRPr="00FA28E4" w:rsidRDefault="007B5055" w:rsidP="007F2AE2">
            <w:pPr>
              <w:spacing w:before="120" w:after="120"/>
              <w:ind w:left="-58" w:right="-58"/>
              <w:jc w:val="center"/>
              <w:rPr>
                <w:rFonts w:cs="Arial"/>
                <w:i/>
                <w:iCs/>
              </w:rPr>
            </w:pPr>
            <w:r>
              <w:rPr>
                <w:rFonts w:cs="Arial"/>
                <w:i/>
                <w:iCs/>
              </w:rPr>
              <w:t>Notes</w:t>
            </w:r>
          </w:p>
        </w:tc>
        <w:tc>
          <w:tcPr>
            <w:tcW w:w="1881" w:type="dxa"/>
            <w:tcBorders>
              <w:top w:val="double" w:sz="6" w:space="0" w:color="auto"/>
              <w:left w:val="single" w:sz="4" w:space="0" w:color="000000"/>
              <w:bottom w:val="single" w:sz="4" w:space="0" w:color="000000"/>
              <w:right w:val="single" w:sz="4" w:space="0" w:color="000000"/>
            </w:tcBorders>
            <w:vAlign w:val="bottom"/>
          </w:tcPr>
          <w:p w14:paraId="39D6A843" w14:textId="77777777" w:rsidR="00C53F88" w:rsidRPr="00C53F88" w:rsidRDefault="00C53F88" w:rsidP="00C53F88">
            <w:pPr>
              <w:spacing w:before="120"/>
              <w:jc w:val="right"/>
              <w:rPr>
                <w:rFonts w:cs="Arial"/>
                <w:i/>
              </w:rPr>
            </w:pPr>
            <w:r w:rsidRPr="00C53F88">
              <w:rPr>
                <w:rFonts w:cs="Arial"/>
                <w:i/>
              </w:rPr>
              <w:t>Current year</w:t>
            </w:r>
          </w:p>
          <w:p w14:paraId="35404970" w14:textId="11992B8B" w:rsidR="007F2AE2" w:rsidRPr="00D83B87" w:rsidRDefault="00C53F88" w:rsidP="00461FA9">
            <w:pPr>
              <w:spacing w:after="120"/>
              <w:jc w:val="right"/>
              <w:rPr>
                <w:rFonts w:cs="Arial"/>
                <w:i/>
                <w:lang w:val="vi-VN"/>
              </w:rPr>
            </w:pPr>
            <w:r w:rsidRPr="00C53F88">
              <w:rPr>
                <w:rFonts w:cs="Arial"/>
                <w:i/>
              </w:rPr>
              <w:t>VND</w:t>
            </w:r>
          </w:p>
        </w:tc>
        <w:tc>
          <w:tcPr>
            <w:tcW w:w="1881" w:type="dxa"/>
            <w:tcBorders>
              <w:top w:val="double" w:sz="6" w:space="0" w:color="auto"/>
              <w:left w:val="single" w:sz="4" w:space="0" w:color="000000"/>
              <w:bottom w:val="single" w:sz="4" w:space="0" w:color="000000"/>
            </w:tcBorders>
            <w:noWrap/>
            <w:vAlign w:val="bottom"/>
          </w:tcPr>
          <w:p w14:paraId="680A7015" w14:textId="77777777" w:rsidR="00725F01" w:rsidRPr="00725F01" w:rsidRDefault="00725F01" w:rsidP="00725F01">
            <w:pPr>
              <w:spacing w:before="120"/>
              <w:jc w:val="right"/>
              <w:rPr>
                <w:rFonts w:cs="Arial"/>
                <w:i/>
              </w:rPr>
            </w:pPr>
            <w:r w:rsidRPr="00725F01">
              <w:rPr>
                <w:rFonts w:cs="Arial"/>
                <w:i/>
              </w:rPr>
              <w:t>Previous year</w:t>
            </w:r>
          </w:p>
          <w:p w14:paraId="149D56C2" w14:textId="4B87DAD6" w:rsidR="007F2AE2" w:rsidRPr="00D83B87" w:rsidRDefault="00725F01" w:rsidP="00461FA9">
            <w:pPr>
              <w:spacing w:after="120"/>
              <w:jc w:val="right"/>
              <w:rPr>
                <w:rFonts w:cs="Arial"/>
                <w:i/>
                <w:iCs/>
              </w:rPr>
            </w:pPr>
            <w:r w:rsidRPr="00725F01">
              <w:rPr>
                <w:rFonts w:cs="Arial"/>
                <w:i/>
              </w:rPr>
              <w:t>VND</w:t>
            </w:r>
          </w:p>
        </w:tc>
      </w:tr>
      <w:tr w:rsidR="00367AD6" w:rsidRPr="00871AD8" w14:paraId="11D127C5" w14:textId="77777777" w:rsidTr="005E3FAF">
        <w:tc>
          <w:tcPr>
            <w:tcW w:w="706" w:type="dxa"/>
            <w:tcBorders>
              <w:top w:val="single" w:sz="4" w:space="0" w:color="000000"/>
              <w:bottom w:val="nil"/>
              <w:right w:val="single" w:sz="4" w:space="0" w:color="000000"/>
            </w:tcBorders>
            <w:noWrap/>
          </w:tcPr>
          <w:p w14:paraId="2D550851" w14:textId="44097810" w:rsidR="00367AD6" w:rsidRPr="00D83B87" w:rsidRDefault="00367AD6" w:rsidP="00367AD6">
            <w:pPr>
              <w:spacing w:before="120"/>
              <w:ind w:left="-58" w:right="-58"/>
              <w:jc w:val="center"/>
              <w:rPr>
                <w:rFonts w:cs="Arial"/>
                <w:b/>
                <w:bCs/>
                <w:lang w:val="vi-VN"/>
              </w:rPr>
            </w:pPr>
          </w:p>
        </w:tc>
        <w:tc>
          <w:tcPr>
            <w:tcW w:w="3643" w:type="dxa"/>
            <w:tcBorders>
              <w:top w:val="single" w:sz="4" w:space="0" w:color="000000"/>
              <w:left w:val="single" w:sz="4" w:space="0" w:color="000000"/>
              <w:bottom w:val="nil"/>
              <w:right w:val="single" w:sz="4" w:space="0" w:color="000000"/>
            </w:tcBorders>
            <w:noWrap/>
            <w:vAlign w:val="bottom"/>
          </w:tcPr>
          <w:p w14:paraId="322CD049" w14:textId="35E31FFB" w:rsidR="00367AD6" w:rsidRPr="00D83B87" w:rsidRDefault="00367AD6" w:rsidP="00461FA9">
            <w:pPr>
              <w:spacing w:before="120"/>
              <w:ind w:left="299" w:hanging="357"/>
              <w:rPr>
                <w:rFonts w:cs="Arial"/>
                <w:b/>
                <w:bCs/>
              </w:rPr>
            </w:pPr>
            <w:r w:rsidRPr="00D83B87">
              <w:rPr>
                <w:rFonts w:cs="Arial"/>
                <w:b/>
                <w:bCs/>
              </w:rPr>
              <w:t>I</w:t>
            </w:r>
            <w:r w:rsidRPr="00D83B87">
              <w:rPr>
                <w:rFonts w:cs="Arial"/>
                <w:b/>
                <w:bCs/>
                <w:lang w:val="vi-VN"/>
              </w:rPr>
              <w:t>.</w:t>
            </w:r>
            <w:r w:rsidRPr="00D83B87">
              <w:rPr>
                <w:rFonts w:cs="Arial"/>
                <w:b/>
                <w:bCs/>
                <w:lang w:val="vi-VN"/>
              </w:rPr>
              <w:tab/>
            </w:r>
            <w:r w:rsidR="00B36A85" w:rsidRPr="00B36A85">
              <w:rPr>
                <w:rFonts w:cs="Arial"/>
                <w:b/>
                <w:bCs/>
              </w:rPr>
              <w:t>OPERATING INCOME</w:t>
            </w:r>
          </w:p>
        </w:tc>
        <w:tc>
          <w:tcPr>
            <w:tcW w:w="776" w:type="dxa"/>
            <w:tcBorders>
              <w:top w:val="single" w:sz="4" w:space="0" w:color="000000"/>
              <w:left w:val="single" w:sz="4" w:space="0" w:color="000000"/>
              <w:bottom w:val="nil"/>
              <w:right w:val="single" w:sz="4" w:space="0" w:color="000000"/>
            </w:tcBorders>
            <w:noWrap/>
          </w:tcPr>
          <w:p w14:paraId="7C3F5795" w14:textId="77777777" w:rsidR="00367AD6" w:rsidRPr="00D83B87" w:rsidRDefault="00367AD6" w:rsidP="00367AD6">
            <w:pPr>
              <w:spacing w:before="120"/>
              <w:ind w:left="-58" w:right="-58"/>
              <w:jc w:val="center"/>
              <w:rPr>
                <w:rFonts w:cs="Arial"/>
                <w:b/>
                <w:bCs/>
                <w:lang w:val="vi-VN"/>
              </w:rPr>
            </w:pPr>
          </w:p>
        </w:tc>
        <w:tc>
          <w:tcPr>
            <w:tcW w:w="1881" w:type="dxa"/>
            <w:tcBorders>
              <w:top w:val="single" w:sz="4" w:space="0" w:color="000000"/>
              <w:left w:val="single" w:sz="4" w:space="0" w:color="000000"/>
              <w:bottom w:val="nil"/>
              <w:right w:val="single" w:sz="4" w:space="0" w:color="000000"/>
            </w:tcBorders>
            <w:vAlign w:val="bottom"/>
          </w:tcPr>
          <w:p w14:paraId="250FF1E1" w14:textId="02FF8042" w:rsidR="00367AD6" w:rsidRPr="003C222B" w:rsidRDefault="00367AD6">
            <w:pPr>
              <w:spacing w:before="120"/>
              <w:jc w:val="right"/>
              <w:rPr>
                <w:rFonts w:cs="Arial"/>
                <w:b/>
                <w:lang w:val="vi-VN"/>
              </w:rPr>
            </w:pPr>
          </w:p>
        </w:tc>
        <w:tc>
          <w:tcPr>
            <w:tcW w:w="1881" w:type="dxa"/>
            <w:tcBorders>
              <w:top w:val="single" w:sz="4" w:space="0" w:color="000000"/>
              <w:left w:val="single" w:sz="4" w:space="0" w:color="000000"/>
              <w:bottom w:val="nil"/>
            </w:tcBorders>
            <w:noWrap/>
            <w:vAlign w:val="bottom"/>
          </w:tcPr>
          <w:p w14:paraId="6FBF1D3A" w14:textId="1EE806D2" w:rsidR="00367AD6" w:rsidRPr="00D83B87" w:rsidRDefault="00367AD6">
            <w:pPr>
              <w:spacing w:before="120"/>
              <w:jc w:val="right"/>
              <w:rPr>
                <w:rFonts w:cs="Arial"/>
                <w:b/>
                <w:bCs/>
              </w:rPr>
            </w:pPr>
          </w:p>
        </w:tc>
      </w:tr>
      <w:tr w:rsidR="00CF0A2A" w:rsidRPr="00871AD8" w14:paraId="555C7567" w14:textId="77777777" w:rsidTr="00CF0A2A">
        <w:tc>
          <w:tcPr>
            <w:tcW w:w="706" w:type="dxa"/>
            <w:tcBorders>
              <w:right w:val="single" w:sz="4" w:space="0" w:color="000000"/>
            </w:tcBorders>
            <w:noWrap/>
          </w:tcPr>
          <w:p w14:paraId="4DF89703" w14:textId="3C16A5FC" w:rsidR="00CF0A2A" w:rsidRPr="00D83B87" w:rsidRDefault="00CF0A2A" w:rsidP="00CF0A2A">
            <w:pPr>
              <w:spacing w:before="120"/>
              <w:ind w:left="-58" w:right="-58"/>
              <w:jc w:val="center"/>
              <w:rPr>
                <w:rFonts w:cs="Arial"/>
                <w:bCs/>
              </w:rPr>
            </w:pPr>
            <w:r w:rsidRPr="00D83B87">
              <w:rPr>
                <w:rFonts w:cs="Arial"/>
              </w:rPr>
              <w:t>01</w:t>
            </w:r>
          </w:p>
        </w:tc>
        <w:tc>
          <w:tcPr>
            <w:tcW w:w="3643" w:type="dxa"/>
            <w:tcBorders>
              <w:left w:val="single" w:sz="4" w:space="0" w:color="000000"/>
              <w:right w:val="single" w:sz="4" w:space="0" w:color="000000"/>
            </w:tcBorders>
            <w:noWrap/>
            <w:vAlign w:val="bottom"/>
          </w:tcPr>
          <w:p w14:paraId="54C62C46" w14:textId="654EB620" w:rsidR="00CF0A2A" w:rsidRPr="00D83B87" w:rsidRDefault="00CF0A2A" w:rsidP="00CF0A2A">
            <w:pPr>
              <w:spacing w:before="120"/>
              <w:ind w:left="302" w:hanging="360"/>
              <w:jc w:val="left"/>
              <w:rPr>
                <w:rFonts w:cs="Arial"/>
                <w:bCs/>
              </w:rPr>
            </w:pPr>
            <w:r w:rsidRPr="00D83B87">
              <w:rPr>
                <w:rFonts w:cs="Arial"/>
              </w:rPr>
              <w:t>1.</w:t>
            </w:r>
            <w:r w:rsidRPr="00D83B87">
              <w:rPr>
                <w:rFonts w:cs="Arial"/>
              </w:rPr>
              <w:tab/>
            </w:r>
            <w:r w:rsidRPr="0045630F">
              <w:rPr>
                <w:rFonts w:cs="Arial"/>
                <w:bCs/>
                <w:iCs/>
                <w:lang w:val="vi-VN"/>
              </w:rPr>
              <w:t>Gain from financial assets at FVTPL</w:t>
            </w:r>
          </w:p>
        </w:tc>
        <w:tc>
          <w:tcPr>
            <w:tcW w:w="776" w:type="dxa"/>
            <w:tcBorders>
              <w:left w:val="single" w:sz="4" w:space="0" w:color="000000"/>
              <w:right w:val="single" w:sz="4" w:space="0" w:color="000000"/>
            </w:tcBorders>
            <w:noWrap/>
          </w:tcPr>
          <w:p w14:paraId="519D5FA2" w14:textId="77777777" w:rsidR="00CF0A2A" w:rsidRPr="003C222B" w:rsidRDefault="00CF0A2A" w:rsidP="00CF0A2A">
            <w:pPr>
              <w:spacing w:before="120"/>
              <w:ind w:left="-58" w:right="-58"/>
              <w:jc w:val="center"/>
              <w:rPr>
                <w:rFonts w:cs="Arial"/>
                <w:lang w:val="vi-VN"/>
              </w:rPr>
            </w:pPr>
          </w:p>
        </w:tc>
        <w:tc>
          <w:tcPr>
            <w:tcW w:w="1881" w:type="dxa"/>
            <w:tcBorders>
              <w:left w:val="single" w:sz="4" w:space="0" w:color="000000"/>
              <w:right w:val="single" w:sz="4" w:space="0" w:color="000000"/>
            </w:tcBorders>
            <w:vAlign w:val="bottom"/>
          </w:tcPr>
          <w:p w14:paraId="1D6A9A67" w14:textId="477C7408" w:rsidR="00CF0A2A" w:rsidRPr="003C222B" w:rsidRDefault="00CF0A2A" w:rsidP="00CF0A2A">
            <w:pPr>
              <w:spacing w:before="120"/>
              <w:jc w:val="right"/>
              <w:rPr>
                <w:rFonts w:cs="Arial"/>
                <w:lang w:val="vi-VN"/>
              </w:rPr>
            </w:pPr>
            <w:r w:rsidRPr="001E206B">
              <w:t>1</w:t>
            </w:r>
            <w:r w:rsidR="00BF5B0B">
              <w:t>,</w:t>
            </w:r>
            <w:r w:rsidRPr="001E206B">
              <w:t>905</w:t>
            </w:r>
            <w:r w:rsidR="00BF5B0B">
              <w:t>,</w:t>
            </w:r>
            <w:r w:rsidRPr="001E206B">
              <w:t>146</w:t>
            </w:r>
            <w:r w:rsidR="00BF5B0B">
              <w:t>,</w:t>
            </w:r>
            <w:r w:rsidRPr="001E206B">
              <w:t>536</w:t>
            </w:r>
          </w:p>
        </w:tc>
        <w:tc>
          <w:tcPr>
            <w:tcW w:w="1881" w:type="dxa"/>
            <w:tcBorders>
              <w:left w:val="single" w:sz="4" w:space="0" w:color="000000"/>
            </w:tcBorders>
            <w:noWrap/>
            <w:vAlign w:val="bottom"/>
          </w:tcPr>
          <w:p w14:paraId="1DB21F03" w14:textId="5D17895B" w:rsidR="00CF0A2A" w:rsidRPr="003C222B" w:rsidRDefault="00CF0A2A" w:rsidP="00CF0A2A">
            <w:pPr>
              <w:spacing w:before="120"/>
              <w:jc w:val="right"/>
              <w:rPr>
                <w:rFonts w:cs="Arial"/>
                <w:lang w:val="vi-VN"/>
              </w:rPr>
            </w:pPr>
            <w:r w:rsidRPr="001E206B">
              <w:t>543</w:t>
            </w:r>
            <w:r w:rsidR="00BF5B0B">
              <w:t>,</w:t>
            </w:r>
            <w:r w:rsidRPr="001E206B">
              <w:t>949</w:t>
            </w:r>
            <w:r w:rsidR="00BF5B0B">
              <w:t>,</w:t>
            </w:r>
            <w:r w:rsidRPr="001E206B">
              <w:t>912</w:t>
            </w:r>
          </w:p>
        </w:tc>
      </w:tr>
      <w:tr w:rsidR="00CF0A2A" w:rsidRPr="00871AD8" w14:paraId="72C2BFCF" w14:textId="77777777" w:rsidTr="00CF0A2A">
        <w:tc>
          <w:tcPr>
            <w:tcW w:w="706" w:type="dxa"/>
            <w:tcBorders>
              <w:right w:val="single" w:sz="4" w:space="0" w:color="000000"/>
            </w:tcBorders>
            <w:noWrap/>
          </w:tcPr>
          <w:p w14:paraId="5710DCEA" w14:textId="00653DA4" w:rsidR="00CF0A2A" w:rsidRPr="00D83B87" w:rsidRDefault="00CF0A2A" w:rsidP="00CF0A2A">
            <w:pPr>
              <w:ind w:left="-58" w:right="-58"/>
              <w:jc w:val="center"/>
              <w:rPr>
                <w:rFonts w:cs="Arial"/>
                <w:bCs/>
              </w:rPr>
            </w:pPr>
            <w:r w:rsidRPr="00D83B87">
              <w:rPr>
                <w:rFonts w:cs="Arial"/>
                <w:i/>
              </w:rPr>
              <w:t>01.1</w:t>
            </w:r>
          </w:p>
        </w:tc>
        <w:tc>
          <w:tcPr>
            <w:tcW w:w="3643" w:type="dxa"/>
            <w:tcBorders>
              <w:left w:val="single" w:sz="4" w:space="0" w:color="000000"/>
              <w:right w:val="single" w:sz="4" w:space="0" w:color="000000"/>
            </w:tcBorders>
            <w:noWrap/>
            <w:vAlign w:val="bottom"/>
          </w:tcPr>
          <w:p w14:paraId="3CF7D772" w14:textId="7801832B" w:rsidR="00CF0A2A" w:rsidRPr="00D83B87" w:rsidRDefault="00CF0A2A" w:rsidP="00CF0A2A">
            <w:pPr>
              <w:ind w:left="662" w:hanging="360"/>
              <w:jc w:val="left"/>
              <w:rPr>
                <w:rFonts w:cs="Arial"/>
                <w:bCs/>
              </w:rPr>
            </w:pPr>
            <w:r w:rsidRPr="00D83B87">
              <w:rPr>
                <w:rFonts w:cs="Arial"/>
                <w:i/>
              </w:rPr>
              <w:t>1.1</w:t>
            </w:r>
            <w:r w:rsidRPr="00D83B87">
              <w:rPr>
                <w:rFonts w:cs="Arial"/>
                <w:i/>
              </w:rPr>
              <w:tab/>
            </w:r>
            <w:r w:rsidRPr="006D59C7">
              <w:rPr>
                <w:rFonts w:cs="Arial"/>
                <w:i/>
                <w:spacing w:val="-2"/>
              </w:rPr>
              <w:t>Gain from disposals of financial assets at FVTPL</w:t>
            </w:r>
          </w:p>
        </w:tc>
        <w:tc>
          <w:tcPr>
            <w:tcW w:w="776" w:type="dxa"/>
            <w:tcBorders>
              <w:left w:val="single" w:sz="4" w:space="0" w:color="000000"/>
              <w:right w:val="single" w:sz="4" w:space="0" w:color="000000"/>
            </w:tcBorders>
            <w:noWrap/>
            <w:vAlign w:val="bottom"/>
          </w:tcPr>
          <w:p w14:paraId="0B111379" w14:textId="77AA1FA4" w:rsidR="00CF0A2A" w:rsidRPr="003C222B" w:rsidRDefault="00CF0A2A" w:rsidP="00CF0A2A">
            <w:pPr>
              <w:ind w:left="-58" w:right="-58"/>
              <w:jc w:val="center"/>
              <w:rPr>
                <w:rFonts w:cs="Arial"/>
                <w:i/>
              </w:rPr>
            </w:pPr>
            <w:r w:rsidRPr="003C222B">
              <w:rPr>
                <w:rFonts w:cs="Arial"/>
                <w:i/>
              </w:rPr>
              <w:t>20.1</w:t>
            </w:r>
            <w:r>
              <w:rPr>
                <w:rFonts w:cs="Arial"/>
                <w:i/>
              </w:rPr>
              <w:t>.1</w:t>
            </w:r>
          </w:p>
        </w:tc>
        <w:tc>
          <w:tcPr>
            <w:tcW w:w="1881" w:type="dxa"/>
            <w:tcBorders>
              <w:left w:val="single" w:sz="4" w:space="0" w:color="000000"/>
              <w:right w:val="single" w:sz="4" w:space="0" w:color="000000"/>
            </w:tcBorders>
            <w:vAlign w:val="bottom"/>
          </w:tcPr>
          <w:p w14:paraId="2924C161" w14:textId="1847DF4F" w:rsidR="00CF0A2A" w:rsidRPr="00CF0A2A" w:rsidRDefault="00CF0A2A" w:rsidP="00CF0A2A">
            <w:pPr>
              <w:jc w:val="right"/>
              <w:rPr>
                <w:rFonts w:cs="Arial"/>
                <w:i/>
                <w:iCs/>
                <w:lang w:val="vi-VN"/>
              </w:rPr>
            </w:pPr>
            <w:r w:rsidRPr="00CF0A2A">
              <w:rPr>
                <w:i/>
                <w:iCs/>
              </w:rPr>
              <w:t>255</w:t>
            </w:r>
            <w:r w:rsidR="00BF5B0B">
              <w:rPr>
                <w:i/>
                <w:iCs/>
              </w:rPr>
              <w:t>,</w:t>
            </w:r>
            <w:r w:rsidRPr="00CF0A2A">
              <w:rPr>
                <w:i/>
                <w:iCs/>
              </w:rPr>
              <w:t>415</w:t>
            </w:r>
            <w:r w:rsidR="00BF5B0B">
              <w:rPr>
                <w:i/>
                <w:iCs/>
              </w:rPr>
              <w:t>,</w:t>
            </w:r>
            <w:r w:rsidRPr="00CF0A2A">
              <w:rPr>
                <w:i/>
                <w:iCs/>
              </w:rPr>
              <w:t xml:space="preserve">032 </w:t>
            </w:r>
          </w:p>
        </w:tc>
        <w:tc>
          <w:tcPr>
            <w:tcW w:w="1881" w:type="dxa"/>
            <w:tcBorders>
              <w:left w:val="single" w:sz="4" w:space="0" w:color="000000"/>
            </w:tcBorders>
            <w:noWrap/>
            <w:vAlign w:val="bottom"/>
          </w:tcPr>
          <w:p w14:paraId="021B7777" w14:textId="6175C921" w:rsidR="00CF0A2A" w:rsidRPr="00CF0A2A" w:rsidRDefault="00CF0A2A" w:rsidP="00CF0A2A">
            <w:pPr>
              <w:jc w:val="right"/>
              <w:rPr>
                <w:rFonts w:cs="Arial"/>
                <w:i/>
                <w:iCs/>
                <w:lang w:val="vi-VN"/>
              </w:rPr>
            </w:pPr>
            <w:r w:rsidRPr="00CF0A2A">
              <w:rPr>
                <w:i/>
                <w:iCs/>
              </w:rPr>
              <w:t>230</w:t>
            </w:r>
            <w:r w:rsidR="00BF5B0B">
              <w:rPr>
                <w:i/>
                <w:iCs/>
              </w:rPr>
              <w:t>,</w:t>
            </w:r>
            <w:r w:rsidRPr="00CF0A2A">
              <w:rPr>
                <w:i/>
                <w:iCs/>
              </w:rPr>
              <w:t>958</w:t>
            </w:r>
            <w:r w:rsidR="00BF5B0B">
              <w:rPr>
                <w:i/>
                <w:iCs/>
              </w:rPr>
              <w:t>,</w:t>
            </w:r>
            <w:r w:rsidRPr="00CF0A2A">
              <w:rPr>
                <w:i/>
                <w:iCs/>
              </w:rPr>
              <w:t xml:space="preserve">775 </w:t>
            </w:r>
          </w:p>
        </w:tc>
      </w:tr>
      <w:tr w:rsidR="00CF0A2A" w:rsidRPr="00871AD8" w14:paraId="02304A8B" w14:textId="77777777" w:rsidTr="00CF0A2A">
        <w:tc>
          <w:tcPr>
            <w:tcW w:w="706" w:type="dxa"/>
            <w:tcBorders>
              <w:right w:val="single" w:sz="4" w:space="0" w:color="000000"/>
            </w:tcBorders>
            <w:noWrap/>
          </w:tcPr>
          <w:p w14:paraId="34454F27" w14:textId="10985B8A" w:rsidR="00CF0A2A" w:rsidRPr="00D83B87" w:rsidRDefault="00CF0A2A" w:rsidP="00CF0A2A">
            <w:pPr>
              <w:ind w:left="-58" w:right="-58"/>
              <w:jc w:val="center"/>
              <w:rPr>
                <w:rFonts w:cs="Arial"/>
                <w:bCs/>
              </w:rPr>
            </w:pPr>
            <w:r w:rsidRPr="00D83B87">
              <w:rPr>
                <w:rFonts w:cs="Arial"/>
                <w:i/>
              </w:rPr>
              <w:t>01.2</w:t>
            </w:r>
          </w:p>
        </w:tc>
        <w:tc>
          <w:tcPr>
            <w:tcW w:w="3643" w:type="dxa"/>
            <w:tcBorders>
              <w:left w:val="single" w:sz="4" w:space="0" w:color="000000"/>
              <w:right w:val="single" w:sz="4" w:space="0" w:color="000000"/>
            </w:tcBorders>
            <w:noWrap/>
            <w:vAlign w:val="bottom"/>
          </w:tcPr>
          <w:p w14:paraId="61FA6BC0" w14:textId="3FC35FF0" w:rsidR="00CF0A2A" w:rsidRPr="00D83B87" w:rsidRDefault="00CF0A2A" w:rsidP="00CF0A2A">
            <w:pPr>
              <w:ind w:left="662" w:hanging="360"/>
              <w:jc w:val="left"/>
              <w:rPr>
                <w:rFonts w:cs="Arial"/>
                <w:bCs/>
              </w:rPr>
            </w:pPr>
            <w:r w:rsidRPr="00D83B87">
              <w:rPr>
                <w:rFonts w:cs="Arial"/>
                <w:i/>
              </w:rPr>
              <w:t>1.2</w:t>
            </w:r>
            <w:r w:rsidRPr="00D83B87">
              <w:rPr>
                <w:rFonts w:cs="Arial"/>
                <w:i/>
              </w:rPr>
              <w:tab/>
            </w:r>
            <w:r w:rsidRPr="00D8375C">
              <w:rPr>
                <w:rFonts w:cs="Arial"/>
                <w:i/>
                <w:lang w:val="vi-VN"/>
              </w:rPr>
              <w:t>Gain from revaluation of financial assets at FVTPL</w:t>
            </w:r>
          </w:p>
        </w:tc>
        <w:tc>
          <w:tcPr>
            <w:tcW w:w="776" w:type="dxa"/>
            <w:tcBorders>
              <w:left w:val="single" w:sz="4" w:space="0" w:color="000000"/>
              <w:right w:val="single" w:sz="4" w:space="0" w:color="000000"/>
            </w:tcBorders>
            <w:noWrap/>
            <w:vAlign w:val="bottom"/>
          </w:tcPr>
          <w:p w14:paraId="5F0483C2" w14:textId="289F602E" w:rsidR="00CF0A2A" w:rsidRPr="003C222B" w:rsidRDefault="00CF0A2A" w:rsidP="00CF0A2A">
            <w:pPr>
              <w:ind w:left="-58" w:right="-58"/>
              <w:jc w:val="center"/>
              <w:rPr>
                <w:rFonts w:cs="Arial"/>
                <w:i/>
              </w:rPr>
            </w:pPr>
            <w:r w:rsidRPr="003C222B">
              <w:rPr>
                <w:rFonts w:cs="Arial"/>
                <w:i/>
              </w:rPr>
              <w:t>20.2</w:t>
            </w:r>
          </w:p>
        </w:tc>
        <w:tc>
          <w:tcPr>
            <w:tcW w:w="1881" w:type="dxa"/>
            <w:tcBorders>
              <w:left w:val="single" w:sz="4" w:space="0" w:color="000000"/>
              <w:right w:val="single" w:sz="4" w:space="0" w:color="000000"/>
            </w:tcBorders>
            <w:vAlign w:val="bottom"/>
          </w:tcPr>
          <w:p w14:paraId="4B3F8F9A" w14:textId="2D6F5C35" w:rsidR="00CF0A2A" w:rsidRPr="00CF0A2A" w:rsidRDefault="00CF0A2A" w:rsidP="00CF0A2A">
            <w:pPr>
              <w:jc w:val="right"/>
              <w:rPr>
                <w:rFonts w:cs="Arial"/>
                <w:i/>
                <w:iCs/>
                <w:lang w:val="vi-VN"/>
              </w:rPr>
            </w:pPr>
            <w:r w:rsidRPr="00CF0A2A">
              <w:rPr>
                <w:i/>
                <w:iCs/>
              </w:rPr>
              <w:t>1</w:t>
            </w:r>
            <w:r w:rsidR="00BF5B0B">
              <w:rPr>
                <w:i/>
                <w:iCs/>
              </w:rPr>
              <w:t>,</w:t>
            </w:r>
            <w:r w:rsidRPr="00CF0A2A">
              <w:rPr>
                <w:i/>
                <w:iCs/>
              </w:rPr>
              <w:t>645</w:t>
            </w:r>
            <w:r w:rsidR="00BF5B0B">
              <w:rPr>
                <w:i/>
                <w:iCs/>
              </w:rPr>
              <w:t>,</w:t>
            </w:r>
            <w:r w:rsidRPr="00CF0A2A">
              <w:rPr>
                <w:i/>
                <w:iCs/>
              </w:rPr>
              <w:t>549</w:t>
            </w:r>
            <w:r w:rsidR="00BF5B0B">
              <w:rPr>
                <w:i/>
                <w:iCs/>
              </w:rPr>
              <w:t>,</w:t>
            </w:r>
            <w:r w:rsidRPr="00CF0A2A">
              <w:rPr>
                <w:i/>
                <w:iCs/>
              </w:rPr>
              <w:t>128</w:t>
            </w:r>
          </w:p>
        </w:tc>
        <w:tc>
          <w:tcPr>
            <w:tcW w:w="1881" w:type="dxa"/>
            <w:tcBorders>
              <w:left w:val="single" w:sz="4" w:space="0" w:color="000000"/>
            </w:tcBorders>
            <w:noWrap/>
            <w:vAlign w:val="bottom"/>
          </w:tcPr>
          <w:p w14:paraId="6074F6E3" w14:textId="04752F71" w:rsidR="00CF0A2A" w:rsidRPr="00CF0A2A" w:rsidRDefault="00CF0A2A" w:rsidP="00CF0A2A">
            <w:pPr>
              <w:jc w:val="right"/>
              <w:rPr>
                <w:rFonts w:cs="Arial"/>
                <w:i/>
                <w:iCs/>
                <w:lang w:val="vi-VN"/>
              </w:rPr>
            </w:pPr>
            <w:r w:rsidRPr="00CF0A2A">
              <w:rPr>
                <w:i/>
                <w:iCs/>
              </w:rPr>
              <w:t>312</w:t>
            </w:r>
            <w:r w:rsidR="00BF5B0B">
              <w:rPr>
                <w:i/>
                <w:iCs/>
              </w:rPr>
              <w:t>,</w:t>
            </w:r>
            <w:r w:rsidRPr="00CF0A2A">
              <w:rPr>
                <w:i/>
                <w:iCs/>
              </w:rPr>
              <w:t>217</w:t>
            </w:r>
            <w:r w:rsidR="00BF5B0B">
              <w:rPr>
                <w:i/>
                <w:iCs/>
              </w:rPr>
              <w:t>,</w:t>
            </w:r>
            <w:r w:rsidRPr="00CF0A2A">
              <w:rPr>
                <w:i/>
                <w:iCs/>
              </w:rPr>
              <w:t>837</w:t>
            </w:r>
          </w:p>
        </w:tc>
      </w:tr>
      <w:tr w:rsidR="00CF0A2A" w:rsidRPr="00871AD8" w14:paraId="06FF72CC" w14:textId="77777777" w:rsidTr="00CF0A2A">
        <w:tc>
          <w:tcPr>
            <w:tcW w:w="706" w:type="dxa"/>
            <w:tcBorders>
              <w:right w:val="single" w:sz="4" w:space="0" w:color="000000"/>
            </w:tcBorders>
            <w:noWrap/>
          </w:tcPr>
          <w:p w14:paraId="7BA1EE7C" w14:textId="7BDA8F74" w:rsidR="00CF0A2A" w:rsidRPr="00D83B87" w:rsidRDefault="00CF0A2A" w:rsidP="00CF0A2A">
            <w:pPr>
              <w:ind w:left="-58" w:right="-58"/>
              <w:jc w:val="center"/>
              <w:rPr>
                <w:rFonts w:cs="Arial"/>
                <w:i/>
              </w:rPr>
            </w:pPr>
            <w:r w:rsidRPr="00D83B87">
              <w:rPr>
                <w:rFonts w:cs="Arial"/>
                <w:i/>
              </w:rPr>
              <w:t>01.3</w:t>
            </w:r>
          </w:p>
        </w:tc>
        <w:tc>
          <w:tcPr>
            <w:tcW w:w="3643" w:type="dxa"/>
            <w:tcBorders>
              <w:left w:val="single" w:sz="4" w:space="0" w:color="000000"/>
              <w:right w:val="single" w:sz="4" w:space="0" w:color="000000"/>
            </w:tcBorders>
            <w:noWrap/>
            <w:vAlign w:val="bottom"/>
          </w:tcPr>
          <w:p w14:paraId="0E470BA1" w14:textId="037DA3FE" w:rsidR="00CF0A2A" w:rsidRPr="00D83B87" w:rsidRDefault="00CF0A2A" w:rsidP="00CF0A2A">
            <w:pPr>
              <w:ind w:left="662" w:hanging="360"/>
              <w:rPr>
                <w:rFonts w:cs="Arial"/>
                <w:i/>
              </w:rPr>
            </w:pPr>
            <w:r w:rsidRPr="00D83B87">
              <w:rPr>
                <w:rFonts w:cs="Arial"/>
                <w:i/>
              </w:rPr>
              <w:t>1.3</w:t>
            </w:r>
            <w:r w:rsidRPr="00D83B87">
              <w:rPr>
                <w:rFonts w:cs="Arial"/>
                <w:i/>
              </w:rPr>
              <w:tab/>
            </w:r>
            <w:r w:rsidRPr="00F24549">
              <w:rPr>
                <w:rFonts w:cs="Arial"/>
                <w:bCs/>
                <w:i/>
                <w:iCs/>
              </w:rPr>
              <w:t>Dividend, interest income from financial assets at FVTPL</w:t>
            </w:r>
          </w:p>
        </w:tc>
        <w:tc>
          <w:tcPr>
            <w:tcW w:w="776" w:type="dxa"/>
            <w:tcBorders>
              <w:left w:val="single" w:sz="4" w:space="0" w:color="000000"/>
              <w:right w:val="single" w:sz="4" w:space="0" w:color="000000"/>
            </w:tcBorders>
            <w:noWrap/>
            <w:vAlign w:val="bottom"/>
          </w:tcPr>
          <w:p w14:paraId="5695C746" w14:textId="05398873" w:rsidR="00CF0A2A" w:rsidRPr="003C222B" w:rsidRDefault="00CF0A2A" w:rsidP="00CF0A2A">
            <w:pPr>
              <w:ind w:left="-58" w:right="-58"/>
              <w:jc w:val="center"/>
              <w:rPr>
                <w:rFonts w:cs="Arial"/>
                <w:i/>
              </w:rPr>
            </w:pPr>
            <w:r w:rsidRPr="003C222B">
              <w:rPr>
                <w:rFonts w:cs="Arial"/>
                <w:i/>
              </w:rPr>
              <w:t>20.3</w:t>
            </w:r>
          </w:p>
        </w:tc>
        <w:tc>
          <w:tcPr>
            <w:tcW w:w="1881" w:type="dxa"/>
            <w:tcBorders>
              <w:left w:val="single" w:sz="4" w:space="0" w:color="000000"/>
              <w:right w:val="single" w:sz="4" w:space="0" w:color="000000"/>
            </w:tcBorders>
            <w:vAlign w:val="bottom"/>
          </w:tcPr>
          <w:p w14:paraId="4B0AB394" w14:textId="286CBA72" w:rsidR="00CF0A2A" w:rsidRPr="00CF0A2A" w:rsidRDefault="00CF0A2A" w:rsidP="00CF0A2A">
            <w:pPr>
              <w:jc w:val="right"/>
              <w:rPr>
                <w:rFonts w:cs="Arial"/>
                <w:i/>
                <w:iCs/>
              </w:rPr>
            </w:pPr>
            <w:r w:rsidRPr="00CF0A2A">
              <w:rPr>
                <w:i/>
                <w:iCs/>
              </w:rPr>
              <w:t>4</w:t>
            </w:r>
            <w:r w:rsidR="00BF5B0B">
              <w:rPr>
                <w:i/>
                <w:iCs/>
              </w:rPr>
              <w:t>,</w:t>
            </w:r>
            <w:r w:rsidRPr="00CF0A2A">
              <w:rPr>
                <w:i/>
                <w:iCs/>
              </w:rPr>
              <w:t>182</w:t>
            </w:r>
            <w:r w:rsidR="00BF5B0B">
              <w:rPr>
                <w:i/>
                <w:iCs/>
              </w:rPr>
              <w:t>,</w:t>
            </w:r>
            <w:r w:rsidRPr="00CF0A2A">
              <w:rPr>
                <w:i/>
                <w:iCs/>
              </w:rPr>
              <w:t xml:space="preserve">376 </w:t>
            </w:r>
          </w:p>
        </w:tc>
        <w:tc>
          <w:tcPr>
            <w:tcW w:w="1881" w:type="dxa"/>
            <w:tcBorders>
              <w:left w:val="single" w:sz="4" w:space="0" w:color="000000"/>
            </w:tcBorders>
            <w:noWrap/>
            <w:vAlign w:val="bottom"/>
          </w:tcPr>
          <w:p w14:paraId="749804DC" w14:textId="2F3D2AFE" w:rsidR="00CF0A2A" w:rsidRPr="00CF0A2A" w:rsidRDefault="00CF0A2A" w:rsidP="00CF0A2A">
            <w:pPr>
              <w:jc w:val="right"/>
              <w:rPr>
                <w:rFonts w:cs="Arial"/>
                <w:i/>
                <w:iCs/>
              </w:rPr>
            </w:pPr>
            <w:r w:rsidRPr="00CF0A2A">
              <w:rPr>
                <w:i/>
                <w:iCs/>
              </w:rPr>
              <w:t>773</w:t>
            </w:r>
            <w:r w:rsidR="00BF5B0B">
              <w:rPr>
                <w:i/>
                <w:iCs/>
              </w:rPr>
              <w:t>,</w:t>
            </w:r>
            <w:r w:rsidRPr="00CF0A2A">
              <w:rPr>
                <w:i/>
                <w:iCs/>
              </w:rPr>
              <w:t xml:space="preserve">300 </w:t>
            </w:r>
          </w:p>
        </w:tc>
      </w:tr>
      <w:tr w:rsidR="00CF0A2A" w:rsidRPr="00871AD8" w14:paraId="5DF91775" w14:textId="77777777" w:rsidTr="00CF0A2A">
        <w:tc>
          <w:tcPr>
            <w:tcW w:w="706" w:type="dxa"/>
            <w:tcBorders>
              <w:right w:val="single" w:sz="4" w:space="0" w:color="000000"/>
            </w:tcBorders>
            <w:noWrap/>
          </w:tcPr>
          <w:p w14:paraId="11A87570" w14:textId="43C15D05" w:rsidR="00CF0A2A" w:rsidRPr="00D83B87" w:rsidRDefault="00CF0A2A" w:rsidP="00CF0A2A">
            <w:pPr>
              <w:ind w:left="-58" w:right="-58"/>
              <w:jc w:val="center"/>
              <w:rPr>
                <w:rFonts w:cs="Arial"/>
                <w:bCs/>
              </w:rPr>
            </w:pPr>
            <w:r w:rsidRPr="00D83B87">
              <w:rPr>
                <w:rFonts w:cs="Arial"/>
              </w:rPr>
              <w:t>02</w:t>
            </w:r>
          </w:p>
        </w:tc>
        <w:tc>
          <w:tcPr>
            <w:tcW w:w="3643" w:type="dxa"/>
            <w:tcBorders>
              <w:left w:val="single" w:sz="4" w:space="0" w:color="000000"/>
              <w:right w:val="single" w:sz="4" w:space="0" w:color="000000"/>
            </w:tcBorders>
            <w:noWrap/>
            <w:vAlign w:val="bottom"/>
          </w:tcPr>
          <w:p w14:paraId="06AE1359" w14:textId="64641184" w:rsidR="00CF0A2A" w:rsidRPr="00D83B87" w:rsidRDefault="00CF0A2A" w:rsidP="00CF0A2A">
            <w:pPr>
              <w:ind w:left="302" w:right="-86" w:hanging="360"/>
              <w:rPr>
                <w:rFonts w:cs="Arial"/>
                <w:lang w:val="vi-VN"/>
              </w:rPr>
            </w:pPr>
            <w:r w:rsidRPr="00D83B87">
              <w:rPr>
                <w:rFonts w:cs="Arial"/>
              </w:rPr>
              <w:t>2.</w:t>
            </w:r>
            <w:r w:rsidRPr="00D83B87">
              <w:rPr>
                <w:rFonts w:cs="Arial"/>
              </w:rPr>
              <w:tab/>
            </w:r>
            <w:r w:rsidRPr="00CC0383">
              <w:rPr>
                <w:rFonts w:cs="Arial"/>
                <w:lang w:val="vi-VN"/>
              </w:rPr>
              <w:t>Gain from HTM investments</w:t>
            </w:r>
          </w:p>
        </w:tc>
        <w:tc>
          <w:tcPr>
            <w:tcW w:w="776" w:type="dxa"/>
            <w:tcBorders>
              <w:left w:val="single" w:sz="4" w:space="0" w:color="000000"/>
              <w:right w:val="single" w:sz="4" w:space="0" w:color="000000"/>
            </w:tcBorders>
            <w:noWrap/>
            <w:vAlign w:val="bottom"/>
          </w:tcPr>
          <w:p w14:paraId="5F28F6A7" w14:textId="0B345F0D" w:rsidR="00CF0A2A" w:rsidRPr="003C222B" w:rsidRDefault="00CF0A2A" w:rsidP="00CF0A2A">
            <w:pPr>
              <w:ind w:left="-58" w:right="-58"/>
              <w:jc w:val="center"/>
              <w:rPr>
                <w:rFonts w:cs="Arial"/>
              </w:rPr>
            </w:pPr>
            <w:r w:rsidRPr="003C222B">
              <w:rPr>
                <w:rFonts w:cs="Arial"/>
              </w:rPr>
              <w:t>20.5</w:t>
            </w:r>
          </w:p>
        </w:tc>
        <w:tc>
          <w:tcPr>
            <w:tcW w:w="1881" w:type="dxa"/>
            <w:tcBorders>
              <w:left w:val="single" w:sz="4" w:space="0" w:color="000000"/>
              <w:right w:val="single" w:sz="4" w:space="0" w:color="000000"/>
            </w:tcBorders>
            <w:vAlign w:val="bottom"/>
          </w:tcPr>
          <w:p w14:paraId="418B3CC9" w14:textId="1BA797F9" w:rsidR="00CF0A2A" w:rsidRPr="003C222B" w:rsidRDefault="00CF0A2A" w:rsidP="00CF0A2A">
            <w:pPr>
              <w:jc w:val="right"/>
              <w:rPr>
                <w:rFonts w:cs="Arial"/>
                <w:lang w:val="vi-VN"/>
              </w:rPr>
            </w:pPr>
            <w:r w:rsidRPr="001E206B">
              <w:t>71</w:t>
            </w:r>
            <w:r w:rsidR="00BF5B0B">
              <w:t>,</w:t>
            </w:r>
            <w:r w:rsidRPr="001E206B">
              <w:t>814</w:t>
            </w:r>
            <w:r w:rsidR="00BF5B0B">
              <w:t>,</w:t>
            </w:r>
            <w:r w:rsidRPr="001E206B">
              <w:t>234</w:t>
            </w:r>
            <w:r w:rsidR="00BF5B0B">
              <w:t>,</w:t>
            </w:r>
            <w:r w:rsidRPr="001E206B">
              <w:t xml:space="preserve">145 </w:t>
            </w:r>
          </w:p>
        </w:tc>
        <w:tc>
          <w:tcPr>
            <w:tcW w:w="1881" w:type="dxa"/>
            <w:tcBorders>
              <w:left w:val="single" w:sz="4" w:space="0" w:color="000000"/>
            </w:tcBorders>
            <w:noWrap/>
            <w:vAlign w:val="bottom"/>
          </w:tcPr>
          <w:p w14:paraId="15A7B5E0" w14:textId="0CB008E2" w:rsidR="00CF0A2A" w:rsidRPr="00D83B87" w:rsidRDefault="00CF0A2A" w:rsidP="00CF0A2A">
            <w:pPr>
              <w:jc w:val="right"/>
              <w:rPr>
                <w:rFonts w:cs="Arial"/>
                <w:bCs/>
                <w:lang w:val="vi-VN"/>
              </w:rPr>
            </w:pPr>
            <w:r w:rsidRPr="001E206B">
              <w:t>81</w:t>
            </w:r>
            <w:r w:rsidR="00BF5B0B">
              <w:t>,</w:t>
            </w:r>
            <w:r w:rsidRPr="001E206B">
              <w:t>403</w:t>
            </w:r>
            <w:r w:rsidR="00BF5B0B">
              <w:t>,</w:t>
            </w:r>
            <w:r w:rsidRPr="001E206B">
              <w:t>501</w:t>
            </w:r>
            <w:r w:rsidR="00BF5B0B">
              <w:t>,</w:t>
            </w:r>
            <w:r w:rsidRPr="001E206B">
              <w:t xml:space="preserve">362 </w:t>
            </w:r>
          </w:p>
        </w:tc>
      </w:tr>
      <w:tr w:rsidR="00CF0A2A" w:rsidRPr="00871AD8" w14:paraId="70D804C7" w14:textId="77777777" w:rsidTr="00CF0A2A">
        <w:tc>
          <w:tcPr>
            <w:tcW w:w="706" w:type="dxa"/>
            <w:tcBorders>
              <w:right w:val="single" w:sz="4" w:space="0" w:color="000000"/>
            </w:tcBorders>
            <w:noWrap/>
          </w:tcPr>
          <w:p w14:paraId="4D758DB8" w14:textId="179A4DBC" w:rsidR="00CF0A2A" w:rsidRPr="00D83B87" w:rsidRDefault="00CF0A2A" w:rsidP="00CF0A2A">
            <w:pPr>
              <w:ind w:left="-58" w:right="-58"/>
              <w:jc w:val="center"/>
              <w:rPr>
                <w:rFonts w:cs="Arial"/>
              </w:rPr>
            </w:pPr>
            <w:r w:rsidRPr="00D83B87">
              <w:rPr>
                <w:rFonts w:cs="Arial"/>
              </w:rPr>
              <w:t>03</w:t>
            </w:r>
          </w:p>
        </w:tc>
        <w:tc>
          <w:tcPr>
            <w:tcW w:w="3643" w:type="dxa"/>
            <w:tcBorders>
              <w:left w:val="single" w:sz="4" w:space="0" w:color="000000"/>
              <w:right w:val="single" w:sz="4" w:space="0" w:color="000000"/>
            </w:tcBorders>
            <w:noWrap/>
            <w:vAlign w:val="bottom"/>
          </w:tcPr>
          <w:p w14:paraId="31CABA70" w14:textId="50EF416F" w:rsidR="00CF0A2A" w:rsidRPr="00D83B87" w:rsidRDefault="00CF0A2A" w:rsidP="00CF0A2A">
            <w:pPr>
              <w:ind w:left="302" w:right="-86" w:hanging="360"/>
              <w:rPr>
                <w:rFonts w:cs="Arial"/>
              </w:rPr>
            </w:pPr>
            <w:r w:rsidRPr="00D83B87">
              <w:rPr>
                <w:rFonts w:cs="Arial"/>
              </w:rPr>
              <w:t>3.</w:t>
            </w:r>
            <w:r w:rsidRPr="00D83B87">
              <w:rPr>
                <w:rFonts w:cs="Arial"/>
              </w:rPr>
              <w:tab/>
            </w:r>
            <w:r w:rsidRPr="00EC262B">
              <w:rPr>
                <w:rFonts w:cs="Arial"/>
                <w:lang w:val="vi-VN"/>
              </w:rPr>
              <w:t>Gain from loans and receivables</w:t>
            </w:r>
          </w:p>
        </w:tc>
        <w:tc>
          <w:tcPr>
            <w:tcW w:w="776" w:type="dxa"/>
            <w:tcBorders>
              <w:left w:val="single" w:sz="4" w:space="0" w:color="000000"/>
              <w:right w:val="single" w:sz="4" w:space="0" w:color="000000"/>
            </w:tcBorders>
            <w:noWrap/>
            <w:vAlign w:val="bottom"/>
          </w:tcPr>
          <w:p w14:paraId="495F386C" w14:textId="732F1CD5" w:rsidR="00CF0A2A" w:rsidRPr="003C222B" w:rsidRDefault="00CF0A2A" w:rsidP="00CF0A2A">
            <w:pPr>
              <w:ind w:left="-58" w:right="-58"/>
              <w:jc w:val="center"/>
              <w:rPr>
                <w:rFonts w:cs="Arial"/>
              </w:rPr>
            </w:pPr>
            <w:r w:rsidRPr="003C222B">
              <w:rPr>
                <w:rFonts w:cs="Arial"/>
              </w:rPr>
              <w:t>20.4</w:t>
            </w:r>
          </w:p>
        </w:tc>
        <w:tc>
          <w:tcPr>
            <w:tcW w:w="1881" w:type="dxa"/>
            <w:tcBorders>
              <w:left w:val="single" w:sz="4" w:space="0" w:color="000000"/>
              <w:right w:val="single" w:sz="4" w:space="0" w:color="000000"/>
            </w:tcBorders>
            <w:vAlign w:val="bottom"/>
          </w:tcPr>
          <w:p w14:paraId="650469FD" w14:textId="7143215B" w:rsidR="00CF0A2A" w:rsidRPr="003C222B" w:rsidDel="00A25B0F" w:rsidRDefault="00CF0A2A" w:rsidP="00CF0A2A">
            <w:pPr>
              <w:jc w:val="right"/>
              <w:rPr>
                <w:rFonts w:cs="Arial"/>
              </w:rPr>
            </w:pPr>
            <w:r w:rsidRPr="001E206B">
              <w:t>88</w:t>
            </w:r>
            <w:r w:rsidR="00BF5B0B">
              <w:t>,</w:t>
            </w:r>
            <w:r w:rsidRPr="001E206B">
              <w:t>074</w:t>
            </w:r>
            <w:r w:rsidR="00BF5B0B">
              <w:t>,</w:t>
            </w:r>
            <w:r w:rsidRPr="001E206B">
              <w:t>931</w:t>
            </w:r>
            <w:r w:rsidR="00BF5B0B">
              <w:t>,</w:t>
            </w:r>
            <w:r w:rsidRPr="001E206B">
              <w:t xml:space="preserve">360 </w:t>
            </w:r>
          </w:p>
        </w:tc>
        <w:tc>
          <w:tcPr>
            <w:tcW w:w="1881" w:type="dxa"/>
            <w:tcBorders>
              <w:left w:val="single" w:sz="4" w:space="0" w:color="000000"/>
            </w:tcBorders>
            <w:noWrap/>
            <w:vAlign w:val="bottom"/>
          </w:tcPr>
          <w:p w14:paraId="7562F82E" w14:textId="3A6E3D20" w:rsidR="00CF0A2A" w:rsidRPr="003C222B" w:rsidRDefault="00CF0A2A" w:rsidP="00CF0A2A">
            <w:pPr>
              <w:jc w:val="right"/>
              <w:rPr>
                <w:rFonts w:cs="Arial"/>
              </w:rPr>
            </w:pPr>
            <w:r w:rsidRPr="001E206B">
              <w:t>84</w:t>
            </w:r>
            <w:r w:rsidR="00BF5B0B">
              <w:t>,</w:t>
            </w:r>
            <w:r w:rsidRPr="001E206B">
              <w:t>720</w:t>
            </w:r>
            <w:r w:rsidR="00BF5B0B">
              <w:t>,</w:t>
            </w:r>
            <w:r w:rsidRPr="001E206B">
              <w:t>281</w:t>
            </w:r>
            <w:r w:rsidR="00BF5B0B">
              <w:t>,</w:t>
            </w:r>
            <w:r w:rsidRPr="001E206B">
              <w:t xml:space="preserve">413 </w:t>
            </w:r>
          </w:p>
        </w:tc>
      </w:tr>
      <w:tr w:rsidR="00CF0A2A" w:rsidRPr="00871AD8" w14:paraId="0D584301" w14:textId="77777777" w:rsidTr="00CF0A2A">
        <w:tc>
          <w:tcPr>
            <w:tcW w:w="706" w:type="dxa"/>
            <w:tcBorders>
              <w:right w:val="single" w:sz="4" w:space="0" w:color="000000"/>
            </w:tcBorders>
            <w:noWrap/>
          </w:tcPr>
          <w:p w14:paraId="268FAB38" w14:textId="02432A22" w:rsidR="00CF0A2A" w:rsidRPr="00D62A65" w:rsidRDefault="00CF0A2A" w:rsidP="00CF0A2A">
            <w:pPr>
              <w:ind w:left="-58" w:right="-58"/>
              <w:jc w:val="center"/>
              <w:rPr>
                <w:rFonts w:cs="Arial"/>
                <w:bCs/>
              </w:rPr>
            </w:pPr>
            <w:r w:rsidRPr="00D62A65">
              <w:rPr>
                <w:rFonts w:cs="Arial"/>
              </w:rPr>
              <w:t>06</w:t>
            </w:r>
          </w:p>
        </w:tc>
        <w:tc>
          <w:tcPr>
            <w:tcW w:w="3643" w:type="dxa"/>
            <w:tcBorders>
              <w:left w:val="single" w:sz="4" w:space="0" w:color="000000"/>
              <w:right w:val="single" w:sz="4" w:space="0" w:color="000000"/>
            </w:tcBorders>
            <w:noWrap/>
            <w:vAlign w:val="bottom"/>
          </w:tcPr>
          <w:p w14:paraId="70A85516" w14:textId="4CDEA470" w:rsidR="00CF0A2A" w:rsidRPr="00FA28E4" w:rsidRDefault="00CF0A2A" w:rsidP="00CF0A2A">
            <w:pPr>
              <w:ind w:left="302" w:hanging="360"/>
              <w:rPr>
                <w:rFonts w:cs="Arial"/>
              </w:rPr>
            </w:pPr>
            <w:r w:rsidRPr="00D62A65">
              <w:rPr>
                <w:rFonts w:cs="Arial"/>
              </w:rPr>
              <w:t>4.</w:t>
            </w:r>
            <w:r w:rsidRPr="00D62A65">
              <w:rPr>
                <w:rFonts w:cs="Arial"/>
              </w:rPr>
              <w:tab/>
            </w:r>
            <w:r w:rsidRPr="00646A01">
              <w:rPr>
                <w:rFonts w:cs="Arial"/>
                <w:lang w:val="vi-VN"/>
              </w:rPr>
              <w:t>Revenue from brokerage services</w:t>
            </w:r>
          </w:p>
        </w:tc>
        <w:tc>
          <w:tcPr>
            <w:tcW w:w="776" w:type="dxa"/>
            <w:tcBorders>
              <w:left w:val="single" w:sz="4" w:space="0" w:color="000000"/>
              <w:right w:val="single" w:sz="4" w:space="0" w:color="000000"/>
            </w:tcBorders>
            <w:noWrap/>
            <w:vAlign w:val="bottom"/>
          </w:tcPr>
          <w:p w14:paraId="04D533B8" w14:textId="71721089" w:rsidR="00CF0A2A" w:rsidRPr="00D33812" w:rsidRDefault="00CF0A2A" w:rsidP="00CF0A2A">
            <w:pPr>
              <w:ind w:left="-58" w:right="-58"/>
              <w:jc w:val="center"/>
              <w:rPr>
                <w:rFonts w:cs="Arial"/>
              </w:rPr>
            </w:pPr>
          </w:p>
        </w:tc>
        <w:tc>
          <w:tcPr>
            <w:tcW w:w="1881" w:type="dxa"/>
            <w:tcBorders>
              <w:left w:val="single" w:sz="4" w:space="0" w:color="000000"/>
              <w:right w:val="single" w:sz="4" w:space="0" w:color="000000"/>
            </w:tcBorders>
            <w:vAlign w:val="bottom"/>
          </w:tcPr>
          <w:p w14:paraId="022DBDBD" w14:textId="1B804936" w:rsidR="00CF0A2A" w:rsidRPr="00D33812" w:rsidRDefault="00CF0A2A" w:rsidP="00CF0A2A">
            <w:pPr>
              <w:jc w:val="right"/>
              <w:rPr>
                <w:rFonts w:cs="Arial"/>
                <w:lang w:val="vi-VN"/>
              </w:rPr>
            </w:pPr>
            <w:r w:rsidRPr="001E206B">
              <w:t>34</w:t>
            </w:r>
            <w:r w:rsidR="00BF5B0B">
              <w:t>,</w:t>
            </w:r>
            <w:r w:rsidRPr="001E206B">
              <w:t>518</w:t>
            </w:r>
            <w:r w:rsidR="00BF5B0B">
              <w:t>,</w:t>
            </w:r>
            <w:r w:rsidRPr="001E206B">
              <w:t>771</w:t>
            </w:r>
            <w:r w:rsidR="00BF5B0B">
              <w:t>,</w:t>
            </w:r>
            <w:r w:rsidRPr="001E206B">
              <w:t>698</w:t>
            </w:r>
          </w:p>
        </w:tc>
        <w:tc>
          <w:tcPr>
            <w:tcW w:w="1881" w:type="dxa"/>
            <w:tcBorders>
              <w:left w:val="single" w:sz="4" w:space="0" w:color="000000"/>
            </w:tcBorders>
            <w:noWrap/>
            <w:vAlign w:val="bottom"/>
          </w:tcPr>
          <w:p w14:paraId="2FD4AF5D" w14:textId="5225E9F5" w:rsidR="00CF0A2A" w:rsidRPr="00D33812" w:rsidRDefault="00CF0A2A" w:rsidP="00CF0A2A">
            <w:pPr>
              <w:jc w:val="right"/>
              <w:rPr>
                <w:rFonts w:cs="Arial"/>
                <w:lang w:val="vi-VN"/>
              </w:rPr>
            </w:pPr>
            <w:r w:rsidRPr="001E206B">
              <w:t>67</w:t>
            </w:r>
            <w:r w:rsidR="00BF5B0B">
              <w:t>,</w:t>
            </w:r>
            <w:r w:rsidRPr="001E206B">
              <w:t>667</w:t>
            </w:r>
            <w:r w:rsidR="00BF5B0B">
              <w:t>,</w:t>
            </w:r>
            <w:r w:rsidRPr="001E206B">
              <w:t>503</w:t>
            </w:r>
            <w:r w:rsidR="00BF5B0B">
              <w:t>,</w:t>
            </w:r>
            <w:r w:rsidRPr="001E206B">
              <w:t>987</w:t>
            </w:r>
          </w:p>
        </w:tc>
      </w:tr>
      <w:tr w:rsidR="00CF0A2A" w:rsidRPr="00871AD8" w14:paraId="4C352B6B" w14:textId="77777777" w:rsidTr="00CF0A2A">
        <w:tc>
          <w:tcPr>
            <w:tcW w:w="706" w:type="dxa"/>
            <w:tcBorders>
              <w:right w:val="single" w:sz="4" w:space="0" w:color="000000"/>
            </w:tcBorders>
            <w:noWrap/>
          </w:tcPr>
          <w:p w14:paraId="685788D5" w14:textId="6AD80777" w:rsidR="00CF0A2A" w:rsidRPr="00D62A65" w:rsidRDefault="00CF0A2A" w:rsidP="00CF0A2A">
            <w:pPr>
              <w:ind w:left="-58" w:right="-58"/>
              <w:jc w:val="center"/>
              <w:rPr>
                <w:rFonts w:cs="Arial"/>
              </w:rPr>
            </w:pPr>
            <w:r w:rsidRPr="00D62A65">
              <w:rPr>
                <w:rFonts w:cs="Arial"/>
              </w:rPr>
              <w:t>07</w:t>
            </w:r>
          </w:p>
        </w:tc>
        <w:tc>
          <w:tcPr>
            <w:tcW w:w="3643" w:type="dxa"/>
            <w:tcBorders>
              <w:left w:val="single" w:sz="4" w:space="0" w:color="000000"/>
              <w:right w:val="single" w:sz="4" w:space="0" w:color="000000"/>
            </w:tcBorders>
            <w:noWrap/>
            <w:vAlign w:val="bottom"/>
          </w:tcPr>
          <w:p w14:paraId="01294353" w14:textId="0C6081D5" w:rsidR="00CF0A2A" w:rsidRPr="00D33812" w:rsidRDefault="00CF0A2A" w:rsidP="00CF0A2A">
            <w:pPr>
              <w:ind w:left="302" w:hanging="360"/>
              <w:jc w:val="left"/>
              <w:rPr>
                <w:rFonts w:cs="Arial"/>
              </w:rPr>
            </w:pPr>
            <w:r w:rsidRPr="00D62A65">
              <w:rPr>
                <w:rFonts w:cs="Arial"/>
              </w:rPr>
              <w:t>5.</w:t>
            </w:r>
            <w:r w:rsidRPr="00D62A65">
              <w:rPr>
                <w:rFonts w:cs="Arial"/>
              </w:rPr>
              <w:tab/>
            </w:r>
            <w:r w:rsidRPr="00A144AD">
              <w:rPr>
                <w:rFonts w:cs="Arial"/>
              </w:rPr>
              <w:t>Revenue from securities underwriting, issuance agency services</w:t>
            </w:r>
          </w:p>
        </w:tc>
        <w:tc>
          <w:tcPr>
            <w:tcW w:w="776" w:type="dxa"/>
            <w:tcBorders>
              <w:left w:val="single" w:sz="4" w:space="0" w:color="000000"/>
              <w:right w:val="single" w:sz="4" w:space="0" w:color="000000"/>
            </w:tcBorders>
            <w:noWrap/>
            <w:vAlign w:val="bottom"/>
          </w:tcPr>
          <w:p w14:paraId="270888DE" w14:textId="77777777" w:rsidR="00CF0A2A" w:rsidRPr="00D33812" w:rsidRDefault="00CF0A2A" w:rsidP="00CF0A2A">
            <w:pPr>
              <w:ind w:left="-58" w:right="-58"/>
              <w:jc w:val="center"/>
              <w:rPr>
                <w:rFonts w:cs="Arial"/>
              </w:rPr>
            </w:pPr>
          </w:p>
        </w:tc>
        <w:tc>
          <w:tcPr>
            <w:tcW w:w="1881" w:type="dxa"/>
            <w:tcBorders>
              <w:left w:val="single" w:sz="4" w:space="0" w:color="000000"/>
              <w:right w:val="single" w:sz="4" w:space="0" w:color="000000"/>
            </w:tcBorders>
            <w:vAlign w:val="bottom"/>
          </w:tcPr>
          <w:p w14:paraId="0D776B98" w14:textId="2F2E84EA" w:rsidR="00CF0A2A" w:rsidRPr="00D33812" w:rsidRDefault="00CF0A2A" w:rsidP="00CF0A2A">
            <w:pPr>
              <w:jc w:val="right"/>
              <w:rPr>
                <w:rFonts w:cs="Arial"/>
              </w:rPr>
            </w:pPr>
            <w:r w:rsidRPr="001E206B">
              <w:t>414</w:t>
            </w:r>
            <w:r w:rsidR="00BF5B0B">
              <w:t>,</w:t>
            </w:r>
            <w:r w:rsidRPr="001E206B">
              <w:t>686</w:t>
            </w:r>
          </w:p>
        </w:tc>
        <w:tc>
          <w:tcPr>
            <w:tcW w:w="1881" w:type="dxa"/>
            <w:tcBorders>
              <w:left w:val="single" w:sz="4" w:space="0" w:color="000000"/>
            </w:tcBorders>
            <w:noWrap/>
            <w:vAlign w:val="bottom"/>
          </w:tcPr>
          <w:p w14:paraId="39675503" w14:textId="540ED00D" w:rsidR="00CF0A2A" w:rsidRPr="00D33812" w:rsidRDefault="00CF0A2A" w:rsidP="00CF0A2A">
            <w:pPr>
              <w:jc w:val="right"/>
              <w:rPr>
                <w:rFonts w:cs="Arial"/>
              </w:rPr>
            </w:pPr>
            <w:r w:rsidRPr="001E206B">
              <w:t>360</w:t>
            </w:r>
            <w:r w:rsidR="00BF5B0B">
              <w:t>,</w:t>
            </w:r>
            <w:r w:rsidRPr="001E206B">
              <w:t>000</w:t>
            </w:r>
            <w:r w:rsidR="00BF5B0B">
              <w:t>,</w:t>
            </w:r>
            <w:r w:rsidRPr="001E206B">
              <w:t>000</w:t>
            </w:r>
          </w:p>
        </w:tc>
      </w:tr>
      <w:tr w:rsidR="00CF0A2A" w:rsidRPr="00871AD8" w14:paraId="0014CD94" w14:textId="77777777" w:rsidTr="00CF0A2A">
        <w:tc>
          <w:tcPr>
            <w:tcW w:w="706" w:type="dxa"/>
            <w:tcBorders>
              <w:right w:val="single" w:sz="4" w:space="0" w:color="000000"/>
            </w:tcBorders>
            <w:noWrap/>
          </w:tcPr>
          <w:p w14:paraId="7D02E286" w14:textId="00B569B6" w:rsidR="00CF0A2A" w:rsidRPr="00D83B87" w:rsidRDefault="00CF0A2A" w:rsidP="00CF0A2A">
            <w:pPr>
              <w:ind w:left="-58" w:right="-58"/>
              <w:jc w:val="center"/>
              <w:rPr>
                <w:rFonts w:cs="Arial"/>
                <w:bCs/>
              </w:rPr>
            </w:pPr>
            <w:r w:rsidRPr="00D83B87">
              <w:rPr>
                <w:rFonts w:cs="Arial"/>
                <w:bCs/>
              </w:rPr>
              <w:t>09</w:t>
            </w:r>
          </w:p>
        </w:tc>
        <w:tc>
          <w:tcPr>
            <w:tcW w:w="3643" w:type="dxa"/>
            <w:tcBorders>
              <w:left w:val="single" w:sz="4" w:space="0" w:color="000000"/>
              <w:right w:val="single" w:sz="4" w:space="0" w:color="000000"/>
            </w:tcBorders>
            <w:noWrap/>
            <w:vAlign w:val="bottom"/>
          </w:tcPr>
          <w:p w14:paraId="72B91CD2" w14:textId="59C989FC" w:rsidR="00CF0A2A" w:rsidRPr="00FA28E4" w:rsidRDefault="00CF0A2A" w:rsidP="00CF0A2A">
            <w:pPr>
              <w:ind w:left="302" w:hanging="360"/>
              <w:rPr>
                <w:rFonts w:cs="Arial"/>
              </w:rPr>
            </w:pPr>
            <w:r>
              <w:rPr>
                <w:rFonts w:cs="Arial"/>
              </w:rPr>
              <w:t>6</w:t>
            </w:r>
            <w:r w:rsidRPr="00D83B87">
              <w:rPr>
                <w:rFonts w:cs="Arial"/>
              </w:rPr>
              <w:t>.</w:t>
            </w:r>
            <w:r w:rsidRPr="00D83B87">
              <w:rPr>
                <w:rFonts w:cs="Arial"/>
              </w:rPr>
              <w:tab/>
            </w:r>
            <w:r w:rsidRPr="00353B26">
              <w:rPr>
                <w:rFonts w:cs="Arial"/>
                <w:lang w:val="vi-VN"/>
              </w:rPr>
              <w:t>Revenue from securities depository services</w:t>
            </w:r>
          </w:p>
        </w:tc>
        <w:tc>
          <w:tcPr>
            <w:tcW w:w="776" w:type="dxa"/>
            <w:tcBorders>
              <w:left w:val="single" w:sz="4" w:space="0" w:color="000000"/>
              <w:right w:val="single" w:sz="4" w:space="0" w:color="000000"/>
            </w:tcBorders>
            <w:noWrap/>
            <w:vAlign w:val="bottom"/>
          </w:tcPr>
          <w:p w14:paraId="4293A517" w14:textId="77777777" w:rsidR="00CF0A2A" w:rsidRPr="003C222B" w:rsidRDefault="00CF0A2A" w:rsidP="00CF0A2A">
            <w:pPr>
              <w:ind w:left="-58" w:right="-58"/>
              <w:jc w:val="center"/>
              <w:rPr>
                <w:rFonts w:cs="Arial"/>
                <w:lang w:val="vi-VN"/>
              </w:rPr>
            </w:pPr>
          </w:p>
        </w:tc>
        <w:tc>
          <w:tcPr>
            <w:tcW w:w="1881" w:type="dxa"/>
            <w:tcBorders>
              <w:left w:val="single" w:sz="4" w:space="0" w:color="000000"/>
              <w:right w:val="single" w:sz="4" w:space="0" w:color="000000"/>
            </w:tcBorders>
            <w:vAlign w:val="bottom"/>
          </w:tcPr>
          <w:p w14:paraId="3531467D" w14:textId="4A95E11B" w:rsidR="00CF0A2A" w:rsidRPr="003C222B" w:rsidRDefault="00CF0A2A" w:rsidP="00CF0A2A">
            <w:pPr>
              <w:jc w:val="right"/>
              <w:rPr>
                <w:rFonts w:cs="Arial"/>
                <w:lang w:val="vi-VN"/>
              </w:rPr>
            </w:pPr>
            <w:r w:rsidRPr="001E206B">
              <w:t>694</w:t>
            </w:r>
            <w:r w:rsidR="00BF5B0B">
              <w:t>,</w:t>
            </w:r>
            <w:r w:rsidRPr="001E206B">
              <w:t>339</w:t>
            </w:r>
            <w:r w:rsidR="00BF5B0B">
              <w:t>,</w:t>
            </w:r>
            <w:r w:rsidRPr="001E206B">
              <w:t xml:space="preserve">726 </w:t>
            </w:r>
          </w:p>
        </w:tc>
        <w:tc>
          <w:tcPr>
            <w:tcW w:w="1881" w:type="dxa"/>
            <w:tcBorders>
              <w:left w:val="single" w:sz="4" w:space="0" w:color="000000"/>
            </w:tcBorders>
            <w:noWrap/>
            <w:vAlign w:val="bottom"/>
          </w:tcPr>
          <w:p w14:paraId="3E69E8CD" w14:textId="2022B2E2" w:rsidR="00CF0A2A" w:rsidRPr="003C222B" w:rsidRDefault="00CF0A2A" w:rsidP="00CF0A2A">
            <w:pPr>
              <w:jc w:val="right"/>
              <w:rPr>
                <w:rFonts w:cs="Arial"/>
                <w:lang w:val="vi-VN"/>
              </w:rPr>
            </w:pPr>
            <w:r w:rsidRPr="001E206B">
              <w:t>1</w:t>
            </w:r>
            <w:r w:rsidR="00BF5B0B">
              <w:t>,</w:t>
            </w:r>
            <w:r w:rsidRPr="001E206B">
              <w:t>089</w:t>
            </w:r>
            <w:r w:rsidR="00BF5B0B">
              <w:t>,</w:t>
            </w:r>
            <w:r w:rsidRPr="001E206B">
              <w:t>480</w:t>
            </w:r>
            <w:r w:rsidR="00BF5B0B">
              <w:t>,</w:t>
            </w:r>
            <w:r w:rsidRPr="001E206B">
              <w:t xml:space="preserve">732 </w:t>
            </w:r>
          </w:p>
        </w:tc>
      </w:tr>
      <w:tr w:rsidR="00CF0A2A" w:rsidRPr="00871AD8" w14:paraId="26BEE2BE" w14:textId="77777777" w:rsidTr="00CF0A2A">
        <w:tc>
          <w:tcPr>
            <w:tcW w:w="706" w:type="dxa"/>
            <w:tcBorders>
              <w:right w:val="single" w:sz="4" w:space="0" w:color="000000"/>
            </w:tcBorders>
            <w:noWrap/>
          </w:tcPr>
          <w:p w14:paraId="1A3813C0" w14:textId="6DC1869C" w:rsidR="00CF0A2A" w:rsidRPr="00D83B87" w:rsidRDefault="00CF0A2A" w:rsidP="00CF0A2A">
            <w:pPr>
              <w:ind w:left="-58" w:right="-58"/>
              <w:jc w:val="center"/>
              <w:rPr>
                <w:rFonts w:cs="Arial"/>
                <w:bCs/>
              </w:rPr>
            </w:pPr>
            <w:r w:rsidRPr="00D83B87">
              <w:rPr>
                <w:rFonts w:cs="Arial"/>
                <w:bCs/>
              </w:rPr>
              <w:t>10</w:t>
            </w:r>
          </w:p>
        </w:tc>
        <w:tc>
          <w:tcPr>
            <w:tcW w:w="3643" w:type="dxa"/>
            <w:tcBorders>
              <w:left w:val="single" w:sz="4" w:space="0" w:color="000000"/>
              <w:right w:val="single" w:sz="4" w:space="0" w:color="000000"/>
            </w:tcBorders>
            <w:noWrap/>
            <w:vAlign w:val="bottom"/>
          </w:tcPr>
          <w:p w14:paraId="745A5AE7" w14:textId="010A9B38" w:rsidR="00CF0A2A" w:rsidRPr="00D83B87" w:rsidRDefault="00CF0A2A" w:rsidP="00CF0A2A">
            <w:pPr>
              <w:ind w:left="302" w:right="-86" w:hanging="360"/>
              <w:jc w:val="left"/>
              <w:rPr>
                <w:rFonts w:cs="Arial"/>
                <w:lang w:val="vi-VN"/>
              </w:rPr>
            </w:pPr>
            <w:r>
              <w:rPr>
                <w:rFonts w:cs="Arial"/>
              </w:rPr>
              <w:t>7</w:t>
            </w:r>
            <w:r w:rsidRPr="00D83B87">
              <w:rPr>
                <w:rFonts w:cs="Arial"/>
              </w:rPr>
              <w:t>.</w:t>
            </w:r>
            <w:r w:rsidRPr="00D83B87">
              <w:rPr>
                <w:rFonts w:cs="Arial"/>
              </w:rPr>
              <w:tab/>
            </w:r>
            <w:r w:rsidRPr="00CA047E">
              <w:rPr>
                <w:rFonts w:cs="Arial"/>
                <w:lang w:val="vi-VN"/>
              </w:rPr>
              <w:t>Revenue from financial advisory services</w:t>
            </w:r>
          </w:p>
        </w:tc>
        <w:tc>
          <w:tcPr>
            <w:tcW w:w="776" w:type="dxa"/>
            <w:tcBorders>
              <w:left w:val="single" w:sz="4" w:space="0" w:color="000000"/>
              <w:right w:val="single" w:sz="4" w:space="0" w:color="000000"/>
            </w:tcBorders>
            <w:noWrap/>
            <w:vAlign w:val="bottom"/>
          </w:tcPr>
          <w:p w14:paraId="495E4BED" w14:textId="3FF14D08" w:rsidR="00CF0A2A" w:rsidRPr="003C222B" w:rsidRDefault="00CF0A2A" w:rsidP="00CF0A2A">
            <w:pPr>
              <w:ind w:left="-58" w:right="-58"/>
              <w:jc w:val="center"/>
              <w:rPr>
                <w:rFonts w:cs="Arial"/>
              </w:rPr>
            </w:pPr>
          </w:p>
        </w:tc>
        <w:tc>
          <w:tcPr>
            <w:tcW w:w="1881" w:type="dxa"/>
            <w:tcBorders>
              <w:left w:val="single" w:sz="4" w:space="0" w:color="000000"/>
              <w:right w:val="single" w:sz="4" w:space="0" w:color="000000"/>
            </w:tcBorders>
            <w:vAlign w:val="bottom"/>
          </w:tcPr>
          <w:p w14:paraId="41938E40" w14:textId="4E3197E3" w:rsidR="00CF0A2A" w:rsidRPr="003C222B" w:rsidRDefault="00CF0A2A" w:rsidP="00CF0A2A">
            <w:pPr>
              <w:jc w:val="right"/>
              <w:rPr>
                <w:rFonts w:cs="Arial"/>
                <w:lang w:val="vi-VN"/>
              </w:rPr>
            </w:pPr>
            <w:r w:rsidRPr="001E206B">
              <w:t>100</w:t>
            </w:r>
            <w:r w:rsidR="00BF5B0B">
              <w:t>,</w:t>
            </w:r>
            <w:r w:rsidRPr="001E206B">
              <w:t>237</w:t>
            </w:r>
            <w:r w:rsidR="00BF5B0B">
              <w:t>,</w:t>
            </w:r>
            <w:r w:rsidRPr="001E206B">
              <w:t xml:space="preserve">224 </w:t>
            </w:r>
          </w:p>
        </w:tc>
        <w:tc>
          <w:tcPr>
            <w:tcW w:w="1881" w:type="dxa"/>
            <w:tcBorders>
              <w:left w:val="single" w:sz="4" w:space="0" w:color="000000"/>
            </w:tcBorders>
            <w:noWrap/>
            <w:vAlign w:val="bottom"/>
          </w:tcPr>
          <w:p w14:paraId="54C50E35" w14:textId="5A1F6749" w:rsidR="00CF0A2A" w:rsidRPr="003C222B" w:rsidRDefault="00CF0A2A" w:rsidP="00CF0A2A">
            <w:pPr>
              <w:jc w:val="right"/>
              <w:rPr>
                <w:rFonts w:cs="Arial"/>
                <w:lang w:val="vi-VN"/>
              </w:rPr>
            </w:pPr>
            <w:r w:rsidRPr="001E206B">
              <w:t>189</w:t>
            </w:r>
            <w:r w:rsidR="00BF5B0B">
              <w:t>,</w:t>
            </w:r>
            <w:r w:rsidRPr="001E206B">
              <w:t>767</w:t>
            </w:r>
            <w:r w:rsidR="00BF5B0B">
              <w:t>,</w:t>
            </w:r>
            <w:r w:rsidRPr="001E206B">
              <w:t xml:space="preserve">543 </w:t>
            </w:r>
          </w:p>
        </w:tc>
      </w:tr>
      <w:tr w:rsidR="00CF0A2A" w:rsidRPr="00871AD8" w14:paraId="309B06FD" w14:textId="77777777" w:rsidTr="00CF0A2A">
        <w:tc>
          <w:tcPr>
            <w:tcW w:w="706" w:type="dxa"/>
            <w:tcBorders>
              <w:right w:val="single" w:sz="4" w:space="0" w:color="000000"/>
            </w:tcBorders>
            <w:noWrap/>
          </w:tcPr>
          <w:p w14:paraId="040D648D" w14:textId="3455F28D" w:rsidR="00CF0A2A" w:rsidRPr="00D83B87" w:rsidRDefault="00CF0A2A" w:rsidP="00CF0A2A">
            <w:pPr>
              <w:ind w:left="-58" w:right="-58"/>
              <w:jc w:val="center"/>
              <w:rPr>
                <w:rFonts w:cs="Arial"/>
                <w:bCs/>
              </w:rPr>
            </w:pPr>
            <w:r w:rsidRPr="00D83B87">
              <w:rPr>
                <w:rFonts w:cs="Arial"/>
                <w:bCs/>
              </w:rPr>
              <w:t>11</w:t>
            </w:r>
          </w:p>
        </w:tc>
        <w:tc>
          <w:tcPr>
            <w:tcW w:w="3643" w:type="dxa"/>
            <w:tcBorders>
              <w:left w:val="single" w:sz="4" w:space="0" w:color="000000"/>
              <w:right w:val="single" w:sz="4" w:space="0" w:color="000000"/>
            </w:tcBorders>
            <w:noWrap/>
            <w:vAlign w:val="bottom"/>
          </w:tcPr>
          <w:p w14:paraId="10D71A51" w14:textId="2CD56B74" w:rsidR="00CF0A2A" w:rsidRPr="00D83B87" w:rsidRDefault="00CF0A2A" w:rsidP="00CF0A2A">
            <w:pPr>
              <w:ind w:left="302" w:hanging="360"/>
              <w:rPr>
                <w:rFonts w:cs="Arial"/>
                <w:lang w:val="vi-VN"/>
              </w:rPr>
            </w:pPr>
            <w:r>
              <w:rPr>
                <w:rFonts w:cs="Arial"/>
                <w:bCs/>
              </w:rPr>
              <w:t>8</w:t>
            </w:r>
            <w:r w:rsidRPr="00D83B87">
              <w:rPr>
                <w:rFonts w:cs="Arial"/>
                <w:bCs/>
              </w:rPr>
              <w:t>.</w:t>
            </w:r>
            <w:r w:rsidRPr="00D83B87">
              <w:rPr>
                <w:rFonts w:cs="Arial"/>
                <w:bCs/>
              </w:rPr>
              <w:tab/>
            </w:r>
            <w:r w:rsidRPr="005930FA">
              <w:rPr>
                <w:rFonts w:cs="Arial"/>
              </w:rPr>
              <w:t>Revenue from other activities</w:t>
            </w:r>
          </w:p>
        </w:tc>
        <w:tc>
          <w:tcPr>
            <w:tcW w:w="776" w:type="dxa"/>
            <w:tcBorders>
              <w:left w:val="single" w:sz="4" w:space="0" w:color="000000"/>
              <w:right w:val="single" w:sz="4" w:space="0" w:color="000000"/>
            </w:tcBorders>
            <w:noWrap/>
            <w:vAlign w:val="bottom"/>
          </w:tcPr>
          <w:p w14:paraId="27194588" w14:textId="27251016" w:rsidR="00CF0A2A" w:rsidRPr="003C222B" w:rsidRDefault="00CF0A2A" w:rsidP="00CF0A2A">
            <w:pPr>
              <w:ind w:left="-58" w:right="-58"/>
              <w:jc w:val="center"/>
              <w:rPr>
                <w:rFonts w:cs="Arial"/>
              </w:rPr>
            </w:pPr>
          </w:p>
        </w:tc>
        <w:tc>
          <w:tcPr>
            <w:tcW w:w="1881" w:type="dxa"/>
            <w:tcBorders>
              <w:left w:val="single" w:sz="4" w:space="0" w:color="000000"/>
              <w:right w:val="single" w:sz="4" w:space="0" w:color="000000"/>
            </w:tcBorders>
            <w:vAlign w:val="bottom"/>
          </w:tcPr>
          <w:p w14:paraId="0F8D3D6A" w14:textId="191F14E3" w:rsidR="00CF0A2A" w:rsidRPr="003C222B" w:rsidRDefault="00CF0A2A" w:rsidP="00CF0A2A">
            <w:pPr>
              <w:jc w:val="right"/>
              <w:rPr>
                <w:rFonts w:cs="Arial"/>
                <w:lang w:val="vi-VN"/>
              </w:rPr>
            </w:pPr>
            <w:r w:rsidRPr="001E206B">
              <w:t>23</w:t>
            </w:r>
            <w:r w:rsidR="00BF5B0B">
              <w:t>,</w:t>
            </w:r>
            <w:r w:rsidRPr="001E206B">
              <w:t>137</w:t>
            </w:r>
            <w:r w:rsidR="00BF5B0B">
              <w:t>,</w:t>
            </w:r>
            <w:r w:rsidRPr="001E206B">
              <w:t xml:space="preserve">444 </w:t>
            </w:r>
          </w:p>
        </w:tc>
        <w:tc>
          <w:tcPr>
            <w:tcW w:w="1881" w:type="dxa"/>
            <w:tcBorders>
              <w:left w:val="single" w:sz="4" w:space="0" w:color="000000"/>
            </w:tcBorders>
            <w:noWrap/>
            <w:vAlign w:val="bottom"/>
          </w:tcPr>
          <w:p w14:paraId="3879B82A" w14:textId="724DD977" w:rsidR="00CF0A2A" w:rsidRPr="003C222B" w:rsidRDefault="00CF0A2A" w:rsidP="00CF0A2A">
            <w:pPr>
              <w:jc w:val="right"/>
              <w:rPr>
                <w:rFonts w:cs="Arial"/>
                <w:lang w:val="vi-VN"/>
              </w:rPr>
            </w:pPr>
            <w:r w:rsidRPr="001E206B">
              <w:t>19</w:t>
            </w:r>
            <w:r w:rsidR="00BF5B0B">
              <w:t>,</w:t>
            </w:r>
            <w:r w:rsidRPr="001E206B">
              <w:t>472</w:t>
            </w:r>
            <w:r w:rsidR="00BF5B0B">
              <w:t>,</w:t>
            </w:r>
            <w:r w:rsidRPr="001E206B">
              <w:t xml:space="preserve">010 </w:t>
            </w:r>
          </w:p>
        </w:tc>
      </w:tr>
      <w:tr w:rsidR="00CF0A2A" w:rsidRPr="00871AD8" w14:paraId="1A68A4EB" w14:textId="77777777" w:rsidTr="00CF0A2A">
        <w:tc>
          <w:tcPr>
            <w:tcW w:w="706" w:type="dxa"/>
            <w:tcBorders>
              <w:right w:val="single" w:sz="4" w:space="0" w:color="000000"/>
            </w:tcBorders>
            <w:noWrap/>
          </w:tcPr>
          <w:p w14:paraId="6C56D14E" w14:textId="69B28338" w:rsidR="00CF0A2A" w:rsidRPr="00D83B87" w:rsidRDefault="00CF0A2A" w:rsidP="00CF0A2A">
            <w:pPr>
              <w:spacing w:before="120"/>
              <w:ind w:left="-58" w:right="-58"/>
              <w:jc w:val="center"/>
              <w:rPr>
                <w:rFonts w:cs="Arial"/>
                <w:b/>
                <w:bCs/>
              </w:rPr>
            </w:pPr>
            <w:r w:rsidRPr="00D83B87">
              <w:rPr>
                <w:rFonts w:cs="Arial"/>
                <w:b/>
                <w:bCs/>
              </w:rPr>
              <w:t>20</w:t>
            </w:r>
          </w:p>
        </w:tc>
        <w:tc>
          <w:tcPr>
            <w:tcW w:w="3643" w:type="dxa"/>
            <w:tcBorders>
              <w:left w:val="single" w:sz="4" w:space="0" w:color="000000"/>
              <w:right w:val="single" w:sz="4" w:space="0" w:color="000000"/>
            </w:tcBorders>
            <w:noWrap/>
            <w:vAlign w:val="bottom"/>
          </w:tcPr>
          <w:p w14:paraId="59A88676" w14:textId="1A63C658" w:rsidR="00CF0A2A" w:rsidRPr="00D83B87" w:rsidRDefault="00CF0A2A" w:rsidP="00CF0A2A">
            <w:pPr>
              <w:spacing w:before="120"/>
              <w:ind w:left="-58"/>
              <w:rPr>
                <w:rFonts w:cs="Arial"/>
                <w:b/>
                <w:bCs/>
              </w:rPr>
            </w:pPr>
            <w:r w:rsidRPr="00AC4AC9">
              <w:rPr>
                <w:rFonts w:cs="Arial"/>
                <w:b/>
                <w:bCs/>
              </w:rPr>
              <w:t>Total operating income</w:t>
            </w:r>
          </w:p>
        </w:tc>
        <w:tc>
          <w:tcPr>
            <w:tcW w:w="776" w:type="dxa"/>
            <w:tcBorders>
              <w:left w:val="single" w:sz="4" w:space="0" w:color="000000"/>
              <w:right w:val="single" w:sz="4" w:space="0" w:color="000000"/>
            </w:tcBorders>
            <w:noWrap/>
            <w:vAlign w:val="bottom"/>
          </w:tcPr>
          <w:p w14:paraId="313B30B7" w14:textId="77777777" w:rsidR="00CF0A2A" w:rsidRPr="003C222B" w:rsidRDefault="00CF0A2A" w:rsidP="00CF0A2A">
            <w:pPr>
              <w:spacing w:before="120"/>
              <w:ind w:left="-58" w:right="-58"/>
              <w:jc w:val="center"/>
              <w:rPr>
                <w:rFonts w:cs="Arial"/>
                <w:b/>
                <w:lang w:val="vi-VN"/>
              </w:rPr>
            </w:pPr>
          </w:p>
        </w:tc>
        <w:tc>
          <w:tcPr>
            <w:tcW w:w="1881" w:type="dxa"/>
            <w:tcBorders>
              <w:left w:val="single" w:sz="4" w:space="0" w:color="000000"/>
              <w:right w:val="single" w:sz="4" w:space="0" w:color="000000"/>
            </w:tcBorders>
            <w:vAlign w:val="bottom"/>
          </w:tcPr>
          <w:p w14:paraId="46C899C6" w14:textId="4F008E53" w:rsidR="00CF0A2A" w:rsidRPr="00DB3DCF" w:rsidRDefault="00CF0A2A" w:rsidP="00CF0A2A">
            <w:pPr>
              <w:spacing w:before="120"/>
              <w:jc w:val="right"/>
              <w:rPr>
                <w:rFonts w:cs="Arial"/>
                <w:b/>
                <w:bCs/>
                <w:lang w:val="vi-VN"/>
              </w:rPr>
            </w:pPr>
            <w:r w:rsidRPr="00DB3DCF">
              <w:rPr>
                <w:b/>
                <w:bCs/>
              </w:rPr>
              <w:t>197</w:t>
            </w:r>
            <w:r w:rsidR="00BF5B0B">
              <w:rPr>
                <w:b/>
                <w:bCs/>
              </w:rPr>
              <w:t>,</w:t>
            </w:r>
            <w:r w:rsidRPr="00DB3DCF">
              <w:rPr>
                <w:b/>
                <w:bCs/>
              </w:rPr>
              <w:t>131</w:t>
            </w:r>
            <w:r w:rsidR="00BF5B0B">
              <w:rPr>
                <w:b/>
                <w:bCs/>
              </w:rPr>
              <w:t>,</w:t>
            </w:r>
            <w:r w:rsidRPr="00DB3DCF">
              <w:rPr>
                <w:b/>
                <w:bCs/>
              </w:rPr>
              <w:t>212</w:t>
            </w:r>
            <w:r w:rsidR="00BF5B0B">
              <w:rPr>
                <w:b/>
                <w:bCs/>
              </w:rPr>
              <w:t>,</w:t>
            </w:r>
            <w:r w:rsidRPr="00DB3DCF">
              <w:rPr>
                <w:b/>
                <w:bCs/>
              </w:rPr>
              <w:t>819</w:t>
            </w:r>
          </w:p>
        </w:tc>
        <w:tc>
          <w:tcPr>
            <w:tcW w:w="1881" w:type="dxa"/>
            <w:tcBorders>
              <w:left w:val="single" w:sz="4" w:space="0" w:color="000000"/>
            </w:tcBorders>
            <w:noWrap/>
            <w:vAlign w:val="bottom"/>
          </w:tcPr>
          <w:p w14:paraId="18C00ABD" w14:textId="6B770069" w:rsidR="00CF0A2A" w:rsidRPr="00DB3DCF" w:rsidRDefault="00CF0A2A" w:rsidP="00CF0A2A">
            <w:pPr>
              <w:spacing w:before="120"/>
              <w:jc w:val="right"/>
              <w:rPr>
                <w:rFonts w:cs="Arial"/>
                <w:b/>
                <w:bCs/>
                <w:lang w:val="vi-VN"/>
              </w:rPr>
            </w:pPr>
            <w:r w:rsidRPr="00DB3DCF">
              <w:rPr>
                <w:b/>
                <w:bCs/>
              </w:rPr>
              <w:t>235</w:t>
            </w:r>
            <w:r w:rsidR="00BF5B0B">
              <w:rPr>
                <w:b/>
                <w:bCs/>
              </w:rPr>
              <w:t>,</w:t>
            </w:r>
            <w:r w:rsidRPr="00DB3DCF">
              <w:rPr>
                <w:b/>
                <w:bCs/>
              </w:rPr>
              <w:t>993</w:t>
            </w:r>
            <w:r w:rsidR="00BF5B0B">
              <w:rPr>
                <w:b/>
                <w:bCs/>
              </w:rPr>
              <w:t>,</w:t>
            </w:r>
            <w:r w:rsidRPr="00DB3DCF">
              <w:rPr>
                <w:b/>
                <w:bCs/>
              </w:rPr>
              <w:t>956</w:t>
            </w:r>
            <w:r w:rsidR="00BF5B0B">
              <w:rPr>
                <w:b/>
                <w:bCs/>
              </w:rPr>
              <w:t>,</w:t>
            </w:r>
            <w:r w:rsidRPr="00DB3DCF">
              <w:rPr>
                <w:b/>
                <w:bCs/>
              </w:rPr>
              <w:t>959</w:t>
            </w:r>
          </w:p>
        </w:tc>
      </w:tr>
      <w:tr w:rsidR="00CF0A2A" w:rsidRPr="00871AD8" w14:paraId="48A106EA" w14:textId="77777777" w:rsidTr="00CF0A2A">
        <w:tc>
          <w:tcPr>
            <w:tcW w:w="706" w:type="dxa"/>
            <w:tcBorders>
              <w:right w:val="single" w:sz="4" w:space="0" w:color="000000"/>
            </w:tcBorders>
            <w:noWrap/>
          </w:tcPr>
          <w:p w14:paraId="3B8B7DF3" w14:textId="7A7304A4" w:rsidR="00CF0A2A" w:rsidRPr="00D83B87" w:rsidRDefault="00CF0A2A" w:rsidP="00CF0A2A">
            <w:pPr>
              <w:spacing w:before="120"/>
              <w:ind w:left="-58" w:right="-58"/>
              <w:jc w:val="center"/>
              <w:rPr>
                <w:rFonts w:cs="Arial"/>
                <w:bCs/>
              </w:rPr>
            </w:pPr>
          </w:p>
        </w:tc>
        <w:tc>
          <w:tcPr>
            <w:tcW w:w="3643" w:type="dxa"/>
            <w:tcBorders>
              <w:left w:val="single" w:sz="4" w:space="0" w:color="000000"/>
              <w:right w:val="single" w:sz="4" w:space="0" w:color="000000"/>
            </w:tcBorders>
            <w:noWrap/>
            <w:vAlign w:val="bottom"/>
          </w:tcPr>
          <w:p w14:paraId="716B9E0E" w14:textId="3AD6D7EA" w:rsidR="00CF0A2A" w:rsidRPr="00D83B87" w:rsidRDefault="00CF0A2A" w:rsidP="00CF0A2A">
            <w:pPr>
              <w:spacing w:before="120"/>
              <w:ind w:left="302" w:hanging="360"/>
              <w:rPr>
                <w:rFonts w:cs="Arial"/>
                <w:bCs/>
              </w:rPr>
            </w:pPr>
            <w:r w:rsidRPr="00D83B87">
              <w:rPr>
                <w:rFonts w:cs="Arial"/>
                <w:b/>
                <w:bCs/>
              </w:rPr>
              <w:t>II.</w:t>
            </w:r>
            <w:r w:rsidRPr="00D83B87">
              <w:rPr>
                <w:rFonts w:cs="Arial"/>
                <w:b/>
                <w:bCs/>
              </w:rPr>
              <w:tab/>
            </w:r>
            <w:r w:rsidRPr="00C44FB2">
              <w:rPr>
                <w:rFonts w:cs="Arial"/>
                <w:b/>
                <w:bCs/>
              </w:rPr>
              <w:t>OPERATING EXPENSES</w:t>
            </w:r>
          </w:p>
        </w:tc>
        <w:tc>
          <w:tcPr>
            <w:tcW w:w="776" w:type="dxa"/>
            <w:tcBorders>
              <w:left w:val="single" w:sz="4" w:space="0" w:color="000000"/>
              <w:right w:val="single" w:sz="4" w:space="0" w:color="000000"/>
            </w:tcBorders>
            <w:noWrap/>
            <w:vAlign w:val="bottom"/>
          </w:tcPr>
          <w:p w14:paraId="489B6391" w14:textId="77777777" w:rsidR="00CF0A2A" w:rsidRPr="003C222B" w:rsidRDefault="00CF0A2A" w:rsidP="00CF0A2A">
            <w:pPr>
              <w:spacing w:before="120"/>
              <w:ind w:left="-58" w:right="-58"/>
              <w:jc w:val="center"/>
              <w:rPr>
                <w:rFonts w:cs="Arial"/>
                <w:lang w:val="vi-VN"/>
              </w:rPr>
            </w:pPr>
          </w:p>
        </w:tc>
        <w:tc>
          <w:tcPr>
            <w:tcW w:w="1881" w:type="dxa"/>
            <w:tcBorders>
              <w:left w:val="single" w:sz="4" w:space="0" w:color="000000"/>
              <w:right w:val="single" w:sz="4" w:space="0" w:color="000000"/>
            </w:tcBorders>
            <w:vAlign w:val="bottom"/>
          </w:tcPr>
          <w:p w14:paraId="0C477B7C" w14:textId="19B33692" w:rsidR="00CF0A2A" w:rsidRPr="00D33812" w:rsidRDefault="00CF0A2A" w:rsidP="00CF0A2A">
            <w:pPr>
              <w:spacing w:before="120"/>
              <w:jc w:val="right"/>
              <w:rPr>
                <w:rFonts w:cs="Arial"/>
                <w:b/>
                <w:bCs/>
                <w:lang w:val="vi-VN"/>
              </w:rPr>
            </w:pPr>
          </w:p>
        </w:tc>
        <w:tc>
          <w:tcPr>
            <w:tcW w:w="1881" w:type="dxa"/>
            <w:tcBorders>
              <w:left w:val="single" w:sz="4" w:space="0" w:color="000000"/>
            </w:tcBorders>
            <w:noWrap/>
            <w:vAlign w:val="bottom"/>
          </w:tcPr>
          <w:p w14:paraId="2D58F44D" w14:textId="0B412D6C" w:rsidR="00CF0A2A" w:rsidRPr="00D33812" w:rsidRDefault="00CF0A2A" w:rsidP="00CF0A2A">
            <w:pPr>
              <w:spacing w:before="120"/>
              <w:jc w:val="right"/>
              <w:rPr>
                <w:rFonts w:cs="Arial"/>
                <w:b/>
                <w:bCs/>
                <w:lang w:val="vi-VN"/>
              </w:rPr>
            </w:pPr>
          </w:p>
        </w:tc>
      </w:tr>
      <w:tr w:rsidR="00CF0A2A" w:rsidRPr="00871AD8" w14:paraId="23FCC9B5" w14:textId="77777777" w:rsidTr="00CF0A2A">
        <w:tc>
          <w:tcPr>
            <w:tcW w:w="706" w:type="dxa"/>
            <w:tcBorders>
              <w:right w:val="single" w:sz="4" w:space="0" w:color="000000"/>
            </w:tcBorders>
            <w:noWrap/>
          </w:tcPr>
          <w:p w14:paraId="649309C9" w14:textId="2DD037DB" w:rsidR="00CF0A2A" w:rsidRPr="00D83B87" w:rsidRDefault="00CF0A2A" w:rsidP="00CF0A2A">
            <w:pPr>
              <w:spacing w:before="120"/>
              <w:ind w:left="-58" w:right="-58"/>
              <w:jc w:val="center"/>
              <w:rPr>
                <w:rFonts w:cs="Arial"/>
                <w:bCs/>
              </w:rPr>
            </w:pPr>
            <w:r w:rsidRPr="00D83B87">
              <w:rPr>
                <w:rFonts w:cs="Arial"/>
              </w:rPr>
              <w:t>21</w:t>
            </w:r>
          </w:p>
        </w:tc>
        <w:tc>
          <w:tcPr>
            <w:tcW w:w="3643" w:type="dxa"/>
            <w:tcBorders>
              <w:left w:val="single" w:sz="4" w:space="0" w:color="000000"/>
              <w:right w:val="single" w:sz="4" w:space="0" w:color="000000"/>
            </w:tcBorders>
            <w:noWrap/>
            <w:vAlign w:val="bottom"/>
          </w:tcPr>
          <w:p w14:paraId="77EB487F" w14:textId="4EA75F6E" w:rsidR="00CF0A2A" w:rsidRPr="00D83B87" w:rsidRDefault="00CF0A2A" w:rsidP="00CF0A2A">
            <w:pPr>
              <w:spacing w:before="120"/>
              <w:ind w:left="302" w:hanging="360"/>
              <w:jc w:val="left"/>
              <w:rPr>
                <w:rFonts w:cs="Arial"/>
                <w:bCs/>
              </w:rPr>
            </w:pPr>
            <w:r w:rsidRPr="00D83B87">
              <w:rPr>
                <w:rFonts w:cs="Arial"/>
              </w:rPr>
              <w:t>1.</w:t>
            </w:r>
            <w:r w:rsidRPr="00D83B87">
              <w:rPr>
                <w:rFonts w:cs="Arial"/>
              </w:rPr>
              <w:tab/>
            </w:r>
            <w:r w:rsidRPr="00AC04BB">
              <w:rPr>
                <w:rFonts w:cs="Arial"/>
                <w:bCs/>
                <w:iCs/>
              </w:rPr>
              <w:t>Loss from financial assets at FVTPL</w:t>
            </w:r>
          </w:p>
        </w:tc>
        <w:tc>
          <w:tcPr>
            <w:tcW w:w="776" w:type="dxa"/>
            <w:tcBorders>
              <w:left w:val="single" w:sz="4" w:space="0" w:color="000000"/>
              <w:right w:val="single" w:sz="4" w:space="0" w:color="000000"/>
            </w:tcBorders>
            <w:noWrap/>
            <w:vAlign w:val="bottom"/>
          </w:tcPr>
          <w:p w14:paraId="1849203B" w14:textId="77777777" w:rsidR="00CF0A2A" w:rsidRPr="003C222B" w:rsidRDefault="00CF0A2A" w:rsidP="00CF0A2A">
            <w:pPr>
              <w:spacing w:before="120"/>
              <w:ind w:left="-58" w:right="-58"/>
              <w:jc w:val="center"/>
              <w:rPr>
                <w:rFonts w:cs="Arial"/>
                <w:lang w:val="vi-VN"/>
              </w:rPr>
            </w:pPr>
          </w:p>
        </w:tc>
        <w:tc>
          <w:tcPr>
            <w:tcW w:w="1881" w:type="dxa"/>
            <w:tcBorders>
              <w:left w:val="single" w:sz="4" w:space="0" w:color="000000"/>
              <w:right w:val="single" w:sz="4" w:space="0" w:color="000000"/>
            </w:tcBorders>
            <w:vAlign w:val="bottom"/>
          </w:tcPr>
          <w:p w14:paraId="48664715" w14:textId="20B5727D" w:rsidR="00CF0A2A" w:rsidRPr="003C222B" w:rsidRDefault="00CF0A2A" w:rsidP="00CF0A2A">
            <w:pPr>
              <w:spacing w:before="120"/>
              <w:jc w:val="right"/>
              <w:rPr>
                <w:rFonts w:cs="Arial"/>
                <w:lang w:val="vi-VN"/>
              </w:rPr>
            </w:pPr>
            <w:r w:rsidRPr="001E206B">
              <w:t>527</w:t>
            </w:r>
            <w:r w:rsidR="00BF5B0B">
              <w:t>,</w:t>
            </w:r>
            <w:r w:rsidRPr="001E206B">
              <w:t>759</w:t>
            </w:r>
            <w:r w:rsidR="00BF5B0B">
              <w:t>,</w:t>
            </w:r>
            <w:r w:rsidRPr="001E206B">
              <w:t>090</w:t>
            </w:r>
          </w:p>
        </w:tc>
        <w:tc>
          <w:tcPr>
            <w:tcW w:w="1881" w:type="dxa"/>
            <w:tcBorders>
              <w:left w:val="single" w:sz="4" w:space="0" w:color="000000"/>
            </w:tcBorders>
            <w:noWrap/>
            <w:vAlign w:val="bottom"/>
          </w:tcPr>
          <w:p w14:paraId="16C1CDB1" w14:textId="61E32F1C" w:rsidR="00CF0A2A" w:rsidRPr="003C222B" w:rsidRDefault="00CF0A2A" w:rsidP="00CF0A2A">
            <w:pPr>
              <w:spacing w:before="120"/>
              <w:jc w:val="right"/>
              <w:rPr>
                <w:rFonts w:cs="Arial"/>
                <w:lang w:val="vi-VN"/>
              </w:rPr>
            </w:pPr>
            <w:r w:rsidRPr="001E206B">
              <w:t>396</w:t>
            </w:r>
            <w:r w:rsidR="00BF5B0B">
              <w:t>,</w:t>
            </w:r>
            <w:r w:rsidRPr="001E206B">
              <w:t>436</w:t>
            </w:r>
            <w:r w:rsidR="00BF5B0B">
              <w:t>,</w:t>
            </w:r>
            <w:r w:rsidRPr="001E206B">
              <w:t>932</w:t>
            </w:r>
          </w:p>
        </w:tc>
      </w:tr>
      <w:tr w:rsidR="00CF0A2A" w:rsidRPr="00871AD8" w14:paraId="14F2DCF2" w14:textId="77777777" w:rsidTr="00CF0A2A">
        <w:tc>
          <w:tcPr>
            <w:tcW w:w="706" w:type="dxa"/>
            <w:tcBorders>
              <w:right w:val="single" w:sz="4" w:space="0" w:color="000000"/>
            </w:tcBorders>
            <w:noWrap/>
          </w:tcPr>
          <w:p w14:paraId="33D2E664" w14:textId="24FD31C2" w:rsidR="00CF0A2A" w:rsidRPr="00D83B87" w:rsidRDefault="00CF0A2A" w:rsidP="00CF0A2A">
            <w:pPr>
              <w:ind w:left="-58" w:right="-58"/>
              <w:jc w:val="center"/>
              <w:rPr>
                <w:rFonts w:cs="Arial"/>
                <w:bCs/>
                <w:i/>
              </w:rPr>
            </w:pPr>
            <w:r w:rsidRPr="00D83B87">
              <w:rPr>
                <w:rFonts w:cs="Arial"/>
                <w:bCs/>
                <w:i/>
              </w:rPr>
              <w:t>21.1</w:t>
            </w:r>
          </w:p>
        </w:tc>
        <w:tc>
          <w:tcPr>
            <w:tcW w:w="3643" w:type="dxa"/>
            <w:tcBorders>
              <w:left w:val="single" w:sz="4" w:space="0" w:color="000000"/>
              <w:right w:val="single" w:sz="4" w:space="0" w:color="000000"/>
            </w:tcBorders>
            <w:noWrap/>
            <w:vAlign w:val="bottom"/>
          </w:tcPr>
          <w:p w14:paraId="3CDD68AA" w14:textId="17B6DA59" w:rsidR="00CF0A2A" w:rsidRPr="00D83B87" w:rsidRDefault="00CF0A2A" w:rsidP="00CF0A2A">
            <w:pPr>
              <w:ind w:left="658" w:hanging="357"/>
              <w:jc w:val="left"/>
              <w:rPr>
                <w:rFonts w:cs="Arial"/>
                <w:bCs/>
                <w:i/>
              </w:rPr>
            </w:pPr>
            <w:r w:rsidRPr="00D83B87">
              <w:rPr>
                <w:rFonts w:cs="Arial"/>
                <w:i/>
              </w:rPr>
              <w:t>1.1</w:t>
            </w:r>
            <w:r w:rsidRPr="00D83B87">
              <w:rPr>
                <w:rFonts w:cs="Arial"/>
                <w:i/>
              </w:rPr>
              <w:tab/>
            </w:r>
            <w:r>
              <w:rPr>
                <w:rFonts w:cs="Arial"/>
                <w:i/>
              </w:rPr>
              <w:tab/>
            </w:r>
            <w:r w:rsidRPr="003E28E2">
              <w:rPr>
                <w:rFonts w:cs="Arial"/>
                <w:i/>
              </w:rPr>
              <w:t>Loss from disposals of financial assets at FVTPL</w:t>
            </w:r>
          </w:p>
        </w:tc>
        <w:tc>
          <w:tcPr>
            <w:tcW w:w="776" w:type="dxa"/>
            <w:tcBorders>
              <w:left w:val="single" w:sz="4" w:space="0" w:color="000000"/>
              <w:right w:val="single" w:sz="4" w:space="0" w:color="000000"/>
            </w:tcBorders>
            <w:noWrap/>
            <w:vAlign w:val="bottom"/>
          </w:tcPr>
          <w:p w14:paraId="15050F89" w14:textId="7D8051BE" w:rsidR="00CF0A2A" w:rsidRPr="003C222B" w:rsidRDefault="00CF0A2A" w:rsidP="00CF0A2A">
            <w:pPr>
              <w:ind w:left="-58" w:right="-58"/>
              <w:jc w:val="center"/>
              <w:rPr>
                <w:rFonts w:cs="Arial"/>
                <w:i/>
                <w:lang w:val="vi-VN"/>
              </w:rPr>
            </w:pPr>
            <w:r w:rsidRPr="003C222B">
              <w:rPr>
                <w:rFonts w:cs="Arial"/>
                <w:i/>
              </w:rPr>
              <w:t>2</w:t>
            </w:r>
            <w:r>
              <w:rPr>
                <w:rFonts w:cs="Arial"/>
                <w:i/>
              </w:rPr>
              <w:t>0</w:t>
            </w:r>
            <w:r w:rsidRPr="003C222B">
              <w:rPr>
                <w:rFonts w:cs="Arial"/>
                <w:i/>
              </w:rPr>
              <w:t>.1</w:t>
            </w:r>
            <w:r>
              <w:rPr>
                <w:rFonts w:cs="Arial"/>
                <w:i/>
              </w:rPr>
              <w:t>.2</w:t>
            </w:r>
          </w:p>
        </w:tc>
        <w:tc>
          <w:tcPr>
            <w:tcW w:w="1881" w:type="dxa"/>
            <w:tcBorders>
              <w:left w:val="single" w:sz="4" w:space="0" w:color="000000"/>
              <w:right w:val="single" w:sz="4" w:space="0" w:color="000000"/>
            </w:tcBorders>
            <w:vAlign w:val="bottom"/>
          </w:tcPr>
          <w:p w14:paraId="7E31C312" w14:textId="2586F12B" w:rsidR="00CF0A2A" w:rsidRPr="00DB3DCF" w:rsidRDefault="00CF0A2A" w:rsidP="00CF0A2A">
            <w:pPr>
              <w:jc w:val="right"/>
              <w:rPr>
                <w:rFonts w:cs="Arial"/>
                <w:i/>
                <w:iCs/>
                <w:lang w:val="vi-VN"/>
              </w:rPr>
            </w:pPr>
            <w:r w:rsidRPr="00DB3DCF">
              <w:rPr>
                <w:i/>
                <w:iCs/>
              </w:rPr>
              <w:t>61</w:t>
            </w:r>
            <w:r w:rsidR="00BF5B0B">
              <w:rPr>
                <w:i/>
                <w:iCs/>
              </w:rPr>
              <w:t>,</w:t>
            </w:r>
            <w:r w:rsidRPr="00DB3DCF">
              <w:rPr>
                <w:i/>
                <w:iCs/>
              </w:rPr>
              <w:t>900</w:t>
            </w:r>
            <w:r w:rsidR="00BF5B0B">
              <w:rPr>
                <w:i/>
                <w:iCs/>
              </w:rPr>
              <w:t>,</w:t>
            </w:r>
            <w:r w:rsidRPr="00DB3DCF">
              <w:rPr>
                <w:i/>
                <w:iCs/>
              </w:rPr>
              <w:t xml:space="preserve">000 </w:t>
            </w:r>
          </w:p>
        </w:tc>
        <w:tc>
          <w:tcPr>
            <w:tcW w:w="1881" w:type="dxa"/>
            <w:tcBorders>
              <w:left w:val="single" w:sz="4" w:space="0" w:color="000000"/>
            </w:tcBorders>
            <w:noWrap/>
            <w:vAlign w:val="bottom"/>
          </w:tcPr>
          <w:p w14:paraId="5615949B" w14:textId="1429346F" w:rsidR="00CF0A2A" w:rsidRPr="00DB3DCF" w:rsidRDefault="00CF0A2A" w:rsidP="00CF0A2A">
            <w:pPr>
              <w:jc w:val="right"/>
              <w:rPr>
                <w:rFonts w:cs="Arial"/>
                <w:i/>
                <w:iCs/>
                <w:lang w:val="vi-VN"/>
              </w:rPr>
            </w:pPr>
            <w:r w:rsidRPr="00DB3DCF">
              <w:rPr>
                <w:i/>
                <w:iCs/>
              </w:rPr>
              <w:t>181</w:t>
            </w:r>
            <w:r w:rsidR="00BF5B0B">
              <w:rPr>
                <w:i/>
                <w:iCs/>
              </w:rPr>
              <w:t>,</w:t>
            </w:r>
            <w:r w:rsidRPr="00DB3DCF">
              <w:rPr>
                <w:i/>
                <w:iCs/>
              </w:rPr>
              <w:t>784</w:t>
            </w:r>
            <w:r w:rsidR="00BF5B0B">
              <w:rPr>
                <w:i/>
                <w:iCs/>
              </w:rPr>
              <w:t>,</w:t>
            </w:r>
            <w:r w:rsidRPr="00DB3DCF">
              <w:rPr>
                <w:i/>
                <w:iCs/>
              </w:rPr>
              <w:t xml:space="preserve">297 </w:t>
            </w:r>
          </w:p>
        </w:tc>
      </w:tr>
      <w:tr w:rsidR="00CF0A2A" w:rsidRPr="00871AD8" w14:paraId="60170DD7" w14:textId="77777777" w:rsidTr="00CF0A2A">
        <w:tc>
          <w:tcPr>
            <w:tcW w:w="706" w:type="dxa"/>
            <w:tcBorders>
              <w:right w:val="single" w:sz="4" w:space="0" w:color="000000"/>
            </w:tcBorders>
            <w:noWrap/>
          </w:tcPr>
          <w:p w14:paraId="4412F333" w14:textId="78407C5F" w:rsidR="00CF0A2A" w:rsidRPr="00D83B87" w:rsidRDefault="00CF0A2A" w:rsidP="00CF0A2A">
            <w:pPr>
              <w:ind w:left="-58" w:right="-58"/>
              <w:jc w:val="center"/>
              <w:rPr>
                <w:rFonts w:cs="Arial"/>
                <w:bCs/>
                <w:i/>
              </w:rPr>
            </w:pPr>
            <w:r w:rsidRPr="00D83B87">
              <w:rPr>
                <w:rFonts w:cs="Arial"/>
                <w:bCs/>
                <w:i/>
              </w:rPr>
              <w:t>21.2</w:t>
            </w:r>
          </w:p>
        </w:tc>
        <w:tc>
          <w:tcPr>
            <w:tcW w:w="3643" w:type="dxa"/>
            <w:tcBorders>
              <w:left w:val="single" w:sz="4" w:space="0" w:color="000000"/>
              <w:right w:val="single" w:sz="4" w:space="0" w:color="000000"/>
            </w:tcBorders>
            <w:noWrap/>
            <w:vAlign w:val="bottom"/>
          </w:tcPr>
          <w:p w14:paraId="2608C9B7" w14:textId="5CE354FB" w:rsidR="00CF0A2A" w:rsidRPr="00D83B87" w:rsidRDefault="00CF0A2A" w:rsidP="00CF0A2A">
            <w:pPr>
              <w:ind w:left="662" w:hanging="360"/>
              <w:jc w:val="left"/>
              <w:rPr>
                <w:rFonts w:cs="Arial"/>
                <w:bCs/>
                <w:i/>
              </w:rPr>
            </w:pPr>
            <w:r w:rsidRPr="00D83B87">
              <w:rPr>
                <w:rFonts w:cs="Arial"/>
                <w:i/>
              </w:rPr>
              <w:t>1.2</w:t>
            </w:r>
            <w:r w:rsidRPr="00D83B87">
              <w:rPr>
                <w:rFonts w:cs="Arial"/>
                <w:i/>
              </w:rPr>
              <w:tab/>
            </w:r>
            <w:r w:rsidRPr="00B37FE9">
              <w:rPr>
                <w:rFonts w:cs="Arial"/>
                <w:i/>
                <w:lang w:val="vi-VN"/>
              </w:rPr>
              <w:t xml:space="preserve">Loss from revaluation of </w:t>
            </w:r>
            <w:r>
              <w:rPr>
                <w:rFonts w:cs="Arial"/>
                <w:i/>
                <w:lang w:val="vi-VN"/>
              </w:rPr>
              <w:tab/>
            </w:r>
            <w:r w:rsidRPr="00B37FE9">
              <w:rPr>
                <w:rFonts w:cs="Arial"/>
                <w:i/>
                <w:lang w:val="vi-VN"/>
              </w:rPr>
              <w:t>financial assets at FVTPL</w:t>
            </w:r>
          </w:p>
        </w:tc>
        <w:tc>
          <w:tcPr>
            <w:tcW w:w="776" w:type="dxa"/>
            <w:tcBorders>
              <w:left w:val="single" w:sz="4" w:space="0" w:color="000000"/>
              <w:right w:val="single" w:sz="4" w:space="0" w:color="000000"/>
            </w:tcBorders>
            <w:noWrap/>
            <w:vAlign w:val="bottom"/>
          </w:tcPr>
          <w:p w14:paraId="3A2F3152" w14:textId="3ECCF37D" w:rsidR="00CF0A2A" w:rsidRPr="003C222B" w:rsidRDefault="00CF0A2A" w:rsidP="00CF0A2A">
            <w:pPr>
              <w:ind w:left="-58" w:right="-58"/>
              <w:jc w:val="center"/>
              <w:rPr>
                <w:rFonts w:cs="Arial"/>
                <w:i/>
              </w:rPr>
            </w:pPr>
            <w:r w:rsidRPr="003C222B">
              <w:rPr>
                <w:rFonts w:cs="Arial"/>
                <w:i/>
              </w:rPr>
              <w:t>2</w:t>
            </w:r>
            <w:r>
              <w:rPr>
                <w:rFonts w:cs="Arial"/>
                <w:i/>
              </w:rPr>
              <w:t>0</w:t>
            </w:r>
            <w:r w:rsidRPr="003C222B">
              <w:rPr>
                <w:rFonts w:cs="Arial"/>
                <w:i/>
              </w:rPr>
              <w:t>.2</w:t>
            </w:r>
          </w:p>
        </w:tc>
        <w:tc>
          <w:tcPr>
            <w:tcW w:w="1881" w:type="dxa"/>
            <w:tcBorders>
              <w:left w:val="single" w:sz="4" w:space="0" w:color="000000"/>
              <w:right w:val="single" w:sz="4" w:space="0" w:color="000000"/>
            </w:tcBorders>
            <w:vAlign w:val="bottom"/>
          </w:tcPr>
          <w:p w14:paraId="3F83E756" w14:textId="5B1387D9" w:rsidR="00CF0A2A" w:rsidRPr="00DB3DCF" w:rsidRDefault="00CF0A2A" w:rsidP="00CF0A2A">
            <w:pPr>
              <w:jc w:val="right"/>
              <w:rPr>
                <w:rFonts w:cs="Arial"/>
                <w:i/>
                <w:iCs/>
                <w:lang w:val="vi-VN"/>
              </w:rPr>
            </w:pPr>
            <w:r w:rsidRPr="00DB3DCF">
              <w:rPr>
                <w:i/>
                <w:iCs/>
              </w:rPr>
              <w:t>459</w:t>
            </w:r>
            <w:r w:rsidR="00BF5B0B">
              <w:rPr>
                <w:i/>
                <w:iCs/>
              </w:rPr>
              <w:t>,</w:t>
            </w:r>
            <w:r w:rsidRPr="00DB3DCF">
              <w:rPr>
                <w:i/>
                <w:iCs/>
              </w:rPr>
              <w:t>544</w:t>
            </w:r>
            <w:r w:rsidR="00BF5B0B">
              <w:rPr>
                <w:i/>
                <w:iCs/>
              </w:rPr>
              <w:t>,</w:t>
            </w:r>
            <w:r w:rsidRPr="00DB3DCF">
              <w:rPr>
                <w:i/>
                <w:iCs/>
              </w:rPr>
              <w:t>090</w:t>
            </w:r>
          </w:p>
        </w:tc>
        <w:tc>
          <w:tcPr>
            <w:tcW w:w="1881" w:type="dxa"/>
            <w:tcBorders>
              <w:left w:val="single" w:sz="4" w:space="0" w:color="000000"/>
            </w:tcBorders>
            <w:noWrap/>
            <w:vAlign w:val="bottom"/>
          </w:tcPr>
          <w:p w14:paraId="424EB232" w14:textId="1316FCFF" w:rsidR="00CF0A2A" w:rsidRPr="00DB3DCF" w:rsidRDefault="00CF0A2A" w:rsidP="00CF0A2A">
            <w:pPr>
              <w:jc w:val="right"/>
              <w:rPr>
                <w:rFonts w:cs="Arial"/>
                <w:i/>
                <w:iCs/>
                <w:lang w:val="vi-VN"/>
              </w:rPr>
            </w:pPr>
            <w:r w:rsidRPr="00DB3DCF">
              <w:rPr>
                <w:i/>
                <w:iCs/>
              </w:rPr>
              <w:t>214</w:t>
            </w:r>
            <w:r w:rsidR="00BF5B0B">
              <w:rPr>
                <w:i/>
                <w:iCs/>
              </w:rPr>
              <w:t>,</w:t>
            </w:r>
            <w:r w:rsidRPr="00DB3DCF">
              <w:rPr>
                <w:i/>
                <w:iCs/>
              </w:rPr>
              <w:t>652</w:t>
            </w:r>
            <w:r w:rsidR="00BF5B0B">
              <w:rPr>
                <w:i/>
                <w:iCs/>
              </w:rPr>
              <w:t>,</w:t>
            </w:r>
            <w:r w:rsidRPr="00DB3DCF">
              <w:rPr>
                <w:i/>
                <w:iCs/>
              </w:rPr>
              <w:t>635</w:t>
            </w:r>
          </w:p>
        </w:tc>
      </w:tr>
      <w:tr w:rsidR="00CF0A2A" w:rsidRPr="00871AD8" w14:paraId="1058B2B2" w14:textId="77777777" w:rsidTr="00CF0A2A">
        <w:tc>
          <w:tcPr>
            <w:tcW w:w="706" w:type="dxa"/>
            <w:tcBorders>
              <w:right w:val="single" w:sz="4" w:space="0" w:color="000000"/>
            </w:tcBorders>
            <w:noWrap/>
          </w:tcPr>
          <w:p w14:paraId="6F7ADD99" w14:textId="4764DFBB" w:rsidR="00CF0A2A" w:rsidRPr="00D83B87" w:rsidRDefault="00CF0A2A" w:rsidP="00CF0A2A">
            <w:pPr>
              <w:ind w:left="-58" w:right="-58"/>
              <w:jc w:val="center"/>
              <w:rPr>
                <w:rFonts w:cs="Arial"/>
                <w:bCs/>
                <w:i/>
              </w:rPr>
            </w:pPr>
            <w:r w:rsidRPr="00D83B87">
              <w:rPr>
                <w:rFonts w:cs="Arial"/>
                <w:bCs/>
                <w:i/>
              </w:rPr>
              <w:t>21.3</w:t>
            </w:r>
          </w:p>
        </w:tc>
        <w:tc>
          <w:tcPr>
            <w:tcW w:w="3643" w:type="dxa"/>
            <w:tcBorders>
              <w:left w:val="single" w:sz="4" w:space="0" w:color="000000"/>
              <w:right w:val="single" w:sz="4" w:space="0" w:color="000000"/>
            </w:tcBorders>
            <w:noWrap/>
            <w:vAlign w:val="bottom"/>
          </w:tcPr>
          <w:p w14:paraId="57943762" w14:textId="4EE2A719" w:rsidR="00CF0A2A" w:rsidRPr="00D83B87" w:rsidRDefault="00CF0A2A" w:rsidP="00CF0A2A">
            <w:pPr>
              <w:ind w:left="658" w:right="-85" w:hanging="357"/>
              <w:rPr>
                <w:rFonts w:cs="Arial"/>
                <w:bCs/>
                <w:i/>
              </w:rPr>
            </w:pPr>
            <w:r w:rsidRPr="00D83B87">
              <w:rPr>
                <w:rFonts w:cs="Arial"/>
                <w:i/>
              </w:rPr>
              <w:t>1.3</w:t>
            </w:r>
            <w:r>
              <w:rPr>
                <w:rFonts w:cs="Arial"/>
                <w:i/>
              </w:rPr>
              <w:tab/>
            </w:r>
            <w:r w:rsidRPr="00D00983">
              <w:rPr>
                <w:rFonts w:cs="Arial"/>
                <w:bCs/>
                <w:i/>
                <w:iCs/>
              </w:rPr>
              <w:t>Transaction costs for acquisition of financial assets at FVTPL</w:t>
            </w:r>
          </w:p>
        </w:tc>
        <w:tc>
          <w:tcPr>
            <w:tcW w:w="776" w:type="dxa"/>
            <w:tcBorders>
              <w:left w:val="single" w:sz="4" w:space="0" w:color="000000"/>
              <w:right w:val="single" w:sz="4" w:space="0" w:color="000000"/>
            </w:tcBorders>
            <w:noWrap/>
            <w:vAlign w:val="bottom"/>
          </w:tcPr>
          <w:p w14:paraId="6C1D8DBB" w14:textId="10A35910" w:rsidR="00CF0A2A" w:rsidRPr="003C222B" w:rsidRDefault="00CF0A2A" w:rsidP="00CF0A2A">
            <w:pPr>
              <w:ind w:left="-58" w:right="-58"/>
              <w:jc w:val="center"/>
              <w:rPr>
                <w:rFonts w:cs="Arial"/>
                <w:i/>
              </w:rPr>
            </w:pPr>
          </w:p>
        </w:tc>
        <w:tc>
          <w:tcPr>
            <w:tcW w:w="1881" w:type="dxa"/>
            <w:tcBorders>
              <w:left w:val="single" w:sz="4" w:space="0" w:color="000000"/>
              <w:right w:val="single" w:sz="4" w:space="0" w:color="000000"/>
            </w:tcBorders>
            <w:vAlign w:val="bottom"/>
          </w:tcPr>
          <w:p w14:paraId="44D324B0" w14:textId="483A69CC" w:rsidR="00CF0A2A" w:rsidRPr="00DB3DCF" w:rsidRDefault="00CF0A2A" w:rsidP="00CF0A2A">
            <w:pPr>
              <w:jc w:val="right"/>
              <w:rPr>
                <w:rFonts w:cs="Arial"/>
                <w:i/>
                <w:iCs/>
                <w:lang w:val="vi-VN"/>
              </w:rPr>
            </w:pPr>
            <w:r w:rsidRPr="00DB3DCF">
              <w:rPr>
                <w:i/>
                <w:iCs/>
              </w:rPr>
              <w:t>6</w:t>
            </w:r>
            <w:r w:rsidR="00BF5B0B">
              <w:rPr>
                <w:i/>
                <w:iCs/>
              </w:rPr>
              <w:t>,</w:t>
            </w:r>
            <w:r w:rsidRPr="00DB3DCF">
              <w:rPr>
                <w:i/>
                <w:iCs/>
              </w:rPr>
              <w:t>315</w:t>
            </w:r>
            <w:r w:rsidR="00BF5B0B">
              <w:rPr>
                <w:i/>
                <w:iCs/>
              </w:rPr>
              <w:t>,</w:t>
            </w:r>
            <w:r w:rsidRPr="00DB3DCF">
              <w:rPr>
                <w:i/>
                <w:iCs/>
              </w:rPr>
              <w:t xml:space="preserve">000 </w:t>
            </w:r>
          </w:p>
        </w:tc>
        <w:tc>
          <w:tcPr>
            <w:tcW w:w="1881" w:type="dxa"/>
            <w:tcBorders>
              <w:left w:val="single" w:sz="4" w:space="0" w:color="000000"/>
            </w:tcBorders>
            <w:noWrap/>
            <w:vAlign w:val="bottom"/>
          </w:tcPr>
          <w:p w14:paraId="73334130" w14:textId="34E63074" w:rsidR="00CF0A2A" w:rsidRPr="00DB3DCF" w:rsidRDefault="00CF0A2A" w:rsidP="00CF0A2A">
            <w:pPr>
              <w:jc w:val="right"/>
              <w:rPr>
                <w:rFonts w:cs="Arial"/>
                <w:i/>
                <w:iCs/>
                <w:lang w:val="vi-VN"/>
              </w:rPr>
            </w:pPr>
            <w:r w:rsidRPr="00DB3DCF">
              <w:rPr>
                <w:i/>
                <w:iCs/>
              </w:rPr>
              <w:t xml:space="preserve">- </w:t>
            </w:r>
          </w:p>
        </w:tc>
      </w:tr>
      <w:tr w:rsidR="00CF0A2A" w:rsidRPr="00871AD8" w14:paraId="58426A18" w14:textId="77777777" w:rsidTr="00CF0A2A">
        <w:tc>
          <w:tcPr>
            <w:tcW w:w="706" w:type="dxa"/>
            <w:tcBorders>
              <w:right w:val="single" w:sz="4" w:space="0" w:color="000000"/>
            </w:tcBorders>
            <w:noWrap/>
          </w:tcPr>
          <w:p w14:paraId="21A71288" w14:textId="708DF25F" w:rsidR="00CF0A2A" w:rsidRPr="00D83B87" w:rsidRDefault="00CF0A2A" w:rsidP="00CF0A2A">
            <w:pPr>
              <w:ind w:left="-58" w:right="-58"/>
              <w:jc w:val="center"/>
              <w:rPr>
                <w:rFonts w:cs="Arial"/>
                <w:bCs/>
              </w:rPr>
            </w:pPr>
            <w:r w:rsidRPr="00D83B87">
              <w:rPr>
                <w:rFonts w:cs="Arial"/>
                <w:bCs/>
              </w:rPr>
              <w:t>24</w:t>
            </w:r>
          </w:p>
        </w:tc>
        <w:tc>
          <w:tcPr>
            <w:tcW w:w="3643" w:type="dxa"/>
            <w:tcBorders>
              <w:left w:val="single" w:sz="4" w:space="0" w:color="000000"/>
              <w:right w:val="single" w:sz="4" w:space="0" w:color="000000"/>
            </w:tcBorders>
            <w:noWrap/>
            <w:vAlign w:val="bottom"/>
          </w:tcPr>
          <w:p w14:paraId="217EB2F7" w14:textId="6B9BE5AA" w:rsidR="00CF0A2A" w:rsidRPr="00D83B87" w:rsidRDefault="00CF0A2A" w:rsidP="00CF0A2A">
            <w:pPr>
              <w:ind w:left="302" w:hanging="360"/>
              <w:rPr>
                <w:rFonts w:cs="Arial"/>
              </w:rPr>
            </w:pPr>
            <w:r w:rsidRPr="00D83B87">
              <w:rPr>
                <w:rFonts w:cs="Arial"/>
              </w:rPr>
              <w:t>2.</w:t>
            </w:r>
            <w:r w:rsidRPr="00D83B87">
              <w:rPr>
                <w:rFonts w:cs="Arial"/>
              </w:rPr>
              <w:tab/>
            </w:r>
            <w:r w:rsidRPr="00B1630E">
              <w:rPr>
                <w:rFonts w:cs="Arial"/>
              </w:rPr>
              <w:t>Provision expenses for diminution in value and impairment of financial assets and doubtful debts, and interest expenses from borrowings</w:t>
            </w:r>
          </w:p>
        </w:tc>
        <w:tc>
          <w:tcPr>
            <w:tcW w:w="776" w:type="dxa"/>
            <w:tcBorders>
              <w:left w:val="single" w:sz="4" w:space="0" w:color="000000"/>
              <w:right w:val="single" w:sz="4" w:space="0" w:color="000000"/>
            </w:tcBorders>
            <w:noWrap/>
            <w:vAlign w:val="bottom"/>
          </w:tcPr>
          <w:p w14:paraId="14A4731E" w14:textId="77777777" w:rsidR="00CF0A2A" w:rsidRPr="003C222B" w:rsidRDefault="00CF0A2A" w:rsidP="00CF0A2A">
            <w:pPr>
              <w:ind w:left="-58" w:right="-58"/>
              <w:jc w:val="center"/>
              <w:rPr>
                <w:rFonts w:cs="Arial"/>
                <w:lang w:val="vi-VN"/>
              </w:rPr>
            </w:pPr>
          </w:p>
        </w:tc>
        <w:tc>
          <w:tcPr>
            <w:tcW w:w="1881" w:type="dxa"/>
            <w:tcBorders>
              <w:left w:val="single" w:sz="4" w:space="0" w:color="000000"/>
              <w:right w:val="single" w:sz="4" w:space="0" w:color="000000"/>
            </w:tcBorders>
            <w:vAlign w:val="bottom"/>
          </w:tcPr>
          <w:p w14:paraId="03E10105" w14:textId="391090E7" w:rsidR="00CF0A2A" w:rsidRPr="003C222B" w:rsidRDefault="00CF0A2A" w:rsidP="00CF0A2A">
            <w:pPr>
              <w:jc w:val="right"/>
              <w:rPr>
                <w:rFonts w:cs="Arial"/>
              </w:rPr>
            </w:pPr>
            <w:r w:rsidRPr="001E206B">
              <w:t xml:space="preserve">- </w:t>
            </w:r>
          </w:p>
        </w:tc>
        <w:tc>
          <w:tcPr>
            <w:tcW w:w="1881" w:type="dxa"/>
            <w:tcBorders>
              <w:left w:val="single" w:sz="4" w:space="0" w:color="000000"/>
            </w:tcBorders>
            <w:noWrap/>
            <w:vAlign w:val="bottom"/>
          </w:tcPr>
          <w:p w14:paraId="69F0DC5A" w14:textId="7FF8A86B" w:rsidR="00CF0A2A" w:rsidRPr="00D83B87" w:rsidRDefault="00CF0A2A" w:rsidP="00CF0A2A">
            <w:pPr>
              <w:jc w:val="right"/>
              <w:rPr>
                <w:rFonts w:cs="Arial"/>
                <w:bCs/>
              </w:rPr>
            </w:pPr>
            <w:r w:rsidRPr="001E206B">
              <w:t xml:space="preserve">- </w:t>
            </w:r>
          </w:p>
        </w:tc>
      </w:tr>
      <w:tr w:rsidR="00CF0A2A" w:rsidRPr="00871AD8" w14:paraId="63EA746F" w14:textId="77777777" w:rsidTr="00CF0A2A">
        <w:tc>
          <w:tcPr>
            <w:tcW w:w="706" w:type="dxa"/>
            <w:tcBorders>
              <w:right w:val="single" w:sz="4" w:space="0" w:color="000000"/>
            </w:tcBorders>
            <w:noWrap/>
          </w:tcPr>
          <w:p w14:paraId="5387B24A" w14:textId="26126B87" w:rsidR="00CF0A2A" w:rsidRPr="00D83B87" w:rsidRDefault="00CF0A2A" w:rsidP="00CF0A2A">
            <w:pPr>
              <w:ind w:left="-58" w:right="-58"/>
              <w:jc w:val="center"/>
              <w:rPr>
                <w:rFonts w:cs="Arial"/>
                <w:bCs/>
              </w:rPr>
            </w:pPr>
            <w:r w:rsidRPr="00D83B87">
              <w:rPr>
                <w:rFonts w:cs="Arial"/>
                <w:bCs/>
              </w:rPr>
              <w:t>26</w:t>
            </w:r>
          </w:p>
        </w:tc>
        <w:tc>
          <w:tcPr>
            <w:tcW w:w="3643" w:type="dxa"/>
            <w:tcBorders>
              <w:left w:val="single" w:sz="4" w:space="0" w:color="000000"/>
              <w:right w:val="single" w:sz="4" w:space="0" w:color="000000"/>
            </w:tcBorders>
            <w:noWrap/>
            <w:vAlign w:val="bottom"/>
          </w:tcPr>
          <w:p w14:paraId="17CF9CE6" w14:textId="0FC54F43" w:rsidR="00CF0A2A" w:rsidRPr="00D83B87" w:rsidRDefault="00CF0A2A" w:rsidP="00CF0A2A">
            <w:pPr>
              <w:ind w:left="302" w:hanging="360"/>
              <w:jc w:val="left"/>
              <w:rPr>
                <w:rFonts w:cs="Arial"/>
                <w:bCs/>
              </w:rPr>
            </w:pPr>
            <w:r w:rsidRPr="00D83B87">
              <w:rPr>
                <w:rFonts w:cs="Arial"/>
              </w:rPr>
              <w:t>3.</w:t>
            </w:r>
            <w:r w:rsidRPr="00D83B87">
              <w:rPr>
                <w:rFonts w:cs="Arial"/>
              </w:rPr>
              <w:tab/>
            </w:r>
            <w:r w:rsidRPr="00E41943">
              <w:rPr>
                <w:rFonts w:cs="Arial"/>
                <w:bCs/>
                <w:iCs/>
                <w:lang w:val="vi-VN"/>
              </w:rPr>
              <w:t>Expenses for proprietary trading activities</w:t>
            </w:r>
          </w:p>
        </w:tc>
        <w:tc>
          <w:tcPr>
            <w:tcW w:w="776" w:type="dxa"/>
            <w:tcBorders>
              <w:left w:val="single" w:sz="4" w:space="0" w:color="000000"/>
              <w:right w:val="single" w:sz="4" w:space="0" w:color="000000"/>
            </w:tcBorders>
            <w:noWrap/>
            <w:vAlign w:val="bottom"/>
          </w:tcPr>
          <w:p w14:paraId="12C2D922" w14:textId="77777777" w:rsidR="00CF0A2A" w:rsidRPr="003C222B" w:rsidRDefault="00CF0A2A" w:rsidP="00CF0A2A">
            <w:pPr>
              <w:ind w:left="-58" w:right="-58"/>
              <w:jc w:val="center"/>
              <w:rPr>
                <w:rFonts w:cs="Arial"/>
                <w:lang w:val="vi-VN"/>
              </w:rPr>
            </w:pPr>
          </w:p>
        </w:tc>
        <w:tc>
          <w:tcPr>
            <w:tcW w:w="1881" w:type="dxa"/>
            <w:tcBorders>
              <w:left w:val="single" w:sz="4" w:space="0" w:color="000000"/>
              <w:right w:val="single" w:sz="4" w:space="0" w:color="000000"/>
            </w:tcBorders>
            <w:vAlign w:val="bottom"/>
          </w:tcPr>
          <w:p w14:paraId="58109BF5" w14:textId="574A51AC" w:rsidR="00CF0A2A" w:rsidRPr="003C222B" w:rsidRDefault="00CF0A2A" w:rsidP="00CF0A2A">
            <w:pPr>
              <w:jc w:val="right"/>
              <w:rPr>
                <w:rFonts w:cs="Arial"/>
              </w:rPr>
            </w:pPr>
            <w:r w:rsidRPr="001E206B">
              <w:t>20</w:t>
            </w:r>
            <w:r w:rsidR="00BF5B0B">
              <w:t>,</w:t>
            </w:r>
            <w:r w:rsidRPr="001E206B">
              <w:t>000</w:t>
            </w:r>
            <w:r w:rsidR="00BF5B0B">
              <w:t>,</w:t>
            </w:r>
            <w:r w:rsidRPr="001E206B">
              <w:t xml:space="preserve">000 </w:t>
            </w:r>
          </w:p>
        </w:tc>
        <w:tc>
          <w:tcPr>
            <w:tcW w:w="1881" w:type="dxa"/>
            <w:tcBorders>
              <w:left w:val="single" w:sz="4" w:space="0" w:color="000000"/>
            </w:tcBorders>
            <w:noWrap/>
            <w:vAlign w:val="bottom"/>
          </w:tcPr>
          <w:p w14:paraId="103BDF19" w14:textId="127520CE" w:rsidR="00CF0A2A" w:rsidRPr="003C222B" w:rsidRDefault="00CF0A2A" w:rsidP="00CF0A2A">
            <w:pPr>
              <w:jc w:val="right"/>
              <w:rPr>
                <w:rFonts w:cs="Arial"/>
              </w:rPr>
            </w:pPr>
            <w:r w:rsidRPr="001E206B">
              <w:t>30</w:t>
            </w:r>
            <w:r w:rsidR="00BF5B0B">
              <w:t>,</w:t>
            </w:r>
            <w:r w:rsidRPr="001E206B">
              <w:t>000</w:t>
            </w:r>
            <w:r w:rsidR="00BF5B0B">
              <w:t>,</w:t>
            </w:r>
            <w:r w:rsidRPr="001E206B">
              <w:t xml:space="preserve">000 </w:t>
            </w:r>
          </w:p>
        </w:tc>
      </w:tr>
      <w:tr w:rsidR="00CF0A2A" w:rsidRPr="00871AD8" w14:paraId="4140A742" w14:textId="77777777" w:rsidTr="00CF0A2A">
        <w:tc>
          <w:tcPr>
            <w:tcW w:w="706" w:type="dxa"/>
            <w:tcBorders>
              <w:right w:val="single" w:sz="4" w:space="0" w:color="000000"/>
            </w:tcBorders>
            <w:noWrap/>
          </w:tcPr>
          <w:p w14:paraId="2C96DAC9" w14:textId="2E69DBC3" w:rsidR="00CF0A2A" w:rsidRPr="00D83B87" w:rsidRDefault="00CF0A2A" w:rsidP="00CF0A2A">
            <w:pPr>
              <w:ind w:left="-58" w:right="-58"/>
              <w:jc w:val="center"/>
              <w:rPr>
                <w:rFonts w:cs="Arial"/>
                <w:bCs/>
              </w:rPr>
            </w:pPr>
            <w:r w:rsidRPr="00D83B87">
              <w:rPr>
                <w:rFonts w:cs="Arial"/>
                <w:bCs/>
              </w:rPr>
              <w:t>27</w:t>
            </w:r>
          </w:p>
        </w:tc>
        <w:tc>
          <w:tcPr>
            <w:tcW w:w="3643" w:type="dxa"/>
            <w:tcBorders>
              <w:left w:val="single" w:sz="4" w:space="0" w:color="000000"/>
              <w:right w:val="single" w:sz="4" w:space="0" w:color="000000"/>
            </w:tcBorders>
            <w:noWrap/>
            <w:vAlign w:val="bottom"/>
          </w:tcPr>
          <w:p w14:paraId="3254217E" w14:textId="72DF764B" w:rsidR="00CF0A2A" w:rsidRPr="0025211E" w:rsidRDefault="00CF0A2A" w:rsidP="00CF0A2A">
            <w:pPr>
              <w:ind w:left="302" w:hanging="360"/>
              <w:rPr>
                <w:rFonts w:cs="Arial"/>
                <w:bCs/>
              </w:rPr>
            </w:pPr>
            <w:r w:rsidRPr="00D83B87">
              <w:rPr>
                <w:rFonts w:cs="Arial"/>
              </w:rPr>
              <w:t>4.</w:t>
            </w:r>
            <w:r w:rsidRPr="00D83B87">
              <w:rPr>
                <w:rFonts w:cs="Arial"/>
              </w:rPr>
              <w:tab/>
            </w:r>
            <w:r w:rsidRPr="00097DE2">
              <w:rPr>
                <w:rFonts w:cs="Arial"/>
                <w:lang w:val="vi-VN"/>
              </w:rPr>
              <w:t>Expenses for brokerage services</w:t>
            </w:r>
          </w:p>
        </w:tc>
        <w:tc>
          <w:tcPr>
            <w:tcW w:w="776" w:type="dxa"/>
            <w:tcBorders>
              <w:left w:val="single" w:sz="4" w:space="0" w:color="000000"/>
              <w:right w:val="single" w:sz="4" w:space="0" w:color="000000"/>
            </w:tcBorders>
            <w:noWrap/>
            <w:vAlign w:val="bottom"/>
          </w:tcPr>
          <w:p w14:paraId="6095BBC2" w14:textId="659C7E9F" w:rsidR="00CF0A2A" w:rsidRPr="003C222B" w:rsidRDefault="00CF0A2A" w:rsidP="00CF0A2A">
            <w:pPr>
              <w:ind w:left="-58" w:right="-58"/>
              <w:jc w:val="center"/>
              <w:rPr>
                <w:rFonts w:cs="Arial"/>
              </w:rPr>
            </w:pPr>
            <w:r w:rsidRPr="003C222B">
              <w:rPr>
                <w:rFonts w:cs="Arial"/>
              </w:rPr>
              <w:t>2</w:t>
            </w:r>
            <w:r>
              <w:rPr>
                <w:rFonts w:cs="Arial"/>
              </w:rPr>
              <w:t>1</w:t>
            </w:r>
          </w:p>
        </w:tc>
        <w:tc>
          <w:tcPr>
            <w:tcW w:w="1881" w:type="dxa"/>
            <w:tcBorders>
              <w:left w:val="single" w:sz="4" w:space="0" w:color="000000"/>
              <w:right w:val="single" w:sz="4" w:space="0" w:color="000000"/>
            </w:tcBorders>
            <w:vAlign w:val="bottom"/>
          </w:tcPr>
          <w:p w14:paraId="6B50EB46" w14:textId="56A8DA0A" w:rsidR="00CF0A2A" w:rsidRPr="003C222B" w:rsidRDefault="00CF0A2A" w:rsidP="00CF0A2A">
            <w:pPr>
              <w:jc w:val="right"/>
              <w:rPr>
                <w:rFonts w:cs="Arial"/>
              </w:rPr>
            </w:pPr>
            <w:r w:rsidRPr="001E206B">
              <w:t>49</w:t>
            </w:r>
            <w:r w:rsidR="00BF5B0B">
              <w:t>,</w:t>
            </w:r>
            <w:r w:rsidRPr="001E206B">
              <w:t>231</w:t>
            </w:r>
            <w:r w:rsidR="00BF5B0B">
              <w:t>,</w:t>
            </w:r>
            <w:r w:rsidRPr="001E206B">
              <w:t>820</w:t>
            </w:r>
            <w:r w:rsidR="00BF5B0B">
              <w:t>,</w:t>
            </w:r>
            <w:r w:rsidRPr="001E206B">
              <w:t xml:space="preserve">606 </w:t>
            </w:r>
          </w:p>
        </w:tc>
        <w:tc>
          <w:tcPr>
            <w:tcW w:w="1881" w:type="dxa"/>
            <w:tcBorders>
              <w:left w:val="single" w:sz="4" w:space="0" w:color="000000"/>
            </w:tcBorders>
            <w:noWrap/>
            <w:vAlign w:val="bottom"/>
          </w:tcPr>
          <w:p w14:paraId="1A5EC88E" w14:textId="149658A9" w:rsidR="00CF0A2A" w:rsidRPr="003C222B" w:rsidRDefault="00CF0A2A" w:rsidP="00CF0A2A">
            <w:pPr>
              <w:jc w:val="right"/>
              <w:rPr>
                <w:rFonts w:cs="Arial"/>
              </w:rPr>
            </w:pPr>
            <w:r w:rsidRPr="001E206B">
              <w:t>66</w:t>
            </w:r>
            <w:r w:rsidR="00BF5B0B">
              <w:t>,</w:t>
            </w:r>
            <w:r w:rsidRPr="001E206B">
              <w:t>035</w:t>
            </w:r>
            <w:r w:rsidR="00BF5B0B">
              <w:t>,</w:t>
            </w:r>
            <w:r w:rsidRPr="001E206B">
              <w:t>992</w:t>
            </w:r>
            <w:r w:rsidR="00BF5B0B">
              <w:t>,</w:t>
            </w:r>
            <w:r w:rsidRPr="001E206B">
              <w:t xml:space="preserve">076 </w:t>
            </w:r>
          </w:p>
        </w:tc>
      </w:tr>
      <w:tr w:rsidR="00CF0A2A" w:rsidRPr="00871AD8" w14:paraId="1D93D745" w14:textId="77777777" w:rsidTr="00CF0A2A">
        <w:tc>
          <w:tcPr>
            <w:tcW w:w="706" w:type="dxa"/>
            <w:tcBorders>
              <w:right w:val="single" w:sz="4" w:space="0" w:color="000000"/>
            </w:tcBorders>
            <w:noWrap/>
          </w:tcPr>
          <w:p w14:paraId="121DE36A" w14:textId="5154D9EF" w:rsidR="00CF0A2A" w:rsidRPr="00D62A65" w:rsidRDefault="00CF0A2A" w:rsidP="00CF0A2A">
            <w:pPr>
              <w:ind w:left="-58" w:right="-58"/>
              <w:jc w:val="center"/>
              <w:rPr>
                <w:rFonts w:cs="Arial"/>
                <w:bCs/>
              </w:rPr>
            </w:pPr>
            <w:r w:rsidRPr="00D62A65">
              <w:rPr>
                <w:rFonts w:cs="Arial"/>
                <w:bCs/>
              </w:rPr>
              <w:t>28</w:t>
            </w:r>
          </w:p>
        </w:tc>
        <w:tc>
          <w:tcPr>
            <w:tcW w:w="3643" w:type="dxa"/>
            <w:tcBorders>
              <w:left w:val="single" w:sz="4" w:space="0" w:color="000000"/>
              <w:right w:val="single" w:sz="4" w:space="0" w:color="000000"/>
            </w:tcBorders>
            <w:noWrap/>
            <w:vAlign w:val="bottom"/>
          </w:tcPr>
          <w:p w14:paraId="1FAA19F3" w14:textId="3A3CE04F" w:rsidR="00CF0A2A" w:rsidRPr="00D33812" w:rsidRDefault="00CF0A2A" w:rsidP="00CF0A2A">
            <w:pPr>
              <w:ind w:left="302" w:hanging="360"/>
              <w:jc w:val="left"/>
              <w:rPr>
                <w:rFonts w:cs="Arial"/>
              </w:rPr>
            </w:pPr>
            <w:r w:rsidRPr="00D62A65">
              <w:rPr>
                <w:rFonts w:cs="Arial"/>
              </w:rPr>
              <w:t>5.</w:t>
            </w:r>
            <w:r w:rsidRPr="00D62A65">
              <w:rPr>
                <w:rFonts w:cs="Arial"/>
              </w:rPr>
              <w:tab/>
            </w:r>
            <w:r w:rsidRPr="000B371E">
              <w:rPr>
                <w:rFonts w:cs="Arial"/>
              </w:rPr>
              <w:t>Expenses for securities underwriting, issuance agency services</w:t>
            </w:r>
          </w:p>
        </w:tc>
        <w:tc>
          <w:tcPr>
            <w:tcW w:w="776" w:type="dxa"/>
            <w:tcBorders>
              <w:left w:val="single" w:sz="4" w:space="0" w:color="000000"/>
              <w:right w:val="single" w:sz="4" w:space="0" w:color="000000"/>
            </w:tcBorders>
            <w:noWrap/>
            <w:vAlign w:val="bottom"/>
          </w:tcPr>
          <w:p w14:paraId="5BB23AD8" w14:textId="77777777" w:rsidR="00CF0A2A" w:rsidRPr="00D33812" w:rsidRDefault="00CF0A2A" w:rsidP="00CF0A2A">
            <w:pPr>
              <w:ind w:left="-58" w:right="-58"/>
              <w:jc w:val="center"/>
              <w:rPr>
                <w:rFonts w:cs="Arial"/>
              </w:rPr>
            </w:pPr>
          </w:p>
        </w:tc>
        <w:tc>
          <w:tcPr>
            <w:tcW w:w="1881" w:type="dxa"/>
            <w:tcBorders>
              <w:left w:val="single" w:sz="4" w:space="0" w:color="000000"/>
              <w:right w:val="single" w:sz="4" w:space="0" w:color="000000"/>
            </w:tcBorders>
            <w:vAlign w:val="bottom"/>
          </w:tcPr>
          <w:p w14:paraId="5F8859D1" w14:textId="1A4B07F3" w:rsidR="00CF0A2A" w:rsidRPr="00D33812" w:rsidRDefault="00CF0A2A" w:rsidP="00CF0A2A">
            <w:pPr>
              <w:jc w:val="right"/>
              <w:rPr>
                <w:rFonts w:cs="Arial"/>
              </w:rPr>
            </w:pPr>
            <w:r w:rsidRPr="001E206B">
              <w:t>40</w:t>
            </w:r>
            <w:r w:rsidR="00BF5B0B">
              <w:t>,</w:t>
            </w:r>
            <w:r w:rsidRPr="001E206B">
              <w:t>800</w:t>
            </w:r>
            <w:r w:rsidR="00BF5B0B">
              <w:t>,</w:t>
            </w:r>
            <w:r w:rsidRPr="001E206B">
              <w:t>000</w:t>
            </w:r>
          </w:p>
        </w:tc>
        <w:tc>
          <w:tcPr>
            <w:tcW w:w="1881" w:type="dxa"/>
            <w:tcBorders>
              <w:left w:val="single" w:sz="4" w:space="0" w:color="000000"/>
            </w:tcBorders>
            <w:noWrap/>
            <w:vAlign w:val="bottom"/>
          </w:tcPr>
          <w:p w14:paraId="0CEA8F9B" w14:textId="16457A61" w:rsidR="00CF0A2A" w:rsidRPr="00D33812" w:rsidRDefault="00CF0A2A" w:rsidP="00CF0A2A">
            <w:pPr>
              <w:jc w:val="right"/>
              <w:rPr>
                <w:rFonts w:cs="Arial"/>
                <w:bCs/>
              </w:rPr>
            </w:pPr>
            <w:r w:rsidRPr="001E206B">
              <w:t>194</w:t>
            </w:r>
            <w:r w:rsidR="00BF5B0B">
              <w:t>,</w:t>
            </w:r>
            <w:r w:rsidRPr="001E206B">
              <w:t>940</w:t>
            </w:r>
            <w:r w:rsidR="00BF5B0B">
              <w:t>,</w:t>
            </w:r>
            <w:r w:rsidRPr="001E206B">
              <w:t>000</w:t>
            </w:r>
          </w:p>
        </w:tc>
      </w:tr>
      <w:tr w:rsidR="00CF0A2A" w:rsidRPr="00871AD8" w14:paraId="0A445A6D" w14:textId="77777777" w:rsidTr="00CF0A2A">
        <w:tc>
          <w:tcPr>
            <w:tcW w:w="706" w:type="dxa"/>
            <w:tcBorders>
              <w:right w:val="single" w:sz="4" w:space="0" w:color="000000"/>
            </w:tcBorders>
            <w:noWrap/>
          </w:tcPr>
          <w:p w14:paraId="37FC94A8" w14:textId="3D6BF5FD" w:rsidR="00CF0A2A" w:rsidRPr="00D83B87" w:rsidRDefault="00CF0A2A" w:rsidP="00CF0A2A">
            <w:pPr>
              <w:ind w:left="-58" w:right="-58"/>
              <w:jc w:val="center"/>
              <w:rPr>
                <w:rFonts w:cs="Arial"/>
                <w:bCs/>
              </w:rPr>
            </w:pPr>
            <w:r w:rsidRPr="00D83B87">
              <w:rPr>
                <w:rFonts w:cs="Arial"/>
                <w:bCs/>
              </w:rPr>
              <w:t>30</w:t>
            </w:r>
          </w:p>
        </w:tc>
        <w:tc>
          <w:tcPr>
            <w:tcW w:w="3643" w:type="dxa"/>
            <w:tcBorders>
              <w:left w:val="single" w:sz="4" w:space="0" w:color="000000"/>
              <w:right w:val="single" w:sz="4" w:space="0" w:color="000000"/>
            </w:tcBorders>
            <w:noWrap/>
            <w:vAlign w:val="bottom"/>
          </w:tcPr>
          <w:p w14:paraId="6FDFB7FC" w14:textId="7A836323" w:rsidR="00CF0A2A" w:rsidRPr="00074A90" w:rsidRDefault="00CF0A2A" w:rsidP="00CF0A2A">
            <w:pPr>
              <w:ind w:left="302" w:right="-86" w:hanging="360"/>
              <w:jc w:val="left"/>
              <w:rPr>
                <w:rFonts w:cs="Arial"/>
                <w:bCs/>
                <w:spacing w:val="-4"/>
              </w:rPr>
            </w:pPr>
            <w:r>
              <w:rPr>
                <w:rFonts w:cs="Arial"/>
                <w:spacing w:val="-4"/>
              </w:rPr>
              <w:t>6</w:t>
            </w:r>
            <w:r w:rsidRPr="00074A90">
              <w:rPr>
                <w:rFonts w:cs="Arial"/>
                <w:spacing w:val="-4"/>
              </w:rPr>
              <w:t>.</w:t>
            </w:r>
            <w:r w:rsidRPr="00074A90">
              <w:rPr>
                <w:rFonts w:cs="Arial"/>
                <w:spacing w:val="-4"/>
              </w:rPr>
              <w:tab/>
            </w:r>
            <w:r w:rsidRPr="00262749">
              <w:rPr>
                <w:rFonts w:cs="Arial"/>
                <w:spacing w:val="-4"/>
                <w:lang w:val="vi-VN"/>
              </w:rPr>
              <w:t>Expenses for securities depository services</w:t>
            </w:r>
          </w:p>
        </w:tc>
        <w:tc>
          <w:tcPr>
            <w:tcW w:w="776" w:type="dxa"/>
            <w:tcBorders>
              <w:left w:val="single" w:sz="4" w:space="0" w:color="000000"/>
              <w:right w:val="single" w:sz="4" w:space="0" w:color="000000"/>
            </w:tcBorders>
            <w:noWrap/>
            <w:vAlign w:val="bottom"/>
          </w:tcPr>
          <w:p w14:paraId="74A23F45" w14:textId="77777777" w:rsidR="00CF0A2A" w:rsidRPr="003C222B" w:rsidRDefault="00CF0A2A" w:rsidP="00CF0A2A">
            <w:pPr>
              <w:ind w:left="-58" w:right="-58"/>
              <w:jc w:val="center"/>
              <w:rPr>
                <w:rFonts w:cs="Arial"/>
                <w:lang w:val="vi-VN"/>
              </w:rPr>
            </w:pPr>
          </w:p>
        </w:tc>
        <w:tc>
          <w:tcPr>
            <w:tcW w:w="1881" w:type="dxa"/>
            <w:tcBorders>
              <w:left w:val="single" w:sz="4" w:space="0" w:color="000000"/>
              <w:right w:val="single" w:sz="4" w:space="0" w:color="000000"/>
            </w:tcBorders>
            <w:vAlign w:val="bottom"/>
          </w:tcPr>
          <w:p w14:paraId="0F623CAB" w14:textId="1F8F3BDE" w:rsidR="00CF0A2A" w:rsidRPr="003C222B" w:rsidRDefault="00CF0A2A" w:rsidP="00CF0A2A">
            <w:pPr>
              <w:jc w:val="right"/>
              <w:rPr>
                <w:rFonts w:cs="Arial"/>
              </w:rPr>
            </w:pPr>
            <w:r w:rsidRPr="001E206B">
              <w:t>505</w:t>
            </w:r>
            <w:r w:rsidR="00BF5B0B">
              <w:t>,</w:t>
            </w:r>
            <w:r w:rsidRPr="001E206B">
              <w:t>808</w:t>
            </w:r>
            <w:r w:rsidR="00BF5B0B">
              <w:t>,</w:t>
            </w:r>
            <w:r w:rsidRPr="001E206B">
              <w:t xml:space="preserve">743 </w:t>
            </w:r>
          </w:p>
        </w:tc>
        <w:tc>
          <w:tcPr>
            <w:tcW w:w="1881" w:type="dxa"/>
            <w:tcBorders>
              <w:left w:val="single" w:sz="4" w:space="0" w:color="000000"/>
            </w:tcBorders>
            <w:noWrap/>
            <w:vAlign w:val="bottom"/>
          </w:tcPr>
          <w:p w14:paraId="46BE36AD" w14:textId="1D69EFDB" w:rsidR="00CF0A2A" w:rsidRPr="003C222B" w:rsidRDefault="00CF0A2A" w:rsidP="00CF0A2A">
            <w:pPr>
              <w:jc w:val="right"/>
              <w:rPr>
                <w:rFonts w:cs="Arial"/>
              </w:rPr>
            </w:pPr>
            <w:r w:rsidRPr="001E206B">
              <w:t>490</w:t>
            </w:r>
            <w:r w:rsidR="00BF5B0B">
              <w:t>,</w:t>
            </w:r>
            <w:r w:rsidRPr="001E206B">
              <w:t>199</w:t>
            </w:r>
            <w:r w:rsidR="00BF5B0B">
              <w:t>,</w:t>
            </w:r>
            <w:r w:rsidRPr="001E206B">
              <w:t xml:space="preserve">024 </w:t>
            </w:r>
          </w:p>
        </w:tc>
      </w:tr>
      <w:tr w:rsidR="00CF0A2A" w:rsidRPr="00871AD8" w14:paraId="0BBEC824" w14:textId="77777777" w:rsidTr="00CF0A2A">
        <w:tc>
          <w:tcPr>
            <w:tcW w:w="706" w:type="dxa"/>
            <w:tcBorders>
              <w:right w:val="single" w:sz="4" w:space="0" w:color="000000"/>
            </w:tcBorders>
            <w:noWrap/>
          </w:tcPr>
          <w:p w14:paraId="5DEE5208" w14:textId="3F72BCF0" w:rsidR="00CF0A2A" w:rsidRPr="00D83B87" w:rsidRDefault="00CF0A2A" w:rsidP="00CF0A2A">
            <w:pPr>
              <w:ind w:left="-58" w:right="-58"/>
              <w:jc w:val="center"/>
              <w:rPr>
                <w:rFonts w:cs="Arial"/>
                <w:bCs/>
              </w:rPr>
            </w:pPr>
            <w:r w:rsidRPr="00D83B87">
              <w:rPr>
                <w:rFonts w:cs="Arial"/>
                <w:bCs/>
              </w:rPr>
              <w:t>31</w:t>
            </w:r>
          </w:p>
        </w:tc>
        <w:tc>
          <w:tcPr>
            <w:tcW w:w="3643" w:type="dxa"/>
            <w:tcBorders>
              <w:left w:val="single" w:sz="4" w:space="0" w:color="000000"/>
              <w:right w:val="single" w:sz="4" w:space="0" w:color="000000"/>
            </w:tcBorders>
            <w:noWrap/>
            <w:vAlign w:val="bottom"/>
          </w:tcPr>
          <w:p w14:paraId="1ACDEFA0" w14:textId="73835827" w:rsidR="00CF0A2A" w:rsidRPr="00D83B87" w:rsidRDefault="00CF0A2A" w:rsidP="00CF0A2A">
            <w:pPr>
              <w:ind w:left="302" w:hanging="360"/>
              <w:jc w:val="left"/>
              <w:rPr>
                <w:rFonts w:cs="Arial"/>
                <w:bCs/>
              </w:rPr>
            </w:pPr>
            <w:r>
              <w:rPr>
                <w:rFonts w:cs="Arial"/>
              </w:rPr>
              <w:t>7</w:t>
            </w:r>
            <w:r w:rsidRPr="00D83B87">
              <w:rPr>
                <w:rFonts w:cs="Arial"/>
              </w:rPr>
              <w:t>.</w:t>
            </w:r>
            <w:r w:rsidRPr="00D83B87">
              <w:rPr>
                <w:rFonts w:cs="Arial"/>
              </w:rPr>
              <w:tab/>
            </w:r>
            <w:r w:rsidRPr="00E4301F">
              <w:rPr>
                <w:rFonts w:cs="Arial"/>
                <w:lang w:val="vi-VN"/>
              </w:rPr>
              <w:t>Expenses for financial advisory services</w:t>
            </w:r>
          </w:p>
        </w:tc>
        <w:tc>
          <w:tcPr>
            <w:tcW w:w="776" w:type="dxa"/>
            <w:tcBorders>
              <w:left w:val="single" w:sz="4" w:space="0" w:color="000000"/>
              <w:right w:val="single" w:sz="4" w:space="0" w:color="000000"/>
            </w:tcBorders>
            <w:noWrap/>
            <w:vAlign w:val="bottom"/>
          </w:tcPr>
          <w:p w14:paraId="696E841F" w14:textId="77777777" w:rsidR="00CF0A2A" w:rsidRPr="003C222B" w:rsidRDefault="00CF0A2A" w:rsidP="00CF0A2A">
            <w:pPr>
              <w:ind w:left="-58" w:right="-58"/>
              <w:jc w:val="center"/>
              <w:rPr>
                <w:rFonts w:cs="Arial"/>
                <w:lang w:val="vi-VN"/>
              </w:rPr>
            </w:pPr>
          </w:p>
        </w:tc>
        <w:tc>
          <w:tcPr>
            <w:tcW w:w="1881" w:type="dxa"/>
            <w:tcBorders>
              <w:left w:val="single" w:sz="4" w:space="0" w:color="000000"/>
              <w:right w:val="single" w:sz="4" w:space="0" w:color="000000"/>
            </w:tcBorders>
            <w:vAlign w:val="bottom"/>
          </w:tcPr>
          <w:p w14:paraId="4FCF7F8A" w14:textId="5C3CFEF8" w:rsidR="00CF0A2A" w:rsidRPr="003C222B" w:rsidRDefault="00CF0A2A" w:rsidP="00CF0A2A">
            <w:pPr>
              <w:jc w:val="right"/>
              <w:rPr>
                <w:rFonts w:cs="Arial"/>
              </w:rPr>
            </w:pPr>
            <w:r w:rsidRPr="001E206B">
              <w:t xml:space="preserve">- </w:t>
            </w:r>
          </w:p>
        </w:tc>
        <w:tc>
          <w:tcPr>
            <w:tcW w:w="1881" w:type="dxa"/>
            <w:tcBorders>
              <w:left w:val="single" w:sz="4" w:space="0" w:color="000000"/>
            </w:tcBorders>
            <w:noWrap/>
            <w:vAlign w:val="bottom"/>
          </w:tcPr>
          <w:p w14:paraId="665CA8A6" w14:textId="603F7016" w:rsidR="00CF0A2A" w:rsidRPr="003C222B" w:rsidRDefault="00CF0A2A" w:rsidP="00CF0A2A">
            <w:pPr>
              <w:jc w:val="right"/>
              <w:rPr>
                <w:rFonts w:cs="Arial"/>
              </w:rPr>
            </w:pPr>
            <w:r w:rsidRPr="001E206B">
              <w:t xml:space="preserve">- </w:t>
            </w:r>
          </w:p>
        </w:tc>
      </w:tr>
      <w:tr w:rsidR="00CF0A2A" w:rsidRPr="00871AD8" w14:paraId="064F96AB" w14:textId="77777777" w:rsidTr="00CF0A2A">
        <w:tc>
          <w:tcPr>
            <w:tcW w:w="706" w:type="dxa"/>
            <w:tcBorders>
              <w:top w:val="nil"/>
              <w:bottom w:val="nil"/>
              <w:right w:val="single" w:sz="4" w:space="0" w:color="000000"/>
            </w:tcBorders>
            <w:noWrap/>
          </w:tcPr>
          <w:p w14:paraId="2EA14E8F" w14:textId="528D00AE" w:rsidR="00CF0A2A" w:rsidRPr="00D83B87" w:rsidRDefault="00CF0A2A" w:rsidP="00CF0A2A">
            <w:pPr>
              <w:spacing w:before="120"/>
              <w:ind w:left="-58" w:right="-58"/>
              <w:jc w:val="center"/>
              <w:rPr>
                <w:rFonts w:cs="Arial"/>
                <w:b/>
                <w:bCs/>
              </w:rPr>
            </w:pPr>
            <w:r w:rsidRPr="00D83B87">
              <w:rPr>
                <w:rFonts w:cs="Arial"/>
                <w:b/>
                <w:bCs/>
              </w:rPr>
              <w:t>40</w:t>
            </w:r>
          </w:p>
        </w:tc>
        <w:tc>
          <w:tcPr>
            <w:tcW w:w="3643" w:type="dxa"/>
            <w:tcBorders>
              <w:top w:val="nil"/>
              <w:left w:val="single" w:sz="4" w:space="0" w:color="000000"/>
              <w:bottom w:val="nil"/>
              <w:right w:val="single" w:sz="4" w:space="0" w:color="000000"/>
            </w:tcBorders>
            <w:noWrap/>
            <w:vAlign w:val="bottom"/>
          </w:tcPr>
          <w:p w14:paraId="7D4F7FD0" w14:textId="73414B01" w:rsidR="00CF0A2A" w:rsidRPr="00D83B87" w:rsidRDefault="00CF0A2A" w:rsidP="00CF0A2A">
            <w:pPr>
              <w:spacing w:before="120"/>
              <w:ind w:left="302" w:hanging="360"/>
              <w:rPr>
                <w:rFonts w:cs="Arial"/>
                <w:bCs/>
              </w:rPr>
            </w:pPr>
            <w:r w:rsidRPr="00864EAD">
              <w:rPr>
                <w:rFonts w:cs="Arial"/>
                <w:b/>
                <w:bCs/>
              </w:rPr>
              <w:t>Total operating expenses</w:t>
            </w:r>
          </w:p>
        </w:tc>
        <w:tc>
          <w:tcPr>
            <w:tcW w:w="776" w:type="dxa"/>
            <w:tcBorders>
              <w:top w:val="nil"/>
              <w:left w:val="single" w:sz="4" w:space="0" w:color="000000"/>
              <w:bottom w:val="nil"/>
              <w:right w:val="single" w:sz="4" w:space="0" w:color="000000"/>
            </w:tcBorders>
            <w:noWrap/>
            <w:vAlign w:val="bottom"/>
          </w:tcPr>
          <w:p w14:paraId="6DE753C8" w14:textId="77777777" w:rsidR="00CF0A2A" w:rsidRPr="003C222B" w:rsidRDefault="00CF0A2A" w:rsidP="00CF0A2A">
            <w:pPr>
              <w:spacing w:before="120"/>
              <w:ind w:left="-58" w:right="-58"/>
              <w:jc w:val="center"/>
              <w:rPr>
                <w:rFonts w:cs="Arial"/>
                <w:lang w:val="vi-VN"/>
              </w:rPr>
            </w:pPr>
          </w:p>
        </w:tc>
        <w:tc>
          <w:tcPr>
            <w:tcW w:w="1881" w:type="dxa"/>
            <w:tcBorders>
              <w:top w:val="nil"/>
              <w:left w:val="single" w:sz="4" w:space="0" w:color="000000"/>
              <w:bottom w:val="nil"/>
              <w:right w:val="single" w:sz="4" w:space="0" w:color="000000"/>
            </w:tcBorders>
            <w:vAlign w:val="bottom"/>
          </w:tcPr>
          <w:p w14:paraId="5E861E5C" w14:textId="0B6B2E4A" w:rsidR="00CF0A2A" w:rsidRPr="00CF0A2A" w:rsidRDefault="00CF0A2A" w:rsidP="00CF0A2A">
            <w:pPr>
              <w:spacing w:before="120"/>
              <w:jc w:val="right"/>
              <w:rPr>
                <w:rFonts w:cs="Arial"/>
                <w:b/>
                <w:bCs/>
              </w:rPr>
            </w:pPr>
            <w:r w:rsidRPr="00CF0A2A">
              <w:rPr>
                <w:b/>
                <w:bCs/>
              </w:rPr>
              <w:t>50</w:t>
            </w:r>
            <w:r w:rsidR="00BF5B0B">
              <w:rPr>
                <w:b/>
                <w:bCs/>
              </w:rPr>
              <w:t>,</w:t>
            </w:r>
            <w:r w:rsidRPr="00CF0A2A">
              <w:rPr>
                <w:b/>
                <w:bCs/>
              </w:rPr>
              <w:t>326</w:t>
            </w:r>
            <w:r w:rsidR="00BF5B0B">
              <w:rPr>
                <w:b/>
                <w:bCs/>
              </w:rPr>
              <w:t>,</w:t>
            </w:r>
            <w:r w:rsidRPr="00CF0A2A">
              <w:rPr>
                <w:b/>
                <w:bCs/>
              </w:rPr>
              <w:t>188</w:t>
            </w:r>
            <w:r w:rsidR="00BF5B0B">
              <w:rPr>
                <w:b/>
                <w:bCs/>
              </w:rPr>
              <w:t>,</w:t>
            </w:r>
            <w:r w:rsidRPr="00CF0A2A">
              <w:rPr>
                <w:b/>
                <w:bCs/>
              </w:rPr>
              <w:t>439</w:t>
            </w:r>
          </w:p>
        </w:tc>
        <w:tc>
          <w:tcPr>
            <w:tcW w:w="1881" w:type="dxa"/>
            <w:tcBorders>
              <w:top w:val="nil"/>
              <w:left w:val="single" w:sz="4" w:space="0" w:color="000000"/>
              <w:bottom w:val="nil"/>
            </w:tcBorders>
            <w:noWrap/>
            <w:vAlign w:val="bottom"/>
          </w:tcPr>
          <w:p w14:paraId="5A478F41" w14:textId="659D4EC8" w:rsidR="00CF0A2A" w:rsidRPr="00CF0A2A" w:rsidRDefault="00CF0A2A" w:rsidP="00CF0A2A">
            <w:pPr>
              <w:spacing w:before="120"/>
              <w:jc w:val="right"/>
              <w:rPr>
                <w:rFonts w:cs="Arial"/>
                <w:b/>
                <w:bCs/>
              </w:rPr>
            </w:pPr>
            <w:r w:rsidRPr="00CF0A2A">
              <w:rPr>
                <w:b/>
                <w:bCs/>
              </w:rPr>
              <w:t>67</w:t>
            </w:r>
            <w:r w:rsidR="00BF5B0B">
              <w:rPr>
                <w:b/>
                <w:bCs/>
              </w:rPr>
              <w:t>,</w:t>
            </w:r>
            <w:r w:rsidRPr="00CF0A2A">
              <w:rPr>
                <w:b/>
                <w:bCs/>
              </w:rPr>
              <w:t>147</w:t>
            </w:r>
            <w:r w:rsidR="00BF5B0B">
              <w:rPr>
                <w:b/>
                <w:bCs/>
              </w:rPr>
              <w:t>,</w:t>
            </w:r>
            <w:r w:rsidRPr="00CF0A2A">
              <w:rPr>
                <w:b/>
                <w:bCs/>
              </w:rPr>
              <w:t>568</w:t>
            </w:r>
            <w:r w:rsidR="00BF5B0B">
              <w:rPr>
                <w:b/>
                <w:bCs/>
              </w:rPr>
              <w:t>,</w:t>
            </w:r>
            <w:r w:rsidRPr="00CF0A2A">
              <w:rPr>
                <w:b/>
                <w:bCs/>
              </w:rPr>
              <w:t>032</w:t>
            </w:r>
          </w:p>
        </w:tc>
      </w:tr>
      <w:tr w:rsidR="00CF0A2A" w:rsidRPr="00871AD8" w14:paraId="497E52F9" w14:textId="77777777" w:rsidTr="00CF0A2A">
        <w:tc>
          <w:tcPr>
            <w:tcW w:w="706" w:type="dxa"/>
            <w:tcBorders>
              <w:top w:val="nil"/>
              <w:bottom w:val="nil"/>
              <w:right w:val="single" w:sz="4" w:space="0" w:color="000000"/>
            </w:tcBorders>
            <w:noWrap/>
          </w:tcPr>
          <w:p w14:paraId="3F527470" w14:textId="77777777" w:rsidR="00CF0A2A" w:rsidRPr="00D83B87" w:rsidRDefault="00CF0A2A" w:rsidP="00CF0A2A">
            <w:pPr>
              <w:spacing w:before="120"/>
              <w:ind w:left="-58" w:right="-58"/>
              <w:jc w:val="center"/>
              <w:rPr>
                <w:rFonts w:cs="Arial"/>
                <w:b/>
                <w:bCs/>
              </w:rPr>
            </w:pPr>
          </w:p>
        </w:tc>
        <w:tc>
          <w:tcPr>
            <w:tcW w:w="3643" w:type="dxa"/>
            <w:tcBorders>
              <w:top w:val="nil"/>
              <w:left w:val="single" w:sz="4" w:space="0" w:color="000000"/>
              <w:bottom w:val="nil"/>
              <w:right w:val="single" w:sz="4" w:space="0" w:color="000000"/>
            </w:tcBorders>
            <w:noWrap/>
            <w:vAlign w:val="bottom"/>
          </w:tcPr>
          <w:p w14:paraId="5949CA6C" w14:textId="24439AB9" w:rsidR="00CF0A2A" w:rsidRPr="00D83B87" w:rsidRDefault="00CF0A2A" w:rsidP="00CF0A2A">
            <w:pPr>
              <w:spacing w:before="120"/>
              <w:ind w:left="302" w:hanging="360"/>
              <w:rPr>
                <w:rFonts w:cs="Arial"/>
                <w:b/>
                <w:bCs/>
              </w:rPr>
            </w:pPr>
            <w:r w:rsidRPr="00D83B87">
              <w:rPr>
                <w:rFonts w:cs="Arial"/>
                <w:b/>
                <w:bCs/>
              </w:rPr>
              <w:t>III</w:t>
            </w:r>
            <w:r w:rsidRPr="00D83B87">
              <w:rPr>
                <w:rFonts w:cs="Arial"/>
                <w:b/>
                <w:bCs/>
                <w:lang w:val="vi-VN"/>
              </w:rPr>
              <w:t>.</w:t>
            </w:r>
            <w:r w:rsidRPr="00D83B87">
              <w:rPr>
                <w:rFonts w:cs="Arial"/>
                <w:b/>
                <w:bCs/>
                <w:lang w:val="vi-VN"/>
              </w:rPr>
              <w:tab/>
            </w:r>
            <w:r w:rsidRPr="00AA293F">
              <w:rPr>
                <w:rFonts w:cs="Arial"/>
                <w:b/>
                <w:bCs/>
              </w:rPr>
              <w:t>FINANCIAL INCOME</w:t>
            </w:r>
          </w:p>
        </w:tc>
        <w:tc>
          <w:tcPr>
            <w:tcW w:w="776" w:type="dxa"/>
            <w:tcBorders>
              <w:top w:val="nil"/>
              <w:left w:val="single" w:sz="4" w:space="0" w:color="000000"/>
              <w:bottom w:val="nil"/>
              <w:right w:val="single" w:sz="4" w:space="0" w:color="000000"/>
            </w:tcBorders>
            <w:noWrap/>
            <w:vAlign w:val="bottom"/>
          </w:tcPr>
          <w:p w14:paraId="7EE773FD" w14:textId="77777777" w:rsidR="00CF0A2A" w:rsidRPr="003C222B" w:rsidRDefault="00CF0A2A" w:rsidP="00CF0A2A">
            <w:pPr>
              <w:spacing w:before="120"/>
              <w:ind w:left="-58" w:right="-58"/>
              <w:jc w:val="center"/>
              <w:rPr>
                <w:rFonts w:cs="Arial"/>
                <w:lang w:val="vi-VN"/>
              </w:rPr>
            </w:pPr>
          </w:p>
        </w:tc>
        <w:tc>
          <w:tcPr>
            <w:tcW w:w="1881" w:type="dxa"/>
            <w:tcBorders>
              <w:top w:val="nil"/>
              <w:left w:val="single" w:sz="4" w:space="0" w:color="000000"/>
              <w:bottom w:val="nil"/>
              <w:right w:val="single" w:sz="4" w:space="0" w:color="000000"/>
            </w:tcBorders>
            <w:vAlign w:val="bottom"/>
          </w:tcPr>
          <w:p w14:paraId="10599A30" w14:textId="3BA8735F" w:rsidR="00CF0A2A" w:rsidRPr="003C222B" w:rsidRDefault="00CF0A2A" w:rsidP="00CF0A2A">
            <w:pPr>
              <w:spacing w:before="120"/>
              <w:jc w:val="right"/>
              <w:rPr>
                <w:rFonts w:cs="Arial"/>
                <w:b/>
                <w:lang w:val="vi-VN"/>
              </w:rPr>
            </w:pPr>
          </w:p>
        </w:tc>
        <w:tc>
          <w:tcPr>
            <w:tcW w:w="1881" w:type="dxa"/>
            <w:tcBorders>
              <w:top w:val="nil"/>
              <w:left w:val="single" w:sz="4" w:space="0" w:color="000000"/>
              <w:bottom w:val="nil"/>
            </w:tcBorders>
            <w:noWrap/>
            <w:vAlign w:val="bottom"/>
          </w:tcPr>
          <w:p w14:paraId="587CDEDB" w14:textId="485EE3A5" w:rsidR="00CF0A2A" w:rsidRPr="003C222B" w:rsidRDefault="00CF0A2A" w:rsidP="00CF0A2A">
            <w:pPr>
              <w:spacing w:before="120"/>
              <w:jc w:val="right"/>
              <w:rPr>
                <w:rFonts w:cs="Arial"/>
                <w:b/>
                <w:lang w:val="vi-VN"/>
              </w:rPr>
            </w:pPr>
          </w:p>
        </w:tc>
      </w:tr>
      <w:tr w:rsidR="00CF0A2A" w:rsidRPr="00871AD8" w14:paraId="1FC875FE" w14:textId="77777777" w:rsidTr="00CF0A2A">
        <w:tc>
          <w:tcPr>
            <w:tcW w:w="706" w:type="dxa"/>
            <w:tcBorders>
              <w:top w:val="nil"/>
              <w:bottom w:val="nil"/>
              <w:right w:val="single" w:sz="4" w:space="0" w:color="000000"/>
            </w:tcBorders>
            <w:noWrap/>
          </w:tcPr>
          <w:p w14:paraId="565B41C1" w14:textId="776035EA" w:rsidR="00CF0A2A" w:rsidRPr="00C87F35" w:rsidRDefault="00CF0A2A" w:rsidP="00CF0A2A">
            <w:pPr>
              <w:spacing w:before="120"/>
              <w:ind w:left="-58" w:right="-58"/>
              <w:jc w:val="center"/>
              <w:rPr>
                <w:rFonts w:cs="Arial"/>
              </w:rPr>
            </w:pPr>
            <w:r>
              <w:rPr>
                <w:rFonts w:cs="Arial"/>
              </w:rPr>
              <w:t>41</w:t>
            </w:r>
          </w:p>
        </w:tc>
        <w:tc>
          <w:tcPr>
            <w:tcW w:w="3643" w:type="dxa"/>
            <w:tcBorders>
              <w:top w:val="nil"/>
              <w:left w:val="single" w:sz="4" w:space="0" w:color="000000"/>
              <w:bottom w:val="nil"/>
              <w:right w:val="single" w:sz="4" w:space="0" w:color="000000"/>
            </w:tcBorders>
            <w:noWrap/>
            <w:vAlign w:val="bottom"/>
          </w:tcPr>
          <w:p w14:paraId="05F67C5B" w14:textId="50937CCE" w:rsidR="00CF0A2A" w:rsidRPr="00C87F35" w:rsidRDefault="00CF0A2A" w:rsidP="00CF0A2A">
            <w:pPr>
              <w:spacing w:before="120"/>
              <w:ind w:left="302" w:hanging="360"/>
              <w:rPr>
                <w:rFonts w:cs="Arial"/>
              </w:rPr>
            </w:pPr>
            <w:r>
              <w:rPr>
                <w:rFonts w:cs="Arial"/>
              </w:rPr>
              <w:t>1.</w:t>
            </w:r>
            <w:r>
              <w:rPr>
                <w:rFonts w:cs="Arial"/>
              </w:rPr>
              <w:tab/>
            </w:r>
            <w:r w:rsidRPr="00530820">
              <w:rPr>
                <w:rFonts w:cs="Arial"/>
              </w:rPr>
              <w:t>Realized and unrealized gain from exchange rate difference</w:t>
            </w:r>
          </w:p>
        </w:tc>
        <w:tc>
          <w:tcPr>
            <w:tcW w:w="776" w:type="dxa"/>
            <w:tcBorders>
              <w:top w:val="nil"/>
              <w:left w:val="single" w:sz="4" w:space="0" w:color="000000"/>
              <w:bottom w:val="nil"/>
              <w:right w:val="single" w:sz="4" w:space="0" w:color="000000"/>
            </w:tcBorders>
            <w:noWrap/>
            <w:vAlign w:val="bottom"/>
          </w:tcPr>
          <w:p w14:paraId="5C0D7078" w14:textId="3FB2825D" w:rsidR="00CF0A2A" w:rsidRPr="003C222B" w:rsidRDefault="00CF0A2A" w:rsidP="00CF0A2A">
            <w:pPr>
              <w:spacing w:before="120"/>
              <w:ind w:left="-58" w:right="-58"/>
              <w:jc w:val="center"/>
              <w:rPr>
                <w:rFonts w:cs="Arial"/>
              </w:rPr>
            </w:pPr>
            <w:r>
              <w:rPr>
                <w:rFonts w:cs="Arial"/>
              </w:rPr>
              <w:t>22</w:t>
            </w:r>
          </w:p>
        </w:tc>
        <w:tc>
          <w:tcPr>
            <w:tcW w:w="1881" w:type="dxa"/>
            <w:tcBorders>
              <w:top w:val="nil"/>
              <w:left w:val="single" w:sz="4" w:space="0" w:color="000000"/>
              <w:bottom w:val="nil"/>
              <w:right w:val="single" w:sz="4" w:space="0" w:color="000000"/>
            </w:tcBorders>
            <w:vAlign w:val="bottom"/>
          </w:tcPr>
          <w:p w14:paraId="0AA09B64" w14:textId="547925EF" w:rsidR="00CF0A2A" w:rsidRPr="00C87F35" w:rsidDel="008D4EAC" w:rsidRDefault="00CF0A2A" w:rsidP="00CF0A2A">
            <w:pPr>
              <w:spacing w:before="120"/>
              <w:jc w:val="right"/>
              <w:rPr>
                <w:rFonts w:cs="Arial"/>
              </w:rPr>
            </w:pPr>
            <w:r w:rsidRPr="001E206B">
              <w:t>4</w:t>
            </w:r>
            <w:r w:rsidR="00BF5B0B">
              <w:t>,</w:t>
            </w:r>
            <w:r w:rsidRPr="001E206B">
              <w:t>870</w:t>
            </w:r>
            <w:r w:rsidR="00BF5B0B">
              <w:t>,</w:t>
            </w:r>
            <w:r w:rsidRPr="001E206B">
              <w:t xml:space="preserve">127 </w:t>
            </w:r>
          </w:p>
        </w:tc>
        <w:tc>
          <w:tcPr>
            <w:tcW w:w="1881" w:type="dxa"/>
            <w:tcBorders>
              <w:top w:val="nil"/>
              <w:left w:val="single" w:sz="4" w:space="0" w:color="000000"/>
              <w:bottom w:val="nil"/>
            </w:tcBorders>
            <w:noWrap/>
            <w:vAlign w:val="bottom"/>
          </w:tcPr>
          <w:p w14:paraId="4E75FF1A" w14:textId="7740F72C" w:rsidR="00CF0A2A" w:rsidRPr="00C87F35" w:rsidRDefault="00CF0A2A" w:rsidP="00CF0A2A">
            <w:pPr>
              <w:spacing w:before="120"/>
              <w:jc w:val="right"/>
              <w:rPr>
                <w:rFonts w:cs="Arial"/>
              </w:rPr>
            </w:pPr>
            <w:r w:rsidRPr="001E206B">
              <w:t>4</w:t>
            </w:r>
            <w:r w:rsidR="00BF5B0B">
              <w:t>,</w:t>
            </w:r>
            <w:r w:rsidRPr="001E206B">
              <w:t>775</w:t>
            </w:r>
            <w:r w:rsidR="00BF5B0B">
              <w:t>,</w:t>
            </w:r>
            <w:r w:rsidRPr="001E206B">
              <w:t xml:space="preserve">696 </w:t>
            </w:r>
          </w:p>
        </w:tc>
      </w:tr>
      <w:tr w:rsidR="00CF0A2A" w:rsidRPr="00871AD8" w14:paraId="7FE8FD08" w14:textId="77777777" w:rsidTr="00CF0A2A">
        <w:tc>
          <w:tcPr>
            <w:tcW w:w="706" w:type="dxa"/>
            <w:tcBorders>
              <w:top w:val="nil"/>
              <w:bottom w:val="nil"/>
              <w:right w:val="single" w:sz="4" w:space="0" w:color="000000"/>
            </w:tcBorders>
            <w:noWrap/>
          </w:tcPr>
          <w:p w14:paraId="6A3B678E" w14:textId="6617C7D3" w:rsidR="00CF0A2A" w:rsidRPr="00D83B87" w:rsidRDefault="00CF0A2A" w:rsidP="00CF0A2A">
            <w:pPr>
              <w:ind w:left="-58" w:right="-58"/>
              <w:jc w:val="center"/>
              <w:rPr>
                <w:rFonts w:cs="Arial"/>
                <w:bCs/>
              </w:rPr>
            </w:pPr>
            <w:r w:rsidRPr="00D83B87">
              <w:rPr>
                <w:rFonts w:cs="Arial"/>
              </w:rPr>
              <w:t>42</w:t>
            </w:r>
          </w:p>
        </w:tc>
        <w:tc>
          <w:tcPr>
            <w:tcW w:w="3643" w:type="dxa"/>
            <w:tcBorders>
              <w:top w:val="nil"/>
              <w:left w:val="single" w:sz="4" w:space="0" w:color="000000"/>
              <w:bottom w:val="nil"/>
              <w:right w:val="single" w:sz="4" w:space="0" w:color="000000"/>
            </w:tcBorders>
            <w:noWrap/>
            <w:vAlign w:val="bottom"/>
          </w:tcPr>
          <w:p w14:paraId="0400ABF9" w14:textId="1BA2E7BE" w:rsidR="00CF0A2A" w:rsidRPr="00D83B87" w:rsidRDefault="00CF0A2A" w:rsidP="00CF0A2A">
            <w:pPr>
              <w:ind w:left="302" w:hanging="360"/>
              <w:jc w:val="left"/>
              <w:rPr>
                <w:rFonts w:cs="Arial"/>
                <w:bCs/>
              </w:rPr>
            </w:pPr>
            <w:r>
              <w:rPr>
                <w:rFonts w:cs="Arial"/>
              </w:rPr>
              <w:t>2</w:t>
            </w:r>
            <w:r w:rsidRPr="00D83B87">
              <w:rPr>
                <w:rFonts w:cs="Arial"/>
              </w:rPr>
              <w:t>.</w:t>
            </w:r>
            <w:r w:rsidRPr="00D83B87">
              <w:rPr>
                <w:rFonts w:cs="Arial"/>
              </w:rPr>
              <w:tab/>
            </w:r>
            <w:r w:rsidRPr="00312A95">
              <w:rPr>
                <w:rFonts w:cs="Arial"/>
                <w:bCs/>
                <w:iCs/>
                <w:lang w:val="vi-VN"/>
              </w:rPr>
              <w:t>Dividend and interest income from demand deposits</w:t>
            </w:r>
          </w:p>
        </w:tc>
        <w:tc>
          <w:tcPr>
            <w:tcW w:w="776" w:type="dxa"/>
            <w:tcBorders>
              <w:top w:val="nil"/>
              <w:left w:val="single" w:sz="4" w:space="0" w:color="000000"/>
              <w:bottom w:val="nil"/>
              <w:right w:val="single" w:sz="4" w:space="0" w:color="000000"/>
            </w:tcBorders>
            <w:noWrap/>
            <w:vAlign w:val="bottom"/>
          </w:tcPr>
          <w:p w14:paraId="28D22CD3" w14:textId="3E3FF324" w:rsidR="00CF0A2A" w:rsidRPr="003C222B" w:rsidRDefault="00CF0A2A" w:rsidP="00CF0A2A">
            <w:pPr>
              <w:ind w:left="-58" w:right="-58"/>
              <w:jc w:val="center"/>
              <w:rPr>
                <w:rFonts w:cs="Arial"/>
              </w:rPr>
            </w:pPr>
            <w:r>
              <w:rPr>
                <w:rFonts w:cs="Arial"/>
              </w:rPr>
              <w:t>22</w:t>
            </w:r>
          </w:p>
        </w:tc>
        <w:tc>
          <w:tcPr>
            <w:tcW w:w="1881" w:type="dxa"/>
            <w:tcBorders>
              <w:top w:val="nil"/>
              <w:left w:val="single" w:sz="4" w:space="0" w:color="000000"/>
              <w:bottom w:val="nil"/>
              <w:right w:val="single" w:sz="4" w:space="0" w:color="000000"/>
            </w:tcBorders>
            <w:vAlign w:val="bottom"/>
          </w:tcPr>
          <w:p w14:paraId="220E6B6D" w14:textId="615219A1" w:rsidR="00CF0A2A" w:rsidRPr="003C222B" w:rsidRDefault="00CF0A2A" w:rsidP="00CF0A2A">
            <w:pPr>
              <w:jc w:val="right"/>
              <w:rPr>
                <w:rFonts w:cs="Arial"/>
                <w:lang w:val="vi-VN"/>
              </w:rPr>
            </w:pPr>
            <w:r w:rsidRPr="001E206B">
              <w:t>482</w:t>
            </w:r>
            <w:r w:rsidR="00BF5B0B">
              <w:t>,</w:t>
            </w:r>
            <w:r w:rsidRPr="001E206B">
              <w:t>242</w:t>
            </w:r>
            <w:r w:rsidR="00BF5B0B">
              <w:t>,</w:t>
            </w:r>
            <w:r w:rsidRPr="001E206B">
              <w:t xml:space="preserve">882 </w:t>
            </w:r>
          </w:p>
        </w:tc>
        <w:tc>
          <w:tcPr>
            <w:tcW w:w="1881" w:type="dxa"/>
            <w:tcBorders>
              <w:top w:val="nil"/>
              <w:left w:val="single" w:sz="4" w:space="0" w:color="000000"/>
              <w:bottom w:val="nil"/>
            </w:tcBorders>
            <w:noWrap/>
            <w:vAlign w:val="bottom"/>
          </w:tcPr>
          <w:p w14:paraId="1E3C0719" w14:textId="3BA0A91C" w:rsidR="00CF0A2A" w:rsidRPr="003C222B" w:rsidRDefault="00CF0A2A" w:rsidP="00CF0A2A">
            <w:pPr>
              <w:jc w:val="right"/>
              <w:rPr>
                <w:rFonts w:cs="Arial"/>
                <w:lang w:val="vi-VN"/>
              </w:rPr>
            </w:pPr>
            <w:r w:rsidRPr="001E206B">
              <w:t>769</w:t>
            </w:r>
            <w:r w:rsidR="00BF5B0B">
              <w:t>,</w:t>
            </w:r>
            <w:r w:rsidRPr="001E206B">
              <w:t>282</w:t>
            </w:r>
            <w:r w:rsidR="00BF5B0B">
              <w:t>,</w:t>
            </w:r>
            <w:r w:rsidRPr="001E206B">
              <w:t xml:space="preserve">970 </w:t>
            </w:r>
          </w:p>
        </w:tc>
      </w:tr>
      <w:tr w:rsidR="00CF0A2A" w:rsidRPr="00871AD8" w14:paraId="44A8180B" w14:textId="77777777" w:rsidTr="00CF0A2A">
        <w:tc>
          <w:tcPr>
            <w:tcW w:w="706" w:type="dxa"/>
            <w:tcBorders>
              <w:top w:val="nil"/>
              <w:bottom w:val="double" w:sz="6" w:space="0" w:color="auto"/>
              <w:right w:val="single" w:sz="4" w:space="0" w:color="000000"/>
            </w:tcBorders>
            <w:noWrap/>
          </w:tcPr>
          <w:p w14:paraId="737F4446" w14:textId="4BAB7701" w:rsidR="00CF0A2A" w:rsidRPr="00D83B87" w:rsidRDefault="00CF0A2A" w:rsidP="00CF0A2A">
            <w:pPr>
              <w:spacing w:before="120" w:after="120"/>
              <w:ind w:left="-58" w:right="-58"/>
              <w:jc w:val="center"/>
              <w:rPr>
                <w:rFonts w:cs="Arial"/>
                <w:b/>
                <w:bCs/>
              </w:rPr>
            </w:pPr>
            <w:r w:rsidRPr="00D83B87">
              <w:rPr>
                <w:rFonts w:cs="Arial"/>
                <w:b/>
                <w:bCs/>
              </w:rPr>
              <w:t>50</w:t>
            </w:r>
          </w:p>
        </w:tc>
        <w:tc>
          <w:tcPr>
            <w:tcW w:w="3643" w:type="dxa"/>
            <w:tcBorders>
              <w:top w:val="nil"/>
              <w:left w:val="single" w:sz="4" w:space="0" w:color="000000"/>
              <w:bottom w:val="double" w:sz="6" w:space="0" w:color="auto"/>
              <w:right w:val="single" w:sz="4" w:space="0" w:color="000000"/>
            </w:tcBorders>
            <w:noWrap/>
            <w:vAlign w:val="bottom"/>
          </w:tcPr>
          <w:p w14:paraId="746B159B" w14:textId="0532C1F2" w:rsidR="00CF0A2A" w:rsidRPr="00D83B87" w:rsidRDefault="00CF0A2A" w:rsidP="00CF0A2A">
            <w:pPr>
              <w:spacing w:before="120" w:after="120"/>
              <w:ind w:left="302" w:hanging="360"/>
              <w:rPr>
                <w:rFonts w:cs="Arial"/>
                <w:b/>
                <w:bCs/>
              </w:rPr>
            </w:pPr>
            <w:r w:rsidRPr="00B2161F">
              <w:rPr>
                <w:rFonts w:cs="Arial"/>
                <w:b/>
                <w:bCs/>
              </w:rPr>
              <w:t>Total financial income</w:t>
            </w:r>
          </w:p>
        </w:tc>
        <w:tc>
          <w:tcPr>
            <w:tcW w:w="776" w:type="dxa"/>
            <w:tcBorders>
              <w:top w:val="nil"/>
              <w:left w:val="single" w:sz="4" w:space="0" w:color="000000"/>
              <w:bottom w:val="double" w:sz="6" w:space="0" w:color="auto"/>
              <w:right w:val="single" w:sz="4" w:space="0" w:color="000000"/>
            </w:tcBorders>
            <w:noWrap/>
          </w:tcPr>
          <w:p w14:paraId="4B28D5F7" w14:textId="77777777" w:rsidR="00CF0A2A" w:rsidRPr="003C222B" w:rsidRDefault="00CF0A2A" w:rsidP="00CF0A2A">
            <w:pPr>
              <w:spacing w:before="120" w:after="120"/>
              <w:ind w:left="-58" w:right="-58"/>
              <w:jc w:val="center"/>
              <w:rPr>
                <w:rFonts w:cs="Arial"/>
                <w:lang w:val="vi-VN"/>
              </w:rPr>
            </w:pPr>
          </w:p>
        </w:tc>
        <w:tc>
          <w:tcPr>
            <w:tcW w:w="1881" w:type="dxa"/>
            <w:tcBorders>
              <w:top w:val="nil"/>
              <w:left w:val="single" w:sz="4" w:space="0" w:color="000000"/>
              <w:bottom w:val="double" w:sz="6" w:space="0" w:color="auto"/>
              <w:right w:val="single" w:sz="4" w:space="0" w:color="000000"/>
            </w:tcBorders>
            <w:vAlign w:val="bottom"/>
          </w:tcPr>
          <w:p w14:paraId="78A54BE7" w14:textId="6FB425E9" w:rsidR="00CF0A2A" w:rsidRPr="00CF0A2A" w:rsidRDefault="00CF0A2A" w:rsidP="00CF0A2A">
            <w:pPr>
              <w:spacing w:before="120" w:after="120"/>
              <w:jc w:val="right"/>
              <w:rPr>
                <w:rFonts w:cs="Arial"/>
                <w:b/>
                <w:bCs/>
                <w:lang w:val="vi-VN"/>
              </w:rPr>
            </w:pPr>
            <w:r w:rsidRPr="00CF0A2A">
              <w:rPr>
                <w:b/>
                <w:bCs/>
              </w:rPr>
              <w:t>487</w:t>
            </w:r>
            <w:r w:rsidR="00BF5B0B">
              <w:rPr>
                <w:b/>
                <w:bCs/>
              </w:rPr>
              <w:t>,</w:t>
            </w:r>
            <w:r w:rsidRPr="00CF0A2A">
              <w:rPr>
                <w:b/>
                <w:bCs/>
              </w:rPr>
              <w:t>113</w:t>
            </w:r>
            <w:r w:rsidR="00BF5B0B">
              <w:rPr>
                <w:b/>
                <w:bCs/>
              </w:rPr>
              <w:t>,</w:t>
            </w:r>
            <w:r w:rsidRPr="00CF0A2A">
              <w:rPr>
                <w:b/>
                <w:bCs/>
              </w:rPr>
              <w:t xml:space="preserve">009 </w:t>
            </w:r>
          </w:p>
        </w:tc>
        <w:tc>
          <w:tcPr>
            <w:tcW w:w="1881" w:type="dxa"/>
            <w:tcBorders>
              <w:top w:val="nil"/>
              <w:left w:val="single" w:sz="4" w:space="0" w:color="000000"/>
              <w:bottom w:val="double" w:sz="6" w:space="0" w:color="auto"/>
            </w:tcBorders>
            <w:noWrap/>
            <w:vAlign w:val="bottom"/>
          </w:tcPr>
          <w:p w14:paraId="785DE1B0" w14:textId="72A03657" w:rsidR="00CF0A2A" w:rsidRPr="00CF0A2A" w:rsidRDefault="00CF0A2A" w:rsidP="00CF0A2A">
            <w:pPr>
              <w:spacing w:before="120" w:after="120"/>
              <w:jc w:val="right"/>
              <w:rPr>
                <w:rFonts w:cs="Arial"/>
                <w:b/>
                <w:bCs/>
                <w:lang w:val="vi-VN"/>
              </w:rPr>
            </w:pPr>
            <w:r w:rsidRPr="00CF0A2A">
              <w:rPr>
                <w:b/>
                <w:bCs/>
              </w:rPr>
              <w:t>774</w:t>
            </w:r>
            <w:r w:rsidR="00BF5B0B">
              <w:rPr>
                <w:b/>
                <w:bCs/>
              </w:rPr>
              <w:t>,</w:t>
            </w:r>
            <w:r w:rsidRPr="00CF0A2A">
              <w:rPr>
                <w:b/>
                <w:bCs/>
              </w:rPr>
              <w:t>058</w:t>
            </w:r>
            <w:r w:rsidR="00BF5B0B">
              <w:rPr>
                <w:b/>
                <w:bCs/>
              </w:rPr>
              <w:t>,</w:t>
            </w:r>
            <w:r w:rsidRPr="00CF0A2A">
              <w:rPr>
                <w:b/>
                <w:bCs/>
              </w:rPr>
              <w:t xml:space="preserve">666 </w:t>
            </w:r>
          </w:p>
        </w:tc>
      </w:tr>
    </w:tbl>
    <w:p w14:paraId="7AE63432" w14:textId="77777777" w:rsidR="00D212BE" w:rsidRPr="002A0B87" w:rsidRDefault="00D212BE" w:rsidP="00D212BE">
      <w:pPr>
        <w:pStyle w:val="BodyText"/>
        <w:rPr>
          <w:rFonts w:ascii="Arial" w:hAnsi="Arial" w:cs="Arial"/>
          <w:lang w:val="en-GB"/>
        </w:rPr>
      </w:pPr>
    </w:p>
    <w:tbl>
      <w:tblPr>
        <w:tblW w:w="8887" w:type="dxa"/>
        <w:tblBorders>
          <w:top w:val="double" w:sz="6" w:space="0" w:color="auto"/>
          <w:left w:val="double" w:sz="6" w:space="0" w:color="auto"/>
          <w:bottom w:val="double" w:sz="6" w:space="0" w:color="auto"/>
          <w:right w:val="double" w:sz="6" w:space="0" w:color="auto"/>
          <w:insideV w:val="single" w:sz="4" w:space="0" w:color="auto"/>
        </w:tblBorders>
        <w:tblLayout w:type="fixed"/>
        <w:tblLook w:val="0000" w:firstRow="0" w:lastRow="0" w:firstColumn="0" w:lastColumn="0" w:noHBand="0" w:noVBand="0"/>
      </w:tblPr>
      <w:tblGrid>
        <w:gridCol w:w="706"/>
        <w:gridCol w:w="3643"/>
        <w:gridCol w:w="776"/>
        <w:gridCol w:w="1881"/>
        <w:gridCol w:w="1881"/>
      </w:tblGrid>
      <w:tr w:rsidR="00B82654" w:rsidRPr="008406A3" w14:paraId="6C43CC32" w14:textId="77777777" w:rsidTr="005E3FAF">
        <w:trPr>
          <w:trHeight w:val="108"/>
        </w:trPr>
        <w:tc>
          <w:tcPr>
            <w:tcW w:w="706" w:type="dxa"/>
            <w:tcBorders>
              <w:top w:val="double" w:sz="6" w:space="0" w:color="auto"/>
              <w:bottom w:val="single" w:sz="4" w:space="0" w:color="000000"/>
              <w:right w:val="single" w:sz="4" w:space="0" w:color="000000"/>
            </w:tcBorders>
            <w:noWrap/>
            <w:vAlign w:val="bottom"/>
          </w:tcPr>
          <w:p w14:paraId="31D3F220" w14:textId="5A2510AC" w:rsidR="00B82654" w:rsidRPr="00FA28E4" w:rsidRDefault="00B6619A" w:rsidP="00B82654">
            <w:pPr>
              <w:spacing w:before="120" w:after="120"/>
              <w:ind w:left="-58" w:right="-58"/>
              <w:jc w:val="center"/>
              <w:rPr>
                <w:rFonts w:cs="Arial"/>
                <w:i/>
                <w:iCs/>
              </w:rPr>
            </w:pPr>
            <w:r>
              <w:rPr>
                <w:rFonts w:cs="Arial"/>
                <w:i/>
                <w:iCs/>
              </w:rPr>
              <w:t>Code</w:t>
            </w:r>
          </w:p>
        </w:tc>
        <w:tc>
          <w:tcPr>
            <w:tcW w:w="3643" w:type="dxa"/>
            <w:tcBorders>
              <w:top w:val="double" w:sz="6" w:space="0" w:color="auto"/>
              <w:left w:val="single" w:sz="4" w:space="0" w:color="000000"/>
              <w:bottom w:val="single" w:sz="4" w:space="0" w:color="000000"/>
              <w:right w:val="single" w:sz="4" w:space="0" w:color="000000"/>
            </w:tcBorders>
            <w:noWrap/>
            <w:vAlign w:val="bottom"/>
          </w:tcPr>
          <w:p w14:paraId="2AFC838D" w14:textId="5AFD7677" w:rsidR="00B82654" w:rsidRPr="00FA28E4" w:rsidRDefault="00B6619A" w:rsidP="00B82654">
            <w:pPr>
              <w:spacing w:before="120" w:after="120"/>
              <w:ind w:left="-58"/>
              <w:rPr>
                <w:rFonts w:cs="Arial"/>
                <w:i/>
                <w:iCs/>
              </w:rPr>
            </w:pPr>
            <w:r>
              <w:rPr>
                <w:rFonts w:cs="Arial"/>
                <w:i/>
                <w:iCs/>
              </w:rPr>
              <w:t>ITEMS</w:t>
            </w:r>
          </w:p>
        </w:tc>
        <w:tc>
          <w:tcPr>
            <w:tcW w:w="776" w:type="dxa"/>
            <w:tcBorders>
              <w:top w:val="double" w:sz="6" w:space="0" w:color="auto"/>
              <w:left w:val="single" w:sz="4" w:space="0" w:color="000000"/>
              <w:bottom w:val="single" w:sz="4" w:space="0" w:color="000000"/>
              <w:right w:val="single" w:sz="4" w:space="0" w:color="000000"/>
            </w:tcBorders>
            <w:noWrap/>
            <w:vAlign w:val="bottom"/>
          </w:tcPr>
          <w:p w14:paraId="344F8E77" w14:textId="48B6A738" w:rsidR="00B82654" w:rsidRPr="00FA28E4" w:rsidRDefault="00B6619A" w:rsidP="00B82654">
            <w:pPr>
              <w:spacing w:before="120" w:after="120"/>
              <w:ind w:left="-58" w:right="-58"/>
              <w:jc w:val="center"/>
              <w:rPr>
                <w:rFonts w:cs="Arial"/>
                <w:i/>
                <w:iCs/>
              </w:rPr>
            </w:pPr>
            <w:r>
              <w:rPr>
                <w:rFonts w:cs="Arial"/>
                <w:i/>
                <w:iCs/>
              </w:rPr>
              <w:t>Notes</w:t>
            </w:r>
          </w:p>
        </w:tc>
        <w:tc>
          <w:tcPr>
            <w:tcW w:w="1881" w:type="dxa"/>
            <w:tcBorders>
              <w:top w:val="double" w:sz="6" w:space="0" w:color="auto"/>
              <w:left w:val="single" w:sz="4" w:space="0" w:color="000000"/>
              <w:bottom w:val="single" w:sz="4" w:space="0" w:color="000000"/>
              <w:right w:val="single" w:sz="4" w:space="0" w:color="000000"/>
            </w:tcBorders>
            <w:vAlign w:val="bottom"/>
          </w:tcPr>
          <w:p w14:paraId="444B341D" w14:textId="77777777" w:rsidR="00EC7779" w:rsidRPr="00EC7779" w:rsidRDefault="00EC7779" w:rsidP="00EC7779">
            <w:pPr>
              <w:spacing w:before="120"/>
              <w:jc w:val="right"/>
              <w:rPr>
                <w:rFonts w:cs="Arial"/>
                <w:i/>
              </w:rPr>
            </w:pPr>
            <w:r w:rsidRPr="00EC7779">
              <w:rPr>
                <w:rFonts w:cs="Arial"/>
                <w:i/>
              </w:rPr>
              <w:t>Current year</w:t>
            </w:r>
          </w:p>
          <w:p w14:paraId="43E030AF" w14:textId="7CD363B7" w:rsidR="00B82654" w:rsidRPr="006A05C4" w:rsidRDefault="00EC7779" w:rsidP="00B82654">
            <w:pPr>
              <w:spacing w:after="120"/>
              <w:jc w:val="right"/>
              <w:rPr>
                <w:rFonts w:cs="Arial"/>
                <w:i/>
                <w:lang w:val="vi-VN"/>
              </w:rPr>
            </w:pPr>
            <w:r w:rsidRPr="00EC7779">
              <w:rPr>
                <w:rFonts w:cs="Arial"/>
                <w:i/>
              </w:rPr>
              <w:t>VND</w:t>
            </w:r>
          </w:p>
        </w:tc>
        <w:tc>
          <w:tcPr>
            <w:tcW w:w="1881" w:type="dxa"/>
            <w:tcBorders>
              <w:top w:val="double" w:sz="6" w:space="0" w:color="auto"/>
              <w:left w:val="single" w:sz="4" w:space="0" w:color="000000"/>
              <w:bottom w:val="single" w:sz="4" w:space="0" w:color="000000"/>
            </w:tcBorders>
            <w:noWrap/>
            <w:vAlign w:val="bottom"/>
          </w:tcPr>
          <w:p w14:paraId="23F1E7E1" w14:textId="77777777" w:rsidR="008926E5" w:rsidRPr="008926E5" w:rsidRDefault="008926E5" w:rsidP="008926E5">
            <w:pPr>
              <w:spacing w:before="120"/>
              <w:jc w:val="right"/>
              <w:rPr>
                <w:rFonts w:cs="Arial"/>
                <w:i/>
              </w:rPr>
            </w:pPr>
            <w:r w:rsidRPr="008926E5">
              <w:rPr>
                <w:rFonts w:cs="Arial"/>
                <w:i/>
              </w:rPr>
              <w:t>Previous year</w:t>
            </w:r>
          </w:p>
          <w:p w14:paraId="64E97BEB" w14:textId="1FC7F430" w:rsidR="00B82654" w:rsidRPr="006A05C4" w:rsidRDefault="008926E5" w:rsidP="00B82654">
            <w:pPr>
              <w:spacing w:after="120"/>
              <w:jc w:val="right"/>
              <w:rPr>
                <w:rFonts w:cs="Arial"/>
                <w:i/>
                <w:iCs/>
              </w:rPr>
            </w:pPr>
            <w:r w:rsidRPr="008926E5">
              <w:rPr>
                <w:rFonts w:cs="Arial"/>
                <w:i/>
              </w:rPr>
              <w:t>VND</w:t>
            </w:r>
          </w:p>
        </w:tc>
      </w:tr>
      <w:tr w:rsidR="00CC5D02" w:rsidRPr="008406A3" w14:paraId="2C30C540" w14:textId="77777777" w:rsidTr="005E3FAF">
        <w:tc>
          <w:tcPr>
            <w:tcW w:w="706" w:type="dxa"/>
            <w:tcBorders>
              <w:top w:val="single" w:sz="4" w:space="0" w:color="000000"/>
              <w:bottom w:val="nil"/>
              <w:right w:val="single" w:sz="4" w:space="0" w:color="000000"/>
            </w:tcBorders>
            <w:noWrap/>
          </w:tcPr>
          <w:p w14:paraId="7FFD9498" w14:textId="77777777" w:rsidR="005A5BAC" w:rsidRPr="006A05C4" w:rsidRDefault="005A5BAC" w:rsidP="005A5BAC">
            <w:pPr>
              <w:spacing w:before="120"/>
              <w:ind w:left="-58" w:right="-58"/>
              <w:jc w:val="center"/>
              <w:rPr>
                <w:rFonts w:cs="Arial"/>
                <w:b/>
                <w:bCs/>
                <w:lang w:val="vi-VN"/>
              </w:rPr>
            </w:pPr>
          </w:p>
        </w:tc>
        <w:tc>
          <w:tcPr>
            <w:tcW w:w="3643" w:type="dxa"/>
            <w:tcBorders>
              <w:top w:val="single" w:sz="4" w:space="0" w:color="000000"/>
              <w:left w:val="single" w:sz="4" w:space="0" w:color="000000"/>
              <w:bottom w:val="nil"/>
              <w:right w:val="single" w:sz="4" w:space="0" w:color="000000"/>
            </w:tcBorders>
            <w:noWrap/>
            <w:vAlign w:val="bottom"/>
          </w:tcPr>
          <w:p w14:paraId="3E3A83EE" w14:textId="54EFA862" w:rsidR="005A5BAC" w:rsidRPr="006A05C4" w:rsidRDefault="005A5BAC" w:rsidP="00461FA9">
            <w:pPr>
              <w:spacing w:before="120"/>
              <w:ind w:left="299" w:hanging="357"/>
              <w:rPr>
                <w:rFonts w:cs="Arial"/>
                <w:b/>
                <w:bCs/>
              </w:rPr>
            </w:pPr>
            <w:r w:rsidRPr="006A05C4">
              <w:rPr>
                <w:rFonts w:cs="Arial"/>
                <w:b/>
                <w:bCs/>
              </w:rPr>
              <w:t>IV.</w:t>
            </w:r>
            <w:r w:rsidRPr="006A05C4">
              <w:rPr>
                <w:rFonts w:cs="Arial"/>
                <w:b/>
                <w:bCs/>
              </w:rPr>
              <w:tab/>
            </w:r>
            <w:r w:rsidR="009757DB" w:rsidRPr="009757DB">
              <w:rPr>
                <w:rFonts w:cs="Arial"/>
                <w:b/>
                <w:bCs/>
              </w:rPr>
              <w:t>FINANCIAL EXPENSES</w:t>
            </w:r>
          </w:p>
        </w:tc>
        <w:tc>
          <w:tcPr>
            <w:tcW w:w="776" w:type="dxa"/>
            <w:tcBorders>
              <w:top w:val="single" w:sz="4" w:space="0" w:color="000000"/>
              <w:left w:val="single" w:sz="4" w:space="0" w:color="000000"/>
              <w:bottom w:val="nil"/>
              <w:right w:val="single" w:sz="4" w:space="0" w:color="000000"/>
            </w:tcBorders>
            <w:noWrap/>
          </w:tcPr>
          <w:p w14:paraId="65E40CE9" w14:textId="77777777" w:rsidR="005A5BAC" w:rsidRPr="006A05C4" w:rsidRDefault="005A5BAC" w:rsidP="005A5BAC">
            <w:pPr>
              <w:spacing w:before="120"/>
              <w:ind w:left="-58" w:right="-58"/>
              <w:jc w:val="center"/>
              <w:rPr>
                <w:rFonts w:cs="Arial"/>
                <w:b/>
                <w:bCs/>
                <w:lang w:val="vi-VN"/>
              </w:rPr>
            </w:pPr>
          </w:p>
        </w:tc>
        <w:tc>
          <w:tcPr>
            <w:tcW w:w="1881" w:type="dxa"/>
            <w:tcBorders>
              <w:top w:val="single" w:sz="4" w:space="0" w:color="000000"/>
              <w:left w:val="single" w:sz="4" w:space="0" w:color="000000"/>
              <w:bottom w:val="nil"/>
              <w:right w:val="single" w:sz="4" w:space="0" w:color="000000"/>
            </w:tcBorders>
            <w:vAlign w:val="bottom"/>
          </w:tcPr>
          <w:p w14:paraId="78D04379" w14:textId="7B500C80" w:rsidR="005A5BAC" w:rsidRPr="006A05C4" w:rsidRDefault="005A5BAC">
            <w:pPr>
              <w:spacing w:before="120"/>
              <w:jc w:val="right"/>
              <w:rPr>
                <w:rFonts w:cs="Arial"/>
                <w:b/>
                <w:bCs/>
                <w:lang w:val="vi-VN"/>
              </w:rPr>
            </w:pPr>
          </w:p>
        </w:tc>
        <w:tc>
          <w:tcPr>
            <w:tcW w:w="1881" w:type="dxa"/>
            <w:tcBorders>
              <w:top w:val="single" w:sz="4" w:space="0" w:color="000000"/>
              <w:left w:val="single" w:sz="4" w:space="0" w:color="000000"/>
              <w:bottom w:val="nil"/>
            </w:tcBorders>
            <w:noWrap/>
            <w:vAlign w:val="bottom"/>
          </w:tcPr>
          <w:p w14:paraId="68B96A52" w14:textId="48FC895A" w:rsidR="005A5BAC" w:rsidRPr="006A05C4" w:rsidRDefault="005A5BAC">
            <w:pPr>
              <w:spacing w:before="120"/>
              <w:jc w:val="right"/>
              <w:rPr>
                <w:rFonts w:cs="Arial"/>
                <w:b/>
                <w:bCs/>
              </w:rPr>
            </w:pPr>
          </w:p>
        </w:tc>
      </w:tr>
      <w:tr w:rsidR="003A6759" w:rsidRPr="008406A3" w14:paraId="231B2FD8" w14:textId="77777777" w:rsidTr="003A6759">
        <w:tc>
          <w:tcPr>
            <w:tcW w:w="706" w:type="dxa"/>
            <w:tcBorders>
              <w:right w:val="single" w:sz="4" w:space="0" w:color="000000"/>
            </w:tcBorders>
            <w:noWrap/>
          </w:tcPr>
          <w:p w14:paraId="69990047" w14:textId="7DD39E5F" w:rsidR="003A6759" w:rsidRPr="006A05C4" w:rsidRDefault="003A6759" w:rsidP="003A6759">
            <w:pPr>
              <w:spacing w:before="120"/>
              <w:ind w:left="-58" w:right="-58"/>
              <w:jc w:val="center"/>
              <w:rPr>
                <w:rFonts w:cs="Arial"/>
                <w:bCs/>
              </w:rPr>
            </w:pPr>
            <w:r w:rsidRPr="006A05C4">
              <w:rPr>
                <w:rFonts w:cs="Arial"/>
                <w:bCs/>
              </w:rPr>
              <w:t>51</w:t>
            </w:r>
          </w:p>
        </w:tc>
        <w:tc>
          <w:tcPr>
            <w:tcW w:w="3643" w:type="dxa"/>
            <w:tcBorders>
              <w:left w:val="single" w:sz="4" w:space="0" w:color="000000"/>
              <w:right w:val="single" w:sz="4" w:space="0" w:color="000000"/>
            </w:tcBorders>
            <w:noWrap/>
            <w:vAlign w:val="bottom"/>
          </w:tcPr>
          <w:p w14:paraId="2DAC9802" w14:textId="091B945E" w:rsidR="003A6759" w:rsidRPr="006A05C4" w:rsidRDefault="003A6759" w:rsidP="003A6759">
            <w:pPr>
              <w:spacing w:before="120"/>
              <w:ind w:left="302" w:hanging="360"/>
              <w:rPr>
                <w:rFonts w:cs="Arial"/>
              </w:rPr>
            </w:pPr>
            <w:r w:rsidRPr="006A05C4">
              <w:rPr>
                <w:rFonts w:cs="Arial"/>
              </w:rPr>
              <w:t>1.</w:t>
            </w:r>
            <w:r w:rsidRPr="006A05C4">
              <w:rPr>
                <w:rFonts w:cs="Arial"/>
              </w:rPr>
              <w:tab/>
            </w:r>
            <w:r w:rsidRPr="00B0640C">
              <w:rPr>
                <w:rFonts w:cs="Arial"/>
              </w:rPr>
              <w:t>Realized and unrealized loss from exchange rate</w:t>
            </w:r>
          </w:p>
        </w:tc>
        <w:tc>
          <w:tcPr>
            <w:tcW w:w="776" w:type="dxa"/>
            <w:tcBorders>
              <w:left w:val="single" w:sz="4" w:space="0" w:color="000000"/>
              <w:right w:val="single" w:sz="4" w:space="0" w:color="000000"/>
            </w:tcBorders>
            <w:noWrap/>
            <w:vAlign w:val="bottom"/>
          </w:tcPr>
          <w:p w14:paraId="51505400" w14:textId="08A1858E" w:rsidR="003A6759" w:rsidRPr="003C222B" w:rsidRDefault="003A6759" w:rsidP="003A6759">
            <w:pPr>
              <w:spacing w:before="120"/>
              <w:ind w:left="-58" w:right="-58"/>
              <w:jc w:val="center"/>
              <w:rPr>
                <w:rFonts w:cs="Arial"/>
              </w:rPr>
            </w:pPr>
            <w:r>
              <w:rPr>
                <w:rFonts w:cs="Arial"/>
              </w:rPr>
              <w:t>23</w:t>
            </w:r>
          </w:p>
        </w:tc>
        <w:tc>
          <w:tcPr>
            <w:tcW w:w="1881" w:type="dxa"/>
            <w:tcBorders>
              <w:left w:val="single" w:sz="4" w:space="0" w:color="000000"/>
              <w:right w:val="single" w:sz="4" w:space="0" w:color="000000"/>
            </w:tcBorders>
            <w:vAlign w:val="bottom"/>
          </w:tcPr>
          <w:p w14:paraId="11B36496" w14:textId="08A54D60" w:rsidR="003A6759" w:rsidRPr="006A05C4" w:rsidDel="008D4EAC" w:rsidRDefault="003A6759" w:rsidP="003A6759">
            <w:pPr>
              <w:spacing w:before="120"/>
              <w:jc w:val="right"/>
              <w:rPr>
                <w:rFonts w:cs="Arial"/>
                <w:bCs/>
                <w:lang w:val="vi-VN"/>
              </w:rPr>
            </w:pPr>
            <w:r w:rsidRPr="00B8331D">
              <w:t xml:space="preserve">- </w:t>
            </w:r>
          </w:p>
        </w:tc>
        <w:tc>
          <w:tcPr>
            <w:tcW w:w="1881" w:type="dxa"/>
            <w:tcBorders>
              <w:left w:val="single" w:sz="4" w:space="0" w:color="000000"/>
            </w:tcBorders>
            <w:noWrap/>
            <w:vAlign w:val="bottom"/>
          </w:tcPr>
          <w:p w14:paraId="2A268724" w14:textId="584B496E" w:rsidR="003A6759" w:rsidRPr="006A05C4" w:rsidRDefault="003A6759" w:rsidP="003A6759">
            <w:pPr>
              <w:spacing w:before="120"/>
              <w:jc w:val="right"/>
              <w:rPr>
                <w:rFonts w:cs="Arial"/>
                <w:bCs/>
                <w:lang w:val="vi-VN"/>
              </w:rPr>
            </w:pPr>
            <w:r w:rsidRPr="00B8331D">
              <w:t>1</w:t>
            </w:r>
            <w:r>
              <w:t>,</w:t>
            </w:r>
            <w:r w:rsidRPr="00B8331D">
              <w:t>624</w:t>
            </w:r>
            <w:r>
              <w:t>,</w:t>
            </w:r>
            <w:r w:rsidRPr="00B8331D">
              <w:t xml:space="preserve">569 </w:t>
            </w:r>
          </w:p>
        </w:tc>
      </w:tr>
      <w:tr w:rsidR="003A6759" w:rsidRPr="008406A3" w14:paraId="1C8C99EF" w14:textId="77777777" w:rsidTr="003A6759">
        <w:tc>
          <w:tcPr>
            <w:tcW w:w="706" w:type="dxa"/>
            <w:tcBorders>
              <w:right w:val="single" w:sz="4" w:space="0" w:color="000000"/>
            </w:tcBorders>
            <w:noWrap/>
          </w:tcPr>
          <w:p w14:paraId="660BEC95" w14:textId="75D15B22" w:rsidR="003A6759" w:rsidRPr="006A05C4" w:rsidRDefault="003A6759" w:rsidP="003A6759">
            <w:pPr>
              <w:ind w:left="-58" w:right="-58"/>
              <w:jc w:val="center"/>
              <w:rPr>
                <w:rFonts w:cs="Arial"/>
                <w:bCs/>
              </w:rPr>
            </w:pPr>
            <w:r w:rsidRPr="006A05C4">
              <w:rPr>
                <w:rFonts w:cs="Arial"/>
                <w:bCs/>
              </w:rPr>
              <w:t>52</w:t>
            </w:r>
          </w:p>
        </w:tc>
        <w:tc>
          <w:tcPr>
            <w:tcW w:w="3643" w:type="dxa"/>
            <w:tcBorders>
              <w:left w:val="single" w:sz="4" w:space="0" w:color="000000"/>
              <w:right w:val="single" w:sz="4" w:space="0" w:color="000000"/>
            </w:tcBorders>
            <w:noWrap/>
            <w:vAlign w:val="bottom"/>
          </w:tcPr>
          <w:p w14:paraId="72800324" w14:textId="0FFF4EBE" w:rsidR="003A6759" w:rsidRPr="00B35DC0" w:rsidRDefault="003A6759" w:rsidP="003A6759">
            <w:pPr>
              <w:ind w:left="302" w:hanging="360"/>
              <w:rPr>
                <w:rFonts w:cs="Arial"/>
                <w:bCs/>
              </w:rPr>
            </w:pPr>
            <w:r w:rsidRPr="00B35DC0">
              <w:rPr>
                <w:rFonts w:cs="Arial"/>
              </w:rPr>
              <w:t>2.</w:t>
            </w:r>
            <w:r w:rsidRPr="00B35DC0">
              <w:rPr>
                <w:rFonts w:cs="Arial"/>
              </w:rPr>
              <w:tab/>
            </w:r>
            <w:r w:rsidRPr="00A26A34">
              <w:rPr>
                <w:rFonts w:cs="Arial"/>
                <w:bCs/>
                <w:iCs/>
              </w:rPr>
              <w:t>Interest expenses</w:t>
            </w:r>
          </w:p>
        </w:tc>
        <w:tc>
          <w:tcPr>
            <w:tcW w:w="776" w:type="dxa"/>
            <w:tcBorders>
              <w:left w:val="single" w:sz="4" w:space="0" w:color="000000"/>
              <w:right w:val="single" w:sz="4" w:space="0" w:color="000000"/>
            </w:tcBorders>
            <w:noWrap/>
            <w:vAlign w:val="bottom"/>
          </w:tcPr>
          <w:p w14:paraId="34057550" w14:textId="45D38F25" w:rsidR="003A6759" w:rsidRPr="003C222B" w:rsidRDefault="003A6759" w:rsidP="003A6759">
            <w:pPr>
              <w:ind w:left="-58" w:right="-58"/>
              <w:jc w:val="center"/>
              <w:rPr>
                <w:rFonts w:cs="Arial"/>
              </w:rPr>
            </w:pPr>
            <w:r>
              <w:rPr>
                <w:rFonts w:cs="Arial"/>
              </w:rPr>
              <w:t>23</w:t>
            </w:r>
          </w:p>
        </w:tc>
        <w:tc>
          <w:tcPr>
            <w:tcW w:w="1881" w:type="dxa"/>
            <w:tcBorders>
              <w:left w:val="single" w:sz="4" w:space="0" w:color="000000"/>
              <w:right w:val="single" w:sz="4" w:space="0" w:color="000000"/>
            </w:tcBorders>
            <w:vAlign w:val="bottom"/>
          </w:tcPr>
          <w:p w14:paraId="50725401" w14:textId="72BD7E6A" w:rsidR="003A6759" w:rsidRPr="006A05C4" w:rsidRDefault="003A6759" w:rsidP="003A6759">
            <w:pPr>
              <w:jc w:val="right"/>
              <w:rPr>
                <w:rFonts w:cs="Arial"/>
                <w:bCs/>
                <w:lang w:val="vi-VN"/>
              </w:rPr>
            </w:pPr>
            <w:r w:rsidRPr="00B8331D">
              <w:t>48</w:t>
            </w:r>
            <w:r>
              <w:t>,</w:t>
            </w:r>
            <w:r w:rsidRPr="00B8331D">
              <w:t>894</w:t>
            </w:r>
            <w:r>
              <w:t>,</w:t>
            </w:r>
            <w:r w:rsidRPr="00B8331D">
              <w:t>306</w:t>
            </w:r>
            <w:r>
              <w:t>,</w:t>
            </w:r>
            <w:r w:rsidRPr="00B8331D">
              <w:t>175</w:t>
            </w:r>
          </w:p>
        </w:tc>
        <w:tc>
          <w:tcPr>
            <w:tcW w:w="1881" w:type="dxa"/>
            <w:tcBorders>
              <w:left w:val="single" w:sz="4" w:space="0" w:color="000000"/>
            </w:tcBorders>
            <w:noWrap/>
            <w:vAlign w:val="bottom"/>
          </w:tcPr>
          <w:p w14:paraId="4D0D9150" w14:textId="72C8191F" w:rsidR="003A6759" w:rsidRPr="006A05C4" w:rsidRDefault="003A6759" w:rsidP="003A6759">
            <w:pPr>
              <w:jc w:val="right"/>
              <w:rPr>
                <w:rFonts w:cs="Arial"/>
                <w:bCs/>
                <w:lang w:val="vi-VN"/>
              </w:rPr>
            </w:pPr>
            <w:r w:rsidRPr="00B8331D">
              <w:t>45</w:t>
            </w:r>
            <w:r>
              <w:t>,</w:t>
            </w:r>
            <w:r w:rsidRPr="00B8331D">
              <w:t>321</w:t>
            </w:r>
            <w:r>
              <w:t>,</w:t>
            </w:r>
            <w:r w:rsidRPr="00B8331D">
              <w:t>583</w:t>
            </w:r>
            <w:r>
              <w:t>,</w:t>
            </w:r>
            <w:r w:rsidRPr="00B8331D">
              <w:t>468</w:t>
            </w:r>
          </w:p>
        </w:tc>
      </w:tr>
      <w:tr w:rsidR="003A6759" w:rsidRPr="008406A3" w14:paraId="158F52B8" w14:textId="77777777" w:rsidTr="003A6759">
        <w:tc>
          <w:tcPr>
            <w:tcW w:w="706" w:type="dxa"/>
            <w:tcBorders>
              <w:right w:val="single" w:sz="4" w:space="0" w:color="000000"/>
            </w:tcBorders>
            <w:noWrap/>
          </w:tcPr>
          <w:p w14:paraId="58FA2091" w14:textId="139BF87B" w:rsidR="003A6759" w:rsidRPr="006A05C4" w:rsidRDefault="003A6759" w:rsidP="003A6759">
            <w:pPr>
              <w:ind w:left="-58" w:right="-58"/>
              <w:jc w:val="center"/>
              <w:rPr>
                <w:rFonts w:cs="Arial"/>
                <w:bCs/>
              </w:rPr>
            </w:pPr>
            <w:r w:rsidRPr="006A05C4">
              <w:rPr>
                <w:rFonts w:cs="Arial"/>
                <w:bCs/>
              </w:rPr>
              <w:t>55</w:t>
            </w:r>
          </w:p>
        </w:tc>
        <w:tc>
          <w:tcPr>
            <w:tcW w:w="3643" w:type="dxa"/>
            <w:tcBorders>
              <w:left w:val="single" w:sz="4" w:space="0" w:color="000000"/>
              <w:right w:val="single" w:sz="4" w:space="0" w:color="000000"/>
            </w:tcBorders>
            <w:noWrap/>
            <w:vAlign w:val="bottom"/>
          </w:tcPr>
          <w:p w14:paraId="0EC0441A" w14:textId="54B2E62C" w:rsidR="003A6759" w:rsidRPr="00246BF8" w:rsidRDefault="003A6759" w:rsidP="003A6759">
            <w:pPr>
              <w:ind w:left="302" w:hanging="360"/>
              <w:rPr>
                <w:rFonts w:cs="Arial"/>
                <w:bCs/>
              </w:rPr>
            </w:pPr>
            <w:r w:rsidRPr="00BC4FFD">
              <w:rPr>
                <w:rFonts w:cs="Arial"/>
                <w:bCs/>
              </w:rPr>
              <w:t>3</w:t>
            </w:r>
            <w:r w:rsidRPr="00246BF8">
              <w:rPr>
                <w:rFonts w:cs="Arial"/>
                <w:bCs/>
              </w:rPr>
              <w:t>.</w:t>
            </w:r>
            <w:r w:rsidRPr="00246BF8">
              <w:rPr>
                <w:rFonts w:cs="Arial"/>
                <w:bCs/>
              </w:rPr>
              <w:tab/>
            </w:r>
            <w:r w:rsidRPr="00A817D4">
              <w:rPr>
                <w:rFonts w:cs="Arial"/>
                <w:bCs/>
                <w:iCs/>
              </w:rPr>
              <w:t>Other financial expenses</w:t>
            </w:r>
          </w:p>
        </w:tc>
        <w:tc>
          <w:tcPr>
            <w:tcW w:w="776" w:type="dxa"/>
            <w:tcBorders>
              <w:left w:val="single" w:sz="4" w:space="0" w:color="000000"/>
              <w:right w:val="single" w:sz="4" w:space="0" w:color="000000"/>
            </w:tcBorders>
            <w:noWrap/>
            <w:vAlign w:val="bottom"/>
          </w:tcPr>
          <w:p w14:paraId="010162BB" w14:textId="5F5040E3" w:rsidR="003A6759" w:rsidRPr="003C222B" w:rsidRDefault="003A6759" w:rsidP="003A6759">
            <w:pPr>
              <w:ind w:left="-58" w:right="-58"/>
              <w:jc w:val="center"/>
              <w:rPr>
                <w:rFonts w:cs="Arial"/>
              </w:rPr>
            </w:pPr>
            <w:r>
              <w:rPr>
                <w:rFonts w:cs="Arial"/>
              </w:rPr>
              <w:t>23</w:t>
            </w:r>
          </w:p>
        </w:tc>
        <w:tc>
          <w:tcPr>
            <w:tcW w:w="1881" w:type="dxa"/>
            <w:tcBorders>
              <w:left w:val="single" w:sz="4" w:space="0" w:color="000000"/>
              <w:right w:val="single" w:sz="4" w:space="0" w:color="000000"/>
            </w:tcBorders>
            <w:vAlign w:val="bottom"/>
          </w:tcPr>
          <w:p w14:paraId="2D3545C6" w14:textId="098A023F" w:rsidR="003A6759" w:rsidRPr="006A05C4" w:rsidRDefault="003A6759" w:rsidP="003A6759">
            <w:pPr>
              <w:jc w:val="right"/>
              <w:rPr>
                <w:rFonts w:cs="Arial"/>
                <w:bCs/>
                <w:lang w:val="vi-VN"/>
              </w:rPr>
            </w:pPr>
            <w:r w:rsidRPr="00B8331D">
              <w:t>5</w:t>
            </w:r>
            <w:r>
              <w:t>,</w:t>
            </w:r>
            <w:r w:rsidRPr="00B8331D">
              <w:t>866</w:t>
            </w:r>
            <w:r>
              <w:t>,</w:t>
            </w:r>
            <w:r w:rsidRPr="00B8331D">
              <w:t>401</w:t>
            </w:r>
            <w:r>
              <w:t>,</w:t>
            </w:r>
            <w:r w:rsidRPr="00B8331D">
              <w:t xml:space="preserve">387 </w:t>
            </w:r>
          </w:p>
        </w:tc>
        <w:tc>
          <w:tcPr>
            <w:tcW w:w="1881" w:type="dxa"/>
            <w:tcBorders>
              <w:left w:val="single" w:sz="4" w:space="0" w:color="000000"/>
            </w:tcBorders>
            <w:noWrap/>
            <w:vAlign w:val="bottom"/>
          </w:tcPr>
          <w:p w14:paraId="6FC28C5A" w14:textId="2312FFD3" w:rsidR="003A6759" w:rsidRPr="006A05C4" w:rsidRDefault="003A6759" w:rsidP="003A6759">
            <w:pPr>
              <w:jc w:val="right"/>
              <w:rPr>
                <w:rFonts w:cs="Arial"/>
                <w:bCs/>
                <w:lang w:val="vi-VN"/>
              </w:rPr>
            </w:pPr>
            <w:r w:rsidRPr="00B8331D">
              <w:t>10</w:t>
            </w:r>
            <w:r>
              <w:t>,</w:t>
            </w:r>
            <w:r w:rsidRPr="00B8331D">
              <w:t>666</w:t>
            </w:r>
            <w:r>
              <w:t>,</w:t>
            </w:r>
            <w:r w:rsidRPr="00B8331D">
              <w:t>351</w:t>
            </w:r>
            <w:r>
              <w:t>,</w:t>
            </w:r>
            <w:r w:rsidRPr="00B8331D">
              <w:t xml:space="preserve">413 </w:t>
            </w:r>
          </w:p>
        </w:tc>
      </w:tr>
      <w:tr w:rsidR="003A6759" w:rsidRPr="008406A3" w14:paraId="78F50E52" w14:textId="77777777" w:rsidTr="003A6759">
        <w:tc>
          <w:tcPr>
            <w:tcW w:w="706" w:type="dxa"/>
            <w:tcBorders>
              <w:right w:val="single" w:sz="4" w:space="0" w:color="000000"/>
            </w:tcBorders>
            <w:noWrap/>
          </w:tcPr>
          <w:p w14:paraId="36651C02" w14:textId="2D81E847" w:rsidR="003A6759" w:rsidRPr="006A05C4" w:rsidRDefault="003A6759" w:rsidP="003A6759">
            <w:pPr>
              <w:spacing w:before="120"/>
              <w:ind w:left="-58" w:right="-58"/>
              <w:jc w:val="center"/>
              <w:rPr>
                <w:rFonts w:cs="Arial"/>
                <w:bCs/>
              </w:rPr>
            </w:pPr>
            <w:r w:rsidRPr="006A05C4">
              <w:rPr>
                <w:rFonts w:cs="Arial"/>
                <w:b/>
                <w:bCs/>
              </w:rPr>
              <w:t>60</w:t>
            </w:r>
          </w:p>
        </w:tc>
        <w:tc>
          <w:tcPr>
            <w:tcW w:w="3643" w:type="dxa"/>
            <w:tcBorders>
              <w:left w:val="single" w:sz="4" w:space="0" w:color="000000"/>
              <w:right w:val="single" w:sz="4" w:space="0" w:color="000000"/>
            </w:tcBorders>
            <w:noWrap/>
            <w:vAlign w:val="bottom"/>
          </w:tcPr>
          <w:p w14:paraId="5FF05749" w14:textId="724EB741" w:rsidR="003A6759" w:rsidRPr="00246BF8" w:rsidRDefault="003A6759" w:rsidP="003A6759">
            <w:pPr>
              <w:spacing w:before="120"/>
              <w:ind w:left="302" w:hanging="360"/>
              <w:rPr>
                <w:rFonts w:cs="Arial"/>
                <w:bCs/>
              </w:rPr>
            </w:pPr>
            <w:r w:rsidRPr="00A53C2F">
              <w:rPr>
                <w:rFonts w:cs="Arial"/>
                <w:b/>
                <w:bCs/>
              </w:rPr>
              <w:t>Total financial expenses</w:t>
            </w:r>
          </w:p>
        </w:tc>
        <w:tc>
          <w:tcPr>
            <w:tcW w:w="776" w:type="dxa"/>
            <w:tcBorders>
              <w:left w:val="single" w:sz="4" w:space="0" w:color="000000"/>
              <w:right w:val="single" w:sz="4" w:space="0" w:color="000000"/>
            </w:tcBorders>
            <w:noWrap/>
            <w:vAlign w:val="bottom"/>
          </w:tcPr>
          <w:p w14:paraId="22516E34" w14:textId="77777777" w:rsidR="003A6759" w:rsidRPr="003C222B" w:rsidRDefault="003A6759" w:rsidP="003A6759">
            <w:pPr>
              <w:spacing w:before="120"/>
              <w:ind w:left="-58" w:right="-58"/>
              <w:jc w:val="center"/>
              <w:rPr>
                <w:rFonts w:cs="Arial"/>
                <w:b/>
                <w:lang w:val="vi-VN"/>
              </w:rPr>
            </w:pPr>
          </w:p>
        </w:tc>
        <w:tc>
          <w:tcPr>
            <w:tcW w:w="1881" w:type="dxa"/>
            <w:tcBorders>
              <w:left w:val="single" w:sz="4" w:space="0" w:color="000000"/>
              <w:right w:val="single" w:sz="4" w:space="0" w:color="000000"/>
            </w:tcBorders>
            <w:vAlign w:val="bottom"/>
          </w:tcPr>
          <w:p w14:paraId="28FD7CD6" w14:textId="74F188C0" w:rsidR="003A6759" w:rsidRPr="003A6759" w:rsidRDefault="003A6759" w:rsidP="003A6759">
            <w:pPr>
              <w:spacing w:before="120"/>
              <w:jc w:val="right"/>
              <w:rPr>
                <w:rFonts w:cs="Arial"/>
                <w:b/>
                <w:bCs/>
                <w:lang w:val="vi-VN"/>
              </w:rPr>
            </w:pPr>
            <w:r w:rsidRPr="003A6759">
              <w:rPr>
                <w:b/>
                <w:bCs/>
              </w:rPr>
              <w:t>54,760,707,562</w:t>
            </w:r>
          </w:p>
        </w:tc>
        <w:tc>
          <w:tcPr>
            <w:tcW w:w="1881" w:type="dxa"/>
            <w:tcBorders>
              <w:left w:val="single" w:sz="4" w:space="0" w:color="000000"/>
            </w:tcBorders>
            <w:noWrap/>
            <w:vAlign w:val="bottom"/>
          </w:tcPr>
          <w:p w14:paraId="1FAADD35" w14:textId="42AC91B6" w:rsidR="003A6759" w:rsidRPr="003A6759" w:rsidRDefault="003A6759" w:rsidP="003A6759">
            <w:pPr>
              <w:spacing w:before="120"/>
              <w:jc w:val="right"/>
              <w:rPr>
                <w:rFonts w:cs="Arial"/>
                <w:b/>
                <w:bCs/>
                <w:lang w:val="vi-VN"/>
              </w:rPr>
            </w:pPr>
            <w:r w:rsidRPr="003A6759">
              <w:rPr>
                <w:b/>
                <w:bCs/>
              </w:rPr>
              <w:t>55,989,559,450</w:t>
            </w:r>
          </w:p>
        </w:tc>
      </w:tr>
      <w:tr w:rsidR="003A6759" w:rsidRPr="008406A3" w14:paraId="65737FAC" w14:textId="77777777" w:rsidTr="003A6759">
        <w:tc>
          <w:tcPr>
            <w:tcW w:w="706" w:type="dxa"/>
            <w:tcBorders>
              <w:right w:val="single" w:sz="4" w:space="0" w:color="000000"/>
            </w:tcBorders>
            <w:noWrap/>
          </w:tcPr>
          <w:p w14:paraId="730AECBC" w14:textId="2901CDA2" w:rsidR="003A6759" w:rsidRPr="006A05C4" w:rsidRDefault="003A6759" w:rsidP="003A6759">
            <w:pPr>
              <w:spacing w:before="120"/>
              <w:ind w:left="-58" w:right="-58"/>
              <w:jc w:val="center"/>
              <w:rPr>
                <w:rFonts w:cs="Arial"/>
                <w:b/>
                <w:bCs/>
              </w:rPr>
            </w:pPr>
            <w:r w:rsidRPr="006A05C4">
              <w:rPr>
                <w:rFonts w:cs="Arial"/>
                <w:b/>
                <w:bCs/>
              </w:rPr>
              <w:t>62</w:t>
            </w:r>
          </w:p>
        </w:tc>
        <w:tc>
          <w:tcPr>
            <w:tcW w:w="3643" w:type="dxa"/>
            <w:tcBorders>
              <w:left w:val="single" w:sz="4" w:space="0" w:color="000000"/>
              <w:right w:val="single" w:sz="4" w:space="0" w:color="000000"/>
            </w:tcBorders>
            <w:noWrap/>
            <w:vAlign w:val="bottom"/>
          </w:tcPr>
          <w:p w14:paraId="0528D672" w14:textId="5466242A" w:rsidR="003A6759" w:rsidRPr="00BC4FFD" w:rsidRDefault="003A6759" w:rsidP="003A6759">
            <w:pPr>
              <w:spacing w:before="120"/>
              <w:ind w:left="302" w:hanging="360"/>
              <w:jc w:val="left"/>
              <w:rPr>
                <w:rFonts w:cs="Arial"/>
                <w:b/>
                <w:bCs/>
              </w:rPr>
            </w:pPr>
            <w:r w:rsidRPr="00B35DC0">
              <w:rPr>
                <w:rFonts w:cs="Arial"/>
                <w:b/>
                <w:bCs/>
              </w:rPr>
              <w:t>V.</w:t>
            </w:r>
            <w:r w:rsidRPr="00B35DC0">
              <w:rPr>
                <w:rFonts w:cs="Arial"/>
                <w:b/>
                <w:bCs/>
              </w:rPr>
              <w:tab/>
            </w:r>
            <w:r w:rsidRPr="00EC008A">
              <w:rPr>
                <w:rFonts w:cs="Arial"/>
                <w:b/>
                <w:bCs/>
              </w:rPr>
              <w:t>GENERAL AND ADMINISTRATIVE EXPENSES</w:t>
            </w:r>
          </w:p>
        </w:tc>
        <w:tc>
          <w:tcPr>
            <w:tcW w:w="776" w:type="dxa"/>
            <w:tcBorders>
              <w:left w:val="single" w:sz="4" w:space="0" w:color="000000"/>
              <w:right w:val="single" w:sz="4" w:space="0" w:color="000000"/>
            </w:tcBorders>
            <w:noWrap/>
            <w:vAlign w:val="bottom"/>
          </w:tcPr>
          <w:p w14:paraId="0AB7877E" w14:textId="4A269087" w:rsidR="003A6759" w:rsidRPr="003C222B" w:rsidRDefault="003A6759" w:rsidP="003A6759">
            <w:pPr>
              <w:spacing w:before="120"/>
              <w:ind w:left="-58" w:right="-58"/>
              <w:jc w:val="center"/>
              <w:rPr>
                <w:rFonts w:cs="Arial"/>
                <w:b/>
              </w:rPr>
            </w:pPr>
            <w:r>
              <w:rPr>
                <w:rFonts w:cs="Arial"/>
                <w:b/>
              </w:rPr>
              <w:t>24</w:t>
            </w:r>
          </w:p>
        </w:tc>
        <w:tc>
          <w:tcPr>
            <w:tcW w:w="1881" w:type="dxa"/>
            <w:tcBorders>
              <w:left w:val="single" w:sz="4" w:space="0" w:color="000000"/>
              <w:right w:val="single" w:sz="4" w:space="0" w:color="000000"/>
            </w:tcBorders>
            <w:vAlign w:val="bottom"/>
          </w:tcPr>
          <w:p w14:paraId="3DD5A977" w14:textId="691339A1" w:rsidR="003A6759" w:rsidRPr="003A6759" w:rsidRDefault="003A6759" w:rsidP="003A6759">
            <w:pPr>
              <w:spacing w:before="120"/>
              <w:jc w:val="right"/>
              <w:rPr>
                <w:rFonts w:cs="Arial"/>
                <w:b/>
                <w:bCs/>
                <w:lang w:val="vi-VN"/>
              </w:rPr>
            </w:pPr>
            <w:r w:rsidRPr="003A6759">
              <w:rPr>
                <w:b/>
                <w:bCs/>
              </w:rPr>
              <w:t>54,253,089,511</w:t>
            </w:r>
          </w:p>
        </w:tc>
        <w:tc>
          <w:tcPr>
            <w:tcW w:w="1881" w:type="dxa"/>
            <w:tcBorders>
              <w:left w:val="single" w:sz="4" w:space="0" w:color="000000"/>
            </w:tcBorders>
            <w:noWrap/>
            <w:vAlign w:val="bottom"/>
          </w:tcPr>
          <w:p w14:paraId="48D31904" w14:textId="166986BF" w:rsidR="003A6759" w:rsidRPr="003A6759" w:rsidRDefault="003A6759" w:rsidP="003A6759">
            <w:pPr>
              <w:spacing w:before="120"/>
              <w:jc w:val="right"/>
              <w:rPr>
                <w:rFonts w:cs="Arial"/>
                <w:b/>
                <w:bCs/>
                <w:lang w:val="vi-VN"/>
              </w:rPr>
            </w:pPr>
            <w:r w:rsidRPr="003A6759">
              <w:rPr>
                <w:b/>
                <w:bCs/>
              </w:rPr>
              <w:t>43,785,277,741</w:t>
            </w:r>
          </w:p>
        </w:tc>
      </w:tr>
      <w:tr w:rsidR="003A6759" w:rsidRPr="008406A3" w14:paraId="3B7CF5CF" w14:textId="77777777" w:rsidTr="003A6759">
        <w:tc>
          <w:tcPr>
            <w:tcW w:w="706" w:type="dxa"/>
            <w:tcBorders>
              <w:right w:val="single" w:sz="4" w:space="0" w:color="000000"/>
            </w:tcBorders>
            <w:noWrap/>
          </w:tcPr>
          <w:p w14:paraId="1AF5E5CB" w14:textId="26161A90" w:rsidR="003A6759" w:rsidRPr="006A05C4" w:rsidRDefault="003A6759" w:rsidP="003A6759">
            <w:pPr>
              <w:spacing w:before="120"/>
              <w:ind w:left="-58" w:right="-58"/>
              <w:jc w:val="center"/>
              <w:rPr>
                <w:rFonts w:cs="Arial"/>
                <w:b/>
                <w:bCs/>
              </w:rPr>
            </w:pPr>
            <w:r w:rsidRPr="006A05C4">
              <w:rPr>
                <w:rFonts w:cs="Arial"/>
                <w:b/>
                <w:bCs/>
              </w:rPr>
              <w:t>70</w:t>
            </w:r>
          </w:p>
        </w:tc>
        <w:tc>
          <w:tcPr>
            <w:tcW w:w="3643" w:type="dxa"/>
            <w:tcBorders>
              <w:left w:val="single" w:sz="4" w:space="0" w:color="000000"/>
              <w:right w:val="single" w:sz="4" w:space="0" w:color="000000"/>
            </w:tcBorders>
            <w:noWrap/>
            <w:vAlign w:val="bottom"/>
          </w:tcPr>
          <w:p w14:paraId="667D5D55" w14:textId="7BE49B0A" w:rsidR="003A6759" w:rsidRPr="006A05C4" w:rsidRDefault="003A6759" w:rsidP="003A6759">
            <w:pPr>
              <w:spacing w:before="120"/>
              <w:ind w:left="302" w:hanging="360"/>
              <w:rPr>
                <w:rFonts w:cs="Arial"/>
                <w:b/>
                <w:bCs/>
              </w:rPr>
            </w:pPr>
            <w:r w:rsidRPr="006A05C4">
              <w:rPr>
                <w:rFonts w:cs="Arial"/>
                <w:b/>
                <w:bCs/>
              </w:rPr>
              <w:t>VI.</w:t>
            </w:r>
            <w:r w:rsidRPr="006A05C4">
              <w:rPr>
                <w:rFonts w:cs="Arial"/>
                <w:b/>
                <w:bCs/>
              </w:rPr>
              <w:tab/>
            </w:r>
            <w:r w:rsidRPr="001F037A">
              <w:rPr>
                <w:rFonts w:cs="Arial"/>
                <w:b/>
                <w:bCs/>
              </w:rPr>
              <w:t>OPERATING PROFIT</w:t>
            </w:r>
          </w:p>
        </w:tc>
        <w:tc>
          <w:tcPr>
            <w:tcW w:w="776" w:type="dxa"/>
            <w:tcBorders>
              <w:left w:val="single" w:sz="4" w:space="0" w:color="000000"/>
              <w:right w:val="single" w:sz="4" w:space="0" w:color="000000"/>
            </w:tcBorders>
            <w:noWrap/>
            <w:vAlign w:val="bottom"/>
          </w:tcPr>
          <w:p w14:paraId="727275BE" w14:textId="77777777" w:rsidR="003A6759" w:rsidRPr="003C222B" w:rsidRDefault="003A6759" w:rsidP="003A6759">
            <w:pPr>
              <w:spacing w:before="120"/>
              <w:ind w:left="-58" w:right="-58"/>
              <w:jc w:val="center"/>
              <w:rPr>
                <w:rFonts w:cs="Arial"/>
                <w:b/>
                <w:lang w:val="vi-VN"/>
              </w:rPr>
            </w:pPr>
          </w:p>
        </w:tc>
        <w:tc>
          <w:tcPr>
            <w:tcW w:w="1881" w:type="dxa"/>
            <w:tcBorders>
              <w:left w:val="single" w:sz="4" w:space="0" w:color="000000"/>
              <w:right w:val="single" w:sz="4" w:space="0" w:color="000000"/>
            </w:tcBorders>
            <w:vAlign w:val="bottom"/>
          </w:tcPr>
          <w:p w14:paraId="2C1C017F" w14:textId="495B72EB" w:rsidR="003A6759" w:rsidRPr="003A6759" w:rsidRDefault="003A6759" w:rsidP="003A6759">
            <w:pPr>
              <w:spacing w:before="120"/>
              <w:jc w:val="right"/>
              <w:rPr>
                <w:rFonts w:cs="Arial"/>
                <w:b/>
                <w:bCs/>
                <w:lang w:val="vi-VN"/>
              </w:rPr>
            </w:pPr>
            <w:r w:rsidRPr="003A6759">
              <w:rPr>
                <w:b/>
                <w:bCs/>
              </w:rPr>
              <w:t xml:space="preserve">38,278,340,316 </w:t>
            </w:r>
          </w:p>
        </w:tc>
        <w:tc>
          <w:tcPr>
            <w:tcW w:w="1881" w:type="dxa"/>
            <w:tcBorders>
              <w:left w:val="single" w:sz="4" w:space="0" w:color="000000"/>
            </w:tcBorders>
            <w:noWrap/>
            <w:vAlign w:val="bottom"/>
          </w:tcPr>
          <w:p w14:paraId="49722833" w14:textId="1B0AD342" w:rsidR="003A6759" w:rsidRPr="003A6759" w:rsidRDefault="003A6759" w:rsidP="003A6759">
            <w:pPr>
              <w:spacing w:before="120"/>
              <w:jc w:val="right"/>
              <w:rPr>
                <w:rFonts w:cs="Arial"/>
                <w:b/>
                <w:bCs/>
                <w:lang w:val="vi-VN"/>
              </w:rPr>
            </w:pPr>
            <w:r w:rsidRPr="003A6759">
              <w:rPr>
                <w:b/>
                <w:bCs/>
              </w:rPr>
              <w:t xml:space="preserve">69,845,610,402 </w:t>
            </w:r>
          </w:p>
        </w:tc>
      </w:tr>
      <w:tr w:rsidR="003A6759" w:rsidRPr="008406A3" w14:paraId="0626E509" w14:textId="77777777" w:rsidTr="003A6759">
        <w:tc>
          <w:tcPr>
            <w:tcW w:w="706" w:type="dxa"/>
            <w:tcBorders>
              <w:right w:val="single" w:sz="4" w:space="0" w:color="000000"/>
            </w:tcBorders>
            <w:noWrap/>
          </w:tcPr>
          <w:p w14:paraId="43EED267" w14:textId="2F5D70B4" w:rsidR="003A6759" w:rsidRPr="006A05C4" w:rsidRDefault="003A6759" w:rsidP="003A6759">
            <w:pPr>
              <w:spacing w:before="120"/>
              <w:ind w:left="-58" w:right="-58"/>
              <w:jc w:val="center"/>
              <w:rPr>
                <w:rFonts w:cs="Arial"/>
                <w:b/>
                <w:bCs/>
              </w:rPr>
            </w:pPr>
          </w:p>
        </w:tc>
        <w:tc>
          <w:tcPr>
            <w:tcW w:w="3643" w:type="dxa"/>
            <w:tcBorders>
              <w:left w:val="single" w:sz="4" w:space="0" w:color="000000"/>
              <w:right w:val="single" w:sz="4" w:space="0" w:color="000000"/>
            </w:tcBorders>
            <w:noWrap/>
            <w:vAlign w:val="bottom"/>
          </w:tcPr>
          <w:p w14:paraId="3C0A88D8" w14:textId="4BA4DD18" w:rsidR="003A6759" w:rsidRPr="006A05C4" w:rsidRDefault="003A6759" w:rsidP="003A6759">
            <w:pPr>
              <w:spacing w:before="120"/>
              <w:ind w:left="302" w:hanging="360"/>
              <w:jc w:val="left"/>
              <w:rPr>
                <w:rFonts w:cs="Arial"/>
                <w:b/>
                <w:bCs/>
              </w:rPr>
            </w:pPr>
            <w:r w:rsidRPr="006A05C4">
              <w:rPr>
                <w:rFonts w:cs="Arial"/>
                <w:b/>
              </w:rPr>
              <w:t>VII.</w:t>
            </w:r>
            <w:r w:rsidRPr="006A05C4">
              <w:rPr>
                <w:rFonts w:cs="Arial"/>
                <w:b/>
              </w:rPr>
              <w:tab/>
            </w:r>
            <w:r w:rsidRPr="00DE47A5">
              <w:rPr>
                <w:rFonts w:cs="Arial"/>
                <w:b/>
                <w:bCs/>
                <w:iCs/>
              </w:rPr>
              <w:t>OTHER INCOME AND EXPENSES</w:t>
            </w:r>
          </w:p>
        </w:tc>
        <w:tc>
          <w:tcPr>
            <w:tcW w:w="776" w:type="dxa"/>
            <w:tcBorders>
              <w:left w:val="single" w:sz="4" w:space="0" w:color="000000"/>
              <w:right w:val="single" w:sz="4" w:space="0" w:color="000000"/>
            </w:tcBorders>
            <w:noWrap/>
            <w:vAlign w:val="bottom"/>
          </w:tcPr>
          <w:p w14:paraId="7B308E9F" w14:textId="77777777" w:rsidR="003A6759" w:rsidRPr="003C222B" w:rsidRDefault="003A6759" w:rsidP="003A6759">
            <w:pPr>
              <w:spacing w:before="120"/>
              <w:ind w:left="-58" w:right="-58"/>
              <w:jc w:val="center"/>
              <w:rPr>
                <w:rFonts w:cs="Arial"/>
                <w:b/>
                <w:lang w:val="vi-VN"/>
              </w:rPr>
            </w:pPr>
          </w:p>
        </w:tc>
        <w:tc>
          <w:tcPr>
            <w:tcW w:w="1881" w:type="dxa"/>
            <w:tcBorders>
              <w:left w:val="single" w:sz="4" w:space="0" w:color="000000"/>
              <w:right w:val="single" w:sz="4" w:space="0" w:color="000000"/>
            </w:tcBorders>
            <w:vAlign w:val="bottom"/>
          </w:tcPr>
          <w:p w14:paraId="10DC66E5" w14:textId="6ECD2336" w:rsidR="003A6759" w:rsidRPr="006A05C4" w:rsidRDefault="003A6759" w:rsidP="003A6759">
            <w:pPr>
              <w:spacing w:before="120"/>
              <w:jc w:val="right"/>
              <w:rPr>
                <w:rFonts w:cs="Arial"/>
                <w:b/>
                <w:bCs/>
                <w:lang w:val="vi-VN"/>
              </w:rPr>
            </w:pPr>
          </w:p>
        </w:tc>
        <w:tc>
          <w:tcPr>
            <w:tcW w:w="1881" w:type="dxa"/>
            <w:tcBorders>
              <w:left w:val="single" w:sz="4" w:space="0" w:color="000000"/>
            </w:tcBorders>
            <w:noWrap/>
            <w:vAlign w:val="bottom"/>
          </w:tcPr>
          <w:p w14:paraId="72641FDA" w14:textId="4ECCB0B3" w:rsidR="003A6759" w:rsidRPr="006A05C4" w:rsidRDefault="003A6759" w:rsidP="003A6759">
            <w:pPr>
              <w:spacing w:before="120"/>
              <w:jc w:val="right"/>
              <w:rPr>
                <w:rFonts w:cs="Arial"/>
                <w:b/>
                <w:bCs/>
                <w:lang w:val="vi-VN"/>
              </w:rPr>
            </w:pPr>
          </w:p>
        </w:tc>
      </w:tr>
      <w:tr w:rsidR="003A6759" w:rsidRPr="008406A3" w14:paraId="3F9192FF" w14:textId="77777777" w:rsidTr="003A6759">
        <w:tc>
          <w:tcPr>
            <w:tcW w:w="706" w:type="dxa"/>
            <w:tcBorders>
              <w:right w:val="single" w:sz="4" w:space="0" w:color="000000"/>
            </w:tcBorders>
            <w:noWrap/>
          </w:tcPr>
          <w:p w14:paraId="38642BA2" w14:textId="1A7214D5" w:rsidR="003A6759" w:rsidRPr="006A05C4" w:rsidRDefault="003A6759" w:rsidP="003A6759">
            <w:pPr>
              <w:spacing w:before="120"/>
              <w:ind w:left="-58" w:right="-58"/>
              <w:jc w:val="center"/>
              <w:rPr>
                <w:rFonts w:cs="Arial"/>
                <w:bCs/>
              </w:rPr>
            </w:pPr>
            <w:r w:rsidRPr="006A05C4">
              <w:rPr>
                <w:rFonts w:cs="Arial"/>
                <w:bCs/>
              </w:rPr>
              <w:t>71</w:t>
            </w:r>
          </w:p>
        </w:tc>
        <w:tc>
          <w:tcPr>
            <w:tcW w:w="3643" w:type="dxa"/>
            <w:tcBorders>
              <w:left w:val="single" w:sz="4" w:space="0" w:color="000000"/>
              <w:right w:val="single" w:sz="4" w:space="0" w:color="000000"/>
            </w:tcBorders>
            <w:noWrap/>
            <w:vAlign w:val="bottom"/>
          </w:tcPr>
          <w:p w14:paraId="75EAB2E0" w14:textId="0EC2CC32" w:rsidR="003A6759" w:rsidRPr="006A05C4" w:rsidRDefault="003A6759" w:rsidP="003A6759">
            <w:pPr>
              <w:spacing w:before="120"/>
              <w:ind w:left="302" w:hanging="360"/>
              <w:rPr>
                <w:rFonts w:cs="Arial"/>
                <w:bCs/>
              </w:rPr>
            </w:pPr>
            <w:r w:rsidRPr="006A05C4">
              <w:rPr>
                <w:rFonts w:cs="Arial"/>
              </w:rPr>
              <w:t>1.</w:t>
            </w:r>
            <w:r w:rsidRPr="006A05C4">
              <w:rPr>
                <w:rFonts w:cs="Arial"/>
              </w:rPr>
              <w:tab/>
            </w:r>
            <w:r w:rsidRPr="00F53203">
              <w:rPr>
                <w:rFonts w:cs="Arial"/>
                <w:bCs/>
                <w:iCs/>
              </w:rPr>
              <w:t>Other income</w:t>
            </w:r>
          </w:p>
        </w:tc>
        <w:tc>
          <w:tcPr>
            <w:tcW w:w="776" w:type="dxa"/>
            <w:tcBorders>
              <w:left w:val="single" w:sz="4" w:space="0" w:color="000000"/>
              <w:right w:val="single" w:sz="4" w:space="0" w:color="000000"/>
            </w:tcBorders>
            <w:noWrap/>
            <w:vAlign w:val="bottom"/>
          </w:tcPr>
          <w:p w14:paraId="47DD3116" w14:textId="77777777" w:rsidR="003A6759" w:rsidRPr="003C222B" w:rsidRDefault="003A6759" w:rsidP="003A6759">
            <w:pPr>
              <w:spacing w:before="120"/>
              <w:ind w:left="-58" w:right="-58"/>
              <w:jc w:val="center"/>
              <w:rPr>
                <w:rFonts w:cs="Arial"/>
                <w:lang w:val="vi-VN"/>
              </w:rPr>
            </w:pPr>
          </w:p>
        </w:tc>
        <w:tc>
          <w:tcPr>
            <w:tcW w:w="1881" w:type="dxa"/>
            <w:tcBorders>
              <w:left w:val="single" w:sz="4" w:space="0" w:color="000000"/>
              <w:right w:val="single" w:sz="4" w:space="0" w:color="000000"/>
            </w:tcBorders>
            <w:vAlign w:val="bottom"/>
          </w:tcPr>
          <w:p w14:paraId="0BB1009F" w14:textId="7392FF8B" w:rsidR="003A6759" w:rsidRPr="006A05C4" w:rsidRDefault="003A6759" w:rsidP="003A6759">
            <w:pPr>
              <w:spacing w:before="120"/>
              <w:jc w:val="right"/>
              <w:rPr>
                <w:rFonts w:cs="Arial"/>
                <w:bCs/>
              </w:rPr>
            </w:pPr>
            <w:r w:rsidRPr="00B8331D">
              <w:t xml:space="preserve">137 </w:t>
            </w:r>
          </w:p>
        </w:tc>
        <w:tc>
          <w:tcPr>
            <w:tcW w:w="1881" w:type="dxa"/>
            <w:tcBorders>
              <w:left w:val="single" w:sz="4" w:space="0" w:color="000000"/>
            </w:tcBorders>
            <w:noWrap/>
            <w:vAlign w:val="bottom"/>
          </w:tcPr>
          <w:p w14:paraId="20718F42" w14:textId="4FCE66A2" w:rsidR="003A6759" w:rsidRPr="006A05C4" w:rsidRDefault="003A6759" w:rsidP="003A6759">
            <w:pPr>
              <w:spacing w:before="120"/>
              <w:jc w:val="right"/>
              <w:rPr>
                <w:rFonts w:cs="Arial"/>
                <w:bCs/>
              </w:rPr>
            </w:pPr>
            <w:r w:rsidRPr="00B8331D">
              <w:t>60</w:t>
            </w:r>
            <w:r>
              <w:t>,</w:t>
            </w:r>
            <w:r w:rsidRPr="00B8331D">
              <w:t>598</w:t>
            </w:r>
            <w:r>
              <w:t>,</w:t>
            </w:r>
            <w:r w:rsidRPr="00B8331D">
              <w:t xml:space="preserve">076 </w:t>
            </w:r>
          </w:p>
        </w:tc>
      </w:tr>
      <w:tr w:rsidR="003A6759" w:rsidRPr="008406A3" w14:paraId="797B5DF0" w14:textId="77777777" w:rsidTr="003A6759">
        <w:tc>
          <w:tcPr>
            <w:tcW w:w="706" w:type="dxa"/>
            <w:tcBorders>
              <w:right w:val="single" w:sz="4" w:space="0" w:color="000000"/>
            </w:tcBorders>
            <w:noWrap/>
          </w:tcPr>
          <w:p w14:paraId="7031BBF9" w14:textId="2A336495" w:rsidR="003A6759" w:rsidRPr="006A05C4" w:rsidRDefault="003A6759" w:rsidP="003A6759">
            <w:pPr>
              <w:ind w:left="-58" w:right="-58"/>
              <w:jc w:val="center"/>
              <w:rPr>
                <w:rFonts w:cs="Arial"/>
                <w:bCs/>
              </w:rPr>
            </w:pPr>
            <w:r w:rsidRPr="006A05C4">
              <w:rPr>
                <w:rFonts w:cs="Arial"/>
                <w:bCs/>
              </w:rPr>
              <w:t>72</w:t>
            </w:r>
          </w:p>
        </w:tc>
        <w:tc>
          <w:tcPr>
            <w:tcW w:w="3643" w:type="dxa"/>
            <w:tcBorders>
              <w:left w:val="single" w:sz="4" w:space="0" w:color="000000"/>
              <w:right w:val="single" w:sz="4" w:space="0" w:color="000000"/>
            </w:tcBorders>
            <w:noWrap/>
            <w:vAlign w:val="bottom"/>
          </w:tcPr>
          <w:p w14:paraId="3F0528F5" w14:textId="1C40A1A0" w:rsidR="003A6759" w:rsidRPr="006A05C4" w:rsidRDefault="003A6759" w:rsidP="003A6759">
            <w:pPr>
              <w:ind w:left="302" w:hanging="360"/>
              <w:rPr>
                <w:rFonts w:cs="Arial"/>
              </w:rPr>
            </w:pPr>
            <w:r w:rsidRPr="006A05C4">
              <w:rPr>
                <w:rFonts w:cs="Arial"/>
              </w:rPr>
              <w:t>2.</w:t>
            </w:r>
            <w:r w:rsidRPr="006A05C4">
              <w:rPr>
                <w:rFonts w:cs="Arial"/>
              </w:rPr>
              <w:tab/>
            </w:r>
            <w:r w:rsidRPr="001C35D9">
              <w:rPr>
                <w:rFonts w:cs="Arial"/>
              </w:rPr>
              <w:t>Other expenses</w:t>
            </w:r>
          </w:p>
        </w:tc>
        <w:tc>
          <w:tcPr>
            <w:tcW w:w="776" w:type="dxa"/>
            <w:tcBorders>
              <w:left w:val="single" w:sz="4" w:space="0" w:color="000000"/>
              <w:right w:val="single" w:sz="4" w:space="0" w:color="000000"/>
            </w:tcBorders>
            <w:noWrap/>
            <w:vAlign w:val="bottom"/>
          </w:tcPr>
          <w:p w14:paraId="44010F41" w14:textId="77777777" w:rsidR="003A6759" w:rsidRPr="003C222B" w:rsidRDefault="003A6759" w:rsidP="003A6759">
            <w:pPr>
              <w:ind w:left="-58" w:right="-58"/>
              <w:jc w:val="center"/>
              <w:rPr>
                <w:rFonts w:cs="Arial"/>
                <w:lang w:val="vi-VN"/>
              </w:rPr>
            </w:pPr>
          </w:p>
        </w:tc>
        <w:tc>
          <w:tcPr>
            <w:tcW w:w="1881" w:type="dxa"/>
            <w:tcBorders>
              <w:left w:val="single" w:sz="4" w:space="0" w:color="000000"/>
              <w:right w:val="single" w:sz="4" w:space="0" w:color="000000"/>
            </w:tcBorders>
            <w:vAlign w:val="bottom"/>
          </w:tcPr>
          <w:p w14:paraId="77B2F8B1" w14:textId="11DF8CF6" w:rsidR="003A6759" w:rsidRPr="006A05C4" w:rsidRDefault="003A6759" w:rsidP="003A6759">
            <w:pPr>
              <w:jc w:val="right"/>
              <w:rPr>
                <w:rFonts w:cs="Arial"/>
                <w:bCs/>
              </w:rPr>
            </w:pPr>
            <w:r w:rsidRPr="00B8331D">
              <w:t xml:space="preserve">- </w:t>
            </w:r>
          </w:p>
        </w:tc>
        <w:tc>
          <w:tcPr>
            <w:tcW w:w="1881" w:type="dxa"/>
            <w:tcBorders>
              <w:left w:val="single" w:sz="4" w:space="0" w:color="000000"/>
            </w:tcBorders>
            <w:noWrap/>
            <w:vAlign w:val="bottom"/>
          </w:tcPr>
          <w:p w14:paraId="27FB9477" w14:textId="5CAF0050" w:rsidR="003A6759" w:rsidRPr="006A05C4" w:rsidRDefault="003A6759" w:rsidP="003A6759">
            <w:pPr>
              <w:jc w:val="right"/>
              <w:rPr>
                <w:rFonts w:cs="Arial"/>
                <w:bCs/>
              </w:rPr>
            </w:pPr>
            <w:r w:rsidRPr="00B8331D">
              <w:t xml:space="preserve">- </w:t>
            </w:r>
          </w:p>
        </w:tc>
      </w:tr>
      <w:tr w:rsidR="003A6759" w:rsidRPr="008406A3" w14:paraId="4F095F2E" w14:textId="77777777" w:rsidTr="003A6759">
        <w:tc>
          <w:tcPr>
            <w:tcW w:w="706" w:type="dxa"/>
            <w:tcBorders>
              <w:right w:val="single" w:sz="4" w:space="0" w:color="000000"/>
            </w:tcBorders>
            <w:noWrap/>
          </w:tcPr>
          <w:p w14:paraId="4EC10712" w14:textId="75B8D130" w:rsidR="003A6759" w:rsidRPr="006A05C4" w:rsidRDefault="003A6759" w:rsidP="003A6759">
            <w:pPr>
              <w:spacing w:before="120"/>
              <w:ind w:left="-58" w:right="-58"/>
              <w:jc w:val="center"/>
              <w:rPr>
                <w:rFonts w:cs="Arial"/>
                <w:b/>
                <w:bCs/>
              </w:rPr>
            </w:pPr>
            <w:r w:rsidRPr="006A05C4">
              <w:rPr>
                <w:rFonts w:cs="Arial"/>
                <w:b/>
                <w:bCs/>
              </w:rPr>
              <w:t>80</w:t>
            </w:r>
          </w:p>
        </w:tc>
        <w:tc>
          <w:tcPr>
            <w:tcW w:w="3643" w:type="dxa"/>
            <w:tcBorders>
              <w:left w:val="single" w:sz="4" w:space="0" w:color="000000"/>
              <w:right w:val="single" w:sz="4" w:space="0" w:color="000000"/>
            </w:tcBorders>
            <w:noWrap/>
            <w:vAlign w:val="bottom"/>
          </w:tcPr>
          <w:p w14:paraId="5E390D7C" w14:textId="2B09A8A1" w:rsidR="003A6759" w:rsidRPr="006A05C4" w:rsidRDefault="003A6759" w:rsidP="003A6759">
            <w:pPr>
              <w:spacing w:before="120"/>
              <w:ind w:left="302" w:hanging="360"/>
              <w:rPr>
                <w:rFonts w:cs="Arial"/>
                <w:b/>
                <w:bCs/>
              </w:rPr>
            </w:pPr>
            <w:r w:rsidRPr="0090007D">
              <w:rPr>
                <w:rFonts w:cs="Arial"/>
                <w:b/>
                <w:bCs/>
              </w:rPr>
              <w:t>Total other operating profit</w:t>
            </w:r>
          </w:p>
        </w:tc>
        <w:tc>
          <w:tcPr>
            <w:tcW w:w="776" w:type="dxa"/>
            <w:tcBorders>
              <w:left w:val="single" w:sz="4" w:space="0" w:color="000000"/>
              <w:right w:val="single" w:sz="4" w:space="0" w:color="000000"/>
            </w:tcBorders>
            <w:noWrap/>
            <w:vAlign w:val="bottom"/>
          </w:tcPr>
          <w:p w14:paraId="4DC746FB" w14:textId="77777777" w:rsidR="003A6759" w:rsidRPr="003C222B" w:rsidRDefault="003A6759" w:rsidP="003A6759">
            <w:pPr>
              <w:spacing w:before="120"/>
              <w:ind w:left="-58" w:right="-58"/>
              <w:jc w:val="center"/>
              <w:rPr>
                <w:rFonts w:cs="Arial"/>
                <w:b/>
                <w:lang w:val="vi-VN"/>
              </w:rPr>
            </w:pPr>
          </w:p>
        </w:tc>
        <w:tc>
          <w:tcPr>
            <w:tcW w:w="1881" w:type="dxa"/>
            <w:tcBorders>
              <w:left w:val="single" w:sz="4" w:space="0" w:color="000000"/>
              <w:right w:val="single" w:sz="4" w:space="0" w:color="000000"/>
            </w:tcBorders>
            <w:vAlign w:val="bottom"/>
          </w:tcPr>
          <w:p w14:paraId="70FAEB77" w14:textId="1FAA3C31" w:rsidR="003A6759" w:rsidRPr="003A6759" w:rsidRDefault="003A6759" w:rsidP="003A6759">
            <w:pPr>
              <w:spacing w:before="120"/>
              <w:jc w:val="right"/>
              <w:rPr>
                <w:rFonts w:cs="Arial"/>
                <w:b/>
                <w:bCs/>
              </w:rPr>
            </w:pPr>
            <w:r w:rsidRPr="003A6759">
              <w:rPr>
                <w:b/>
                <w:bCs/>
              </w:rPr>
              <w:t xml:space="preserve">137 </w:t>
            </w:r>
          </w:p>
        </w:tc>
        <w:tc>
          <w:tcPr>
            <w:tcW w:w="1881" w:type="dxa"/>
            <w:tcBorders>
              <w:left w:val="single" w:sz="4" w:space="0" w:color="000000"/>
            </w:tcBorders>
            <w:noWrap/>
            <w:vAlign w:val="bottom"/>
          </w:tcPr>
          <w:p w14:paraId="65281DBA" w14:textId="2C4DCF11" w:rsidR="003A6759" w:rsidRPr="003A6759" w:rsidRDefault="003A6759" w:rsidP="003A6759">
            <w:pPr>
              <w:spacing w:before="120"/>
              <w:jc w:val="right"/>
              <w:rPr>
                <w:rFonts w:cs="Arial"/>
                <w:b/>
                <w:bCs/>
              </w:rPr>
            </w:pPr>
            <w:r w:rsidRPr="003A6759">
              <w:rPr>
                <w:b/>
                <w:bCs/>
              </w:rPr>
              <w:t xml:space="preserve">60,598,076 </w:t>
            </w:r>
          </w:p>
        </w:tc>
      </w:tr>
      <w:tr w:rsidR="003A6759" w:rsidRPr="008406A3" w14:paraId="355D0FD0" w14:textId="77777777" w:rsidTr="003A6759">
        <w:tc>
          <w:tcPr>
            <w:tcW w:w="706" w:type="dxa"/>
            <w:tcBorders>
              <w:right w:val="single" w:sz="4" w:space="0" w:color="000000"/>
            </w:tcBorders>
            <w:noWrap/>
          </w:tcPr>
          <w:p w14:paraId="35955628" w14:textId="140BE263" w:rsidR="003A6759" w:rsidRPr="006A05C4" w:rsidRDefault="003A6759" w:rsidP="003A6759">
            <w:pPr>
              <w:spacing w:before="120"/>
              <w:ind w:left="-58" w:right="-58"/>
              <w:jc w:val="center"/>
              <w:rPr>
                <w:rFonts w:cs="Arial"/>
                <w:b/>
                <w:bCs/>
              </w:rPr>
            </w:pPr>
            <w:r w:rsidRPr="006A05C4">
              <w:rPr>
                <w:rFonts w:cs="Arial"/>
                <w:b/>
                <w:bCs/>
              </w:rPr>
              <w:t>90</w:t>
            </w:r>
          </w:p>
        </w:tc>
        <w:tc>
          <w:tcPr>
            <w:tcW w:w="3643" w:type="dxa"/>
            <w:tcBorders>
              <w:left w:val="single" w:sz="4" w:space="0" w:color="000000"/>
              <w:right w:val="single" w:sz="4" w:space="0" w:color="000000"/>
            </w:tcBorders>
            <w:noWrap/>
            <w:vAlign w:val="bottom"/>
          </w:tcPr>
          <w:p w14:paraId="3D170C55" w14:textId="2C310811" w:rsidR="003A6759" w:rsidRPr="006A05C4" w:rsidRDefault="003A6759" w:rsidP="003A6759">
            <w:pPr>
              <w:spacing w:before="120"/>
              <w:ind w:left="302" w:hanging="360"/>
              <w:jc w:val="left"/>
              <w:rPr>
                <w:rFonts w:cs="Arial"/>
                <w:b/>
                <w:bCs/>
              </w:rPr>
            </w:pPr>
            <w:r w:rsidRPr="006A05C4">
              <w:rPr>
                <w:rFonts w:cs="Arial"/>
                <w:b/>
              </w:rPr>
              <w:t>VIII.</w:t>
            </w:r>
            <w:r w:rsidRPr="006A05C4">
              <w:rPr>
                <w:rFonts w:cs="Arial"/>
                <w:b/>
              </w:rPr>
              <w:tab/>
            </w:r>
            <w:r w:rsidRPr="00004D38">
              <w:rPr>
                <w:rFonts w:cs="Arial"/>
                <w:b/>
                <w:bCs/>
                <w:iCs/>
              </w:rPr>
              <w:t>PROFIT BEFORE TAX</w:t>
            </w:r>
          </w:p>
        </w:tc>
        <w:tc>
          <w:tcPr>
            <w:tcW w:w="776" w:type="dxa"/>
            <w:tcBorders>
              <w:left w:val="single" w:sz="4" w:space="0" w:color="000000"/>
              <w:right w:val="single" w:sz="4" w:space="0" w:color="000000"/>
            </w:tcBorders>
            <w:noWrap/>
            <w:vAlign w:val="bottom"/>
          </w:tcPr>
          <w:p w14:paraId="3840DD84" w14:textId="77777777" w:rsidR="003A6759" w:rsidRPr="003C222B" w:rsidRDefault="003A6759" w:rsidP="003A6759">
            <w:pPr>
              <w:spacing w:before="120"/>
              <w:ind w:left="-58" w:right="-58"/>
              <w:jc w:val="center"/>
              <w:rPr>
                <w:rFonts w:cs="Arial"/>
                <w:b/>
                <w:lang w:val="vi-VN"/>
              </w:rPr>
            </w:pPr>
          </w:p>
        </w:tc>
        <w:tc>
          <w:tcPr>
            <w:tcW w:w="1881" w:type="dxa"/>
            <w:tcBorders>
              <w:left w:val="single" w:sz="4" w:space="0" w:color="000000"/>
              <w:right w:val="single" w:sz="4" w:space="0" w:color="000000"/>
            </w:tcBorders>
            <w:vAlign w:val="bottom"/>
          </w:tcPr>
          <w:p w14:paraId="2B7ED31E" w14:textId="5C3F1C4C" w:rsidR="003A6759" w:rsidRPr="00C8171E" w:rsidRDefault="003A6759" w:rsidP="003A6759">
            <w:pPr>
              <w:spacing w:before="120"/>
              <w:jc w:val="right"/>
              <w:rPr>
                <w:rFonts w:cs="Arial"/>
                <w:b/>
                <w:bCs/>
              </w:rPr>
            </w:pPr>
            <w:r w:rsidRPr="00C8171E">
              <w:rPr>
                <w:b/>
                <w:bCs/>
              </w:rPr>
              <w:t xml:space="preserve">38,278,340,453 </w:t>
            </w:r>
          </w:p>
        </w:tc>
        <w:tc>
          <w:tcPr>
            <w:tcW w:w="1881" w:type="dxa"/>
            <w:tcBorders>
              <w:left w:val="single" w:sz="4" w:space="0" w:color="000000"/>
            </w:tcBorders>
            <w:noWrap/>
            <w:vAlign w:val="bottom"/>
          </w:tcPr>
          <w:p w14:paraId="3B75E849" w14:textId="72FB0354" w:rsidR="003A6759" w:rsidRPr="00C8171E" w:rsidRDefault="003A6759" w:rsidP="003A6759">
            <w:pPr>
              <w:spacing w:before="120"/>
              <w:jc w:val="right"/>
              <w:rPr>
                <w:rFonts w:cs="Arial"/>
                <w:b/>
                <w:bCs/>
              </w:rPr>
            </w:pPr>
            <w:r w:rsidRPr="00C8171E">
              <w:rPr>
                <w:b/>
                <w:bCs/>
              </w:rPr>
              <w:t xml:space="preserve">69,906,208,478 </w:t>
            </w:r>
          </w:p>
        </w:tc>
      </w:tr>
      <w:tr w:rsidR="003A6759" w:rsidRPr="008406A3" w14:paraId="01DF0DFC" w14:textId="77777777" w:rsidTr="003A6759">
        <w:tc>
          <w:tcPr>
            <w:tcW w:w="706" w:type="dxa"/>
            <w:tcBorders>
              <w:right w:val="single" w:sz="4" w:space="0" w:color="000000"/>
            </w:tcBorders>
            <w:noWrap/>
          </w:tcPr>
          <w:p w14:paraId="4E34697E" w14:textId="37628C63" w:rsidR="003A6759" w:rsidRPr="006A05C4" w:rsidRDefault="003A6759" w:rsidP="003A6759">
            <w:pPr>
              <w:spacing w:before="120"/>
              <w:ind w:left="-58" w:right="-58"/>
              <w:jc w:val="center"/>
              <w:rPr>
                <w:rFonts w:cs="Arial"/>
                <w:bCs/>
              </w:rPr>
            </w:pPr>
            <w:r w:rsidRPr="006A05C4">
              <w:rPr>
                <w:rFonts w:cs="Arial"/>
                <w:bCs/>
              </w:rPr>
              <w:t>91</w:t>
            </w:r>
          </w:p>
        </w:tc>
        <w:tc>
          <w:tcPr>
            <w:tcW w:w="3643" w:type="dxa"/>
            <w:tcBorders>
              <w:left w:val="single" w:sz="4" w:space="0" w:color="000000"/>
              <w:right w:val="single" w:sz="4" w:space="0" w:color="000000"/>
            </w:tcBorders>
            <w:noWrap/>
            <w:vAlign w:val="bottom"/>
          </w:tcPr>
          <w:p w14:paraId="4BBFD2D3" w14:textId="75544CFE" w:rsidR="003A6759" w:rsidRPr="006A05C4" w:rsidRDefault="003A6759" w:rsidP="003A6759">
            <w:pPr>
              <w:spacing w:before="120"/>
              <w:ind w:left="302" w:hanging="360"/>
              <w:rPr>
                <w:rFonts w:cs="Arial"/>
                <w:bCs/>
              </w:rPr>
            </w:pPr>
            <w:r w:rsidRPr="006A05C4">
              <w:rPr>
                <w:rFonts w:cs="Arial"/>
              </w:rPr>
              <w:t>1.</w:t>
            </w:r>
            <w:r w:rsidRPr="006A05C4">
              <w:rPr>
                <w:rFonts w:cs="Arial"/>
              </w:rPr>
              <w:tab/>
            </w:r>
            <w:r w:rsidRPr="00FB4B10">
              <w:rPr>
                <w:rFonts w:cs="Arial"/>
              </w:rPr>
              <w:t>Realized profit</w:t>
            </w:r>
          </w:p>
        </w:tc>
        <w:tc>
          <w:tcPr>
            <w:tcW w:w="776" w:type="dxa"/>
            <w:tcBorders>
              <w:left w:val="single" w:sz="4" w:space="0" w:color="000000"/>
              <w:right w:val="single" w:sz="4" w:space="0" w:color="000000"/>
            </w:tcBorders>
            <w:noWrap/>
            <w:vAlign w:val="bottom"/>
          </w:tcPr>
          <w:p w14:paraId="1907D081" w14:textId="77777777" w:rsidR="003A6759" w:rsidRPr="003C222B" w:rsidRDefault="003A6759" w:rsidP="003A6759">
            <w:pPr>
              <w:spacing w:before="120"/>
              <w:ind w:left="-58" w:right="-58"/>
              <w:jc w:val="center"/>
              <w:rPr>
                <w:rFonts w:cs="Arial"/>
                <w:lang w:val="vi-VN"/>
              </w:rPr>
            </w:pPr>
          </w:p>
        </w:tc>
        <w:tc>
          <w:tcPr>
            <w:tcW w:w="1881" w:type="dxa"/>
            <w:tcBorders>
              <w:left w:val="single" w:sz="4" w:space="0" w:color="000000"/>
              <w:right w:val="single" w:sz="4" w:space="0" w:color="000000"/>
            </w:tcBorders>
            <w:vAlign w:val="bottom"/>
          </w:tcPr>
          <w:p w14:paraId="5BD6B543" w14:textId="3C1F9F83" w:rsidR="003A6759" w:rsidRPr="006A05C4" w:rsidRDefault="003A6759" w:rsidP="003A6759">
            <w:pPr>
              <w:spacing w:before="120"/>
              <w:jc w:val="right"/>
              <w:rPr>
                <w:rFonts w:cs="Arial"/>
                <w:bCs/>
              </w:rPr>
            </w:pPr>
            <w:r w:rsidRPr="00B8331D">
              <w:t>37</w:t>
            </w:r>
            <w:r>
              <w:t>,</w:t>
            </w:r>
            <w:r w:rsidRPr="00B8331D">
              <w:t>092</w:t>
            </w:r>
            <w:r>
              <w:t>,</w:t>
            </w:r>
            <w:r w:rsidRPr="00B8331D">
              <w:t>335</w:t>
            </w:r>
            <w:r>
              <w:t>,</w:t>
            </w:r>
            <w:r w:rsidRPr="00B8331D">
              <w:t xml:space="preserve">415 </w:t>
            </w:r>
          </w:p>
        </w:tc>
        <w:tc>
          <w:tcPr>
            <w:tcW w:w="1881" w:type="dxa"/>
            <w:tcBorders>
              <w:left w:val="single" w:sz="4" w:space="0" w:color="000000"/>
            </w:tcBorders>
            <w:noWrap/>
            <w:vAlign w:val="bottom"/>
          </w:tcPr>
          <w:p w14:paraId="56F4A15B" w14:textId="31105CF4" w:rsidR="003A6759" w:rsidRPr="006A05C4" w:rsidRDefault="003A6759" w:rsidP="003A6759">
            <w:pPr>
              <w:spacing w:before="120"/>
              <w:jc w:val="right"/>
              <w:rPr>
                <w:rFonts w:cs="Arial"/>
                <w:bCs/>
              </w:rPr>
            </w:pPr>
            <w:r w:rsidRPr="00B8331D">
              <w:t>69</w:t>
            </w:r>
            <w:r>
              <w:t>,</w:t>
            </w:r>
            <w:r w:rsidRPr="00B8331D">
              <w:t>808</w:t>
            </w:r>
            <w:r>
              <w:t>,</w:t>
            </w:r>
            <w:r w:rsidRPr="00B8331D">
              <w:t>643</w:t>
            </w:r>
            <w:r>
              <w:t>,</w:t>
            </w:r>
            <w:r w:rsidRPr="00B8331D">
              <w:t xml:space="preserve">276 </w:t>
            </w:r>
          </w:p>
        </w:tc>
      </w:tr>
      <w:tr w:rsidR="003A6759" w:rsidRPr="008406A3" w14:paraId="705FA759" w14:textId="77777777" w:rsidTr="003A6759">
        <w:tc>
          <w:tcPr>
            <w:tcW w:w="706" w:type="dxa"/>
            <w:tcBorders>
              <w:right w:val="single" w:sz="4" w:space="0" w:color="000000"/>
            </w:tcBorders>
            <w:noWrap/>
          </w:tcPr>
          <w:p w14:paraId="65281B91" w14:textId="2EDEF478" w:rsidR="003A6759" w:rsidRPr="006A05C4" w:rsidRDefault="003A6759" w:rsidP="003A6759">
            <w:pPr>
              <w:ind w:left="-58" w:right="-58"/>
              <w:jc w:val="center"/>
              <w:rPr>
                <w:rFonts w:cs="Arial"/>
                <w:bCs/>
              </w:rPr>
            </w:pPr>
            <w:r w:rsidRPr="006A05C4">
              <w:rPr>
                <w:rFonts w:cs="Arial"/>
                <w:bCs/>
              </w:rPr>
              <w:t>92</w:t>
            </w:r>
          </w:p>
        </w:tc>
        <w:tc>
          <w:tcPr>
            <w:tcW w:w="3643" w:type="dxa"/>
            <w:tcBorders>
              <w:left w:val="single" w:sz="4" w:space="0" w:color="000000"/>
              <w:right w:val="single" w:sz="4" w:space="0" w:color="000000"/>
            </w:tcBorders>
            <w:noWrap/>
            <w:vAlign w:val="bottom"/>
          </w:tcPr>
          <w:p w14:paraId="4EB66B29" w14:textId="2871F39F" w:rsidR="003A6759" w:rsidRPr="006A05C4" w:rsidRDefault="003A6759" w:rsidP="003A6759">
            <w:pPr>
              <w:ind w:left="302" w:hanging="360"/>
              <w:rPr>
                <w:rFonts w:cs="Arial"/>
                <w:bCs/>
              </w:rPr>
            </w:pPr>
            <w:r w:rsidRPr="006A05C4">
              <w:rPr>
                <w:rFonts w:cs="Arial"/>
              </w:rPr>
              <w:t>2.</w:t>
            </w:r>
            <w:r w:rsidRPr="006A05C4">
              <w:rPr>
                <w:rFonts w:cs="Arial"/>
              </w:rPr>
              <w:tab/>
            </w:r>
            <w:r w:rsidRPr="00FC3695">
              <w:rPr>
                <w:rFonts w:cs="Arial"/>
                <w:bCs/>
                <w:lang w:val="vi-VN"/>
              </w:rPr>
              <w:t>Unrealized profit</w:t>
            </w:r>
          </w:p>
        </w:tc>
        <w:tc>
          <w:tcPr>
            <w:tcW w:w="776" w:type="dxa"/>
            <w:tcBorders>
              <w:left w:val="single" w:sz="4" w:space="0" w:color="000000"/>
              <w:right w:val="single" w:sz="4" w:space="0" w:color="000000"/>
            </w:tcBorders>
            <w:noWrap/>
            <w:vAlign w:val="bottom"/>
          </w:tcPr>
          <w:p w14:paraId="4739DA70" w14:textId="77777777" w:rsidR="003A6759" w:rsidRPr="003C222B" w:rsidRDefault="003A6759" w:rsidP="003A6759">
            <w:pPr>
              <w:ind w:left="-58" w:right="-58"/>
              <w:jc w:val="center"/>
              <w:rPr>
                <w:rFonts w:cs="Arial"/>
                <w:lang w:val="vi-VN"/>
              </w:rPr>
            </w:pPr>
          </w:p>
        </w:tc>
        <w:tc>
          <w:tcPr>
            <w:tcW w:w="1881" w:type="dxa"/>
            <w:tcBorders>
              <w:left w:val="single" w:sz="4" w:space="0" w:color="000000"/>
              <w:right w:val="single" w:sz="4" w:space="0" w:color="000000"/>
            </w:tcBorders>
            <w:vAlign w:val="bottom"/>
          </w:tcPr>
          <w:p w14:paraId="117DCCAA" w14:textId="13E71065" w:rsidR="003A6759" w:rsidRPr="006A05C4" w:rsidRDefault="003A6759" w:rsidP="003A6759">
            <w:pPr>
              <w:jc w:val="right"/>
              <w:rPr>
                <w:rFonts w:cs="Arial"/>
                <w:bCs/>
              </w:rPr>
            </w:pPr>
            <w:r w:rsidRPr="00B8331D">
              <w:t>1</w:t>
            </w:r>
            <w:r>
              <w:t>,</w:t>
            </w:r>
            <w:r w:rsidRPr="00B8331D">
              <w:t>186</w:t>
            </w:r>
            <w:r>
              <w:t>,</w:t>
            </w:r>
            <w:r w:rsidRPr="00B8331D">
              <w:t>005</w:t>
            </w:r>
            <w:r>
              <w:t>,</w:t>
            </w:r>
            <w:r w:rsidRPr="00B8331D">
              <w:t xml:space="preserve">038 </w:t>
            </w:r>
          </w:p>
        </w:tc>
        <w:tc>
          <w:tcPr>
            <w:tcW w:w="1881" w:type="dxa"/>
            <w:tcBorders>
              <w:left w:val="single" w:sz="4" w:space="0" w:color="000000"/>
            </w:tcBorders>
            <w:noWrap/>
            <w:vAlign w:val="bottom"/>
          </w:tcPr>
          <w:p w14:paraId="22213E4C" w14:textId="26E96779" w:rsidR="003A6759" w:rsidRPr="006A05C4" w:rsidRDefault="003A6759" w:rsidP="003A6759">
            <w:pPr>
              <w:jc w:val="right"/>
              <w:rPr>
                <w:rFonts w:cs="Arial"/>
                <w:bCs/>
              </w:rPr>
            </w:pPr>
            <w:r w:rsidRPr="00B8331D">
              <w:t>97</w:t>
            </w:r>
            <w:r>
              <w:t>,</w:t>
            </w:r>
            <w:r w:rsidRPr="00B8331D">
              <w:t>565</w:t>
            </w:r>
            <w:r>
              <w:t>,</w:t>
            </w:r>
            <w:r w:rsidRPr="00B8331D">
              <w:t xml:space="preserve">202 </w:t>
            </w:r>
          </w:p>
        </w:tc>
      </w:tr>
      <w:tr w:rsidR="003A6759" w:rsidRPr="008406A3" w14:paraId="26D34B7E" w14:textId="77777777" w:rsidTr="003A6759">
        <w:tc>
          <w:tcPr>
            <w:tcW w:w="706" w:type="dxa"/>
            <w:tcBorders>
              <w:top w:val="nil"/>
              <w:bottom w:val="nil"/>
              <w:right w:val="single" w:sz="4" w:space="0" w:color="000000"/>
            </w:tcBorders>
            <w:noWrap/>
          </w:tcPr>
          <w:p w14:paraId="096E7577" w14:textId="739B2A73" w:rsidR="003A6759" w:rsidRPr="006A05C4" w:rsidRDefault="003A6759" w:rsidP="003A6759">
            <w:pPr>
              <w:spacing w:before="120"/>
              <w:ind w:left="-58" w:right="-58"/>
              <w:jc w:val="center"/>
              <w:rPr>
                <w:rFonts w:cs="Arial"/>
                <w:b/>
                <w:bCs/>
              </w:rPr>
            </w:pPr>
            <w:r w:rsidRPr="006A05C4">
              <w:rPr>
                <w:rFonts w:cs="Arial"/>
                <w:b/>
                <w:bCs/>
              </w:rPr>
              <w:t>100</w:t>
            </w:r>
          </w:p>
        </w:tc>
        <w:tc>
          <w:tcPr>
            <w:tcW w:w="3643" w:type="dxa"/>
            <w:tcBorders>
              <w:top w:val="nil"/>
              <w:left w:val="single" w:sz="4" w:space="0" w:color="000000"/>
              <w:bottom w:val="nil"/>
              <w:right w:val="single" w:sz="4" w:space="0" w:color="000000"/>
            </w:tcBorders>
            <w:noWrap/>
            <w:vAlign w:val="bottom"/>
          </w:tcPr>
          <w:p w14:paraId="6D9D067B" w14:textId="6E207ACD" w:rsidR="003A6759" w:rsidRPr="006A05C4" w:rsidRDefault="003A6759" w:rsidP="003A6759">
            <w:pPr>
              <w:spacing w:before="120"/>
              <w:ind w:left="302" w:right="-86" w:hanging="360"/>
              <w:jc w:val="left"/>
              <w:rPr>
                <w:rFonts w:cs="Arial"/>
                <w:b/>
                <w:bCs/>
              </w:rPr>
            </w:pPr>
            <w:r w:rsidRPr="006A05C4">
              <w:rPr>
                <w:rFonts w:cs="Arial"/>
                <w:b/>
                <w:bCs/>
              </w:rPr>
              <w:t>IX</w:t>
            </w:r>
            <w:r w:rsidRPr="006A05C4">
              <w:rPr>
                <w:rFonts w:cs="Arial"/>
                <w:b/>
                <w:bCs/>
                <w:lang w:val="vi-VN"/>
              </w:rPr>
              <w:t>.</w:t>
            </w:r>
            <w:r w:rsidRPr="006A05C4">
              <w:rPr>
                <w:rFonts w:cs="Arial"/>
                <w:b/>
                <w:bCs/>
                <w:lang w:val="vi-VN"/>
              </w:rPr>
              <w:tab/>
            </w:r>
            <w:r w:rsidRPr="008D1312">
              <w:rPr>
                <w:rFonts w:cs="Arial"/>
                <w:b/>
                <w:bCs/>
              </w:rPr>
              <w:t>CORPORATE INCOME TAX (“CIT”) EXPENSES</w:t>
            </w:r>
          </w:p>
        </w:tc>
        <w:tc>
          <w:tcPr>
            <w:tcW w:w="776" w:type="dxa"/>
            <w:tcBorders>
              <w:top w:val="nil"/>
              <w:left w:val="single" w:sz="4" w:space="0" w:color="000000"/>
              <w:bottom w:val="nil"/>
              <w:right w:val="single" w:sz="4" w:space="0" w:color="000000"/>
            </w:tcBorders>
            <w:noWrap/>
            <w:vAlign w:val="bottom"/>
          </w:tcPr>
          <w:p w14:paraId="3C0E9BFD" w14:textId="60AAEF1A" w:rsidR="003A6759" w:rsidRPr="003C222B" w:rsidRDefault="003A6759" w:rsidP="003A6759">
            <w:pPr>
              <w:spacing w:before="120"/>
              <w:ind w:left="-58" w:right="-58"/>
              <w:jc w:val="center"/>
              <w:rPr>
                <w:rFonts w:cs="Arial"/>
                <w:b/>
              </w:rPr>
            </w:pPr>
          </w:p>
        </w:tc>
        <w:tc>
          <w:tcPr>
            <w:tcW w:w="1881" w:type="dxa"/>
            <w:tcBorders>
              <w:top w:val="nil"/>
              <w:left w:val="single" w:sz="4" w:space="0" w:color="000000"/>
              <w:bottom w:val="nil"/>
              <w:right w:val="single" w:sz="4" w:space="0" w:color="000000"/>
            </w:tcBorders>
            <w:vAlign w:val="bottom"/>
          </w:tcPr>
          <w:p w14:paraId="178303C4" w14:textId="35BFA450" w:rsidR="003A6759" w:rsidRPr="003A6759" w:rsidRDefault="003A6759" w:rsidP="003A6759">
            <w:pPr>
              <w:spacing w:before="120"/>
              <w:jc w:val="right"/>
              <w:rPr>
                <w:rFonts w:cs="Arial"/>
                <w:b/>
                <w:bCs/>
                <w:lang w:val="vi-VN"/>
              </w:rPr>
            </w:pPr>
            <w:r w:rsidRPr="003A6759">
              <w:rPr>
                <w:b/>
                <w:bCs/>
              </w:rPr>
              <w:t xml:space="preserve">7,714,626,001 </w:t>
            </w:r>
          </w:p>
        </w:tc>
        <w:tc>
          <w:tcPr>
            <w:tcW w:w="1881" w:type="dxa"/>
            <w:tcBorders>
              <w:top w:val="nil"/>
              <w:left w:val="single" w:sz="4" w:space="0" w:color="000000"/>
              <w:bottom w:val="nil"/>
            </w:tcBorders>
            <w:noWrap/>
            <w:vAlign w:val="bottom"/>
          </w:tcPr>
          <w:p w14:paraId="18343B4A" w14:textId="1AEF84CE" w:rsidR="003A6759" w:rsidRPr="003A6759" w:rsidRDefault="003A6759" w:rsidP="003A6759">
            <w:pPr>
              <w:spacing w:before="120"/>
              <w:jc w:val="right"/>
              <w:rPr>
                <w:rFonts w:cs="Arial"/>
                <w:b/>
                <w:bCs/>
                <w:lang w:val="vi-VN"/>
              </w:rPr>
            </w:pPr>
            <w:r w:rsidRPr="003A6759">
              <w:rPr>
                <w:b/>
                <w:bCs/>
              </w:rPr>
              <w:t xml:space="preserve">13,388,856,750 </w:t>
            </w:r>
          </w:p>
        </w:tc>
      </w:tr>
      <w:tr w:rsidR="003A6759" w:rsidRPr="008406A3" w14:paraId="0B78079D" w14:textId="77777777" w:rsidTr="003A6759">
        <w:tc>
          <w:tcPr>
            <w:tcW w:w="706" w:type="dxa"/>
            <w:tcBorders>
              <w:top w:val="nil"/>
              <w:bottom w:val="nil"/>
              <w:right w:val="single" w:sz="4" w:space="0" w:color="000000"/>
            </w:tcBorders>
            <w:noWrap/>
          </w:tcPr>
          <w:p w14:paraId="1303F0CD" w14:textId="6E2F2E10" w:rsidR="003A6759" w:rsidRPr="006A05C4" w:rsidRDefault="003A6759" w:rsidP="003A6759">
            <w:pPr>
              <w:spacing w:before="120"/>
              <w:ind w:left="-58" w:right="-58"/>
              <w:jc w:val="center"/>
              <w:rPr>
                <w:rFonts w:cs="Arial"/>
                <w:bCs/>
              </w:rPr>
            </w:pPr>
            <w:r w:rsidRPr="006A05C4">
              <w:rPr>
                <w:rFonts w:cs="Arial"/>
              </w:rPr>
              <w:t>100.1</w:t>
            </w:r>
          </w:p>
        </w:tc>
        <w:tc>
          <w:tcPr>
            <w:tcW w:w="3643" w:type="dxa"/>
            <w:tcBorders>
              <w:top w:val="nil"/>
              <w:left w:val="single" w:sz="4" w:space="0" w:color="000000"/>
              <w:bottom w:val="nil"/>
              <w:right w:val="single" w:sz="4" w:space="0" w:color="000000"/>
            </w:tcBorders>
            <w:noWrap/>
            <w:vAlign w:val="bottom"/>
          </w:tcPr>
          <w:p w14:paraId="19399BA7" w14:textId="4BFB378D" w:rsidR="003A6759" w:rsidRPr="006A05C4" w:rsidRDefault="003A6759" w:rsidP="003A6759">
            <w:pPr>
              <w:spacing w:before="120"/>
              <w:ind w:left="302" w:hanging="360"/>
              <w:rPr>
                <w:rFonts w:cs="Arial"/>
                <w:bCs/>
              </w:rPr>
            </w:pPr>
            <w:r w:rsidRPr="006A05C4">
              <w:rPr>
                <w:rFonts w:cs="Arial"/>
              </w:rPr>
              <w:t>1.</w:t>
            </w:r>
            <w:r w:rsidRPr="006A05C4">
              <w:rPr>
                <w:rFonts w:cs="Arial"/>
              </w:rPr>
              <w:tab/>
            </w:r>
            <w:r w:rsidRPr="00D26FDB">
              <w:rPr>
                <w:rFonts w:cs="Arial"/>
                <w:bCs/>
                <w:iCs/>
                <w:lang w:val="vi-VN"/>
              </w:rPr>
              <w:t>Current CIT expenses</w:t>
            </w:r>
          </w:p>
        </w:tc>
        <w:tc>
          <w:tcPr>
            <w:tcW w:w="776" w:type="dxa"/>
            <w:tcBorders>
              <w:top w:val="nil"/>
              <w:left w:val="single" w:sz="4" w:space="0" w:color="000000"/>
              <w:bottom w:val="nil"/>
              <w:right w:val="single" w:sz="4" w:space="0" w:color="000000"/>
            </w:tcBorders>
            <w:noWrap/>
            <w:vAlign w:val="bottom"/>
          </w:tcPr>
          <w:p w14:paraId="52150B77" w14:textId="44836136" w:rsidR="003A6759" w:rsidRPr="003C222B" w:rsidRDefault="003A6759" w:rsidP="003A6759">
            <w:pPr>
              <w:spacing w:before="120"/>
              <w:ind w:left="-58" w:right="-58"/>
              <w:jc w:val="center"/>
              <w:rPr>
                <w:rFonts w:cs="Arial"/>
              </w:rPr>
            </w:pPr>
            <w:r>
              <w:rPr>
                <w:rFonts w:cs="Arial"/>
              </w:rPr>
              <w:t>25</w:t>
            </w:r>
            <w:r w:rsidRPr="003C222B">
              <w:rPr>
                <w:rFonts w:cs="Arial"/>
              </w:rPr>
              <w:t>.1</w:t>
            </w:r>
          </w:p>
        </w:tc>
        <w:tc>
          <w:tcPr>
            <w:tcW w:w="1881" w:type="dxa"/>
            <w:tcBorders>
              <w:top w:val="nil"/>
              <w:left w:val="single" w:sz="4" w:space="0" w:color="000000"/>
              <w:bottom w:val="nil"/>
              <w:right w:val="single" w:sz="4" w:space="0" w:color="000000"/>
            </w:tcBorders>
            <w:vAlign w:val="bottom"/>
          </w:tcPr>
          <w:p w14:paraId="0C65BE1C" w14:textId="4A917DA0" w:rsidR="003A6759" w:rsidRPr="006A05C4" w:rsidRDefault="003A6759" w:rsidP="003A6759">
            <w:pPr>
              <w:spacing w:before="120"/>
              <w:jc w:val="right"/>
              <w:rPr>
                <w:rFonts w:cs="Arial"/>
                <w:bCs/>
                <w:lang w:val="vi-VN"/>
              </w:rPr>
            </w:pPr>
            <w:r w:rsidRPr="00B8331D">
              <w:t>7</w:t>
            </w:r>
            <w:r>
              <w:t>,</w:t>
            </w:r>
            <w:r w:rsidRPr="00B8331D">
              <w:t>028</w:t>
            </w:r>
            <w:r>
              <w:t>,</w:t>
            </w:r>
            <w:r w:rsidRPr="00B8331D">
              <w:t>527</w:t>
            </w:r>
            <w:r>
              <w:t>,</w:t>
            </w:r>
            <w:r w:rsidRPr="00B8331D">
              <w:t xml:space="preserve">633 </w:t>
            </w:r>
          </w:p>
        </w:tc>
        <w:tc>
          <w:tcPr>
            <w:tcW w:w="1881" w:type="dxa"/>
            <w:tcBorders>
              <w:top w:val="nil"/>
              <w:left w:val="single" w:sz="4" w:space="0" w:color="000000"/>
              <w:bottom w:val="nil"/>
            </w:tcBorders>
            <w:noWrap/>
            <w:vAlign w:val="bottom"/>
          </w:tcPr>
          <w:p w14:paraId="363ADE89" w14:textId="689200F3" w:rsidR="003A6759" w:rsidRPr="006A05C4" w:rsidRDefault="003A6759" w:rsidP="003A6759">
            <w:pPr>
              <w:spacing w:before="120"/>
              <w:jc w:val="right"/>
              <w:rPr>
                <w:rFonts w:cs="Arial"/>
                <w:bCs/>
                <w:lang w:val="vi-VN"/>
              </w:rPr>
            </w:pPr>
            <w:r w:rsidRPr="00B8331D">
              <w:t>13</w:t>
            </w:r>
            <w:r>
              <w:t>,</w:t>
            </w:r>
            <w:r w:rsidRPr="00B8331D">
              <w:t>089</w:t>
            </w:r>
            <w:r>
              <w:t>,</w:t>
            </w:r>
            <w:r w:rsidRPr="00B8331D">
              <w:t>591</w:t>
            </w:r>
            <w:r>
              <w:t>,</w:t>
            </w:r>
            <w:r w:rsidRPr="00B8331D">
              <w:t xml:space="preserve">843 </w:t>
            </w:r>
          </w:p>
        </w:tc>
      </w:tr>
      <w:tr w:rsidR="003A6759" w:rsidRPr="008406A3" w14:paraId="14C9665B" w14:textId="77777777" w:rsidTr="003A6759">
        <w:tc>
          <w:tcPr>
            <w:tcW w:w="706" w:type="dxa"/>
            <w:tcBorders>
              <w:top w:val="nil"/>
              <w:bottom w:val="nil"/>
              <w:right w:val="single" w:sz="4" w:space="0" w:color="000000"/>
            </w:tcBorders>
            <w:noWrap/>
          </w:tcPr>
          <w:p w14:paraId="16C8BD59" w14:textId="1360BE1A" w:rsidR="003A6759" w:rsidRPr="006A05C4" w:rsidRDefault="003A6759" w:rsidP="003A6759">
            <w:pPr>
              <w:ind w:left="-58" w:right="-58"/>
              <w:jc w:val="center"/>
              <w:rPr>
                <w:rFonts w:cs="Arial"/>
                <w:bCs/>
              </w:rPr>
            </w:pPr>
            <w:r w:rsidRPr="006A05C4">
              <w:rPr>
                <w:rFonts w:cs="Arial"/>
                <w:bCs/>
              </w:rPr>
              <w:t>100.2</w:t>
            </w:r>
          </w:p>
        </w:tc>
        <w:tc>
          <w:tcPr>
            <w:tcW w:w="3643" w:type="dxa"/>
            <w:tcBorders>
              <w:top w:val="nil"/>
              <w:left w:val="single" w:sz="4" w:space="0" w:color="000000"/>
              <w:bottom w:val="nil"/>
              <w:right w:val="single" w:sz="4" w:space="0" w:color="000000"/>
            </w:tcBorders>
            <w:noWrap/>
            <w:vAlign w:val="bottom"/>
          </w:tcPr>
          <w:p w14:paraId="2E14B25C" w14:textId="422216D5" w:rsidR="003A6759" w:rsidRPr="006A05C4" w:rsidRDefault="003A6759" w:rsidP="003A6759">
            <w:pPr>
              <w:ind w:left="302" w:hanging="360"/>
              <w:rPr>
                <w:rFonts w:cs="Arial"/>
                <w:bCs/>
              </w:rPr>
            </w:pPr>
            <w:r w:rsidRPr="006A05C4">
              <w:rPr>
                <w:rFonts w:cs="Arial"/>
                <w:bCs/>
              </w:rPr>
              <w:t>2.</w:t>
            </w:r>
            <w:r w:rsidRPr="006A05C4">
              <w:rPr>
                <w:rFonts w:cs="Arial"/>
                <w:bCs/>
              </w:rPr>
              <w:tab/>
            </w:r>
            <w:r w:rsidRPr="003A0D88">
              <w:rPr>
                <w:rFonts w:cs="Arial"/>
                <w:bCs/>
              </w:rPr>
              <w:t xml:space="preserve">Deferred CIT </w:t>
            </w:r>
            <w:r>
              <w:rPr>
                <w:rFonts w:cs="Arial"/>
                <w:bCs/>
              </w:rPr>
              <w:t>expenses</w:t>
            </w:r>
          </w:p>
        </w:tc>
        <w:tc>
          <w:tcPr>
            <w:tcW w:w="776" w:type="dxa"/>
            <w:tcBorders>
              <w:top w:val="nil"/>
              <w:left w:val="single" w:sz="4" w:space="0" w:color="000000"/>
              <w:bottom w:val="nil"/>
              <w:right w:val="single" w:sz="4" w:space="0" w:color="000000"/>
            </w:tcBorders>
            <w:noWrap/>
            <w:vAlign w:val="bottom"/>
          </w:tcPr>
          <w:p w14:paraId="6B0B41A5" w14:textId="359D57AD" w:rsidR="003A6759" w:rsidRPr="003C222B" w:rsidRDefault="003A6759" w:rsidP="003A6759">
            <w:pPr>
              <w:ind w:left="-58" w:right="-58"/>
              <w:jc w:val="center"/>
              <w:rPr>
                <w:rFonts w:cs="Arial"/>
              </w:rPr>
            </w:pPr>
            <w:r>
              <w:rPr>
                <w:rFonts w:cs="Arial"/>
              </w:rPr>
              <w:t>25</w:t>
            </w:r>
            <w:r w:rsidRPr="003C222B">
              <w:rPr>
                <w:rFonts w:cs="Arial"/>
              </w:rPr>
              <w:t>.</w:t>
            </w:r>
            <w:r>
              <w:rPr>
                <w:rFonts w:cs="Arial"/>
              </w:rPr>
              <w:t>3</w:t>
            </w:r>
          </w:p>
        </w:tc>
        <w:tc>
          <w:tcPr>
            <w:tcW w:w="1881" w:type="dxa"/>
            <w:tcBorders>
              <w:top w:val="nil"/>
              <w:left w:val="single" w:sz="4" w:space="0" w:color="000000"/>
              <w:bottom w:val="nil"/>
              <w:right w:val="single" w:sz="4" w:space="0" w:color="000000"/>
            </w:tcBorders>
            <w:vAlign w:val="bottom"/>
          </w:tcPr>
          <w:p w14:paraId="29E2490F" w14:textId="5FDDAC0E" w:rsidR="003A6759" w:rsidRPr="006A05C4" w:rsidRDefault="003A6759" w:rsidP="003A6759">
            <w:pPr>
              <w:jc w:val="right"/>
              <w:rPr>
                <w:rFonts w:cs="Arial"/>
                <w:bCs/>
                <w:lang w:val="vi-VN"/>
              </w:rPr>
            </w:pPr>
            <w:r w:rsidRPr="00B8331D">
              <w:t>686</w:t>
            </w:r>
            <w:r>
              <w:t>,</w:t>
            </w:r>
            <w:r w:rsidRPr="00B8331D">
              <w:t>098</w:t>
            </w:r>
            <w:r>
              <w:t>,</w:t>
            </w:r>
            <w:r w:rsidRPr="00B8331D">
              <w:t xml:space="preserve">268 </w:t>
            </w:r>
          </w:p>
        </w:tc>
        <w:tc>
          <w:tcPr>
            <w:tcW w:w="1881" w:type="dxa"/>
            <w:tcBorders>
              <w:top w:val="nil"/>
              <w:left w:val="single" w:sz="4" w:space="0" w:color="000000"/>
              <w:bottom w:val="nil"/>
            </w:tcBorders>
            <w:noWrap/>
            <w:vAlign w:val="bottom"/>
          </w:tcPr>
          <w:p w14:paraId="69199080" w14:textId="16656109" w:rsidR="003A6759" w:rsidRPr="006A05C4" w:rsidRDefault="003A6759" w:rsidP="003A6759">
            <w:pPr>
              <w:jc w:val="right"/>
              <w:rPr>
                <w:rFonts w:cs="Arial"/>
                <w:bCs/>
                <w:lang w:val="vi-VN"/>
              </w:rPr>
            </w:pPr>
            <w:r w:rsidRPr="00B8331D">
              <w:t>299</w:t>
            </w:r>
            <w:r>
              <w:t>,</w:t>
            </w:r>
            <w:r w:rsidRPr="00B8331D">
              <w:t>264</w:t>
            </w:r>
            <w:r>
              <w:t>,</w:t>
            </w:r>
            <w:r w:rsidRPr="00B8331D">
              <w:t xml:space="preserve">907 </w:t>
            </w:r>
          </w:p>
        </w:tc>
      </w:tr>
      <w:tr w:rsidR="003A6759" w:rsidRPr="008406A3" w14:paraId="3FFD02C5" w14:textId="77777777" w:rsidTr="003A6759">
        <w:tc>
          <w:tcPr>
            <w:tcW w:w="706" w:type="dxa"/>
            <w:tcBorders>
              <w:top w:val="nil"/>
              <w:bottom w:val="double" w:sz="6" w:space="0" w:color="auto"/>
              <w:right w:val="single" w:sz="4" w:space="0" w:color="000000"/>
            </w:tcBorders>
            <w:noWrap/>
          </w:tcPr>
          <w:p w14:paraId="22F6E671" w14:textId="4AEFE60E" w:rsidR="003A6759" w:rsidRPr="006A05C4" w:rsidRDefault="003A6759" w:rsidP="003A6759">
            <w:pPr>
              <w:spacing w:before="120" w:after="120"/>
              <w:ind w:left="-58" w:right="-58"/>
              <w:jc w:val="center"/>
              <w:rPr>
                <w:rFonts w:cs="Arial"/>
                <w:b/>
                <w:bCs/>
              </w:rPr>
            </w:pPr>
            <w:r w:rsidRPr="006A05C4">
              <w:rPr>
                <w:rFonts w:cs="Arial"/>
                <w:b/>
                <w:bCs/>
              </w:rPr>
              <w:t>200</w:t>
            </w:r>
          </w:p>
        </w:tc>
        <w:tc>
          <w:tcPr>
            <w:tcW w:w="3643" w:type="dxa"/>
            <w:tcBorders>
              <w:top w:val="nil"/>
              <w:left w:val="single" w:sz="4" w:space="0" w:color="000000"/>
              <w:bottom w:val="double" w:sz="6" w:space="0" w:color="auto"/>
              <w:right w:val="single" w:sz="4" w:space="0" w:color="000000"/>
            </w:tcBorders>
            <w:noWrap/>
            <w:vAlign w:val="bottom"/>
          </w:tcPr>
          <w:p w14:paraId="74F34E92" w14:textId="059D366F" w:rsidR="003A6759" w:rsidRPr="006A05C4" w:rsidRDefault="003A6759" w:rsidP="003A6759">
            <w:pPr>
              <w:spacing w:before="120" w:after="120"/>
              <w:ind w:left="302" w:hanging="360"/>
              <w:rPr>
                <w:rFonts w:cs="Arial"/>
                <w:b/>
                <w:bCs/>
              </w:rPr>
            </w:pPr>
            <w:r w:rsidRPr="006A05C4">
              <w:rPr>
                <w:rFonts w:cs="Arial"/>
                <w:b/>
                <w:bCs/>
              </w:rPr>
              <w:t>X.</w:t>
            </w:r>
            <w:r w:rsidRPr="006A05C4">
              <w:rPr>
                <w:rFonts w:cs="Arial"/>
                <w:b/>
                <w:bCs/>
              </w:rPr>
              <w:tab/>
            </w:r>
            <w:r w:rsidRPr="00637919">
              <w:rPr>
                <w:rFonts w:cs="Arial"/>
                <w:b/>
                <w:bCs/>
              </w:rPr>
              <w:t>PROFIT AFTER TAX</w:t>
            </w:r>
          </w:p>
        </w:tc>
        <w:tc>
          <w:tcPr>
            <w:tcW w:w="776" w:type="dxa"/>
            <w:tcBorders>
              <w:top w:val="nil"/>
              <w:left w:val="single" w:sz="4" w:space="0" w:color="000000"/>
              <w:bottom w:val="double" w:sz="6" w:space="0" w:color="auto"/>
              <w:right w:val="single" w:sz="4" w:space="0" w:color="000000"/>
            </w:tcBorders>
            <w:noWrap/>
            <w:vAlign w:val="bottom"/>
          </w:tcPr>
          <w:p w14:paraId="351A28DB" w14:textId="77777777" w:rsidR="003A6759" w:rsidRPr="003C222B" w:rsidRDefault="003A6759" w:rsidP="003A6759">
            <w:pPr>
              <w:spacing w:before="120" w:after="120"/>
              <w:ind w:left="-58" w:right="-58"/>
              <w:jc w:val="center"/>
              <w:rPr>
                <w:rFonts w:cs="Arial"/>
                <w:lang w:val="vi-VN"/>
              </w:rPr>
            </w:pPr>
          </w:p>
        </w:tc>
        <w:tc>
          <w:tcPr>
            <w:tcW w:w="1881" w:type="dxa"/>
            <w:tcBorders>
              <w:top w:val="nil"/>
              <w:left w:val="single" w:sz="4" w:space="0" w:color="000000"/>
              <w:bottom w:val="double" w:sz="6" w:space="0" w:color="auto"/>
              <w:right w:val="single" w:sz="4" w:space="0" w:color="000000"/>
            </w:tcBorders>
            <w:vAlign w:val="bottom"/>
          </w:tcPr>
          <w:p w14:paraId="479E301A" w14:textId="292BB865" w:rsidR="003A6759" w:rsidRPr="003A6759" w:rsidRDefault="003A6759" w:rsidP="003A6759">
            <w:pPr>
              <w:spacing w:before="120" w:after="120"/>
              <w:jc w:val="right"/>
              <w:rPr>
                <w:rFonts w:cs="Arial"/>
                <w:b/>
                <w:bCs/>
                <w:lang w:val="vi-VN"/>
              </w:rPr>
            </w:pPr>
            <w:r w:rsidRPr="003A6759">
              <w:rPr>
                <w:b/>
                <w:bCs/>
              </w:rPr>
              <w:t xml:space="preserve">30,563,714,452 </w:t>
            </w:r>
          </w:p>
        </w:tc>
        <w:tc>
          <w:tcPr>
            <w:tcW w:w="1881" w:type="dxa"/>
            <w:tcBorders>
              <w:top w:val="nil"/>
              <w:left w:val="single" w:sz="4" w:space="0" w:color="000000"/>
              <w:bottom w:val="double" w:sz="6" w:space="0" w:color="auto"/>
            </w:tcBorders>
            <w:noWrap/>
            <w:vAlign w:val="bottom"/>
          </w:tcPr>
          <w:p w14:paraId="1AA8276B" w14:textId="4B0CD377" w:rsidR="003A6759" w:rsidRPr="003A6759" w:rsidRDefault="003A6759" w:rsidP="003A6759">
            <w:pPr>
              <w:spacing w:before="120" w:after="120"/>
              <w:jc w:val="right"/>
              <w:rPr>
                <w:rFonts w:cs="Arial"/>
                <w:b/>
                <w:bCs/>
                <w:lang w:val="vi-VN"/>
              </w:rPr>
            </w:pPr>
            <w:r w:rsidRPr="003A6759">
              <w:rPr>
                <w:b/>
                <w:bCs/>
              </w:rPr>
              <w:t xml:space="preserve">56,517,351,728 </w:t>
            </w:r>
          </w:p>
        </w:tc>
      </w:tr>
    </w:tbl>
    <w:p w14:paraId="0BCC47A6" w14:textId="77777777" w:rsidR="00070F58" w:rsidRPr="002A0B87" w:rsidRDefault="00070F58" w:rsidP="003867C2">
      <w:pPr>
        <w:rPr>
          <w:rFonts w:cs="Arial"/>
        </w:rPr>
      </w:pPr>
    </w:p>
    <w:p w14:paraId="22F748C2" w14:textId="77777777" w:rsidR="00986C88" w:rsidRPr="002A0B87" w:rsidRDefault="00986C88" w:rsidP="00557104">
      <w:pPr>
        <w:rPr>
          <w:rFonts w:cs="Arial"/>
        </w:rPr>
      </w:pPr>
    </w:p>
    <w:tbl>
      <w:tblPr>
        <w:tblW w:w="8903" w:type="dxa"/>
        <w:tblLook w:val="01E0" w:firstRow="1" w:lastRow="1" w:firstColumn="1" w:lastColumn="1" w:noHBand="0" w:noVBand="0"/>
      </w:tblPr>
      <w:tblGrid>
        <w:gridCol w:w="2967"/>
        <w:gridCol w:w="2968"/>
        <w:gridCol w:w="2968"/>
      </w:tblGrid>
      <w:tr w:rsidR="00986C88" w:rsidRPr="002A0B87" w14:paraId="75352637" w14:textId="77777777" w:rsidTr="00E635EB">
        <w:tc>
          <w:tcPr>
            <w:tcW w:w="2967" w:type="dxa"/>
            <w:vAlign w:val="bottom"/>
          </w:tcPr>
          <w:p w14:paraId="03AF100C" w14:textId="2FB07DDD" w:rsidR="00986C88" w:rsidRPr="002A0B87" w:rsidRDefault="009D74A6" w:rsidP="00557104">
            <w:pPr>
              <w:widowControl w:val="0"/>
              <w:pBdr>
                <w:bottom w:val="single" w:sz="4" w:space="1" w:color="auto"/>
              </w:pBdr>
              <w:ind w:left="-115" w:right="58"/>
              <w:rPr>
                <w:rFonts w:cs="Arial"/>
              </w:rPr>
            </w:pPr>
            <w:r w:rsidRPr="009D74A6">
              <w:rPr>
                <w:rFonts w:cs="Arial"/>
              </w:rPr>
              <w:t>Prepared by:</w:t>
            </w:r>
          </w:p>
          <w:p w14:paraId="6E076077" w14:textId="77777777" w:rsidR="00986C88" w:rsidRPr="002A0B87" w:rsidRDefault="00986C88" w:rsidP="00557104">
            <w:pPr>
              <w:widowControl w:val="0"/>
              <w:pBdr>
                <w:bottom w:val="single" w:sz="4" w:space="1" w:color="auto"/>
              </w:pBdr>
              <w:ind w:left="-115" w:right="58"/>
              <w:rPr>
                <w:rFonts w:cs="Arial"/>
              </w:rPr>
            </w:pPr>
          </w:p>
          <w:p w14:paraId="2C0CB9B5" w14:textId="77777777" w:rsidR="00986C88" w:rsidRPr="002A0B87" w:rsidRDefault="00986C88" w:rsidP="00557104">
            <w:pPr>
              <w:widowControl w:val="0"/>
              <w:pBdr>
                <w:bottom w:val="single" w:sz="4" w:space="1" w:color="auto"/>
              </w:pBdr>
              <w:ind w:left="-115" w:right="58"/>
              <w:rPr>
                <w:rFonts w:cs="Arial"/>
              </w:rPr>
            </w:pPr>
          </w:p>
          <w:p w14:paraId="7F3D0D9F" w14:textId="77777777" w:rsidR="00986C88" w:rsidRPr="002A0B87" w:rsidRDefault="00986C88" w:rsidP="00557104">
            <w:pPr>
              <w:widowControl w:val="0"/>
              <w:pBdr>
                <w:bottom w:val="single" w:sz="4" w:space="1" w:color="auto"/>
              </w:pBdr>
              <w:ind w:left="-115" w:right="58"/>
              <w:rPr>
                <w:rFonts w:cs="Arial"/>
              </w:rPr>
            </w:pPr>
          </w:p>
          <w:p w14:paraId="644087CB" w14:textId="77777777" w:rsidR="00986C88" w:rsidRPr="002A0B87" w:rsidRDefault="00986C88" w:rsidP="00557104">
            <w:pPr>
              <w:widowControl w:val="0"/>
              <w:pBdr>
                <w:bottom w:val="single" w:sz="4" w:space="1" w:color="auto"/>
              </w:pBdr>
              <w:ind w:left="-115" w:right="58"/>
              <w:rPr>
                <w:rFonts w:cs="Arial"/>
              </w:rPr>
            </w:pPr>
          </w:p>
          <w:p w14:paraId="1AA65A7A" w14:textId="77777777" w:rsidR="00986C88" w:rsidRPr="002A0B87" w:rsidRDefault="00986C88" w:rsidP="00557104">
            <w:pPr>
              <w:widowControl w:val="0"/>
              <w:pBdr>
                <w:bottom w:val="single" w:sz="4" w:space="1" w:color="auto"/>
              </w:pBdr>
              <w:ind w:left="-115" w:right="58"/>
              <w:rPr>
                <w:rFonts w:cs="Arial"/>
              </w:rPr>
            </w:pPr>
          </w:p>
          <w:p w14:paraId="7AE9CB17" w14:textId="77777777" w:rsidR="00986C88" w:rsidRPr="002A0B87" w:rsidRDefault="00986C88" w:rsidP="00557104">
            <w:pPr>
              <w:widowControl w:val="0"/>
              <w:pBdr>
                <w:bottom w:val="single" w:sz="4" w:space="1" w:color="auto"/>
              </w:pBdr>
              <w:ind w:left="-115" w:right="58"/>
              <w:rPr>
                <w:rFonts w:cs="Arial"/>
              </w:rPr>
            </w:pPr>
          </w:p>
        </w:tc>
        <w:tc>
          <w:tcPr>
            <w:tcW w:w="2968" w:type="dxa"/>
            <w:vAlign w:val="bottom"/>
          </w:tcPr>
          <w:p w14:paraId="76212A36" w14:textId="20D95284" w:rsidR="00986C88" w:rsidRPr="002A0B87" w:rsidRDefault="001062C7" w:rsidP="00557104">
            <w:pPr>
              <w:widowControl w:val="0"/>
              <w:pBdr>
                <w:bottom w:val="single" w:sz="4" w:space="1" w:color="auto"/>
              </w:pBdr>
              <w:ind w:left="-115" w:right="58"/>
              <w:rPr>
                <w:rFonts w:cs="Arial"/>
              </w:rPr>
            </w:pPr>
            <w:r w:rsidRPr="001062C7">
              <w:rPr>
                <w:rFonts w:cs="Arial"/>
              </w:rPr>
              <w:t>Reviewed by:</w:t>
            </w:r>
          </w:p>
          <w:p w14:paraId="715D595E" w14:textId="77777777" w:rsidR="00986C88" w:rsidRPr="002A0B87" w:rsidRDefault="00986C88" w:rsidP="00557104">
            <w:pPr>
              <w:widowControl w:val="0"/>
              <w:pBdr>
                <w:bottom w:val="single" w:sz="4" w:space="1" w:color="auto"/>
              </w:pBdr>
              <w:ind w:left="-115" w:right="58"/>
              <w:rPr>
                <w:rFonts w:cs="Arial"/>
              </w:rPr>
            </w:pPr>
          </w:p>
          <w:p w14:paraId="253A5FD0" w14:textId="77777777" w:rsidR="00986C88" w:rsidRPr="002A0B87" w:rsidRDefault="00986C88" w:rsidP="00557104">
            <w:pPr>
              <w:widowControl w:val="0"/>
              <w:pBdr>
                <w:bottom w:val="single" w:sz="4" w:space="1" w:color="auto"/>
              </w:pBdr>
              <w:ind w:left="-115" w:right="58"/>
              <w:rPr>
                <w:rFonts w:cs="Arial"/>
              </w:rPr>
            </w:pPr>
          </w:p>
          <w:p w14:paraId="4B7A815C" w14:textId="77777777" w:rsidR="00986C88" w:rsidRPr="002A0B87" w:rsidRDefault="00986C88" w:rsidP="00557104">
            <w:pPr>
              <w:widowControl w:val="0"/>
              <w:pBdr>
                <w:bottom w:val="single" w:sz="4" w:space="1" w:color="auto"/>
              </w:pBdr>
              <w:ind w:left="-115" w:right="58"/>
              <w:rPr>
                <w:rFonts w:cs="Arial"/>
              </w:rPr>
            </w:pPr>
          </w:p>
          <w:p w14:paraId="35C1753F" w14:textId="77777777" w:rsidR="00986C88" w:rsidRPr="002A0B87" w:rsidRDefault="00986C88" w:rsidP="00557104">
            <w:pPr>
              <w:widowControl w:val="0"/>
              <w:pBdr>
                <w:bottom w:val="single" w:sz="4" w:space="1" w:color="auto"/>
              </w:pBdr>
              <w:ind w:left="-115" w:right="58"/>
              <w:rPr>
                <w:rFonts w:cs="Arial"/>
              </w:rPr>
            </w:pPr>
          </w:p>
          <w:p w14:paraId="59BBCF05" w14:textId="77777777" w:rsidR="00986C88" w:rsidRPr="002A0B87" w:rsidRDefault="00986C88" w:rsidP="00557104">
            <w:pPr>
              <w:widowControl w:val="0"/>
              <w:pBdr>
                <w:bottom w:val="single" w:sz="4" w:space="1" w:color="auto"/>
              </w:pBdr>
              <w:ind w:left="-115" w:right="58"/>
              <w:rPr>
                <w:rFonts w:cs="Arial"/>
              </w:rPr>
            </w:pPr>
          </w:p>
          <w:p w14:paraId="1501EA8E" w14:textId="77777777" w:rsidR="00986C88" w:rsidRPr="002A0B87" w:rsidRDefault="00986C88" w:rsidP="00557104">
            <w:pPr>
              <w:widowControl w:val="0"/>
              <w:pBdr>
                <w:bottom w:val="single" w:sz="4" w:space="1" w:color="auto"/>
              </w:pBdr>
              <w:ind w:left="-115" w:right="58"/>
              <w:rPr>
                <w:rFonts w:cs="Arial"/>
              </w:rPr>
            </w:pPr>
          </w:p>
        </w:tc>
        <w:tc>
          <w:tcPr>
            <w:tcW w:w="2968" w:type="dxa"/>
            <w:vAlign w:val="bottom"/>
          </w:tcPr>
          <w:p w14:paraId="0590071B" w14:textId="4C3F5384" w:rsidR="00986C88" w:rsidRPr="002A0B87" w:rsidRDefault="0044440D" w:rsidP="00557104">
            <w:pPr>
              <w:widowControl w:val="0"/>
              <w:ind w:left="-115" w:right="58" w:firstLine="1"/>
              <w:rPr>
                <w:rFonts w:cs="Arial"/>
              </w:rPr>
            </w:pPr>
            <w:r w:rsidRPr="0044440D">
              <w:rPr>
                <w:rFonts w:cs="Arial"/>
              </w:rPr>
              <w:t>Approved by:</w:t>
            </w:r>
          </w:p>
          <w:p w14:paraId="016D4F29" w14:textId="77777777" w:rsidR="00986C88" w:rsidRPr="002A0B87" w:rsidRDefault="00986C88" w:rsidP="00557104">
            <w:pPr>
              <w:widowControl w:val="0"/>
              <w:ind w:left="-115" w:right="58"/>
              <w:rPr>
                <w:rFonts w:cs="Arial"/>
              </w:rPr>
            </w:pPr>
          </w:p>
          <w:p w14:paraId="59827BC9" w14:textId="77777777" w:rsidR="00986C88" w:rsidRPr="002A0B87" w:rsidRDefault="00986C88" w:rsidP="00557104">
            <w:pPr>
              <w:widowControl w:val="0"/>
              <w:ind w:left="-115" w:right="58"/>
              <w:rPr>
                <w:rFonts w:cs="Arial"/>
              </w:rPr>
            </w:pPr>
          </w:p>
          <w:p w14:paraId="7DD3A815" w14:textId="77777777" w:rsidR="00986C88" w:rsidRPr="002A0B87" w:rsidRDefault="00986C88" w:rsidP="00557104">
            <w:pPr>
              <w:widowControl w:val="0"/>
              <w:ind w:left="-115" w:right="58"/>
              <w:rPr>
                <w:rFonts w:cs="Arial"/>
              </w:rPr>
            </w:pPr>
          </w:p>
          <w:p w14:paraId="3BE41FAC" w14:textId="77777777" w:rsidR="00986C88" w:rsidRPr="002A0B87" w:rsidRDefault="00986C88" w:rsidP="00557104">
            <w:pPr>
              <w:widowControl w:val="0"/>
              <w:ind w:left="-115" w:right="58"/>
              <w:rPr>
                <w:rFonts w:cs="Arial"/>
              </w:rPr>
            </w:pPr>
          </w:p>
          <w:p w14:paraId="399FCEA5" w14:textId="77777777" w:rsidR="00986C88" w:rsidRPr="002A0B87" w:rsidRDefault="00986C88" w:rsidP="00557104">
            <w:pPr>
              <w:widowControl w:val="0"/>
              <w:ind w:left="-115" w:right="58"/>
              <w:rPr>
                <w:rFonts w:cs="Arial"/>
              </w:rPr>
            </w:pPr>
          </w:p>
          <w:p w14:paraId="42C75C85" w14:textId="77777777" w:rsidR="00986C88" w:rsidRPr="002A0B87" w:rsidRDefault="00986C88" w:rsidP="00557104">
            <w:pPr>
              <w:widowControl w:val="0"/>
              <w:pBdr>
                <w:bottom w:val="single" w:sz="4" w:space="1" w:color="auto"/>
              </w:pBdr>
              <w:ind w:left="-115" w:right="58"/>
              <w:rPr>
                <w:rFonts w:cs="Arial"/>
              </w:rPr>
            </w:pPr>
          </w:p>
        </w:tc>
      </w:tr>
      <w:tr w:rsidR="00B84D3A" w:rsidRPr="002A0B87" w14:paraId="55022910" w14:textId="77777777" w:rsidTr="00E635EB">
        <w:tc>
          <w:tcPr>
            <w:tcW w:w="2967" w:type="dxa"/>
          </w:tcPr>
          <w:p w14:paraId="31684A4F" w14:textId="5BE0B4C3" w:rsidR="00B84D3A" w:rsidRPr="002A0B87" w:rsidRDefault="00807A19" w:rsidP="00B84D3A">
            <w:pPr>
              <w:overflowPunct/>
              <w:autoSpaceDE/>
              <w:autoSpaceDN/>
              <w:adjustRightInd/>
              <w:ind w:left="-115" w:right="58"/>
              <w:textAlignment w:val="auto"/>
              <w:rPr>
                <w:rFonts w:eastAsia="Batang" w:cs="Arial"/>
              </w:rPr>
            </w:pPr>
            <w:r w:rsidRPr="00807A19">
              <w:rPr>
                <w:rFonts w:eastAsia="Batang" w:cs="Arial"/>
              </w:rPr>
              <w:t>Ms. Pham Thi Yen</w:t>
            </w:r>
          </w:p>
          <w:p w14:paraId="36CB189E" w14:textId="76277E38" w:rsidR="00B84D3A" w:rsidRPr="002A0B87" w:rsidRDefault="00807A19" w:rsidP="00B84D3A">
            <w:pPr>
              <w:widowControl w:val="0"/>
              <w:ind w:left="-115" w:right="58"/>
              <w:rPr>
                <w:rFonts w:cs="Arial"/>
              </w:rPr>
            </w:pPr>
            <w:r>
              <w:rPr>
                <w:rFonts w:eastAsia="Batang" w:cs="Arial"/>
              </w:rPr>
              <w:t>Accountant</w:t>
            </w:r>
          </w:p>
        </w:tc>
        <w:tc>
          <w:tcPr>
            <w:tcW w:w="2968" w:type="dxa"/>
          </w:tcPr>
          <w:p w14:paraId="1E9CABB0" w14:textId="0AD8D070" w:rsidR="00B84D3A" w:rsidRPr="002A0B87" w:rsidRDefault="00A111AF" w:rsidP="00B84D3A">
            <w:pPr>
              <w:widowControl w:val="0"/>
              <w:ind w:left="-115" w:right="58"/>
              <w:rPr>
                <w:rFonts w:cs="Arial"/>
              </w:rPr>
            </w:pPr>
            <w:r w:rsidRPr="00A111AF">
              <w:rPr>
                <w:rFonts w:cs="Arial"/>
              </w:rPr>
              <w:t>Ms. Nguyen Thi Van</w:t>
            </w:r>
          </w:p>
          <w:p w14:paraId="40E380B9" w14:textId="3AC11B13" w:rsidR="00B84D3A" w:rsidRPr="002A0B87" w:rsidRDefault="00A111AF" w:rsidP="00B84D3A">
            <w:pPr>
              <w:widowControl w:val="0"/>
              <w:ind w:left="-115" w:right="58"/>
              <w:rPr>
                <w:rFonts w:cs="Arial"/>
              </w:rPr>
            </w:pPr>
            <w:r>
              <w:rPr>
                <w:rFonts w:cs="Arial"/>
              </w:rPr>
              <w:t>Chief Accountant</w:t>
            </w:r>
          </w:p>
        </w:tc>
        <w:tc>
          <w:tcPr>
            <w:tcW w:w="2968" w:type="dxa"/>
          </w:tcPr>
          <w:p w14:paraId="5C0973AD" w14:textId="1D387F32" w:rsidR="00B84D3A" w:rsidRPr="002A0B87" w:rsidRDefault="00A111AF" w:rsidP="00B84D3A">
            <w:pPr>
              <w:widowControl w:val="0"/>
              <w:ind w:left="-115" w:right="58"/>
              <w:contextualSpacing/>
              <w:rPr>
                <w:rFonts w:cs="Arial"/>
              </w:rPr>
            </w:pPr>
            <w:r>
              <w:rPr>
                <w:rFonts w:cs="Arial"/>
              </w:rPr>
              <w:t xml:space="preserve">Mr. </w:t>
            </w:r>
            <w:r w:rsidR="00B84D3A">
              <w:rPr>
                <w:rFonts w:cs="Arial"/>
              </w:rPr>
              <w:t xml:space="preserve">Lee </w:t>
            </w:r>
            <w:proofErr w:type="spellStart"/>
            <w:r w:rsidR="00B84D3A">
              <w:rPr>
                <w:rFonts w:cs="Arial"/>
              </w:rPr>
              <w:t>Jin</w:t>
            </w:r>
            <w:proofErr w:type="spellEnd"/>
            <w:r w:rsidR="00B84D3A">
              <w:rPr>
                <w:rFonts w:cs="Arial"/>
              </w:rPr>
              <w:t xml:space="preserve"> Hwan</w:t>
            </w:r>
          </w:p>
          <w:p w14:paraId="641A036C" w14:textId="1B746C18" w:rsidR="00B84D3A" w:rsidRPr="002A0B87" w:rsidRDefault="00A111AF" w:rsidP="00B84D3A">
            <w:pPr>
              <w:widowControl w:val="0"/>
              <w:ind w:left="-115" w:right="58"/>
              <w:rPr>
                <w:rFonts w:cs="Arial"/>
              </w:rPr>
            </w:pPr>
            <w:r>
              <w:rPr>
                <w:rFonts w:cs="Arial"/>
              </w:rPr>
              <w:t>General Director</w:t>
            </w:r>
          </w:p>
        </w:tc>
      </w:tr>
    </w:tbl>
    <w:p w14:paraId="4EEE3B0E" w14:textId="513D177D" w:rsidR="00986C88" w:rsidRPr="002A0B87" w:rsidRDefault="00986C88" w:rsidP="00557104">
      <w:pPr>
        <w:rPr>
          <w:rFonts w:cs="Arial"/>
        </w:rPr>
      </w:pPr>
    </w:p>
    <w:p w14:paraId="2FBAF75E" w14:textId="77777777" w:rsidR="00986C88" w:rsidRPr="002A0B87" w:rsidRDefault="00986C88" w:rsidP="00557104">
      <w:pPr>
        <w:rPr>
          <w:rFonts w:cs="Arial"/>
        </w:rPr>
      </w:pPr>
    </w:p>
    <w:p w14:paraId="6E95BEEE" w14:textId="751B8D6A" w:rsidR="00070F58" w:rsidRPr="002A0B87" w:rsidRDefault="00070F58" w:rsidP="00557104">
      <w:pPr>
        <w:overflowPunct/>
        <w:autoSpaceDE/>
        <w:autoSpaceDN/>
        <w:adjustRightInd/>
        <w:ind w:right="318"/>
        <w:textAlignment w:val="auto"/>
        <w:rPr>
          <w:rFonts w:cs="Arial"/>
        </w:rPr>
      </w:pPr>
      <w:r w:rsidRPr="002A0B87">
        <w:rPr>
          <w:rFonts w:cs="Arial"/>
        </w:rPr>
        <w:t>H</w:t>
      </w:r>
      <w:r w:rsidR="00A111AF">
        <w:rPr>
          <w:rFonts w:cs="Arial"/>
        </w:rPr>
        <w:t>anoi</w:t>
      </w:r>
      <w:r w:rsidRPr="002A0B87">
        <w:rPr>
          <w:rFonts w:cs="Arial"/>
        </w:rPr>
        <w:t>, Vi</w:t>
      </w:r>
      <w:r w:rsidR="00A111AF">
        <w:rPr>
          <w:rFonts w:cs="Arial"/>
        </w:rPr>
        <w:t>etnam</w:t>
      </w:r>
    </w:p>
    <w:p w14:paraId="01CA9CD0" w14:textId="77777777" w:rsidR="00070F58" w:rsidRPr="002A0B87" w:rsidRDefault="00070F58" w:rsidP="00557104">
      <w:pPr>
        <w:overflowPunct/>
        <w:autoSpaceDE/>
        <w:autoSpaceDN/>
        <w:adjustRightInd/>
        <w:ind w:right="318"/>
        <w:textAlignment w:val="auto"/>
        <w:rPr>
          <w:rFonts w:cs="Arial"/>
        </w:rPr>
      </w:pPr>
    </w:p>
    <w:p w14:paraId="54EE7DDA" w14:textId="6ECB4481" w:rsidR="00070F58" w:rsidRPr="002A0B87" w:rsidRDefault="003A174B" w:rsidP="003867C2">
      <w:pPr>
        <w:overflowPunct/>
        <w:autoSpaceDE/>
        <w:autoSpaceDN/>
        <w:adjustRightInd/>
        <w:textAlignment w:val="auto"/>
        <w:rPr>
          <w:rFonts w:cs="Arial"/>
        </w:rPr>
      </w:pPr>
      <w:r w:rsidRPr="00254501">
        <w:rPr>
          <w:rFonts w:cs="Arial"/>
        </w:rPr>
        <w:t>07</w:t>
      </w:r>
      <w:r w:rsidR="00AF256F" w:rsidRPr="003A174B">
        <w:rPr>
          <w:rFonts w:cs="Arial"/>
        </w:rPr>
        <w:t xml:space="preserve"> March 202</w:t>
      </w:r>
      <w:r w:rsidR="00821F02">
        <w:rPr>
          <w:rFonts w:cs="Arial"/>
        </w:rPr>
        <w:t>3</w:t>
      </w:r>
    </w:p>
    <w:p w14:paraId="71E7337E" w14:textId="6B17F701" w:rsidR="00070F58" w:rsidRPr="002A0B87" w:rsidRDefault="00070F58" w:rsidP="001A088B">
      <w:pPr>
        <w:rPr>
          <w:rFonts w:cs="Arial"/>
          <w:lang w:val="en-GB"/>
        </w:rPr>
      </w:pPr>
    </w:p>
    <w:p w14:paraId="7601012B" w14:textId="03626C73" w:rsidR="00070F58" w:rsidRPr="002A0B87" w:rsidRDefault="00070F58">
      <w:pPr>
        <w:rPr>
          <w:rFonts w:cs="Arial"/>
          <w:lang w:val="en-GB"/>
        </w:rPr>
        <w:sectPr w:rsidR="00070F58" w:rsidRPr="002A0B87" w:rsidSect="009032CF">
          <w:headerReference w:type="even" r:id="rId35"/>
          <w:headerReference w:type="default" r:id="rId36"/>
          <w:headerReference w:type="first" r:id="rId37"/>
          <w:type w:val="nextColumn"/>
          <w:pgSz w:w="11909" w:h="16834" w:code="9"/>
          <w:pgMar w:top="1440" w:right="1440" w:bottom="862" w:left="1582" w:header="720" w:footer="578" w:gutter="0"/>
          <w:cols w:space="720"/>
        </w:sectPr>
      </w:pPr>
    </w:p>
    <w:tbl>
      <w:tblPr>
        <w:tblW w:w="8896"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706"/>
        <w:gridCol w:w="3643"/>
        <w:gridCol w:w="775"/>
        <w:gridCol w:w="1886"/>
        <w:gridCol w:w="1886"/>
      </w:tblGrid>
      <w:tr w:rsidR="00B82654" w:rsidRPr="008373FE" w14:paraId="60B2D3CA" w14:textId="77777777" w:rsidTr="7D59BCB4">
        <w:trPr>
          <w:trHeight w:val="25"/>
        </w:trPr>
        <w:tc>
          <w:tcPr>
            <w:tcW w:w="706" w:type="dxa"/>
            <w:tcBorders>
              <w:top w:val="double" w:sz="6" w:space="0" w:color="auto"/>
              <w:bottom w:val="single" w:sz="4" w:space="0" w:color="000000" w:themeColor="text1"/>
              <w:right w:val="single" w:sz="4" w:space="0" w:color="000000" w:themeColor="text1"/>
            </w:tcBorders>
            <w:noWrap/>
            <w:vAlign w:val="bottom"/>
          </w:tcPr>
          <w:p w14:paraId="585F5ADB" w14:textId="72CDE67F" w:rsidR="00B82654" w:rsidRPr="00FA28E4" w:rsidRDefault="0088134D" w:rsidP="00B82654">
            <w:pPr>
              <w:spacing w:before="80" w:after="80"/>
              <w:ind w:left="-58" w:right="-58"/>
              <w:jc w:val="center"/>
              <w:rPr>
                <w:rFonts w:cs="Arial"/>
                <w:i/>
                <w:iCs/>
                <w:sz w:val="19"/>
                <w:szCs w:val="19"/>
              </w:rPr>
            </w:pPr>
            <w:r>
              <w:rPr>
                <w:rFonts w:cs="Arial"/>
                <w:i/>
                <w:iCs/>
                <w:sz w:val="19"/>
                <w:szCs w:val="19"/>
              </w:rPr>
              <w:lastRenderedPageBreak/>
              <w:t>Code</w:t>
            </w:r>
          </w:p>
        </w:tc>
        <w:tc>
          <w:tcPr>
            <w:tcW w:w="3643" w:type="dxa"/>
            <w:tcBorders>
              <w:top w:val="double" w:sz="6" w:space="0" w:color="auto"/>
              <w:left w:val="single" w:sz="4" w:space="0" w:color="000000" w:themeColor="text1"/>
              <w:bottom w:val="single" w:sz="4" w:space="0" w:color="000000" w:themeColor="text1"/>
              <w:right w:val="single" w:sz="4" w:space="0" w:color="000000" w:themeColor="text1"/>
            </w:tcBorders>
            <w:noWrap/>
            <w:vAlign w:val="bottom"/>
          </w:tcPr>
          <w:p w14:paraId="5D2D6377" w14:textId="601077FE" w:rsidR="00B82654" w:rsidRPr="00FA28E4" w:rsidRDefault="0088134D" w:rsidP="00B82654">
            <w:pPr>
              <w:spacing w:before="80" w:after="80"/>
              <w:ind w:left="-58"/>
              <w:rPr>
                <w:rFonts w:cs="Arial"/>
                <w:i/>
                <w:iCs/>
                <w:sz w:val="19"/>
                <w:szCs w:val="19"/>
              </w:rPr>
            </w:pPr>
            <w:r>
              <w:rPr>
                <w:rFonts w:cs="Arial"/>
                <w:i/>
                <w:iCs/>
                <w:sz w:val="19"/>
                <w:szCs w:val="19"/>
              </w:rPr>
              <w:t>ITEMS</w:t>
            </w:r>
          </w:p>
        </w:tc>
        <w:tc>
          <w:tcPr>
            <w:tcW w:w="775" w:type="dxa"/>
            <w:tcBorders>
              <w:top w:val="double" w:sz="6" w:space="0" w:color="auto"/>
              <w:left w:val="single" w:sz="4" w:space="0" w:color="000000" w:themeColor="text1"/>
              <w:bottom w:val="single" w:sz="4" w:space="0" w:color="000000" w:themeColor="text1"/>
              <w:right w:val="single" w:sz="4" w:space="0" w:color="000000" w:themeColor="text1"/>
            </w:tcBorders>
            <w:noWrap/>
            <w:vAlign w:val="bottom"/>
          </w:tcPr>
          <w:p w14:paraId="314DB941" w14:textId="72D82DCD" w:rsidR="00B82654" w:rsidRPr="00FA28E4" w:rsidRDefault="0088134D" w:rsidP="00B82654">
            <w:pPr>
              <w:spacing w:before="80" w:after="80"/>
              <w:ind w:left="-58" w:right="-58"/>
              <w:jc w:val="center"/>
              <w:rPr>
                <w:rFonts w:cs="Arial"/>
                <w:i/>
                <w:iCs/>
                <w:sz w:val="19"/>
                <w:szCs w:val="19"/>
              </w:rPr>
            </w:pPr>
            <w:r>
              <w:rPr>
                <w:rFonts w:cs="Arial"/>
                <w:i/>
                <w:iCs/>
                <w:sz w:val="19"/>
                <w:szCs w:val="19"/>
              </w:rPr>
              <w:t>Notes</w:t>
            </w:r>
          </w:p>
        </w:tc>
        <w:tc>
          <w:tcPr>
            <w:tcW w:w="1886" w:type="dxa"/>
            <w:tcBorders>
              <w:top w:val="double" w:sz="6" w:space="0" w:color="auto"/>
              <w:left w:val="single" w:sz="4" w:space="0" w:color="000000" w:themeColor="text1"/>
              <w:bottom w:val="single" w:sz="4" w:space="0" w:color="000000" w:themeColor="text1"/>
              <w:right w:val="single" w:sz="4" w:space="0" w:color="000000" w:themeColor="text1"/>
            </w:tcBorders>
            <w:vAlign w:val="bottom"/>
          </w:tcPr>
          <w:p w14:paraId="7546AD68" w14:textId="77777777" w:rsidR="00544FE2" w:rsidRPr="00544FE2" w:rsidRDefault="00544FE2" w:rsidP="00544FE2">
            <w:pPr>
              <w:spacing w:before="120"/>
              <w:jc w:val="right"/>
              <w:rPr>
                <w:rFonts w:cs="Arial"/>
                <w:i/>
                <w:sz w:val="19"/>
                <w:szCs w:val="19"/>
              </w:rPr>
            </w:pPr>
            <w:r w:rsidRPr="00544FE2">
              <w:rPr>
                <w:rFonts w:cs="Arial"/>
                <w:i/>
                <w:sz w:val="19"/>
                <w:szCs w:val="19"/>
              </w:rPr>
              <w:t>Current year</w:t>
            </w:r>
          </w:p>
          <w:p w14:paraId="673F1F04" w14:textId="62E5B46D" w:rsidR="00B82654" w:rsidRPr="008373FE" w:rsidRDefault="00544FE2" w:rsidP="00B82654">
            <w:pPr>
              <w:spacing w:after="80"/>
              <w:jc w:val="right"/>
              <w:rPr>
                <w:rFonts w:cs="Arial"/>
                <w:i/>
                <w:sz w:val="19"/>
                <w:szCs w:val="19"/>
                <w:lang w:val="vi-VN"/>
              </w:rPr>
            </w:pPr>
            <w:r w:rsidRPr="00544FE2">
              <w:rPr>
                <w:rFonts w:cs="Arial"/>
                <w:i/>
                <w:sz w:val="19"/>
                <w:szCs w:val="19"/>
              </w:rPr>
              <w:t>VND</w:t>
            </w:r>
          </w:p>
        </w:tc>
        <w:tc>
          <w:tcPr>
            <w:tcW w:w="1886" w:type="dxa"/>
            <w:tcBorders>
              <w:top w:val="double" w:sz="6" w:space="0" w:color="auto"/>
              <w:left w:val="single" w:sz="4" w:space="0" w:color="000000" w:themeColor="text1"/>
              <w:bottom w:val="single" w:sz="4" w:space="0" w:color="000000" w:themeColor="text1"/>
            </w:tcBorders>
            <w:noWrap/>
            <w:vAlign w:val="bottom"/>
          </w:tcPr>
          <w:p w14:paraId="2253E1E7" w14:textId="77777777" w:rsidR="00202F0D" w:rsidRPr="00202F0D" w:rsidRDefault="00202F0D" w:rsidP="00202F0D">
            <w:pPr>
              <w:spacing w:before="120"/>
              <w:jc w:val="right"/>
              <w:rPr>
                <w:rFonts w:cs="Arial"/>
                <w:i/>
                <w:sz w:val="19"/>
                <w:szCs w:val="19"/>
              </w:rPr>
            </w:pPr>
            <w:r w:rsidRPr="00202F0D">
              <w:rPr>
                <w:rFonts w:cs="Arial"/>
                <w:i/>
                <w:sz w:val="19"/>
                <w:szCs w:val="19"/>
              </w:rPr>
              <w:t>Previous year</w:t>
            </w:r>
          </w:p>
          <w:p w14:paraId="3AA17FDB" w14:textId="71A13484" w:rsidR="00B82654" w:rsidRPr="008373FE" w:rsidRDefault="00202F0D" w:rsidP="00B82654">
            <w:pPr>
              <w:spacing w:after="80"/>
              <w:jc w:val="right"/>
              <w:rPr>
                <w:rFonts w:cs="Arial"/>
                <w:i/>
                <w:iCs/>
                <w:sz w:val="19"/>
                <w:szCs w:val="19"/>
              </w:rPr>
            </w:pPr>
            <w:r w:rsidRPr="00202F0D">
              <w:rPr>
                <w:rFonts w:cs="Arial"/>
                <w:i/>
                <w:sz w:val="19"/>
                <w:szCs w:val="19"/>
              </w:rPr>
              <w:t>VND</w:t>
            </w:r>
          </w:p>
        </w:tc>
      </w:tr>
      <w:tr w:rsidR="00504C57" w:rsidRPr="008373FE" w14:paraId="05D01B7B" w14:textId="77777777" w:rsidTr="7D59BCB4">
        <w:tc>
          <w:tcPr>
            <w:tcW w:w="706" w:type="dxa"/>
            <w:tcBorders>
              <w:top w:val="single" w:sz="4" w:space="0" w:color="000000" w:themeColor="text1"/>
              <w:bottom w:val="nil"/>
              <w:right w:val="single" w:sz="4" w:space="0" w:color="000000" w:themeColor="text1"/>
            </w:tcBorders>
            <w:noWrap/>
          </w:tcPr>
          <w:p w14:paraId="4773E76A" w14:textId="77777777" w:rsidR="00504C57" w:rsidRPr="008373FE" w:rsidRDefault="00504C57" w:rsidP="003816EF">
            <w:pPr>
              <w:spacing w:before="120"/>
              <w:ind w:left="-58" w:right="-58"/>
              <w:jc w:val="center"/>
              <w:rPr>
                <w:rFonts w:cs="Arial"/>
                <w:b/>
                <w:bCs/>
                <w:sz w:val="19"/>
                <w:szCs w:val="19"/>
                <w:lang w:val="vi-VN"/>
              </w:rPr>
            </w:pPr>
          </w:p>
        </w:tc>
        <w:tc>
          <w:tcPr>
            <w:tcW w:w="3643" w:type="dxa"/>
            <w:tcBorders>
              <w:top w:val="single" w:sz="4" w:space="0" w:color="000000" w:themeColor="text1"/>
              <w:left w:val="single" w:sz="4" w:space="0" w:color="000000" w:themeColor="text1"/>
              <w:bottom w:val="nil"/>
              <w:right w:val="single" w:sz="4" w:space="0" w:color="000000" w:themeColor="text1"/>
            </w:tcBorders>
            <w:noWrap/>
            <w:vAlign w:val="bottom"/>
          </w:tcPr>
          <w:p w14:paraId="4481B116" w14:textId="596EF94B" w:rsidR="00504C57" w:rsidRPr="00667A04" w:rsidRDefault="00504C57" w:rsidP="00FA28E4">
            <w:pPr>
              <w:spacing w:before="120"/>
              <w:ind w:left="302" w:hanging="360"/>
              <w:rPr>
                <w:rFonts w:cs="Arial"/>
                <w:b/>
                <w:bCs/>
                <w:sz w:val="19"/>
                <w:szCs w:val="19"/>
              </w:rPr>
            </w:pPr>
            <w:r w:rsidRPr="008373FE">
              <w:rPr>
                <w:rFonts w:cs="Arial"/>
                <w:b/>
                <w:bCs/>
                <w:sz w:val="19"/>
                <w:szCs w:val="19"/>
              </w:rPr>
              <w:t>I</w:t>
            </w:r>
            <w:r w:rsidRPr="008373FE">
              <w:rPr>
                <w:rFonts w:cs="Arial"/>
                <w:b/>
                <w:bCs/>
                <w:sz w:val="19"/>
                <w:szCs w:val="19"/>
                <w:lang w:val="vi-VN"/>
              </w:rPr>
              <w:t>.</w:t>
            </w:r>
            <w:r w:rsidRPr="008373FE">
              <w:rPr>
                <w:rFonts w:cs="Arial"/>
                <w:b/>
                <w:bCs/>
                <w:sz w:val="19"/>
                <w:szCs w:val="19"/>
                <w:lang w:val="vi-VN"/>
              </w:rPr>
              <w:tab/>
            </w:r>
            <w:r w:rsidR="002B1383" w:rsidRPr="002B1383">
              <w:rPr>
                <w:rFonts w:cs="Arial"/>
                <w:b/>
                <w:bCs/>
                <w:sz w:val="19"/>
                <w:szCs w:val="19"/>
                <w:lang w:val="vi-VN"/>
              </w:rPr>
              <w:t>CASH FLOW FROM OPERATING ACTIVITIES</w:t>
            </w:r>
          </w:p>
        </w:tc>
        <w:tc>
          <w:tcPr>
            <w:tcW w:w="775" w:type="dxa"/>
            <w:tcBorders>
              <w:top w:val="single" w:sz="4" w:space="0" w:color="000000" w:themeColor="text1"/>
              <w:left w:val="single" w:sz="4" w:space="0" w:color="000000" w:themeColor="text1"/>
              <w:bottom w:val="nil"/>
              <w:right w:val="single" w:sz="4" w:space="0" w:color="000000" w:themeColor="text1"/>
            </w:tcBorders>
            <w:noWrap/>
          </w:tcPr>
          <w:p w14:paraId="3E738231" w14:textId="77777777" w:rsidR="00504C57" w:rsidRPr="003C222B" w:rsidRDefault="00504C57" w:rsidP="003816EF">
            <w:pPr>
              <w:spacing w:before="120"/>
              <w:ind w:left="-58" w:right="-58"/>
              <w:jc w:val="center"/>
              <w:rPr>
                <w:rFonts w:cs="Arial"/>
                <w:b/>
                <w:sz w:val="19"/>
                <w:szCs w:val="19"/>
                <w:lang w:val="vi-VN"/>
              </w:rPr>
            </w:pPr>
          </w:p>
        </w:tc>
        <w:tc>
          <w:tcPr>
            <w:tcW w:w="1886" w:type="dxa"/>
            <w:tcBorders>
              <w:top w:val="single" w:sz="4" w:space="0" w:color="000000" w:themeColor="text1"/>
              <w:left w:val="single" w:sz="4" w:space="0" w:color="000000" w:themeColor="text1"/>
              <w:bottom w:val="nil"/>
              <w:right w:val="single" w:sz="4" w:space="0" w:color="000000" w:themeColor="text1"/>
            </w:tcBorders>
            <w:vAlign w:val="bottom"/>
          </w:tcPr>
          <w:p w14:paraId="70566C89" w14:textId="77777777" w:rsidR="00504C57" w:rsidRPr="003C222B" w:rsidRDefault="00504C57" w:rsidP="003816EF">
            <w:pPr>
              <w:spacing w:before="120"/>
              <w:jc w:val="right"/>
              <w:rPr>
                <w:rFonts w:cs="Arial"/>
                <w:b/>
                <w:sz w:val="19"/>
                <w:szCs w:val="19"/>
                <w:lang w:val="vi-VN"/>
              </w:rPr>
            </w:pPr>
          </w:p>
        </w:tc>
        <w:tc>
          <w:tcPr>
            <w:tcW w:w="1886" w:type="dxa"/>
            <w:tcBorders>
              <w:top w:val="single" w:sz="4" w:space="0" w:color="000000" w:themeColor="text1"/>
              <w:left w:val="single" w:sz="4" w:space="0" w:color="000000" w:themeColor="text1"/>
              <w:bottom w:val="nil"/>
            </w:tcBorders>
            <w:noWrap/>
            <w:vAlign w:val="bottom"/>
          </w:tcPr>
          <w:p w14:paraId="3E8EC2B3" w14:textId="77777777" w:rsidR="00504C57" w:rsidRPr="008373FE" w:rsidRDefault="00504C57">
            <w:pPr>
              <w:spacing w:before="120"/>
              <w:jc w:val="right"/>
              <w:rPr>
                <w:rFonts w:cs="Arial"/>
                <w:b/>
                <w:bCs/>
                <w:sz w:val="19"/>
                <w:szCs w:val="19"/>
              </w:rPr>
            </w:pPr>
          </w:p>
        </w:tc>
      </w:tr>
      <w:tr w:rsidR="007D728B" w:rsidRPr="008373FE" w14:paraId="61BF1C72" w14:textId="77777777" w:rsidTr="007D728B">
        <w:tc>
          <w:tcPr>
            <w:tcW w:w="706" w:type="dxa"/>
            <w:tcBorders>
              <w:right w:val="single" w:sz="4" w:space="0" w:color="000000" w:themeColor="text1"/>
            </w:tcBorders>
            <w:noWrap/>
          </w:tcPr>
          <w:p w14:paraId="1BBAF7FB" w14:textId="77777777" w:rsidR="007D728B" w:rsidRPr="008373FE" w:rsidRDefault="007D728B" w:rsidP="007D728B">
            <w:pPr>
              <w:spacing w:before="120"/>
              <w:ind w:left="-58" w:right="-58"/>
              <w:jc w:val="center"/>
              <w:rPr>
                <w:rFonts w:cs="Arial"/>
                <w:b/>
                <w:bCs/>
                <w:sz w:val="19"/>
                <w:szCs w:val="19"/>
              </w:rPr>
            </w:pPr>
            <w:r w:rsidRPr="008373FE">
              <w:rPr>
                <w:rFonts w:cs="Arial"/>
                <w:b/>
                <w:sz w:val="19"/>
                <w:szCs w:val="19"/>
              </w:rPr>
              <w:t>01</w:t>
            </w:r>
          </w:p>
        </w:tc>
        <w:tc>
          <w:tcPr>
            <w:tcW w:w="3643" w:type="dxa"/>
            <w:tcBorders>
              <w:left w:val="single" w:sz="4" w:space="0" w:color="000000" w:themeColor="text1"/>
              <w:right w:val="single" w:sz="4" w:space="0" w:color="000000" w:themeColor="text1"/>
            </w:tcBorders>
            <w:noWrap/>
            <w:vAlign w:val="bottom"/>
          </w:tcPr>
          <w:p w14:paraId="6EC817CC" w14:textId="63791031" w:rsidR="007D728B" w:rsidRPr="008373FE" w:rsidRDefault="007D728B" w:rsidP="007D728B">
            <w:pPr>
              <w:spacing w:before="120"/>
              <w:ind w:left="302" w:hanging="360"/>
              <w:rPr>
                <w:rFonts w:cs="Arial"/>
                <w:b/>
                <w:bCs/>
                <w:sz w:val="19"/>
                <w:szCs w:val="19"/>
              </w:rPr>
            </w:pPr>
            <w:r w:rsidRPr="008373FE">
              <w:rPr>
                <w:rFonts w:cs="Arial"/>
                <w:b/>
                <w:sz w:val="19"/>
                <w:szCs w:val="19"/>
              </w:rPr>
              <w:t>1.</w:t>
            </w:r>
            <w:r w:rsidRPr="008373FE">
              <w:rPr>
                <w:rFonts w:cs="Arial"/>
                <w:b/>
                <w:sz w:val="19"/>
                <w:szCs w:val="19"/>
              </w:rPr>
              <w:tab/>
            </w:r>
            <w:r w:rsidRPr="0070304E">
              <w:rPr>
                <w:rFonts w:cs="Arial"/>
                <w:b/>
                <w:bCs/>
                <w:iCs/>
                <w:sz w:val="19"/>
                <w:szCs w:val="19"/>
                <w:lang w:val="vi-VN"/>
              </w:rPr>
              <w:t>Profit before tax</w:t>
            </w:r>
          </w:p>
        </w:tc>
        <w:tc>
          <w:tcPr>
            <w:tcW w:w="775" w:type="dxa"/>
            <w:tcBorders>
              <w:left w:val="single" w:sz="4" w:space="0" w:color="000000" w:themeColor="text1"/>
              <w:right w:val="single" w:sz="4" w:space="0" w:color="000000" w:themeColor="text1"/>
            </w:tcBorders>
            <w:noWrap/>
            <w:vAlign w:val="bottom"/>
          </w:tcPr>
          <w:p w14:paraId="0D45CF1E" w14:textId="77777777" w:rsidR="007D728B" w:rsidRPr="003C222B" w:rsidRDefault="007D728B" w:rsidP="007D728B">
            <w:pPr>
              <w:spacing w:before="120"/>
              <w:ind w:left="-58" w:right="-58"/>
              <w:jc w:val="center"/>
              <w:rPr>
                <w:rFonts w:cs="Arial"/>
                <w:b/>
                <w:sz w:val="19"/>
                <w:szCs w:val="19"/>
                <w:lang w:val="vi-VN"/>
              </w:rPr>
            </w:pPr>
          </w:p>
        </w:tc>
        <w:tc>
          <w:tcPr>
            <w:tcW w:w="1886" w:type="dxa"/>
            <w:tcBorders>
              <w:left w:val="single" w:sz="4" w:space="0" w:color="000000" w:themeColor="text1"/>
              <w:right w:val="single" w:sz="4" w:space="0" w:color="000000" w:themeColor="text1"/>
            </w:tcBorders>
            <w:vAlign w:val="bottom"/>
          </w:tcPr>
          <w:p w14:paraId="4A277BDA" w14:textId="4A248D90" w:rsidR="007D728B" w:rsidRPr="002A065B" w:rsidRDefault="007D728B" w:rsidP="007D728B">
            <w:pPr>
              <w:spacing w:before="120"/>
              <w:jc w:val="right"/>
              <w:rPr>
                <w:rFonts w:cs="Arial"/>
                <w:b/>
                <w:bCs/>
                <w:sz w:val="19"/>
                <w:szCs w:val="19"/>
                <w:lang w:val="vi-VN"/>
              </w:rPr>
            </w:pPr>
            <w:r w:rsidRPr="002A065B">
              <w:rPr>
                <w:b/>
                <w:bCs/>
              </w:rPr>
              <w:t>38</w:t>
            </w:r>
            <w:r w:rsidR="00CA0E3B" w:rsidRPr="002A065B">
              <w:rPr>
                <w:b/>
                <w:bCs/>
              </w:rPr>
              <w:t>,</w:t>
            </w:r>
            <w:r w:rsidRPr="002A065B">
              <w:rPr>
                <w:b/>
                <w:bCs/>
              </w:rPr>
              <w:t>278</w:t>
            </w:r>
            <w:r w:rsidR="00CA0E3B" w:rsidRPr="002A065B">
              <w:rPr>
                <w:b/>
                <w:bCs/>
              </w:rPr>
              <w:t>,</w:t>
            </w:r>
            <w:r w:rsidRPr="002A065B">
              <w:rPr>
                <w:b/>
                <w:bCs/>
              </w:rPr>
              <w:t>340</w:t>
            </w:r>
            <w:r w:rsidR="00CA0E3B" w:rsidRPr="002A065B">
              <w:rPr>
                <w:b/>
                <w:bCs/>
              </w:rPr>
              <w:t>,</w:t>
            </w:r>
            <w:r w:rsidRPr="002A065B">
              <w:rPr>
                <w:b/>
                <w:bCs/>
              </w:rPr>
              <w:t xml:space="preserve">453 </w:t>
            </w:r>
          </w:p>
        </w:tc>
        <w:tc>
          <w:tcPr>
            <w:tcW w:w="1886" w:type="dxa"/>
            <w:tcBorders>
              <w:left w:val="single" w:sz="4" w:space="0" w:color="000000" w:themeColor="text1"/>
            </w:tcBorders>
            <w:noWrap/>
            <w:vAlign w:val="bottom"/>
          </w:tcPr>
          <w:p w14:paraId="67C73EBF" w14:textId="44400432" w:rsidR="007D728B" w:rsidRPr="002A065B" w:rsidRDefault="007D728B" w:rsidP="007D728B">
            <w:pPr>
              <w:spacing w:before="120"/>
              <w:jc w:val="right"/>
              <w:rPr>
                <w:rFonts w:cs="Arial"/>
                <w:b/>
                <w:bCs/>
                <w:sz w:val="19"/>
                <w:szCs w:val="19"/>
                <w:lang w:val="vi-VN"/>
              </w:rPr>
            </w:pPr>
            <w:r w:rsidRPr="002A065B">
              <w:rPr>
                <w:b/>
                <w:bCs/>
              </w:rPr>
              <w:t>69</w:t>
            </w:r>
            <w:r w:rsidR="00CA0E3B" w:rsidRPr="002A065B">
              <w:rPr>
                <w:b/>
                <w:bCs/>
              </w:rPr>
              <w:t>,</w:t>
            </w:r>
            <w:r w:rsidRPr="002A065B">
              <w:rPr>
                <w:b/>
                <w:bCs/>
              </w:rPr>
              <w:t>906</w:t>
            </w:r>
            <w:r w:rsidR="00CA0E3B" w:rsidRPr="002A065B">
              <w:rPr>
                <w:b/>
                <w:bCs/>
              </w:rPr>
              <w:t>,</w:t>
            </w:r>
            <w:r w:rsidRPr="002A065B">
              <w:rPr>
                <w:b/>
                <w:bCs/>
              </w:rPr>
              <w:t>208</w:t>
            </w:r>
            <w:r w:rsidR="00CA0E3B" w:rsidRPr="002A065B">
              <w:rPr>
                <w:b/>
                <w:bCs/>
              </w:rPr>
              <w:t>,</w:t>
            </w:r>
            <w:r w:rsidRPr="002A065B">
              <w:rPr>
                <w:b/>
                <w:bCs/>
              </w:rPr>
              <w:t xml:space="preserve">478 </w:t>
            </w:r>
          </w:p>
        </w:tc>
      </w:tr>
      <w:tr w:rsidR="007D728B" w:rsidRPr="008373FE" w14:paraId="7B095217" w14:textId="77777777" w:rsidTr="007D728B">
        <w:tc>
          <w:tcPr>
            <w:tcW w:w="706" w:type="dxa"/>
            <w:tcBorders>
              <w:right w:val="single" w:sz="4" w:space="0" w:color="000000" w:themeColor="text1"/>
            </w:tcBorders>
            <w:noWrap/>
          </w:tcPr>
          <w:p w14:paraId="1CCED7E2" w14:textId="00679A1D" w:rsidR="007D728B" w:rsidRPr="008373FE" w:rsidRDefault="007D728B" w:rsidP="007D728B">
            <w:pPr>
              <w:spacing w:before="120"/>
              <w:ind w:left="-58" w:right="-58"/>
              <w:jc w:val="center"/>
              <w:rPr>
                <w:rFonts w:cs="Arial"/>
                <w:b/>
                <w:bCs/>
                <w:sz w:val="19"/>
                <w:szCs w:val="19"/>
              </w:rPr>
            </w:pPr>
            <w:r w:rsidRPr="008373FE">
              <w:rPr>
                <w:rFonts w:cs="Arial"/>
                <w:b/>
                <w:sz w:val="19"/>
                <w:szCs w:val="19"/>
              </w:rPr>
              <w:t>02</w:t>
            </w:r>
          </w:p>
        </w:tc>
        <w:tc>
          <w:tcPr>
            <w:tcW w:w="3643" w:type="dxa"/>
            <w:tcBorders>
              <w:left w:val="single" w:sz="4" w:space="0" w:color="000000" w:themeColor="text1"/>
              <w:right w:val="single" w:sz="4" w:space="0" w:color="000000" w:themeColor="text1"/>
            </w:tcBorders>
            <w:noWrap/>
            <w:vAlign w:val="bottom"/>
          </w:tcPr>
          <w:p w14:paraId="463CB1F9" w14:textId="1223A2B1" w:rsidR="007D728B" w:rsidRPr="008373FE" w:rsidRDefault="007D728B" w:rsidP="007D728B">
            <w:pPr>
              <w:spacing w:before="120"/>
              <w:ind w:left="302" w:hanging="360"/>
              <w:rPr>
                <w:rFonts w:cs="Arial"/>
                <w:b/>
                <w:sz w:val="19"/>
                <w:szCs w:val="19"/>
                <w:lang w:val="vi-VN"/>
              </w:rPr>
            </w:pPr>
            <w:r w:rsidRPr="008373FE">
              <w:rPr>
                <w:rFonts w:cs="Arial"/>
                <w:b/>
                <w:sz w:val="19"/>
                <w:szCs w:val="19"/>
              </w:rPr>
              <w:t>2.</w:t>
            </w:r>
            <w:r w:rsidRPr="008373FE">
              <w:rPr>
                <w:rFonts w:cs="Arial"/>
                <w:b/>
                <w:sz w:val="19"/>
                <w:szCs w:val="19"/>
              </w:rPr>
              <w:tab/>
            </w:r>
            <w:r w:rsidRPr="00EF108D">
              <w:rPr>
                <w:rFonts w:cs="Arial"/>
                <w:b/>
                <w:sz w:val="19"/>
                <w:szCs w:val="19"/>
                <w:lang w:val="vi-VN"/>
              </w:rPr>
              <w:t>Adjusted for</w:t>
            </w:r>
          </w:p>
        </w:tc>
        <w:tc>
          <w:tcPr>
            <w:tcW w:w="775" w:type="dxa"/>
            <w:tcBorders>
              <w:left w:val="single" w:sz="4" w:space="0" w:color="000000" w:themeColor="text1"/>
              <w:right w:val="single" w:sz="4" w:space="0" w:color="000000" w:themeColor="text1"/>
            </w:tcBorders>
            <w:noWrap/>
            <w:vAlign w:val="bottom"/>
          </w:tcPr>
          <w:p w14:paraId="21847221" w14:textId="77777777" w:rsidR="007D728B" w:rsidRPr="003C222B" w:rsidRDefault="007D728B" w:rsidP="007D728B">
            <w:pPr>
              <w:spacing w:before="120"/>
              <w:ind w:left="-58" w:right="-58"/>
              <w:jc w:val="center"/>
              <w:rPr>
                <w:rFonts w:cs="Arial"/>
                <w:b/>
                <w:sz w:val="19"/>
                <w:szCs w:val="19"/>
                <w:lang w:val="vi-VN"/>
              </w:rPr>
            </w:pPr>
          </w:p>
        </w:tc>
        <w:tc>
          <w:tcPr>
            <w:tcW w:w="1886" w:type="dxa"/>
            <w:tcBorders>
              <w:left w:val="single" w:sz="4" w:space="0" w:color="000000" w:themeColor="text1"/>
              <w:right w:val="single" w:sz="4" w:space="0" w:color="000000" w:themeColor="text1"/>
            </w:tcBorders>
            <w:vAlign w:val="bottom"/>
          </w:tcPr>
          <w:p w14:paraId="711B1934" w14:textId="21BFE7DB" w:rsidR="007D728B" w:rsidRPr="002A065B" w:rsidRDefault="007D728B" w:rsidP="007D728B">
            <w:pPr>
              <w:spacing w:before="120"/>
              <w:jc w:val="right"/>
              <w:rPr>
                <w:rFonts w:cs="Arial"/>
                <w:b/>
                <w:bCs/>
                <w:sz w:val="19"/>
                <w:szCs w:val="19"/>
              </w:rPr>
            </w:pPr>
            <w:r w:rsidRPr="002A065B">
              <w:rPr>
                <w:b/>
                <w:bCs/>
              </w:rPr>
              <w:t>58</w:t>
            </w:r>
            <w:r w:rsidR="00CA0E3B" w:rsidRPr="002A065B">
              <w:rPr>
                <w:b/>
                <w:bCs/>
              </w:rPr>
              <w:t>,</w:t>
            </w:r>
            <w:r w:rsidRPr="002A065B">
              <w:rPr>
                <w:b/>
                <w:bCs/>
              </w:rPr>
              <w:t>034</w:t>
            </w:r>
            <w:r w:rsidR="00CA0E3B" w:rsidRPr="002A065B">
              <w:rPr>
                <w:b/>
                <w:bCs/>
              </w:rPr>
              <w:t>,</w:t>
            </w:r>
            <w:r w:rsidRPr="002A065B">
              <w:rPr>
                <w:b/>
                <w:bCs/>
              </w:rPr>
              <w:t>354</w:t>
            </w:r>
            <w:r w:rsidR="00CA0E3B" w:rsidRPr="002A065B">
              <w:rPr>
                <w:b/>
                <w:bCs/>
              </w:rPr>
              <w:t>,</w:t>
            </w:r>
            <w:r w:rsidRPr="002A065B">
              <w:rPr>
                <w:b/>
                <w:bCs/>
              </w:rPr>
              <w:t>117</w:t>
            </w:r>
          </w:p>
        </w:tc>
        <w:tc>
          <w:tcPr>
            <w:tcW w:w="1886" w:type="dxa"/>
            <w:tcBorders>
              <w:left w:val="single" w:sz="4" w:space="0" w:color="000000" w:themeColor="text1"/>
            </w:tcBorders>
            <w:noWrap/>
            <w:vAlign w:val="bottom"/>
          </w:tcPr>
          <w:p w14:paraId="37A2C917" w14:textId="6049BC2E" w:rsidR="007D728B" w:rsidRPr="002A065B" w:rsidRDefault="007D728B" w:rsidP="007D728B">
            <w:pPr>
              <w:spacing w:before="120"/>
              <w:jc w:val="right"/>
              <w:rPr>
                <w:rFonts w:cs="Arial"/>
                <w:b/>
                <w:bCs/>
                <w:sz w:val="19"/>
                <w:szCs w:val="19"/>
                <w:lang w:val="vi-VN"/>
              </w:rPr>
            </w:pPr>
            <w:r w:rsidRPr="002A065B">
              <w:rPr>
                <w:b/>
                <w:bCs/>
              </w:rPr>
              <w:t>58</w:t>
            </w:r>
            <w:r w:rsidR="00CA0E3B" w:rsidRPr="002A065B">
              <w:rPr>
                <w:b/>
                <w:bCs/>
              </w:rPr>
              <w:t>,</w:t>
            </w:r>
            <w:r w:rsidRPr="002A065B">
              <w:rPr>
                <w:b/>
                <w:bCs/>
              </w:rPr>
              <w:t>968</w:t>
            </w:r>
            <w:r w:rsidR="00CA0E3B" w:rsidRPr="002A065B">
              <w:rPr>
                <w:b/>
                <w:bCs/>
              </w:rPr>
              <w:t>,</w:t>
            </w:r>
            <w:r w:rsidRPr="002A065B">
              <w:rPr>
                <w:b/>
                <w:bCs/>
              </w:rPr>
              <w:t>059</w:t>
            </w:r>
            <w:r w:rsidR="00CA0E3B" w:rsidRPr="002A065B">
              <w:rPr>
                <w:b/>
                <w:bCs/>
              </w:rPr>
              <w:t>,</w:t>
            </w:r>
            <w:r w:rsidRPr="002A065B">
              <w:rPr>
                <w:b/>
                <w:bCs/>
              </w:rPr>
              <w:t>930</w:t>
            </w:r>
          </w:p>
        </w:tc>
      </w:tr>
      <w:tr w:rsidR="007D728B" w:rsidRPr="008373FE" w14:paraId="1AEC26AB" w14:textId="77777777" w:rsidTr="007D728B">
        <w:tc>
          <w:tcPr>
            <w:tcW w:w="706" w:type="dxa"/>
            <w:tcBorders>
              <w:right w:val="single" w:sz="4" w:space="0" w:color="000000" w:themeColor="text1"/>
            </w:tcBorders>
            <w:noWrap/>
          </w:tcPr>
          <w:p w14:paraId="2F9F3B49" w14:textId="2B3EF08F" w:rsidR="007D728B" w:rsidRPr="008373FE" w:rsidRDefault="007D728B" w:rsidP="007D728B">
            <w:pPr>
              <w:ind w:left="-58" w:right="-58"/>
              <w:jc w:val="center"/>
              <w:rPr>
                <w:rFonts w:cs="Arial"/>
                <w:bCs/>
                <w:sz w:val="19"/>
                <w:szCs w:val="19"/>
              </w:rPr>
            </w:pPr>
            <w:r w:rsidRPr="008373FE">
              <w:rPr>
                <w:rFonts w:cs="Arial"/>
                <w:sz w:val="19"/>
                <w:szCs w:val="19"/>
              </w:rPr>
              <w:t>03</w:t>
            </w:r>
          </w:p>
        </w:tc>
        <w:tc>
          <w:tcPr>
            <w:tcW w:w="3643" w:type="dxa"/>
            <w:tcBorders>
              <w:left w:val="single" w:sz="4" w:space="0" w:color="000000" w:themeColor="text1"/>
              <w:right w:val="single" w:sz="4" w:space="0" w:color="000000" w:themeColor="text1"/>
            </w:tcBorders>
            <w:noWrap/>
            <w:vAlign w:val="bottom"/>
          </w:tcPr>
          <w:p w14:paraId="0AB22DF9" w14:textId="778DBE2C" w:rsidR="007D728B" w:rsidRPr="008373FE" w:rsidRDefault="007D728B" w:rsidP="007D728B">
            <w:pPr>
              <w:ind w:left="302"/>
              <w:rPr>
                <w:rFonts w:cs="Arial"/>
                <w:sz w:val="19"/>
                <w:szCs w:val="19"/>
              </w:rPr>
            </w:pPr>
            <w:r w:rsidRPr="009C56E0">
              <w:rPr>
                <w:rFonts w:cs="Arial"/>
                <w:sz w:val="19"/>
                <w:szCs w:val="19"/>
                <w:lang w:val="vi-VN"/>
              </w:rPr>
              <w:t>Depreciation and amortization</w:t>
            </w:r>
          </w:p>
        </w:tc>
        <w:tc>
          <w:tcPr>
            <w:tcW w:w="775" w:type="dxa"/>
            <w:tcBorders>
              <w:left w:val="single" w:sz="4" w:space="0" w:color="000000" w:themeColor="text1"/>
              <w:right w:val="single" w:sz="4" w:space="0" w:color="000000" w:themeColor="text1"/>
            </w:tcBorders>
            <w:noWrap/>
            <w:vAlign w:val="bottom"/>
          </w:tcPr>
          <w:p w14:paraId="709A63C0"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right w:val="single" w:sz="4" w:space="0" w:color="000000" w:themeColor="text1"/>
            </w:tcBorders>
            <w:vAlign w:val="bottom"/>
          </w:tcPr>
          <w:p w14:paraId="6DF1A2BA" w14:textId="62297CD2" w:rsidR="007D728B" w:rsidRPr="003C222B" w:rsidRDefault="007D728B" w:rsidP="007D728B">
            <w:pPr>
              <w:jc w:val="right"/>
              <w:rPr>
                <w:rFonts w:cs="Arial"/>
                <w:sz w:val="19"/>
                <w:szCs w:val="19"/>
                <w:lang w:val="vi-VN"/>
              </w:rPr>
            </w:pPr>
            <w:r w:rsidRPr="00FA525D">
              <w:t>8</w:t>
            </w:r>
            <w:r w:rsidR="00CA0E3B">
              <w:t>,</w:t>
            </w:r>
            <w:r w:rsidRPr="00FA525D">
              <w:t>150</w:t>
            </w:r>
            <w:r w:rsidR="00CA0E3B">
              <w:t>,</w:t>
            </w:r>
            <w:r w:rsidRPr="00FA525D">
              <w:t>897</w:t>
            </w:r>
            <w:r w:rsidR="00CA0E3B">
              <w:t>,</w:t>
            </w:r>
            <w:r w:rsidRPr="00FA525D">
              <w:t xml:space="preserve">806 </w:t>
            </w:r>
          </w:p>
        </w:tc>
        <w:tc>
          <w:tcPr>
            <w:tcW w:w="1886" w:type="dxa"/>
            <w:tcBorders>
              <w:left w:val="single" w:sz="4" w:space="0" w:color="000000" w:themeColor="text1"/>
            </w:tcBorders>
            <w:noWrap/>
            <w:vAlign w:val="bottom"/>
          </w:tcPr>
          <w:p w14:paraId="69FC9BA6" w14:textId="2A8AEFD5" w:rsidR="007D728B" w:rsidRPr="003C222B" w:rsidRDefault="007D728B" w:rsidP="007D728B">
            <w:pPr>
              <w:jc w:val="right"/>
              <w:rPr>
                <w:rFonts w:cs="Arial"/>
                <w:sz w:val="19"/>
                <w:szCs w:val="19"/>
                <w:lang w:val="vi-VN"/>
              </w:rPr>
            </w:pPr>
            <w:r w:rsidRPr="00FA525D">
              <w:t>8</w:t>
            </w:r>
            <w:r w:rsidR="00CA0E3B">
              <w:t>,</w:t>
            </w:r>
            <w:r w:rsidRPr="00FA525D">
              <w:t>087</w:t>
            </w:r>
            <w:r w:rsidR="00CA0E3B">
              <w:t>,</w:t>
            </w:r>
            <w:r w:rsidRPr="00FA525D">
              <w:t>198</w:t>
            </w:r>
            <w:r w:rsidR="00CA0E3B">
              <w:t>,</w:t>
            </w:r>
            <w:r w:rsidRPr="00FA525D">
              <w:t xml:space="preserve">350 </w:t>
            </w:r>
          </w:p>
        </w:tc>
      </w:tr>
      <w:tr w:rsidR="007D728B" w:rsidRPr="008373FE" w14:paraId="3BC2A201" w14:textId="77777777" w:rsidTr="007D728B">
        <w:tc>
          <w:tcPr>
            <w:tcW w:w="706" w:type="dxa"/>
            <w:tcBorders>
              <w:right w:val="single" w:sz="4" w:space="0" w:color="000000" w:themeColor="text1"/>
            </w:tcBorders>
            <w:noWrap/>
          </w:tcPr>
          <w:p w14:paraId="412A8197" w14:textId="57ABF4E6" w:rsidR="007D728B" w:rsidRPr="008373FE" w:rsidRDefault="007D728B" w:rsidP="007D728B">
            <w:pPr>
              <w:ind w:left="-58" w:right="-58"/>
              <w:jc w:val="center"/>
              <w:rPr>
                <w:rFonts w:cs="Arial"/>
                <w:sz w:val="19"/>
                <w:szCs w:val="19"/>
              </w:rPr>
            </w:pPr>
            <w:r w:rsidRPr="008373FE">
              <w:rPr>
                <w:rFonts w:cs="Arial"/>
                <w:sz w:val="19"/>
                <w:szCs w:val="19"/>
              </w:rPr>
              <w:t>04</w:t>
            </w:r>
          </w:p>
        </w:tc>
        <w:tc>
          <w:tcPr>
            <w:tcW w:w="3643" w:type="dxa"/>
            <w:tcBorders>
              <w:left w:val="single" w:sz="4" w:space="0" w:color="000000" w:themeColor="text1"/>
              <w:right w:val="single" w:sz="4" w:space="0" w:color="000000" w:themeColor="text1"/>
            </w:tcBorders>
            <w:noWrap/>
            <w:vAlign w:val="bottom"/>
          </w:tcPr>
          <w:p w14:paraId="16BA609D" w14:textId="6B49A973" w:rsidR="007D728B" w:rsidRPr="008373FE" w:rsidRDefault="007D728B" w:rsidP="007D728B">
            <w:pPr>
              <w:ind w:left="302"/>
              <w:rPr>
                <w:rFonts w:cs="Arial"/>
                <w:sz w:val="19"/>
                <w:szCs w:val="19"/>
              </w:rPr>
            </w:pPr>
            <w:r w:rsidRPr="009529B1">
              <w:rPr>
                <w:rFonts w:cs="Arial"/>
                <w:sz w:val="19"/>
                <w:szCs w:val="19"/>
              </w:rPr>
              <w:t>Provisions</w:t>
            </w:r>
          </w:p>
        </w:tc>
        <w:tc>
          <w:tcPr>
            <w:tcW w:w="775" w:type="dxa"/>
            <w:tcBorders>
              <w:left w:val="single" w:sz="4" w:space="0" w:color="000000" w:themeColor="text1"/>
              <w:right w:val="single" w:sz="4" w:space="0" w:color="000000" w:themeColor="text1"/>
            </w:tcBorders>
            <w:noWrap/>
            <w:vAlign w:val="bottom"/>
          </w:tcPr>
          <w:p w14:paraId="071929F3"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right w:val="single" w:sz="4" w:space="0" w:color="000000" w:themeColor="text1"/>
            </w:tcBorders>
            <w:vAlign w:val="bottom"/>
          </w:tcPr>
          <w:p w14:paraId="6B6B0A9E" w14:textId="4BA97F60" w:rsidR="007D728B" w:rsidRPr="003C222B" w:rsidRDefault="007D728B" w:rsidP="007D728B">
            <w:pPr>
              <w:jc w:val="right"/>
              <w:rPr>
                <w:rFonts w:cs="Arial"/>
                <w:sz w:val="19"/>
                <w:szCs w:val="19"/>
              </w:rPr>
            </w:pPr>
            <w:r w:rsidRPr="00FA525D">
              <w:t xml:space="preserve">- </w:t>
            </w:r>
          </w:p>
        </w:tc>
        <w:tc>
          <w:tcPr>
            <w:tcW w:w="1886" w:type="dxa"/>
            <w:tcBorders>
              <w:left w:val="single" w:sz="4" w:space="0" w:color="000000" w:themeColor="text1"/>
            </w:tcBorders>
            <w:noWrap/>
            <w:vAlign w:val="bottom"/>
          </w:tcPr>
          <w:p w14:paraId="04834A36" w14:textId="4D50A42F" w:rsidR="007D728B" w:rsidRPr="008373FE" w:rsidRDefault="007D728B" w:rsidP="007D728B">
            <w:pPr>
              <w:jc w:val="right"/>
              <w:rPr>
                <w:rFonts w:cs="Arial"/>
                <w:sz w:val="19"/>
                <w:szCs w:val="19"/>
              </w:rPr>
            </w:pPr>
            <w:r w:rsidRPr="00FA525D">
              <w:t xml:space="preserve">- </w:t>
            </w:r>
          </w:p>
        </w:tc>
      </w:tr>
      <w:tr w:rsidR="007D728B" w:rsidRPr="008373FE" w14:paraId="62C0D2E0" w14:textId="77777777" w:rsidTr="007D728B">
        <w:tc>
          <w:tcPr>
            <w:tcW w:w="706" w:type="dxa"/>
            <w:tcBorders>
              <w:right w:val="single" w:sz="4" w:space="0" w:color="000000" w:themeColor="text1"/>
            </w:tcBorders>
            <w:noWrap/>
          </w:tcPr>
          <w:p w14:paraId="3BECBEA4" w14:textId="150189A6" w:rsidR="007D728B" w:rsidRPr="008373FE" w:rsidRDefault="007D728B" w:rsidP="007D728B">
            <w:pPr>
              <w:ind w:left="-58" w:right="-58"/>
              <w:jc w:val="center"/>
              <w:rPr>
                <w:rFonts w:cs="Arial"/>
                <w:sz w:val="19"/>
                <w:szCs w:val="19"/>
              </w:rPr>
            </w:pPr>
            <w:r w:rsidRPr="008373FE">
              <w:rPr>
                <w:rFonts w:cs="Arial"/>
                <w:sz w:val="19"/>
                <w:szCs w:val="19"/>
              </w:rPr>
              <w:t>05</w:t>
            </w:r>
          </w:p>
        </w:tc>
        <w:tc>
          <w:tcPr>
            <w:tcW w:w="3643" w:type="dxa"/>
            <w:tcBorders>
              <w:left w:val="single" w:sz="4" w:space="0" w:color="000000" w:themeColor="text1"/>
              <w:right w:val="single" w:sz="4" w:space="0" w:color="000000" w:themeColor="text1"/>
            </w:tcBorders>
            <w:noWrap/>
            <w:vAlign w:val="bottom"/>
          </w:tcPr>
          <w:p w14:paraId="045A70F3" w14:textId="66A36907" w:rsidR="007D728B" w:rsidRPr="008373FE" w:rsidRDefault="007D728B" w:rsidP="007D728B">
            <w:pPr>
              <w:ind w:left="302"/>
              <w:jc w:val="left"/>
              <w:rPr>
                <w:rFonts w:cs="Arial"/>
                <w:sz w:val="19"/>
                <w:szCs w:val="19"/>
              </w:rPr>
            </w:pPr>
            <w:r w:rsidRPr="00B014A9">
              <w:rPr>
                <w:rFonts w:cs="Arial"/>
                <w:sz w:val="19"/>
                <w:szCs w:val="19"/>
              </w:rPr>
              <w:t>(Gain)/Loss from exchange rate difference</w:t>
            </w:r>
          </w:p>
        </w:tc>
        <w:tc>
          <w:tcPr>
            <w:tcW w:w="775" w:type="dxa"/>
            <w:tcBorders>
              <w:left w:val="single" w:sz="4" w:space="0" w:color="000000" w:themeColor="text1"/>
              <w:right w:val="single" w:sz="4" w:space="0" w:color="000000" w:themeColor="text1"/>
            </w:tcBorders>
            <w:noWrap/>
            <w:vAlign w:val="bottom"/>
          </w:tcPr>
          <w:p w14:paraId="1CABC5D0"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right w:val="single" w:sz="4" w:space="0" w:color="000000" w:themeColor="text1"/>
            </w:tcBorders>
            <w:vAlign w:val="bottom"/>
          </w:tcPr>
          <w:p w14:paraId="04D0847F" w14:textId="7480BBF4" w:rsidR="007D728B" w:rsidRPr="008373FE" w:rsidRDefault="007D728B" w:rsidP="007D728B">
            <w:pPr>
              <w:jc w:val="right"/>
              <w:rPr>
                <w:rFonts w:cs="Arial"/>
                <w:sz w:val="19"/>
                <w:szCs w:val="19"/>
              </w:rPr>
            </w:pPr>
            <w:r w:rsidRPr="00FA525D">
              <w:t>(4</w:t>
            </w:r>
            <w:r w:rsidR="00CA0E3B">
              <w:t>,</w:t>
            </w:r>
            <w:r w:rsidRPr="00FA525D">
              <w:t>870</w:t>
            </w:r>
            <w:r w:rsidR="00CA0E3B">
              <w:t>,</w:t>
            </w:r>
            <w:r w:rsidRPr="00FA525D">
              <w:t xml:space="preserve">127) </w:t>
            </w:r>
          </w:p>
        </w:tc>
        <w:tc>
          <w:tcPr>
            <w:tcW w:w="1886" w:type="dxa"/>
            <w:tcBorders>
              <w:left w:val="single" w:sz="4" w:space="0" w:color="000000" w:themeColor="text1"/>
            </w:tcBorders>
            <w:noWrap/>
            <w:vAlign w:val="bottom"/>
          </w:tcPr>
          <w:p w14:paraId="4E77BE00" w14:textId="344EF346" w:rsidR="007D728B" w:rsidRPr="008373FE" w:rsidDel="006E6ABD" w:rsidRDefault="007D728B" w:rsidP="007D728B">
            <w:pPr>
              <w:jc w:val="right"/>
              <w:rPr>
                <w:rFonts w:cs="Arial"/>
                <w:sz w:val="19"/>
                <w:szCs w:val="19"/>
              </w:rPr>
            </w:pPr>
            <w:r w:rsidRPr="00FA525D">
              <w:t>(3</w:t>
            </w:r>
            <w:r w:rsidR="00CA0E3B">
              <w:t>,</w:t>
            </w:r>
            <w:r w:rsidRPr="00FA525D">
              <w:t>219</w:t>
            </w:r>
            <w:r w:rsidR="00CA0E3B">
              <w:t>,</w:t>
            </w:r>
            <w:r w:rsidRPr="00FA525D">
              <w:t xml:space="preserve">534) </w:t>
            </w:r>
          </w:p>
        </w:tc>
      </w:tr>
      <w:tr w:rsidR="007D728B" w:rsidRPr="008373FE" w14:paraId="300973F6" w14:textId="77777777" w:rsidTr="007D728B">
        <w:tc>
          <w:tcPr>
            <w:tcW w:w="706" w:type="dxa"/>
            <w:tcBorders>
              <w:right w:val="single" w:sz="4" w:space="0" w:color="000000" w:themeColor="text1"/>
            </w:tcBorders>
            <w:noWrap/>
          </w:tcPr>
          <w:p w14:paraId="70942F28" w14:textId="7FAF4E03" w:rsidR="007D728B" w:rsidRPr="008373FE" w:rsidRDefault="007D728B" w:rsidP="007D728B">
            <w:pPr>
              <w:ind w:left="-58" w:right="-58"/>
              <w:jc w:val="center"/>
              <w:rPr>
                <w:rFonts w:cs="Arial"/>
                <w:bCs/>
                <w:sz w:val="19"/>
                <w:szCs w:val="19"/>
              </w:rPr>
            </w:pPr>
            <w:r w:rsidRPr="008373FE">
              <w:rPr>
                <w:rFonts w:cs="Arial"/>
                <w:sz w:val="19"/>
                <w:szCs w:val="19"/>
              </w:rPr>
              <w:t>06</w:t>
            </w:r>
          </w:p>
        </w:tc>
        <w:tc>
          <w:tcPr>
            <w:tcW w:w="3643" w:type="dxa"/>
            <w:tcBorders>
              <w:left w:val="single" w:sz="4" w:space="0" w:color="000000" w:themeColor="text1"/>
              <w:right w:val="single" w:sz="4" w:space="0" w:color="000000" w:themeColor="text1"/>
            </w:tcBorders>
            <w:noWrap/>
            <w:vAlign w:val="bottom"/>
          </w:tcPr>
          <w:p w14:paraId="7FE204D8" w14:textId="4EA150FD" w:rsidR="007D728B" w:rsidRPr="008373FE" w:rsidRDefault="007D728B" w:rsidP="007D728B">
            <w:pPr>
              <w:ind w:left="302"/>
              <w:rPr>
                <w:rFonts w:cs="Arial"/>
                <w:sz w:val="19"/>
                <w:szCs w:val="19"/>
                <w:lang w:val="vi-VN"/>
              </w:rPr>
            </w:pPr>
            <w:r w:rsidRPr="000F2411">
              <w:rPr>
                <w:rFonts w:cs="Arial"/>
                <w:sz w:val="19"/>
                <w:szCs w:val="19"/>
                <w:lang w:val="vi-VN"/>
              </w:rPr>
              <w:t>Interest expenses from borrowings</w:t>
            </w:r>
          </w:p>
        </w:tc>
        <w:tc>
          <w:tcPr>
            <w:tcW w:w="775" w:type="dxa"/>
            <w:tcBorders>
              <w:left w:val="single" w:sz="4" w:space="0" w:color="000000" w:themeColor="text1"/>
              <w:right w:val="single" w:sz="4" w:space="0" w:color="000000" w:themeColor="text1"/>
            </w:tcBorders>
            <w:noWrap/>
            <w:vAlign w:val="bottom"/>
          </w:tcPr>
          <w:p w14:paraId="1CE0C14A"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right w:val="single" w:sz="4" w:space="0" w:color="000000" w:themeColor="text1"/>
            </w:tcBorders>
            <w:vAlign w:val="bottom"/>
          </w:tcPr>
          <w:p w14:paraId="7564003B" w14:textId="2DD478F7" w:rsidR="007D728B" w:rsidRPr="003C222B" w:rsidRDefault="007D728B" w:rsidP="007D728B">
            <w:pPr>
              <w:jc w:val="right"/>
              <w:rPr>
                <w:rFonts w:cs="Arial"/>
                <w:sz w:val="19"/>
                <w:szCs w:val="19"/>
                <w:lang w:val="vi-VN"/>
              </w:rPr>
            </w:pPr>
            <w:r w:rsidRPr="00FA525D">
              <w:t>48</w:t>
            </w:r>
            <w:r w:rsidR="00CA0E3B">
              <w:t>,</w:t>
            </w:r>
            <w:r w:rsidRPr="00FA525D">
              <w:t>894</w:t>
            </w:r>
            <w:r w:rsidR="00CA0E3B">
              <w:t>,</w:t>
            </w:r>
            <w:r w:rsidRPr="00FA525D">
              <w:t>306</w:t>
            </w:r>
            <w:r w:rsidR="00CA0E3B">
              <w:t>,</w:t>
            </w:r>
            <w:r w:rsidRPr="00FA525D">
              <w:t>175</w:t>
            </w:r>
          </w:p>
        </w:tc>
        <w:tc>
          <w:tcPr>
            <w:tcW w:w="1886" w:type="dxa"/>
            <w:tcBorders>
              <w:left w:val="single" w:sz="4" w:space="0" w:color="000000" w:themeColor="text1"/>
            </w:tcBorders>
            <w:noWrap/>
            <w:vAlign w:val="bottom"/>
          </w:tcPr>
          <w:p w14:paraId="1869DB29" w14:textId="12379711" w:rsidR="007D728B" w:rsidRPr="003C222B" w:rsidRDefault="007D728B" w:rsidP="007D728B">
            <w:pPr>
              <w:jc w:val="right"/>
              <w:rPr>
                <w:rFonts w:cs="Arial"/>
                <w:sz w:val="19"/>
                <w:szCs w:val="19"/>
                <w:lang w:val="vi-VN"/>
              </w:rPr>
            </w:pPr>
            <w:r w:rsidRPr="00FA525D">
              <w:t>45</w:t>
            </w:r>
            <w:r w:rsidR="00CA0E3B">
              <w:t>,</w:t>
            </w:r>
            <w:r w:rsidRPr="00FA525D">
              <w:t>321</w:t>
            </w:r>
            <w:r w:rsidR="00CA0E3B">
              <w:t>,</w:t>
            </w:r>
            <w:r w:rsidRPr="00FA525D">
              <w:t>583</w:t>
            </w:r>
            <w:r w:rsidR="00CA0E3B">
              <w:t>,</w:t>
            </w:r>
            <w:r w:rsidRPr="00FA525D">
              <w:t>468</w:t>
            </w:r>
          </w:p>
        </w:tc>
      </w:tr>
      <w:tr w:rsidR="007D728B" w:rsidRPr="008373FE" w14:paraId="16909661" w14:textId="77777777" w:rsidTr="007D728B">
        <w:tc>
          <w:tcPr>
            <w:tcW w:w="706" w:type="dxa"/>
            <w:tcBorders>
              <w:right w:val="single" w:sz="4" w:space="0" w:color="000000" w:themeColor="text1"/>
            </w:tcBorders>
            <w:noWrap/>
          </w:tcPr>
          <w:p w14:paraId="61092B85" w14:textId="3391036D" w:rsidR="007D728B" w:rsidRPr="008373FE" w:rsidRDefault="007D728B" w:rsidP="007D728B">
            <w:pPr>
              <w:ind w:left="-58" w:right="-58"/>
              <w:jc w:val="center"/>
              <w:rPr>
                <w:rFonts w:cs="Arial"/>
                <w:bCs/>
                <w:sz w:val="19"/>
                <w:szCs w:val="19"/>
              </w:rPr>
            </w:pPr>
            <w:r w:rsidRPr="008373FE">
              <w:rPr>
                <w:rFonts w:cs="Arial"/>
                <w:bCs/>
                <w:sz w:val="19"/>
                <w:szCs w:val="19"/>
              </w:rPr>
              <w:t>08</w:t>
            </w:r>
          </w:p>
        </w:tc>
        <w:tc>
          <w:tcPr>
            <w:tcW w:w="3643" w:type="dxa"/>
            <w:tcBorders>
              <w:left w:val="single" w:sz="4" w:space="0" w:color="000000" w:themeColor="text1"/>
              <w:right w:val="single" w:sz="4" w:space="0" w:color="000000" w:themeColor="text1"/>
            </w:tcBorders>
            <w:noWrap/>
            <w:vAlign w:val="bottom"/>
          </w:tcPr>
          <w:p w14:paraId="37D76A01" w14:textId="0615CDAE" w:rsidR="007D728B" w:rsidRPr="008373FE" w:rsidRDefault="007D728B" w:rsidP="007D728B">
            <w:pPr>
              <w:ind w:left="302"/>
              <w:rPr>
                <w:rFonts w:cs="Arial"/>
                <w:sz w:val="19"/>
                <w:szCs w:val="19"/>
              </w:rPr>
            </w:pPr>
            <w:r w:rsidRPr="000942F7">
              <w:rPr>
                <w:rFonts w:cs="Arial"/>
                <w:sz w:val="19"/>
                <w:szCs w:val="19"/>
                <w:lang w:val="vi-VN"/>
              </w:rPr>
              <w:t>Accrued interest</w:t>
            </w:r>
          </w:p>
        </w:tc>
        <w:tc>
          <w:tcPr>
            <w:tcW w:w="775" w:type="dxa"/>
            <w:tcBorders>
              <w:left w:val="single" w:sz="4" w:space="0" w:color="000000" w:themeColor="text1"/>
              <w:right w:val="single" w:sz="4" w:space="0" w:color="000000" w:themeColor="text1"/>
            </w:tcBorders>
            <w:noWrap/>
            <w:vAlign w:val="bottom"/>
          </w:tcPr>
          <w:p w14:paraId="5E0A764A"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right w:val="single" w:sz="4" w:space="0" w:color="000000" w:themeColor="text1"/>
            </w:tcBorders>
            <w:vAlign w:val="bottom"/>
          </w:tcPr>
          <w:p w14:paraId="5268CB20" w14:textId="47C96A64" w:rsidR="007D728B" w:rsidRPr="003C222B" w:rsidRDefault="007D728B" w:rsidP="007D728B">
            <w:pPr>
              <w:jc w:val="right"/>
              <w:rPr>
                <w:rFonts w:cs="Arial"/>
                <w:sz w:val="19"/>
                <w:szCs w:val="19"/>
                <w:lang w:val="vi-VN"/>
              </w:rPr>
            </w:pPr>
            <w:r w:rsidRPr="00FA525D">
              <w:t>(4</w:t>
            </w:r>
            <w:r w:rsidR="00CA0E3B">
              <w:t>,</w:t>
            </w:r>
            <w:r w:rsidRPr="00FA525D">
              <w:t>872</w:t>
            </w:r>
            <w:r w:rsidR="00CA0E3B">
              <w:t>,</w:t>
            </w:r>
            <w:r w:rsidRPr="00FA525D">
              <w:t>381</w:t>
            </w:r>
            <w:r w:rsidR="00CA0E3B">
              <w:t>,</w:t>
            </w:r>
            <w:r w:rsidRPr="00FA525D">
              <w:t xml:space="preserve">124) </w:t>
            </w:r>
          </w:p>
        </w:tc>
        <w:tc>
          <w:tcPr>
            <w:tcW w:w="1886" w:type="dxa"/>
            <w:tcBorders>
              <w:left w:val="single" w:sz="4" w:space="0" w:color="000000" w:themeColor="text1"/>
            </w:tcBorders>
            <w:noWrap/>
            <w:vAlign w:val="bottom"/>
          </w:tcPr>
          <w:p w14:paraId="19456717" w14:textId="7B30FA26" w:rsidR="007D728B" w:rsidRPr="003C222B" w:rsidRDefault="007D728B" w:rsidP="007D728B">
            <w:pPr>
              <w:jc w:val="right"/>
              <w:rPr>
                <w:rFonts w:cs="Arial"/>
                <w:sz w:val="19"/>
                <w:szCs w:val="19"/>
                <w:lang w:val="vi-VN"/>
              </w:rPr>
            </w:pPr>
            <w:r w:rsidRPr="00FA525D">
              <w:t>(5</w:t>
            </w:r>
            <w:r w:rsidR="00CA0E3B">
              <w:t>,</w:t>
            </w:r>
            <w:r w:rsidRPr="00FA525D">
              <w:t>103</w:t>
            </w:r>
            <w:r w:rsidR="00CA0E3B">
              <w:t>,</w:t>
            </w:r>
            <w:r w:rsidRPr="00FA525D">
              <w:t>853</w:t>
            </w:r>
            <w:r w:rsidR="00CA0E3B">
              <w:t>,</w:t>
            </w:r>
            <w:r w:rsidRPr="00FA525D">
              <w:t xml:space="preserve">767) </w:t>
            </w:r>
          </w:p>
        </w:tc>
      </w:tr>
      <w:tr w:rsidR="007D728B" w:rsidRPr="008373FE" w14:paraId="349FFB22" w14:textId="77777777" w:rsidTr="007D728B">
        <w:tc>
          <w:tcPr>
            <w:tcW w:w="706" w:type="dxa"/>
            <w:tcBorders>
              <w:right w:val="single" w:sz="4" w:space="0" w:color="000000" w:themeColor="text1"/>
            </w:tcBorders>
            <w:noWrap/>
          </w:tcPr>
          <w:p w14:paraId="47C02B83" w14:textId="073C18D7" w:rsidR="007D728B" w:rsidRPr="008373FE" w:rsidRDefault="007D728B" w:rsidP="007D728B">
            <w:pPr>
              <w:ind w:left="-58" w:right="-58"/>
              <w:jc w:val="center"/>
              <w:rPr>
                <w:rFonts w:cs="Arial"/>
                <w:bCs/>
                <w:sz w:val="19"/>
                <w:szCs w:val="19"/>
              </w:rPr>
            </w:pPr>
            <w:r>
              <w:rPr>
                <w:rFonts w:cs="Arial"/>
                <w:bCs/>
                <w:sz w:val="19"/>
                <w:szCs w:val="19"/>
              </w:rPr>
              <w:t>09</w:t>
            </w:r>
          </w:p>
        </w:tc>
        <w:tc>
          <w:tcPr>
            <w:tcW w:w="3643" w:type="dxa"/>
            <w:tcBorders>
              <w:left w:val="single" w:sz="4" w:space="0" w:color="000000" w:themeColor="text1"/>
              <w:right w:val="single" w:sz="4" w:space="0" w:color="000000" w:themeColor="text1"/>
            </w:tcBorders>
            <w:noWrap/>
            <w:vAlign w:val="bottom"/>
          </w:tcPr>
          <w:p w14:paraId="32520C58" w14:textId="1271E849" w:rsidR="007D728B" w:rsidRPr="008373FE" w:rsidRDefault="007D728B" w:rsidP="007D728B">
            <w:pPr>
              <w:ind w:left="302"/>
              <w:rPr>
                <w:rFonts w:cs="Arial"/>
                <w:sz w:val="19"/>
                <w:szCs w:val="19"/>
                <w:lang w:val="vi-VN"/>
              </w:rPr>
            </w:pPr>
            <w:r w:rsidRPr="00BE0409">
              <w:rPr>
                <w:rFonts w:cs="Arial"/>
                <w:sz w:val="19"/>
                <w:szCs w:val="19"/>
                <w:lang w:val="vi-VN"/>
              </w:rPr>
              <w:t>Others</w:t>
            </w:r>
          </w:p>
        </w:tc>
        <w:tc>
          <w:tcPr>
            <w:tcW w:w="775" w:type="dxa"/>
            <w:tcBorders>
              <w:left w:val="single" w:sz="4" w:space="0" w:color="000000" w:themeColor="text1"/>
              <w:right w:val="single" w:sz="4" w:space="0" w:color="000000" w:themeColor="text1"/>
            </w:tcBorders>
            <w:noWrap/>
            <w:vAlign w:val="bottom"/>
          </w:tcPr>
          <w:p w14:paraId="10B057F3" w14:textId="77777777" w:rsidR="007D728B" w:rsidRPr="008373FE" w:rsidRDefault="007D728B" w:rsidP="007D728B">
            <w:pPr>
              <w:ind w:left="-58" w:right="-58"/>
              <w:jc w:val="center"/>
              <w:rPr>
                <w:rFonts w:cs="Arial"/>
                <w:sz w:val="19"/>
                <w:szCs w:val="19"/>
                <w:lang w:val="vi-VN"/>
              </w:rPr>
            </w:pPr>
          </w:p>
        </w:tc>
        <w:tc>
          <w:tcPr>
            <w:tcW w:w="1886" w:type="dxa"/>
            <w:tcBorders>
              <w:left w:val="single" w:sz="4" w:space="0" w:color="000000" w:themeColor="text1"/>
              <w:right w:val="single" w:sz="4" w:space="0" w:color="000000" w:themeColor="text1"/>
            </w:tcBorders>
            <w:vAlign w:val="bottom"/>
          </w:tcPr>
          <w:p w14:paraId="582ABFCC" w14:textId="298C604E" w:rsidR="007D728B" w:rsidRPr="008373FE" w:rsidRDefault="007D728B" w:rsidP="007D728B">
            <w:pPr>
              <w:jc w:val="right"/>
              <w:rPr>
                <w:rFonts w:cs="Arial"/>
                <w:sz w:val="19"/>
                <w:szCs w:val="19"/>
              </w:rPr>
            </w:pPr>
            <w:r w:rsidRPr="00FA525D">
              <w:t>5</w:t>
            </w:r>
            <w:r w:rsidR="00CA0E3B">
              <w:t>,</w:t>
            </w:r>
            <w:r w:rsidRPr="00FA525D">
              <w:t>866</w:t>
            </w:r>
            <w:r w:rsidR="00CA0E3B">
              <w:t>,</w:t>
            </w:r>
            <w:r w:rsidRPr="00FA525D">
              <w:t>401</w:t>
            </w:r>
            <w:r w:rsidR="00CA0E3B">
              <w:t>,</w:t>
            </w:r>
            <w:r w:rsidRPr="00FA525D">
              <w:t xml:space="preserve">387 </w:t>
            </w:r>
          </w:p>
        </w:tc>
        <w:tc>
          <w:tcPr>
            <w:tcW w:w="1886" w:type="dxa"/>
            <w:tcBorders>
              <w:left w:val="single" w:sz="4" w:space="0" w:color="000000" w:themeColor="text1"/>
            </w:tcBorders>
            <w:noWrap/>
            <w:vAlign w:val="bottom"/>
          </w:tcPr>
          <w:p w14:paraId="7B0CC9A0" w14:textId="7315FF4C" w:rsidR="007D728B" w:rsidRPr="008373FE" w:rsidRDefault="007D728B" w:rsidP="007D728B">
            <w:pPr>
              <w:jc w:val="right"/>
              <w:rPr>
                <w:rFonts w:cs="Arial"/>
                <w:sz w:val="19"/>
                <w:szCs w:val="19"/>
              </w:rPr>
            </w:pPr>
            <w:r w:rsidRPr="00FA525D">
              <w:t>10</w:t>
            </w:r>
            <w:r w:rsidR="00CA0E3B">
              <w:t>,</w:t>
            </w:r>
            <w:r w:rsidRPr="00FA525D">
              <w:t>666</w:t>
            </w:r>
            <w:r w:rsidR="00CA0E3B">
              <w:t>,</w:t>
            </w:r>
            <w:r w:rsidRPr="00FA525D">
              <w:t>351</w:t>
            </w:r>
            <w:r w:rsidR="00CA0E3B">
              <w:t>,</w:t>
            </w:r>
            <w:r w:rsidRPr="00FA525D">
              <w:t xml:space="preserve">413 </w:t>
            </w:r>
          </w:p>
        </w:tc>
      </w:tr>
      <w:tr w:rsidR="007D728B" w:rsidRPr="008373FE" w14:paraId="6446C879" w14:textId="77777777" w:rsidTr="007D728B">
        <w:tc>
          <w:tcPr>
            <w:tcW w:w="706" w:type="dxa"/>
            <w:tcBorders>
              <w:right w:val="single" w:sz="4" w:space="0" w:color="000000" w:themeColor="text1"/>
            </w:tcBorders>
            <w:noWrap/>
          </w:tcPr>
          <w:p w14:paraId="43E5C37B" w14:textId="6EC1E41F" w:rsidR="007D728B" w:rsidRPr="008373FE" w:rsidRDefault="007D728B" w:rsidP="007D728B">
            <w:pPr>
              <w:spacing w:before="120"/>
              <w:ind w:left="-58" w:right="-58"/>
              <w:jc w:val="center"/>
              <w:rPr>
                <w:rFonts w:cs="Arial"/>
                <w:bCs/>
                <w:sz w:val="19"/>
                <w:szCs w:val="19"/>
              </w:rPr>
            </w:pPr>
            <w:r w:rsidRPr="008373FE">
              <w:rPr>
                <w:rFonts w:cs="Arial"/>
                <w:b/>
                <w:bCs/>
                <w:sz w:val="19"/>
                <w:szCs w:val="19"/>
              </w:rPr>
              <w:t>10</w:t>
            </w:r>
          </w:p>
        </w:tc>
        <w:tc>
          <w:tcPr>
            <w:tcW w:w="3643" w:type="dxa"/>
            <w:tcBorders>
              <w:left w:val="single" w:sz="4" w:space="0" w:color="000000" w:themeColor="text1"/>
              <w:right w:val="single" w:sz="4" w:space="0" w:color="000000" w:themeColor="text1"/>
            </w:tcBorders>
            <w:noWrap/>
            <w:vAlign w:val="bottom"/>
          </w:tcPr>
          <w:p w14:paraId="60892105" w14:textId="6C5AFC88" w:rsidR="007D728B" w:rsidRPr="008373FE" w:rsidRDefault="007D728B" w:rsidP="007D728B">
            <w:pPr>
              <w:spacing w:before="120"/>
              <w:ind w:left="302" w:hanging="360"/>
              <w:jc w:val="left"/>
              <w:rPr>
                <w:rFonts w:cs="Arial"/>
                <w:sz w:val="19"/>
                <w:szCs w:val="19"/>
                <w:lang w:val="vi-VN"/>
              </w:rPr>
            </w:pPr>
            <w:r w:rsidRPr="008373FE">
              <w:rPr>
                <w:rFonts w:cs="Arial"/>
                <w:b/>
                <w:bCs/>
                <w:sz w:val="19"/>
                <w:szCs w:val="19"/>
              </w:rPr>
              <w:t>3.</w:t>
            </w:r>
            <w:r w:rsidRPr="008373FE">
              <w:rPr>
                <w:rFonts w:cs="Arial"/>
                <w:b/>
                <w:bCs/>
                <w:sz w:val="19"/>
                <w:szCs w:val="19"/>
              </w:rPr>
              <w:tab/>
            </w:r>
            <w:r w:rsidRPr="00F809CE">
              <w:rPr>
                <w:rFonts w:cs="Arial"/>
                <w:b/>
                <w:bCs/>
                <w:sz w:val="19"/>
                <w:szCs w:val="19"/>
              </w:rPr>
              <w:t>Increase in non-monetary expenses</w:t>
            </w:r>
          </w:p>
        </w:tc>
        <w:tc>
          <w:tcPr>
            <w:tcW w:w="775" w:type="dxa"/>
            <w:tcBorders>
              <w:left w:val="single" w:sz="4" w:space="0" w:color="000000" w:themeColor="text1"/>
              <w:right w:val="single" w:sz="4" w:space="0" w:color="000000" w:themeColor="text1"/>
            </w:tcBorders>
            <w:noWrap/>
            <w:vAlign w:val="bottom"/>
          </w:tcPr>
          <w:p w14:paraId="07C4A6C5" w14:textId="77777777" w:rsidR="007D728B" w:rsidRPr="003C222B" w:rsidRDefault="007D728B" w:rsidP="007D728B">
            <w:pPr>
              <w:spacing w:before="120"/>
              <w:ind w:left="-58" w:right="-58"/>
              <w:jc w:val="center"/>
              <w:rPr>
                <w:rFonts w:cs="Arial"/>
                <w:sz w:val="19"/>
                <w:szCs w:val="19"/>
                <w:lang w:val="vi-VN"/>
              </w:rPr>
            </w:pPr>
          </w:p>
        </w:tc>
        <w:tc>
          <w:tcPr>
            <w:tcW w:w="1886" w:type="dxa"/>
            <w:tcBorders>
              <w:left w:val="single" w:sz="4" w:space="0" w:color="000000" w:themeColor="text1"/>
              <w:right w:val="single" w:sz="4" w:space="0" w:color="000000" w:themeColor="text1"/>
            </w:tcBorders>
            <w:vAlign w:val="bottom"/>
          </w:tcPr>
          <w:p w14:paraId="1E3E80E7" w14:textId="78072F2E" w:rsidR="007D728B" w:rsidRPr="005F5F8B" w:rsidRDefault="007D728B" w:rsidP="007D728B">
            <w:pPr>
              <w:spacing w:before="120"/>
              <w:jc w:val="right"/>
              <w:rPr>
                <w:rFonts w:cs="Arial"/>
                <w:b/>
                <w:bCs/>
                <w:sz w:val="19"/>
                <w:szCs w:val="19"/>
                <w:lang w:val="vi-VN"/>
              </w:rPr>
            </w:pPr>
            <w:r w:rsidRPr="005F5F8B">
              <w:rPr>
                <w:b/>
                <w:bCs/>
              </w:rPr>
              <w:t>464</w:t>
            </w:r>
            <w:r w:rsidR="00CA0E3B" w:rsidRPr="005F5F8B">
              <w:rPr>
                <w:b/>
                <w:bCs/>
              </w:rPr>
              <w:t>,</w:t>
            </w:r>
            <w:r w:rsidRPr="005F5F8B">
              <w:rPr>
                <w:b/>
                <w:bCs/>
              </w:rPr>
              <w:t>414</w:t>
            </w:r>
            <w:r w:rsidR="00CA0E3B" w:rsidRPr="005F5F8B">
              <w:rPr>
                <w:b/>
                <w:bCs/>
              </w:rPr>
              <w:t>,</w:t>
            </w:r>
            <w:r w:rsidRPr="005F5F8B">
              <w:rPr>
                <w:b/>
                <w:bCs/>
              </w:rPr>
              <w:t>217</w:t>
            </w:r>
          </w:p>
        </w:tc>
        <w:tc>
          <w:tcPr>
            <w:tcW w:w="1886" w:type="dxa"/>
            <w:tcBorders>
              <w:left w:val="single" w:sz="4" w:space="0" w:color="000000" w:themeColor="text1"/>
            </w:tcBorders>
            <w:noWrap/>
            <w:vAlign w:val="bottom"/>
          </w:tcPr>
          <w:p w14:paraId="5EE3CD45" w14:textId="3725972A" w:rsidR="007D728B" w:rsidRPr="005F5F8B" w:rsidRDefault="007D728B" w:rsidP="007D728B">
            <w:pPr>
              <w:spacing w:before="120"/>
              <w:jc w:val="right"/>
              <w:rPr>
                <w:rFonts w:cs="Arial"/>
                <w:b/>
                <w:bCs/>
                <w:sz w:val="19"/>
                <w:szCs w:val="19"/>
                <w:lang w:val="vi-VN"/>
              </w:rPr>
            </w:pPr>
            <w:r w:rsidRPr="005F5F8B">
              <w:rPr>
                <w:b/>
                <w:bCs/>
              </w:rPr>
              <w:t>217</w:t>
            </w:r>
            <w:r w:rsidR="00CA0E3B" w:rsidRPr="005F5F8B">
              <w:rPr>
                <w:b/>
                <w:bCs/>
              </w:rPr>
              <w:t>,</w:t>
            </w:r>
            <w:r w:rsidRPr="005F5F8B">
              <w:rPr>
                <w:b/>
                <w:bCs/>
              </w:rPr>
              <w:t>872</w:t>
            </w:r>
            <w:r w:rsidR="00CA0E3B" w:rsidRPr="005F5F8B">
              <w:rPr>
                <w:b/>
                <w:bCs/>
              </w:rPr>
              <w:t>,</w:t>
            </w:r>
            <w:r w:rsidRPr="005F5F8B">
              <w:rPr>
                <w:b/>
                <w:bCs/>
              </w:rPr>
              <w:t>169</w:t>
            </w:r>
          </w:p>
        </w:tc>
      </w:tr>
      <w:tr w:rsidR="007D728B" w:rsidRPr="008373FE" w14:paraId="2F605F12" w14:textId="77777777" w:rsidTr="007D728B">
        <w:tc>
          <w:tcPr>
            <w:tcW w:w="706" w:type="dxa"/>
            <w:tcBorders>
              <w:right w:val="single" w:sz="4" w:space="0" w:color="000000" w:themeColor="text1"/>
            </w:tcBorders>
            <w:noWrap/>
          </w:tcPr>
          <w:p w14:paraId="0A85C631" w14:textId="7153EC97" w:rsidR="007D728B" w:rsidRPr="008373FE" w:rsidRDefault="007D728B" w:rsidP="007D728B">
            <w:pPr>
              <w:ind w:left="-58" w:right="-58"/>
              <w:jc w:val="center"/>
              <w:rPr>
                <w:rFonts w:cs="Arial"/>
                <w:bCs/>
                <w:sz w:val="19"/>
                <w:szCs w:val="19"/>
              </w:rPr>
            </w:pPr>
            <w:r w:rsidRPr="008373FE">
              <w:rPr>
                <w:rFonts w:cs="Arial"/>
                <w:bCs/>
                <w:sz w:val="19"/>
                <w:szCs w:val="19"/>
              </w:rPr>
              <w:t>11</w:t>
            </w:r>
          </w:p>
        </w:tc>
        <w:tc>
          <w:tcPr>
            <w:tcW w:w="3643" w:type="dxa"/>
            <w:tcBorders>
              <w:left w:val="single" w:sz="4" w:space="0" w:color="000000" w:themeColor="text1"/>
              <w:right w:val="single" w:sz="4" w:space="0" w:color="000000" w:themeColor="text1"/>
            </w:tcBorders>
            <w:noWrap/>
            <w:vAlign w:val="bottom"/>
          </w:tcPr>
          <w:p w14:paraId="4910FF6C" w14:textId="0A685107" w:rsidR="007D728B" w:rsidRPr="008373FE" w:rsidRDefault="007D728B" w:rsidP="007D728B">
            <w:pPr>
              <w:ind w:left="302"/>
              <w:jc w:val="left"/>
              <w:rPr>
                <w:rFonts w:cs="Arial"/>
                <w:bCs/>
                <w:sz w:val="19"/>
                <w:szCs w:val="19"/>
                <w:lang w:val="vi-VN"/>
              </w:rPr>
            </w:pPr>
            <w:r w:rsidRPr="003A778B">
              <w:rPr>
                <w:rFonts w:cs="Arial"/>
                <w:bCs/>
                <w:sz w:val="19"/>
                <w:szCs w:val="19"/>
              </w:rPr>
              <w:t>Loss from revaluation of financial assets at FVTPL</w:t>
            </w:r>
          </w:p>
        </w:tc>
        <w:tc>
          <w:tcPr>
            <w:tcW w:w="775" w:type="dxa"/>
            <w:tcBorders>
              <w:left w:val="single" w:sz="4" w:space="0" w:color="000000" w:themeColor="text1"/>
              <w:right w:val="single" w:sz="4" w:space="0" w:color="000000" w:themeColor="text1"/>
            </w:tcBorders>
            <w:noWrap/>
            <w:vAlign w:val="bottom"/>
          </w:tcPr>
          <w:p w14:paraId="2C239FDD" w14:textId="7DF3CC4F" w:rsidR="007D728B" w:rsidRPr="003C222B" w:rsidRDefault="007D728B" w:rsidP="007D728B">
            <w:pPr>
              <w:ind w:left="-58" w:right="-58"/>
              <w:jc w:val="center"/>
              <w:rPr>
                <w:rFonts w:cs="Arial"/>
                <w:sz w:val="19"/>
                <w:szCs w:val="19"/>
              </w:rPr>
            </w:pPr>
            <w:r w:rsidRPr="003C222B">
              <w:rPr>
                <w:rFonts w:cs="Arial"/>
                <w:sz w:val="19"/>
                <w:szCs w:val="19"/>
              </w:rPr>
              <w:t>20.2</w:t>
            </w:r>
          </w:p>
        </w:tc>
        <w:tc>
          <w:tcPr>
            <w:tcW w:w="1886" w:type="dxa"/>
            <w:tcBorders>
              <w:left w:val="single" w:sz="4" w:space="0" w:color="000000" w:themeColor="text1"/>
              <w:right w:val="single" w:sz="4" w:space="0" w:color="000000" w:themeColor="text1"/>
            </w:tcBorders>
            <w:vAlign w:val="bottom"/>
          </w:tcPr>
          <w:p w14:paraId="6DB89BA7" w14:textId="5D779054" w:rsidR="007D728B" w:rsidRPr="003C222B" w:rsidRDefault="007D728B" w:rsidP="007D728B">
            <w:pPr>
              <w:jc w:val="right"/>
              <w:rPr>
                <w:rFonts w:cs="Arial"/>
                <w:sz w:val="19"/>
                <w:szCs w:val="19"/>
                <w:lang w:val="vi-VN"/>
              </w:rPr>
            </w:pPr>
            <w:r w:rsidRPr="00FA525D">
              <w:t>459</w:t>
            </w:r>
            <w:r w:rsidR="00CA0E3B">
              <w:t>,</w:t>
            </w:r>
            <w:r w:rsidRPr="00FA525D">
              <w:t>544</w:t>
            </w:r>
            <w:r w:rsidR="00CA0E3B">
              <w:t>,</w:t>
            </w:r>
            <w:r w:rsidRPr="00FA525D">
              <w:t>090</w:t>
            </w:r>
          </w:p>
        </w:tc>
        <w:tc>
          <w:tcPr>
            <w:tcW w:w="1886" w:type="dxa"/>
            <w:tcBorders>
              <w:left w:val="single" w:sz="4" w:space="0" w:color="000000" w:themeColor="text1"/>
            </w:tcBorders>
            <w:noWrap/>
            <w:vAlign w:val="bottom"/>
          </w:tcPr>
          <w:p w14:paraId="5E38429D" w14:textId="0BCE4537" w:rsidR="007D728B" w:rsidRPr="003C222B" w:rsidRDefault="007D728B" w:rsidP="007D728B">
            <w:pPr>
              <w:jc w:val="right"/>
              <w:rPr>
                <w:rFonts w:cs="Arial"/>
                <w:sz w:val="19"/>
                <w:szCs w:val="19"/>
                <w:lang w:val="vi-VN"/>
              </w:rPr>
            </w:pPr>
            <w:r w:rsidRPr="00FA525D">
              <w:t>214</w:t>
            </w:r>
            <w:r w:rsidR="00CA0E3B">
              <w:t>,</w:t>
            </w:r>
            <w:r w:rsidRPr="00FA525D">
              <w:t>652</w:t>
            </w:r>
            <w:r w:rsidR="00CA0E3B">
              <w:t>,</w:t>
            </w:r>
            <w:r w:rsidRPr="00FA525D">
              <w:t>635</w:t>
            </w:r>
          </w:p>
        </w:tc>
      </w:tr>
      <w:tr w:rsidR="007D728B" w14:paraId="7CB6DF13" w14:textId="77777777" w:rsidTr="007D728B">
        <w:tc>
          <w:tcPr>
            <w:tcW w:w="706" w:type="dxa"/>
            <w:tcBorders>
              <w:right w:val="single" w:sz="4" w:space="0" w:color="000000" w:themeColor="text1"/>
            </w:tcBorders>
            <w:noWrap/>
          </w:tcPr>
          <w:p w14:paraId="12BD13FE" w14:textId="484F0E0C" w:rsidR="007D728B" w:rsidRDefault="007D728B" w:rsidP="007D728B">
            <w:pPr>
              <w:jc w:val="center"/>
              <w:rPr>
                <w:rFonts w:cs="Arial"/>
                <w:sz w:val="19"/>
                <w:szCs w:val="19"/>
              </w:rPr>
            </w:pPr>
            <w:r w:rsidRPr="4B6B57C9">
              <w:rPr>
                <w:rFonts w:cs="Arial"/>
                <w:sz w:val="19"/>
                <w:szCs w:val="19"/>
              </w:rPr>
              <w:t>17</w:t>
            </w:r>
          </w:p>
        </w:tc>
        <w:tc>
          <w:tcPr>
            <w:tcW w:w="3643" w:type="dxa"/>
            <w:tcBorders>
              <w:left w:val="single" w:sz="4" w:space="0" w:color="000000" w:themeColor="text1"/>
              <w:right w:val="single" w:sz="4" w:space="0" w:color="000000" w:themeColor="text1"/>
            </w:tcBorders>
            <w:noWrap/>
            <w:vAlign w:val="bottom"/>
          </w:tcPr>
          <w:p w14:paraId="47B1395F" w14:textId="06E0A996" w:rsidR="007D728B" w:rsidRDefault="007D728B" w:rsidP="007D728B">
            <w:pPr>
              <w:spacing w:line="259" w:lineRule="auto"/>
              <w:ind w:left="302"/>
              <w:rPr>
                <w:rFonts w:cs="Arial"/>
                <w:sz w:val="19"/>
                <w:szCs w:val="19"/>
              </w:rPr>
            </w:pPr>
            <w:r w:rsidRPr="006E63DE">
              <w:rPr>
                <w:rFonts w:cs="Arial"/>
                <w:sz w:val="19"/>
                <w:szCs w:val="19"/>
              </w:rPr>
              <w:t>Others</w:t>
            </w:r>
          </w:p>
        </w:tc>
        <w:tc>
          <w:tcPr>
            <w:tcW w:w="775" w:type="dxa"/>
            <w:tcBorders>
              <w:left w:val="single" w:sz="4" w:space="0" w:color="000000" w:themeColor="text1"/>
              <w:right w:val="single" w:sz="4" w:space="0" w:color="000000" w:themeColor="text1"/>
            </w:tcBorders>
            <w:noWrap/>
            <w:vAlign w:val="bottom"/>
          </w:tcPr>
          <w:p w14:paraId="50A54954" w14:textId="33CEB491" w:rsidR="007D728B" w:rsidRDefault="007D728B" w:rsidP="007D728B">
            <w:pPr>
              <w:jc w:val="center"/>
              <w:rPr>
                <w:rFonts w:cs="Arial"/>
                <w:sz w:val="19"/>
                <w:szCs w:val="19"/>
              </w:rPr>
            </w:pPr>
          </w:p>
        </w:tc>
        <w:tc>
          <w:tcPr>
            <w:tcW w:w="1886" w:type="dxa"/>
            <w:tcBorders>
              <w:left w:val="single" w:sz="4" w:space="0" w:color="000000" w:themeColor="text1"/>
              <w:right w:val="single" w:sz="4" w:space="0" w:color="000000" w:themeColor="text1"/>
            </w:tcBorders>
            <w:vAlign w:val="bottom"/>
          </w:tcPr>
          <w:p w14:paraId="48545D14" w14:textId="6F812DCC" w:rsidR="007D728B" w:rsidRDefault="007D728B" w:rsidP="007D728B">
            <w:pPr>
              <w:jc w:val="right"/>
              <w:rPr>
                <w:rFonts w:cs="Arial"/>
                <w:sz w:val="19"/>
                <w:szCs w:val="19"/>
                <w:lang w:val="vi-VN"/>
              </w:rPr>
            </w:pPr>
            <w:r w:rsidRPr="00FA525D">
              <w:t>4</w:t>
            </w:r>
            <w:r w:rsidR="00CA0E3B">
              <w:t>,</w:t>
            </w:r>
            <w:r w:rsidRPr="00FA525D">
              <w:t>870</w:t>
            </w:r>
            <w:r w:rsidR="00CA0E3B">
              <w:t>,</w:t>
            </w:r>
            <w:r w:rsidRPr="00FA525D">
              <w:t xml:space="preserve">127 </w:t>
            </w:r>
          </w:p>
        </w:tc>
        <w:tc>
          <w:tcPr>
            <w:tcW w:w="1886" w:type="dxa"/>
            <w:tcBorders>
              <w:left w:val="single" w:sz="4" w:space="0" w:color="000000" w:themeColor="text1"/>
            </w:tcBorders>
            <w:noWrap/>
            <w:vAlign w:val="bottom"/>
          </w:tcPr>
          <w:p w14:paraId="240C3C67" w14:textId="77B080A2" w:rsidR="007D728B" w:rsidRDefault="007D728B" w:rsidP="007D728B">
            <w:pPr>
              <w:jc w:val="right"/>
              <w:rPr>
                <w:sz w:val="19"/>
                <w:szCs w:val="19"/>
              </w:rPr>
            </w:pPr>
            <w:r w:rsidRPr="00FA525D">
              <w:t>3</w:t>
            </w:r>
            <w:r w:rsidR="00CA0E3B">
              <w:t>,</w:t>
            </w:r>
            <w:r w:rsidRPr="00FA525D">
              <w:t>219</w:t>
            </w:r>
            <w:r w:rsidR="00CA0E3B">
              <w:t>,</w:t>
            </w:r>
            <w:r w:rsidRPr="00FA525D">
              <w:t xml:space="preserve">534 </w:t>
            </w:r>
          </w:p>
        </w:tc>
      </w:tr>
      <w:tr w:rsidR="007D728B" w:rsidRPr="008373FE" w14:paraId="6EC24DA0" w14:textId="77777777" w:rsidTr="007D728B">
        <w:tc>
          <w:tcPr>
            <w:tcW w:w="706" w:type="dxa"/>
            <w:tcBorders>
              <w:right w:val="single" w:sz="4" w:space="0" w:color="000000" w:themeColor="text1"/>
            </w:tcBorders>
            <w:noWrap/>
          </w:tcPr>
          <w:p w14:paraId="1F1FE55B" w14:textId="1FFE65D3" w:rsidR="007D728B" w:rsidRPr="008373FE" w:rsidRDefault="007D728B" w:rsidP="007D728B">
            <w:pPr>
              <w:spacing w:before="120"/>
              <w:ind w:left="-58" w:right="-58"/>
              <w:jc w:val="center"/>
              <w:rPr>
                <w:rFonts w:cs="Arial"/>
                <w:bCs/>
                <w:sz w:val="19"/>
                <w:szCs w:val="19"/>
              </w:rPr>
            </w:pPr>
            <w:r w:rsidRPr="008373FE">
              <w:rPr>
                <w:rFonts w:cs="Arial"/>
                <w:b/>
                <w:bCs/>
                <w:sz w:val="19"/>
                <w:szCs w:val="19"/>
              </w:rPr>
              <w:t>18</w:t>
            </w:r>
          </w:p>
        </w:tc>
        <w:tc>
          <w:tcPr>
            <w:tcW w:w="3643" w:type="dxa"/>
            <w:tcBorders>
              <w:left w:val="single" w:sz="4" w:space="0" w:color="000000" w:themeColor="text1"/>
              <w:right w:val="single" w:sz="4" w:space="0" w:color="000000" w:themeColor="text1"/>
            </w:tcBorders>
            <w:noWrap/>
            <w:vAlign w:val="bottom"/>
          </w:tcPr>
          <w:p w14:paraId="25AE8B35" w14:textId="32944CFD" w:rsidR="007D728B" w:rsidRPr="008373FE" w:rsidRDefault="007D728B" w:rsidP="007D728B">
            <w:pPr>
              <w:spacing w:before="120"/>
              <w:ind w:left="302" w:hanging="360"/>
              <w:rPr>
                <w:rFonts w:cs="Arial"/>
                <w:bCs/>
                <w:sz w:val="19"/>
                <w:szCs w:val="19"/>
              </w:rPr>
            </w:pPr>
            <w:r w:rsidRPr="008373FE">
              <w:rPr>
                <w:rFonts w:cs="Arial"/>
                <w:b/>
                <w:bCs/>
                <w:sz w:val="19"/>
                <w:szCs w:val="19"/>
              </w:rPr>
              <w:t>4.</w:t>
            </w:r>
            <w:r w:rsidRPr="008373FE">
              <w:rPr>
                <w:rFonts w:cs="Arial"/>
                <w:b/>
                <w:bCs/>
                <w:sz w:val="19"/>
                <w:szCs w:val="19"/>
              </w:rPr>
              <w:tab/>
            </w:r>
            <w:r w:rsidRPr="008373FE">
              <w:rPr>
                <w:rFonts w:cs="Arial"/>
                <w:b/>
                <w:bCs/>
                <w:sz w:val="19"/>
                <w:szCs w:val="19"/>
              </w:rPr>
              <w:tab/>
            </w:r>
            <w:r w:rsidRPr="00A27CD4">
              <w:rPr>
                <w:rFonts w:cs="Arial"/>
                <w:b/>
                <w:sz w:val="19"/>
                <w:szCs w:val="19"/>
              </w:rPr>
              <w:t>Decrease in non-monetary income</w:t>
            </w:r>
          </w:p>
        </w:tc>
        <w:tc>
          <w:tcPr>
            <w:tcW w:w="775" w:type="dxa"/>
            <w:tcBorders>
              <w:left w:val="single" w:sz="4" w:space="0" w:color="000000" w:themeColor="text1"/>
              <w:right w:val="single" w:sz="4" w:space="0" w:color="000000" w:themeColor="text1"/>
            </w:tcBorders>
            <w:noWrap/>
            <w:vAlign w:val="bottom"/>
          </w:tcPr>
          <w:p w14:paraId="341F3E1B" w14:textId="77777777" w:rsidR="007D728B" w:rsidRPr="003C222B" w:rsidRDefault="007D728B" w:rsidP="007D728B">
            <w:pPr>
              <w:spacing w:before="120"/>
              <w:ind w:left="-58" w:right="-58"/>
              <w:jc w:val="center"/>
              <w:rPr>
                <w:rFonts w:cs="Arial"/>
                <w:sz w:val="19"/>
                <w:szCs w:val="19"/>
                <w:lang w:val="vi-VN"/>
              </w:rPr>
            </w:pPr>
          </w:p>
        </w:tc>
        <w:tc>
          <w:tcPr>
            <w:tcW w:w="1886" w:type="dxa"/>
            <w:tcBorders>
              <w:left w:val="single" w:sz="4" w:space="0" w:color="000000" w:themeColor="text1"/>
              <w:right w:val="single" w:sz="4" w:space="0" w:color="000000" w:themeColor="text1"/>
            </w:tcBorders>
            <w:vAlign w:val="bottom"/>
          </w:tcPr>
          <w:p w14:paraId="2D9E6116" w14:textId="027C654B" w:rsidR="007D728B" w:rsidRPr="005F5F8B" w:rsidRDefault="007D728B" w:rsidP="007D728B">
            <w:pPr>
              <w:spacing w:before="120"/>
              <w:jc w:val="right"/>
              <w:rPr>
                <w:rFonts w:cs="Arial"/>
                <w:b/>
                <w:bCs/>
                <w:sz w:val="19"/>
                <w:szCs w:val="19"/>
                <w:lang w:val="vi-VN"/>
              </w:rPr>
            </w:pPr>
            <w:r w:rsidRPr="005F5F8B">
              <w:rPr>
                <w:b/>
                <w:bCs/>
              </w:rPr>
              <w:t>(1</w:t>
            </w:r>
            <w:r w:rsidR="00CA0E3B" w:rsidRPr="005F5F8B">
              <w:rPr>
                <w:b/>
                <w:bCs/>
              </w:rPr>
              <w:t>,</w:t>
            </w:r>
            <w:r w:rsidRPr="005F5F8B">
              <w:rPr>
                <w:b/>
                <w:bCs/>
              </w:rPr>
              <w:t>645</w:t>
            </w:r>
            <w:r w:rsidR="00CA0E3B" w:rsidRPr="005F5F8B">
              <w:rPr>
                <w:b/>
                <w:bCs/>
              </w:rPr>
              <w:t>,</w:t>
            </w:r>
            <w:r w:rsidRPr="005F5F8B">
              <w:rPr>
                <w:b/>
                <w:bCs/>
              </w:rPr>
              <w:t>549</w:t>
            </w:r>
            <w:r w:rsidR="00CA0E3B" w:rsidRPr="005F5F8B">
              <w:rPr>
                <w:b/>
                <w:bCs/>
              </w:rPr>
              <w:t>,</w:t>
            </w:r>
            <w:r w:rsidRPr="005F5F8B">
              <w:rPr>
                <w:b/>
                <w:bCs/>
              </w:rPr>
              <w:t>128)</w:t>
            </w:r>
          </w:p>
        </w:tc>
        <w:tc>
          <w:tcPr>
            <w:tcW w:w="1886" w:type="dxa"/>
            <w:tcBorders>
              <w:left w:val="single" w:sz="4" w:space="0" w:color="000000" w:themeColor="text1"/>
            </w:tcBorders>
            <w:noWrap/>
            <w:vAlign w:val="bottom"/>
          </w:tcPr>
          <w:p w14:paraId="2FFF4336" w14:textId="7F9AF71B" w:rsidR="007D728B" w:rsidRPr="005F5F8B" w:rsidRDefault="007D728B" w:rsidP="007D728B">
            <w:pPr>
              <w:spacing w:before="120"/>
              <w:jc w:val="right"/>
              <w:rPr>
                <w:rFonts w:cs="Arial"/>
                <w:b/>
                <w:bCs/>
                <w:sz w:val="19"/>
                <w:szCs w:val="19"/>
                <w:lang w:val="vi-VN"/>
              </w:rPr>
            </w:pPr>
            <w:r w:rsidRPr="005F5F8B">
              <w:rPr>
                <w:b/>
                <w:bCs/>
              </w:rPr>
              <w:t>(312</w:t>
            </w:r>
            <w:r w:rsidR="00CA0E3B" w:rsidRPr="005F5F8B">
              <w:rPr>
                <w:b/>
                <w:bCs/>
              </w:rPr>
              <w:t>,</w:t>
            </w:r>
            <w:r w:rsidRPr="005F5F8B">
              <w:rPr>
                <w:b/>
                <w:bCs/>
              </w:rPr>
              <w:t>217</w:t>
            </w:r>
            <w:r w:rsidR="00CA0E3B" w:rsidRPr="005F5F8B">
              <w:rPr>
                <w:b/>
                <w:bCs/>
              </w:rPr>
              <w:t>,</w:t>
            </w:r>
            <w:r w:rsidRPr="005F5F8B">
              <w:rPr>
                <w:b/>
                <w:bCs/>
              </w:rPr>
              <w:t>837)</w:t>
            </w:r>
          </w:p>
        </w:tc>
      </w:tr>
      <w:tr w:rsidR="007D728B" w:rsidRPr="008373FE" w14:paraId="5E75C8AA" w14:textId="77777777" w:rsidTr="007D728B">
        <w:tc>
          <w:tcPr>
            <w:tcW w:w="706" w:type="dxa"/>
            <w:tcBorders>
              <w:right w:val="single" w:sz="4" w:space="0" w:color="000000" w:themeColor="text1"/>
            </w:tcBorders>
            <w:noWrap/>
          </w:tcPr>
          <w:p w14:paraId="18C0D833" w14:textId="2CFC1826" w:rsidR="007D728B" w:rsidRPr="008373FE" w:rsidRDefault="007D728B" w:rsidP="007D728B">
            <w:pPr>
              <w:ind w:left="-58" w:right="-58"/>
              <w:jc w:val="center"/>
              <w:rPr>
                <w:rFonts w:cs="Arial"/>
                <w:bCs/>
                <w:sz w:val="19"/>
                <w:szCs w:val="19"/>
              </w:rPr>
            </w:pPr>
            <w:r w:rsidRPr="008373FE">
              <w:rPr>
                <w:rFonts w:cs="Arial"/>
                <w:bCs/>
                <w:sz w:val="19"/>
                <w:szCs w:val="19"/>
              </w:rPr>
              <w:t>19</w:t>
            </w:r>
          </w:p>
        </w:tc>
        <w:tc>
          <w:tcPr>
            <w:tcW w:w="3643" w:type="dxa"/>
            <w:tcBorders>
              <w:left w:val="single" w:sz="4" w:space="0" w:color="000000" w:themeColor="text1"/>
              <w:right w:val="single" w:sz="4" w:space="0" w:color="000000" w:themeColor="text1"/>
            </w:tcBorders>
            <w:noWrap/>
            <w:vAlign w:val="bottom"/>
          </w:tcPr>
          <w:p w14:paraId="3932DD0B" w14:textId="709E5357" w:rsidR="007D728B" w:rsidRPr="008373FE" w:rsidRDefault="007D728B" w:rsidP="007D728B">
            <w:pPr>
              <w:ind w:left="302"/>
              <w:jc w:val="left"/>
              <w:rPr>
                <w:rFonts w:cs="Arial"/>
                <w:bCs/>
                <w:sz w:val="19"/>
                <w:szCs w:val="19"/>
              </w:rPr>
            </w:pPr>
            <w:r w:rsidRPr="00F839A5">
              <w:rPr>
                <w:rFonts w:cs="Arial"/>
                <w:bCs/>
                <w:sz w:val="19"/>
                <w:szCs w:val="19"/>
              </w:rPr>
              <w:t>Gain from revaluation of financial assets at FVTPL</w:t>
            </w:r>
          </w:p>
        </w:tc>
        <w:tc>
          <w:tcPr>
            <w:tcW w:w="775" w:type="dxa"/>
            <w:tcBorders>
              <w:left w:val="single" w:sz="4" w:space="0" w:color="000000" w:themeColor="text1"/>
              <w:right w:val="single" w:sz="4" w:space="0" w:color="000000" w:themeColor="text1"/>
            </w:tcBorders>
            <w:noWrap/>
            <w:vAlign w:val="bottom"/>
          </w:tcPr>
          <w:p w14:paraId="6F56B188" w14:textId="0CF1F18E" w:rsidR="007D728B" w:rsidRPr="003C222B" w:rsidRDefault="007D728B" w:rsidP="007D728B">
            <w:pPr>
              <w:ind w:left="-58" w:right="-58"/>
              <w:jc w:val="center"/>
              <w:rPr>
                <w:rFonts w:cs="Arial"/>
                <w:sz w:val="19"/>
                <w:szCs w:val="19"/>
                <w:lang w:val="vi-VN"/>
              </w:rPr>
            </w:pPr>
            <w:r w:rsidRPr="003C222B">
              <w:rPr>
                <w:rFonts w:cs="Arial"/>
                <w:sz w:val="19"/>
                <w:szCs w:val="19"/>
              </w:rPr>
              <w:t>20.2</w:t>
            </w:r>
          </w:p>
        </w:tc>
        <w:tc>
          <w:tcPr>
            <w:tcW w:w="1886" w:type="dxa"/>
            <w:tcBorders>
              <w:left w:val="single" w:sz="4" w:space="0" w:color="000000" w:themeColor="text1"/>
              <w:right w:val="single" w:sz="4" w:space="0" w:color="000000" w:themeColor="text1"/>
            </w:tcBorders>
            <w:vAlign w:val="bottom"/>
          </w:tcPr>
          <w:p w14:paraId="6BE593A2" w14:textId="028EDA0B" w:rsidR="007D728B" w:rsidRPr="003C222B" w:rsidRDefault="007D728B" w:rsidP="007D728B">
            <w:pPr>
              <w:jc w:val="right"/>
              <w:rPr>
                <w:rFonts w:cs="Arial"/>
                <w:sz w:val="19"/>
                <w:szCs w:val="19"/>
                <w:lang w:val="vi-VN"/>
              </w:rPr>
            </w:pPr>
            <w:r w:rsidRPr="00FA525D">
              <w:t>(1</w:t>
            </w:r>
            <w:r w:rsidR="00CA0E3B">
              <w:t>,</w:t>
            </w:r>
            <w:r w:rsidRPr="00FA525D">
              <w:t>645</w:t>
            </w:r>
            <w:r w:rsidR="00CA0E3B">
              <w:t>,</w:t>
            </w:r>
            <w:r w:rsidRPr="00FA525D">
              <w:t>549</w:t>
            </w:r>
            <w:r w:rsidR="00CA0E3B">
              <w:t>,</w:t>
            </w:r>
            <w:r w:rsidRPr="00FA525D">
              <w:t>128)</w:t>
            </w:r>
          </w:p>
        </w:tc>
        <w:tc>
          <w:tcPr>
            <w:tcW w:w="1886" w:type="dxa"/>
            <w:tcBorders>
              <w:left w:val="single" w:sz="4" w:space="0" w:color="000000" w:themeColor="text1"/>
            </w:tcBorders>
            <w:noWrap/>
            <w:vAlign w:val="bottom"/>
          </w:tcPr>
          <w:p w14:paraId="615D96F9" w14:textId="2E62F39A" w:rsidR="007D728B" w:rsidRPr="003C222B" w:rsidRDefault="007D728B" w:rsidP="007D728B">
            <w:pPr>
              <w:jc w:val="right"/>
              <w:rPr>
                <w:rFonts w:cs="Arial"/>
                <w:sz w:val="19"/>
                <w:szCs w:val="19"/>
              </w:rPr>
            </w:pPr>
            <w:r w:rsidRPr="00FA525D">
              <w:t>(312</w:t>
            </w:r>
            <w:r w:rsidR="00CA0E3B">
              <w:t>,</w:t>
            </w:r>
            <w:r w:rsidRPr="00FA525D">
              <w:t>217</w:t>
            </w:r>
            <w:r w:rsidR="00CA0E3B">
              <w:t>,</w:t>
            </w:r>
            <w:r w:rsidRPr="00FA525D">
              <w:t>837)</w:t>
            </w:r>
          </w:p>
        </w:tc>
      </w:tr>
      <w:tr w:rsidR="007D728B" w:rsidRPr="008373FE" w14:paraId="355281A0" w14:textId="77777777" w:rsidTr="007D728B">
        <w:tc>
          <w:tcPr>
            <w:tcW w:w="706" w:type="dxa"/>
            <w:tcBorders>
              <w:right w:val="single" w:sz="4" w:space="0" w:color="000000" w:themeColor="text1"/>
            </w:tcBorders>
            <w:noWrap/>
          </w:tcPr>
          <w:p w14:paraId="30E6F9BA" w14:textId="554FDF69" w:rsidR="007D728B" w:rsidRPr="008373FE" w:rsidRDefault="007D728B" w:rsidP="007D728B">
            <w:pPr>
              <w:ind w:left="-58" w:right="-58"/>
              <w:jc w:val="center"/>
              <w:rPr>
                <w:rFonts w:cs="Arial"/>
                <w:bCs/>
                <w:sz w:val="19"/>
                <w:szCs w:val="19"/>
              </w:rPr>
            </w:pPr>
            <w:r w:rsidRPr="4B6B57C9">
              <w:rPr>
                <w:rFonts w:cs="Arial"/>
                <w:sz w:val="19"/>
                <w:szCs w:val="19"/>
              </w:rPr>
              <w:t>21</w:t>
            </w:r>
          </w:p>
        </w:tc>
        <w:tc>
          <w:tcPr>
            <w:tcW w:w="3643" w:type="dxa"/>
            <w:tcBorders>
              <w:left w:val="single" w:sz="4" w:space="0" w:color="000000" w:themeColor="text1"/>
              <w:right w:val="single" w:sz="4" w:space="0" w:color="000000" w:themeColor="text1"/>
            </w:tcBorders>
            <w:noWrap/>
            <w:vAlign w:val="bottom"/>
          </w:tcPr>
          <w:p w14:paraId="28072D70" w14:textId="5C60C535" w:rsidR="007D728B" w:rsidRPr="008373FE" w:rsidRDefault="007D728B" w:rsidP="007D728B">
            <w:pPr>
              <w:ind w:left="302"/>
              <w:rPr>
                <w:rFonts w:cs="Arial"/>
                <w:bCs/>
                <w:sz w:val="19"/>
                <w:szCs w:val="19"/>
              </w:rPr>
            </w:pPr>
            <w:r w:rsidRPr="003A5D29">
              <w:rPr>
                <w:rFonts w:cs="Arial"/>
                <w:sz w:val="19"/>
                <w:szCs w:val="19"/>
              </w:rPr>
              <w:t>Others</w:t>
            </w:r>
          </w:p>
        </w:tc>
        <w:tc>
          <w:tcPr>
            <w:tcW w:w="775" w:type="dxa"/>
            <w:tcBorders>
              <w:left w:val="single" w:sz="4" w:space="0" w:color="000000" w:themeColor="text1"/>
              <w:right w:val="single" w:sz="4" w:space="0" w:color="000000" w:themeColor="text1"/>
            </w:tcBorders>
            <w:noWrap/>
            <w:vAlign w:val="bottom"/>
          </w:tcPr>
          <w:p w14:paraId="3666E580" w14:textId="77777777" w:rsidR="007D728B" w:rsidRPr="008373FE" w:rsidRDefault="007D728B" w:rsidP="007D728B">
            <w:pPr>
              <w:ind w:left="-58" w:right="-58"/>
              <w:jc w:val="center"/>
              <w:rPr>
                <w:rFonts w:cs="Arial"/>
                <w:sz w:val="19"/>
                <w:szCs w:val="19"/>
              </w:rPr>
            </w:pPr>
          </w:p>
        </w:tc>
        <w:tc>
          <w:tcPr>
            <w:tcW w:w="1886" w:type="dxa"/>
            <w:tcBorders>
              <w:left w:val="single" w:sz="4" w:space="0" w:color="000000" w:themeColor="text1"/>
              <w:right w:val="single" w:sz="4" w:space="0" w:color="000000" w:themeColor="text1"/>
            </w:tcBorders>
            <w:vAlign w:val="bottom"/>
          </w:tcPr>
          <w:p w14:paraId="247F21BD" w14:textId="797C02E5" w:rsidR="007D728B" w:rsidRPr="008373FE" w:rsidRDefault="007D728B" w:rsidP="007D728B">
            <w:pPr>
              <w:jc w:val="right"/>
              <w:rPr>
                <w:rFonts w:cs="Arial"/>
                <w:bCs/>
                <w:sz w:val="19"/>
                <w:szCs w:val="19"/>
              </w:rPr>
            </w:pPr>
            <w:r w:rsidRPr="00FA525D">
              <w:t xml:space="preserve">- </w:t>
            </w:r>
          </w:p>
        </w:tc>
        <w:tc>
          <w:tcPr>
            <w:tcW w:w="1886" w:type="dxa"/>
            <w:tcBorders>
              <w:left w:val="single" w:sz="4" w:space="0" w:color="000000" w:themeColor="text1"/>
            </w:tcBorders>
            <w:noWrap/>
            <w:vAlign w:val="bottom"/>
          </w:tcPr>
          <w:p w14:paraId="3C3E1904" w14:textId="6E0D602A" w:rsidR="007D728B" w:rsidRPr="008373FE" w:rsidRDefault="007D728B" w:rsidP="007D728B">
            <w:pPr>
              <w:jc w:val="right"/>
              <w:rPr>
                <w:rFonts w:cs="Arial"/>
                <w:bCs/>
                <w:sz w:val="19"/>
                <w:szCs w:val="19"/>
              </w:rPr>
            </w:pPr>
            <w:r w:rsidRPr="00FA525D">
              <w:t xml:space="preserve">- </w:t>
            </w:r>
          </w:p>
        </w:tc>
      </w:tr>
      <w:tr w:rsidR="007D728B" w:rsidRPr="008373FE" w14:paraId="0FC57B36" w14:textId="77777777" w:rsidTr="007D728B">
        <w:tc>
          <w:tcPr>
            <w:tcW w:w="706" w:type="dxa"/>
            <w:tcBorders>
              <w:right w:val="single" w:sz="4" w:space="0" w:color="000000" w:themeColor="text1"/>
            </w:tcBorders>
            <w:noWrap/>
          </w:tcPr>
          <w:p w14:paraId="324C0659" w14:textId="59C58E1E" w:rsidR="007D728B" w:rsidRPr="008373FE" w:rsidRDefault="007D728B" w:rsidP="007D728B">
            <w:pPr>
              <w:spacing w:before="120"/>
              <w:ind w:left="-58" w:right="-58"/>
              <w:jc w:val="center"/>
              <w:rPr>
                <w:rFonts w:cs="Arial"/>
                <w:bCs/>
                <w:sz w:val="19"/>
                <w:szCs w:val="19"/>
              </w:rPr>
            </w:pPr>
            <w:r w:rsidRPr="008373FE">
              <w:rPr>
                <w:rFonts w:cs="Arial"/>
                <w:b/>
                <w:bCs/>
                <w:sz w:val="19"/>
                <w:szCs w:val="19"/>
              </w:rPr>
              <w:t>30</w:t>
            </w:r>
          </w:p>
        </w:tc>
        <w:tc>
          <w:tcPr>
            <w:tcW w:w="3643" w:type="dxa"/>
            <w:tcBorders>
              <w:left w:val="single" w:sz="4" w:space="0" w:color="000000" w:themeColor="text1"/>
              <w:right w:val="single" w:sz="4" w:space="0" w:color="000000" w:themeColor="text1"/>
            </w:tcBorders>
            <w:noWrap/>
            <w:vAlign w:val="bottom"/>
          </w:tcPr>
          <w:p w14:paraId="299C5B7A" w14:textId="7B581E82" w:rsidR="007D728B" w:rsidRPr="008373FE" w:rsidRDefault="007D728B" w:rsidP="007D728B">
            <w:pPr>
              <w:spacing w:before="120"/>
              <w:ind w:left="302" w:hanging="360"/>
              <w:rPr>
                <w:rFonts w:cs="Arial"/>
                <w:bCs/>
                <w:sz w:val="19"/>
                <w:szCs w:val="19"/>
              </w:rPr>
            </w:pPr>
            <w:r w:rsidRPr="008373FE">
              <w:rPr>
                <w:rFonts w:cs="Arial"/>
                <w:b/>
                <w:bCs/>
                <w:sz w:val="19"/>
                <w:szCs w:val="19"/>
              </w:rPr>
              <w:t>5.</w:t>
            </w:r>
            <w:r w:rsidRPr="008373FE">
              <w:rPr>
                <w:rFonts w:cs="Arial"/>
                <w:b/>
                <w:bCs/>
                <w:sz w:val="19"/>
                <w:szCs w:val="19"/>
              </w:rPr>
              <w:tab/>
            </w:r>
            <w:r w:rsidRPr="00A52FA7">
              <w:rPr>
                <w:rFonts w:cs="Arial"/>
                <w:b/>
                <w:bCs/>
                <w:sz w:val="19"/>
                <w:szCs w:val="19"/>
              </w:rPr>
              <w:t>Operating income before changes in working capital</w:t>
            </w:r>
          </w:p>
        </w:tc>
        <w:tc>
          <w:tcPr>
            <w:tcW w:w="775" w:type="dxa"/>
            <w:tcBorders>
              <w:left w:val="single" w:sz="4" w:space="0" w:color="000000" w:themeColor="text1"/>
              <w:right w:val="single" w:sz="4" w:space="0" w:color="000000" w:themeColor="text1"/>
            </w:tcBorders>
            <w:noWrap/>
            <w:vAlign w:val="bottom"/>
          </w:tcPr>
          <w:p w14:paraId="6E6E144F" w14:textId="77777777" w:rsidR="007D728B" w:rsidRPr="003C222B" w:rsidRDefault="007D728B" w:rsidP="007D728B">
            <w:pPr>
              <w:spacing w:before="120"/>
              <w:ind w:left="-58" w:right="-58"/>
              <w:jc w:val="center"/>
              <w:rPr>
                <w:rFonts w:cs="Arial"/>
                <w:sz w:val="19"/>
                <w:szCs w:val="19"/>
                <w:lang w:val="vi-VN"/>
              </w:rPr>
            </w:pPr>
          </w:p>
        </w:tc>
        <w:tc>
          <w:tcPr>
            <w:tcW w:w="1886" w:type="dxa"/>
            <w:tcBorders>
              <w:left w:val="single" w:sz="4" w:space="0" w:color="000000" w:themeColor="text1"/>
              <w:right w:val="single" w:sz="4" w:space="0" w:color="000000" w:themeColor="text1"/>
            </w:tcBorders>
            <w:vAlign w:val="bottom"/>
          </w:tcPr>
          <w:p w14:paraId="100E155C" w14:textId="25FE0F3C" w:rsidR="007D728B" w:rsidRPr="005F5F8B" w:rsidRDefault="007D728B" w:rsidP="007D728B">
            <w:pPr>
              <w:spacing w:before="120"/>
              <w:ind w:left="-58"/>
              <w:jc w:val="right"/>
              <w:rPr>
                <w:rFonts w:cs="Arial"/>
                <w:b/>
                <w:bCs/>
                <w:sz w:val="19"/>
                <w:szCs w:val="19"/>
              </w:rPr>
            </w:pPr>
            <w:r w:rsidRPr="005F5F8B">
              <w:rPr>
                <w:b/>
                <w:bCs/>
              </w:rPr>
              <w:t>(956</w:t>
            </w:r>
            <w:r w:rsidR="00CA0E3B" w:rsidRPr="005F5F8B">
              <w:rPr>
                <w:b/>
                <w:bCs/>
              </w:rPr>
              <w:t>,</w:t>
            </w:r>
            <w:r w:rsidRPr="005F5F8B">
              <w:rPr>
                <w:b/>
                <w:bCs/>
              </w:rPr>
              <w:t>892</w:t>
            </w:r>
            <w:r w:rsidR="00CA0E3B" w:rsidRPr="005F5F8B">
              <w:rPr>
                <w:b/>
                <w:bCs/>
              </w:rPr>
              <w:t>,</w:t>
            </w:r>
            <w:r w:rsidRPr="005F5F8B">
              <w:rPr>
                <w:b/>
                <w:bCs/>
              </w:rPr>
              <w:t>113</w:t>
            </w:r>
            <w:r w:rsidR="00CA0E3B" w:rsidRPr="005F5F8B">
              <w:rPr>
                <w:b/>
                <w:bCs/>
              </w:rPr>
              <w:t>,</w:t>
            </w:r>
            <w:r w:rsidRPr="005F5F8B">
              <w:rPr>
                <w:b/>
                <w:bCs/>
              </w:rPr>
              <w:t>811)</w:t>
            </w:r>
          </w:p>
        </w:tc>
        <w:tc>
          <w:tcPr>
            <w:tcW w:w="1886" w:type="dxa"/>
            <w:tcBorders>
              <w:left w:val="single" w:sz="4" w:space="0" w:color="000000" w:themeColor="text1"/>
            </w:tcBorders>
            <w:noWrap/>
            <w:vAlign w:val="bottom"/>
          </w:tcPr>
          <w:p w14:paraId="07562B3D" w14:textId="2D1096F4" w:rsidR="007D728B" w:rsidRPr="005F5F8B" w:rsidRDefault="007D728B" w:rsidP="007D728B">
            <w:pPr>
              <w:spacing w:before="120"/>
              <w:jc w:val="right"/>
              <w:rPr>
                <w:rFonts w:cs="Arial"/>
                <w:b/>
                <w:bCs/>
                <w:sz w:val="19"/>
                <w:szCs w:val="19"/>
              </w:rPr>
            </w:pPr>
            <w:r w:rsidRPr="005F5F8B">
              <w:rPr>
                <w:b/>
                <w:bCs/>
              </w:rPr>
              <w:t>(359</w:t>
            </w:r>
            <w:r w:rsidR="00CA0E3B" w:rsidRPr="005F5F8B">
              <w:rPr>
                <w:b/>
                <w:bCs/>
              </w:rPr>
              <w:t>,</w:t>
            </w:r>
            <w:r w:rsidRPr="005F5F8B">
              <w:rPr>
                <w:b/>
                <w:bCs/>
              </w:rPr>
              <w:t>051</w:t>
            </w:r>
            <w:r w:rsidR="00CA0E3B" w:rsidRPr="005F5F8B">
              <w:rPr>
                <w:b/>
                <w:bCs/>
              </w:rPr>
              <w:t>,</w:t>
            </w:r>
            <w:r w:rsidRPr="005F5F8B">
              <w:rPr>
                <w:b/>
                <w:bCs/>
              </w:rPr>
              <w:t>463</w:t>
            </w:r>
            <w:r w:rsidR="00CA0E3B" w:rsidRPr="005F5F8B">
              <w:rPr>
                <w:b/>
                <w:bCs/>
              </w:rPr>
              <w:t>,</w:t>
            </w:r>
            <w:r w:rsidRPr="005F5F8B">
              <w:rPr>
                <w:b/>
                <w:bCs/>
              </w:rPr>
              <w:t>252)</w:t>
            </w:r>
          </w:p>
        </w:tc>
      </w:tr>
      <w:tr w:rsidR="007D728B" w:rsidRPr="008373FE" w14:paraId="06B286B1" w14:textId="77777777" w:rsidTr="007D728B">
        <w:tc>
          <w:tcPr>
            <w:tcW w:w="706" w:type="dxa"/>
            <w:tcBorders>
              <w:right w:val="single" w:sz="4" w:space="0" w:color="000000" w:themeColor="text1"/>
            </w:tcBorders>
            <w:noWrap/>
          </w:tcPr>
          <w:p w14:paraId="3450958D" w14:textId="3EB4199D" w:rsidR="007D728B" w:rsidRPr="008373FE" w:rsidRDefault="007D728B" w:rsidP="007D728B">
            <w:pPr>
              <w:ind w:left="-58" w:right="-58"/>
              <w:jc w:val="center"/>
              <w:rPr>
                <w:rFonts w:cs="Arial"/>
                <w:b/>
                <w:bCs/>
                <w:sz w:val="19"/>
                <w:szCs w:val="19"/>
              </w:rPr>
            </w:pPr>
            <w:r w:rsidRPr="008373FE">
              <w:rPr>
                <w:rFonts w:cs="Arial"/>
                <w:sz w:val="19"/>
                <w:szCs w:val="19"/>
              </w:rPr>
              <w:t>31</w:t>
            </w:r>
          </w:p>
        </w:tc>
        <w:tc>
          <w:tcPr>
            <w:tcW w:w="3643" w:type="dxa"/>
            <w:tcBorders>
              <w:left w:val="single" w:sz="4" w:space="0" w:color="000000" w:themeColor="text1"/>
              <w:right w:val="single" w:sz="4" w:space="0" w:color="000000" w:themeColor="text1"/>
            </w:tcBorders>
            <w:noWrap/>
            <w:vAlign w:val="bottom"/>
          </w:tcPr>
          <w:p w14:paraId="12860FDA" w14:textId="3C989C3A" w:rsidR="007D728B" w:rsidRPr="008373FE" w:rsidRDefault="007D728B" w:rsidP="007D728B">
            <w:pPr>
              <w:ind w:left="302" w:right="-86"/>
              <w:rPr>
                <w:rFonts w:cs="Arial"/>
                <w:bCs/>
                <w:sz w:val="19"/>
                <w:szCs w:val="19"/>
              </w:rPr>
            </w:pPr>
            <w:r w:rsidRPr="009B53DF">
              <w:rPr>
                <w:rFonts w:cs="Arial"/>
                <w:bCs/>
                <w:sz w:val="19"/>
                <w:szCs w:val="19"/>
              </w:rPr>
              <w:t>Decrease in financial assets at FVTPL</w:t>
            </w:r>
          </w:p>
        </w:tc>
        <w:tc>
          <w:tcPr>
            <w:tcW w:w="775" w:type="dxa"/>
            <w:tcBorders>
              <w:left w:val="single" w:sz="4" w:space="0" w:color="000000" w:themeColor="text1"/>
              <w:right w:val="single" w:sz="4" w:space="0" w:color="000000" w:themeColor="text1"/>
            </w:tcBorders>
            <w:noWrap/>
            <w:vAlign w:val="bottom"/>
          </w:tcPr>
          <w:p w14:paraId="3C1AD891" w14:textId="77777777" w:rsidR="007D728B" w:rsidRPr="003C222B" w:rsidRDefault="007D728B" w:rsidP="007D728B">
            <w:pPr>
              <w:ind w:left="-58" w:right="-58"/>
              <w:jc w:val="center"/>
              <w:rPr>
                <w:rFonts w:cs="Arial"/>
                <w:b/>
                <w:sz w:val="19"/>
                <w:szCs w:val="19"/>
                <w:lang w:val="vi-VN"/>
              </w:rPr>
            </w:pPr>
          </w:p>
        </w:tc>
        <w:tc>
          <w:tcPr>
            <w:tcW w:w="1886" w:type="dxa"/>
            <w:tcBorders>
              <w:left w:val="single" w:sz="4" w:space="0" w:color="000000" w:themeColor="text1"/>
              <w:right w:val="single" w:sz="4" w:space="0" w:color="000000" w:themeColor="text1"/>
            </w:tcBorders>
            <w:vAlign w:val="bottom"/>
          </w:tcPr>
          <w:p w14:paraId="6CF2F941" w14:textId="5E05B350" w:rsidR="007D728B" w:rsidRPr="003C222B" w:rsidRDefault="007D728B" w:rsidP="007D728B">
            <w:pPr>
              <w:jc w:val="right"/>
              <w:rPr>
                <w:rFonts w:cs="Arial"/>
                <w:sz w:val="19"/>
                <w:szCs w:val="19"/>
                <w:lang w:val="vi-VN"/>
              </w:rPr>
            </w:pPr>
            <w:r w:rsidRPr="00FA525D">
              <w:t>(125</w:t>
            </w:r>
            <w:r w:rsidR="00CA0E3B">
              <w:t>,</w:t>
            </w:r>
            <w:r w:rsidRPr="00FA525D">
              <w:t>106</w:t>
            </w:r>
            <w:r w:rsidR="00CA0E3B">
              <w:t>,</w:t>
            </w:r>
            <w:r w:rsidRPr="00FA525D">
              <w:t>651</w:t>
            </w:r>
            <w:r w:rsidR="00CA0E3B">
              <w:t>,</w:t>
            </w:r>
            <w:r w:rsidRPr="00FA525D">
              <w:t>032)</w:t>
            </w:r>
          </w:p>
        </w:tc>
        <w:tc>
          <w:tcPr>
            <w:tcW w:w="1886" w:type="dxa"/>
            <w:tcBorders>
              <w:left w:val="single" w:sz="4" w:space="0" w:color="000000" w:themeColor="text1"/>
            </w:tcBorders>
            <w:noWrap/>
            <w:vAlign w:val="bottom"/>
          </w:tcPr>
          <w:p w14:paraId="405136DD" w14:textId="137EB692" w:rsidR="007D728B" w:rsidRPr="003C222B" w:rsidRDefault="007D728B" w:rsidP="007D728B">
            <w:pPr>
              <w:jc w:val="right"/>
              <w:rPr>
                <w:rFonts w:cs="Arial"/>
                <w:sz w:val="19"/>
                <w:szCs w:val="19"/>
              </w:rPr>
            </w:pPr>
            <w:r w:rsidRPr="00FA525D">
              <w:t>618</w:t>
            </w:r>
            <w:r w:rsidR="00CA0E3B">
              <w:t>,</w:t>
            </w:r>
            <w:r w:rsidRPr="00FA525D">
              <w:t>911</w:t>
            </w:r>
            <w:r w:rsidR="00CA0E3B">
              <w:t>,</w:t>
            </w:r>
            <w:r w:rsidRPr="00FA525D">
              <w:t xml:space="preserve">982 </w:t>
            </w:r>
          </w:p>
        </w:tc>
      </w:tr>
      <w:tr w:rsidR="007D728B" w:rsidRPr="008373FE" w14:paraId="612B118D" w14:textId="77777777" w:rsidTr="007D728B">
        <w:tc>
          <w:tcPr>
            <w:tcW w:w="706" w:type="dxa"/>
            <w:tcBorders>
              <w:right w:val="single" w:sz="4" w:space="0" w:color="000000" w:themeColor="text1"/>
            </w:tcBorders>
            <w:noWrap/>
          </w:tcPr>
          <w:p w14:paraId="09E5F5F1" w14:textId="443534FB" w:rsidR="007D728B" w:rsidRPr="008373FE" w:rsidRDefault="007D728B" w:rsidP="007D728B">
            <w:pPr>
              <w:ind w:left="-58" w:right="-58"/>
              <w:jc w:val="center"/>
              <w:rPr>
                <w:rFonts w:cs="Arial"/>
                <w:bCs/>
                <w:sz w:val="19"/>
                <w:szCs w:val="19"/>
              </w:rPr>
            </w:pPr>
            <w:r w:rsidRPr="008373FE">
              <w:rPr>
                <w:rFonts w:cs="Arial"/>
                <w:bCs/>
                <w:sz w:val="19"/>
                <w:szCs w:val="19"/>
              </w:rPr>
              <w:t>32</w:t>
            </w:r>
          </w:p>
        </w:tc>
        <w:tc>
          <w:tcPr>
            <w:tcW w:w="3643" w:type="dxa"/>
            <w:tcBorders>
              <w:left w:val="single" w:sz="4" w:space="0" w:color="000000" w:themeColor="text1"/>
              <w:right w:val="single" w:sz="4" w:space="0" w:color="000000" w:themeColor="text1"/>
            </w:tcBorders>
            <w:noWrap/>
            <w:vAlign w:val="bottom"/>
          </w:tcPr>
          <w:p w14:paraId="5618D685" w14:textId="66ADE6BD" w:rsidR="007D728B" w:rsidRPr="008373FE" w:rsidRDefault="007D728B" w:rsidP="007D728B">
            <w:pPr>
              <w:ind w:left="302" w:right="-58"/>
              <w:jc w:val="left"/>
              <w:rPr>
                <w:rFonts w:cs="Arial"/>
                <w:bCs/>
                <w:sz w:val="19"/>
                <w:szCs w:val="19"/>
              </w:rPr>
            </w:pPr>
            <w:r w:rsidRPr="00B325F0">
              <w:rPr>
                <w:rFonts w:cs="Arial"/>
                <w:bCs/>
                <w:sz w:val="19"/>
                <w:szCs w:val="19"/>
              </w:rPr>
              <w:t>Decrease/(Increase) in HTM investments</w:t>
            </w:r>
          </w:p>
        </w:tc>
        <w:tc>
          <w:tcPr>
            <w:tcW w:w="775" w:type="dxa"/>
            <w:tcBorders>
              <w:left w:val="single" w:sz="4" w:space="0" w:color="000000" w:themeColor="text1"/>
              <w:right w:val="single" w:sz="4" w:space="0" w:color="000000" w:themeColor="text1"/>
            </w:tcBorders>
            <w:noWrap/>
            <w:vAlign w:val="bottom"/>
          </w:tcPr>
          <w:p w14:paraId="11EAA075"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right w:val="single" w:sz="4" w:space="0" w:color="000000" w:themeColor="text1"/>
            </w:tcBorders>
            <w:vAlign w:val="bottom"/>
          </w:tcPr>
          <w:p w14:paraId="711A70CF" w14:textId="443FF413" w:rsidR="007D728B" w:rsidRPr="003C222B" w:rsidRDefault="007D728B" w:rsidP="007D728B">
            <w:pPr>
              <w:jc w:val="right"/>
              <w:rPr>
                <w:rFonts w:cs="Arial"/>
                <w:sz w:val="19"/>
                <w:szCs w:val="19"/>
                <w:lang w:val="vi-VN"/>
              </w:rPr>
            </w:pPr>
            <w:r w:rsidRPr="00FA525D">
              <w:t>(981</w:t>
            </w:r>
            <w:r w:rsidR="00CA0E3B">
              <w:t>,</w:t>
            </w:r>
            <w:r w:rsidRPr="00FA525D">
              <w:t>820</w:t>
            </w:r>
            <w:r w:rsidR="00CA0E3B">
              <w:t>,</w:t>
            </w:r>
            <w:r w:rsidRPr="00FA525D">
              <w:t>000</w:t>
            </w:r>
            <w:r w:rsidR="00CA0E3B">
              <w:t>,</w:t>
            </w:r>
            <w:r w:rsidRPr="00FA525D">
              <w:t xml:space="preserve">000) </w:t>
            </w:r>
          </w:p>
        </w:tc>
        <w:tc>
          <w:tcPr>
            <w:tcW w:w="1886" w:type="dxa"/>
            <w:tcBorders>
              <w:left w:val="single" w:sz="4" w:space="0" w:color="000000" w:themeColor="text1"/>
            </w:tcBorders>
            <w:noWrap/>
            <w:vAlign w:val="bottom"/>
          </w:tcPr>
          <w:p w14:paraId="1E6699E8" w14:textId="5818CA6F" w:rsidR="007D728B" w:rsidRPr="008373FE" w:rsidRDefault="007D728B" w:rsidP="007D728B">
            <w:pPr>
              <w:jc w:val="right"/>
              <w:rPr>
                <w:rFonts w:cs="Arial"/>
                <w:bCs/>
                <w:sz w:val="19"/>
                <w:szCs w:val="19"/>
                <w:lang w:val="vi-VN"/>
              </w:rPr>
            </w:pPr>
            <w:r w:rsidRPr="00FA525D">
              <w:t>348</w:t>
            </w:r>
            <w:r w:rsidR="00CA0E3B">
              <w:t>,</w:t>
            </w:r>
            <w:r w:rsidRPr="00FA525D">
              <w:t>900</w:t>
            </w:r>
            <w:r w:rsidR="00CA0E3B">
              <w:t>,</w:t>
            </w:r>
            <w:r w:rsidRPr="00FA525D">
              <w:t>000</w:t>
            </w:r>
            <w:r w:rsidR="00CA0E3B">
              <w:t>,</w:t>
            </w:r>
            <w:r w:rsidRPr="00FA525D">
              <w:t xml:space="preserve">000 </w:t>
            </w:r>
          </w:p>
        </w:tc>
      </w:tr>
      <w:tr w:rsidR="007D728B" w:rsidRPr="008373FE" w14:paraId="2E904AB6" w14:textId="77777777" w:rsidTr="007D728B">
        <w:tc>
          <w:tcPr>
            <w:tcW w:w="706" w:type="dxa"/>
            <w:tcBorders>
              <w:right w:val="single" w:sz="4" w:space="0" w:color="000000" w:themeColor="text1"/>
            </w:tcBorders>
            <w:noWrap/>
          </w:tcPr>
          <w:p w14:paraId="043C65CA" w14:textId="6F97A2BE" w:rsidR="007D728B" w:rsidRPr="008373FE" w:rsidRDefault="007D728B" w:rsidP="007D728B">
            <w:pPr>
              <w:ind w:left="-58" w:right="-58"/>
              <w:jc w:val="center"/>
              <w:rPr>
                <w:rFonts w:cs="Arial"/>
                <w:bCs/>
                <w:sz w:val="19"/>
                <w:szCs w:val="19"/>
              </w:rPr>
            </w:pPr>
            <w:r w:rsidRPr="008373FE">
              <w:rPr>
                <w:rFonts w:cs="Arial"/>
                <w:bCs/>
                <w:sz w:val="19"/>
                <w:szCs w:val="19"/>
              </w:rPr>
              <w:t>33</w:t>
            </w:r>
          </w:p>
        </w:tc>
        <w:tc>
          <w:tcPr>
            <w:tcW w:w="3643" w:type="dxa"/>
            <w:tcBorders>
              <w:left w:val="single" w:sz="4" w:space="0" w:color="000000" w:themeColor="text1"/>
              <w:right w:val="single" w:sz="4" w:space="0" w:color="000000" w:themeColor="text1"/>
            </w:tcBorders>
            <w:noWrap/>
            <w:vAlign w:val="bottom"/>
          </w:tcPr>
          <w:p w14:paraId="1C19AE35" w14:textId="29D741B4" w:rsidR="007D728B" w:rsidRPr="008373FE" w:rsidRDefault="007D728B" w:rsidP="007D728B">
            <w:pPr>
              <w:ind w:left="302"/>
              <w:rPr>
                <w:rFonts w:cs="Arial"/>
                <w:bCs/>
                <w:sz w:val="19"/>
                <w:szCs w:val="19"/>
              </w:rPr>
            </w:pPr>
            <w:r w:rsidRPr="008D0FAC">
              <w:rPr>
                <w:rFonts w:cs="Arial"/>
                <w:bCs/>
                <w:sz w:val="19"/>
                <w:szCs w:val="19"/>
              </w:rPr>
              <w:t>Increase in loans</w:t>
            </w:r>
          </w:p>
        </w:tc>
        <w:tc>
          <w:tcPr>
            <w:tcW w:w="775" w:type="dxa"/>
            <w:tcBorders>
              <w:left w:val="single" w:sz="4" w:space="0" w:color="000000" w:themeColor="text1"/>
              <w:right w:val="single" w:sz="4" w:space="0" w:color="000000" w:themeColor="text1"/>
            </w:tcBorders>
            <w:noWrap/>
            <w:vAlign w:val="bottom"/>
          </w:tcPr>
          <w:p w14:paraId="203CE718"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right w:val="single" w:sz="4" w:space="0" w:color="000000" w:themeColor="text1"/>
            </w:tcBorders>
            <w:vAlign w:val="bottom"/>
          </w:tcPr>
          <w:p w14:paraId="5B7A5444" w14:textId="6CEA7EB9" w:rsidR="007D728B" w:rsidRPr="003C222B" w:rsidRDefault="007D728B" w:rsidP="007D728B">
            <w:pPr>
              <w:jc w:val="right"/>
              <w:rPr>
                <w:rFonts w:cs="Arial"/>
                <w:sz w:val="19"/>
                <w:szCs w:val="19"/>
              </w:rPr>
            </w:pPr>
            <w:r w:rsidRPr="00FA525D">
              <w:t>221</w:t>
            </w:r>
            <w:r w:rsidR="00CA0E3B">
              <w:t>,</w:t>
            </w:r>
            <w:r w:rsidRPr="00FA525D">
              <w:t>006</w:t>
            </w:r>
            <w:r w:rsidR="00CA0E3B">
              <w:t>,</w:t>
            </w:r>
            <w:r w:rsidRPr="00FA525D">
              <w:t>029</w:t>
            </w:r>
            <w:r w:rsidR="00CA0E3B">
              <w:t>,</w:t>
            </w:r>
            <w:r w:rsidRPr="00FA525D">
              <w:t xml:space="preserve">064 </w:t>
            </w:r>
          </w:p>
        </w:tc>
        <w:tc>
          <w:tcPr>
            <w:tcW w:w="1886" w:type="dxa"/>
            <w:tcBorders>
              <w:left w:val="single" w:sz="4" w:space="0" w:color="000000" w:themeColor="text1"/>
            </w:tcBorders>
            <w:noWrap/>
            <w:vAlign w:val="bottom"/>
          </w:tcPr>
          <w:p w14:paraId="7EFF98A7" w14:textId="1A046A0E" w:rsidR="007D728B" w:rsidRPr="003C222B" w:rsidRDefault="007D728B" w:rsidP="007D728B">
            <w:pPr>
              <w:jc w:val="right"/>
              <w:rPr>
                <w:rFonts w:cs="Arial"/>
                <w:sz w:val="19"/>
                <w:szCs w:val="19"/>
              </w:rPr>
            </w:pPr>
            <w:r w:rsidRPr="00FA525D">
              <w:t>(670</w:t>
            </w:r>
            <w:r w:rsidR="00CA0E3B">
              <w:t>,</w:t>
            </w:r>
            <w:r w:rsidRPr="00FA525D">
              <w:t>169</w:t>
            </w:r>
            <w:r w:rsidR="00CA0E3B">
              <w:t>,</w:t>
            </w:r>
            <w:r w:rsidRPr="00FA525D">
              <w:t>306</w:t>
            </w:r>
            <w:r w:rsidR="00CA0E3B">
              <w:t>,</w:t>
            </w:r>
            <w:r w:rsidRPr="00FA525D">
              <w:t xml:space="preserve">471) </w:t>
            </w:r>
          </w:p>
        </w:tc>
      </w:tr>
      <w:tr w:rsidR="007D728B" w:rsidRPr="008373FE" w14:paraId="0F9EA78D" w14:textId="77777777" w:rsidTr="007D728B">
        <w:tc>
          <w:tcPr>
            <w:tcW w:w="706" w:type="dxa"/>
            <w:tcBorders>
              <w:right w:val="single" w:sz="4" w:space="0" w:color="000000" w:themeColor="text1"/>
            </w:tcBorders>
            <w:noWrap/>
          </w:tcPr>
          <w:p w14:paraId="03E12F0F" w14:textId="2E597471" w:rsidR="007D728B" w:rsidRPr="008373FE" w:rsidRDefault="007D728B" w:rsidP="007D728B">
            <w:pPr>
              <w:ind w:left="-58" w:right="-58"/>
              <w:jc w:val="center"/>
              <w:rPr>
                <w:rFonts w:cs="Arial"/>
                <w:bCs/>
                <w:sz w:val="19"/>
                <w:szCs w:val="19"/>
              </w:rPr>
            </w:pPr>
            <w:r w:rsidRPr="008373FE">
              <w:rPr>
                <w:rFonts w:cs="Arial"/>
                <w:bCs/>
                <w:sz w:val="19"/>
                <w:szCs w:val="19"/>
              </w:rPr>
              <w:t>36</w:t>
            </w:r>
          </w:p>
        </w:tc>
        <w:tc>
          <w:tcPr>
            <w:tcW w:w="3643" w:type="dxa"/>
            <w:tcBorders>
              <w:left w:val="single" w:sz="4" w:space="0" w:color="000000" w:themeColor="text1"/>
              <w:right w:val="single" w:sz="4" w:space="0" w:color="000000" w:themeColor="text1"/>
            </w:tcBorders>
            <w:noWrap/>
            <w:vAlign w:val="bottom"/>
          </w:tcPr>
          <w:p w14:paraId="70D6FEBB" w14:textId="459C0F4A" w:rsidR="007D728B" w:rsidRPr="008373FE" w:rsidRDefault="007D728B" w:rsidP="007D728B">
            <w:pPr>
              <w:ind w:left="302"/>
              <w:rPr>
                <w:rFonts w:cs="Arial"/>
                <w:bCs/>
                <w:sz w:val="19"/>
                <w:szCs w:val="19"/>
              </w:rPr>
            </w:pPr>
            <w:r w:rsidRPr="00C36487">
              <w:rPr>
                <w:rFonts w:cs="Arial"/>
                <w:bCs/>
                <w:sz w:val="19"/>
                <w:szCs w:val="19"/>
              </w:rPr>
              <w:t>Decrease in receivables and accruals from dividend and interest income</w:t>
            </w:r>
          </w:p>
        </w:tc>
        <w:tc>
          <w:tcPr>
            <w:tcW w:w="775" w:type="dxa"/>
            <w:tcBorders>
              <w:left w:val="single" w:sz="4" w:space="0" w:color="000000" w:themeColor="text1"/>
              <w:right w:val="single" w:sz="4" w:space="0" w:color="000000" w:themeColor="text1"/>
            </w:tcBorders>
            <w:noWrap/>
            <w:vAlign w:val="bottom"/>
          </w:tcPr>
          <w:p w14:paraId="02F73330"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right w:val="single" w:sz="4" w:space="0" w:color="000000" w:themeColor="text1"/>
            </w:tcBorders>
            <w:vAlign w:val="bottom"/>
          </w:tcPr>
          <w:p w14:paraId="6073779A" w14:textId="217FCD66" w:rsidR="007D728B" w:rsidRPr="003C222B" w:rsidRDefault="007D728B" w:rsidP="007D728B">
            <w:pPr>
              <w:jc w:val="right"/>
              <w:rPr>
                <w:rFonts w:cs="Arial"/>
                <w:sz w:val="19"/>
                <w:szCs w:val="19"/>
              </w:rPr>
            </w:pPr>
            <w:r w:rsidRPr="00FA525D">
              <w:t>(4</w:t>
            </w:r>
            <w:r w:rsidR="00CA0E3B">
              <w:t>,</w:t>
            </w:r>
            <w:r w:rsidRPr="00FA525D">
              <w:t>631</w:t>
            </w:r>
            <w:r w:rsidR="00CA0E3B">
              <w:t>,</w:t>
            </w:r>
            <w:r w:rsidRPr="00FA525D">
              <w:t>366</w:t>
            </w:r>
            <w:r w:rsidR="00CA0E3B">
              <w:t>,</w:t>
            </w:r>
            <w:r w:rsidRPr="00FA525D">
              <w:t>679)</w:t>
            </w:r>
          </w:p>
        </w:tc>
        <w:tc>
          <w:tcPr>
            <w:tcW w:w="1886" w:type="dxa"/>
            <w:tcBorders>
              <w:left w:val="single" w:sz="4" w:space="0" w:color="000000" w:themeColor="text1"/>
            </w:tcBorders>
            <w:noWrap/>
            <w:vAlign w:val="bottom"/>
          </w:tcPr>
          <w:p w14:paraId="48C02D82" w14:textId="22F4A858" w:rsidR="007D728B" w:rsidRPr="003C222B" w:rsidRDefault="007D728B" w:rsidP="007D728B">
            <w:pPr>
              <w:jc w:val="right"/>
              <w:rPr>
                <w:rFonts w:cs="Arial"/>
                <w:sz w:val="19"/>
                <w:szCs w:val="19"/>
              </w:rPr>
            </w:pPr>
            <w:r w:rsidRPr="00FA525D">
              <w:t>15</w:t>
            </w:r>
            <w:r w:rsidR="00CA0E3B">
              <w:t>,</w:t>
            </w:r>
            <w:r w:rsidRPr="00FA525D">
              <w:t>317</w:t>
            </w:r>
            <w:r w:rsidR="00CA0E3B">
              <w:t>,</w:t>
            </w:r>
            <w:r w:rsidRPr="00FA525D">
              <w:t>146</w:t>
            </w:r>
            <w:r w:rsidR="00CA0E3B">
              <w:t>,</w:t>
            </w:r>
            <w:r w:rsidRPr="00FA525D">
              <w:t xml:space="preserve">687 </w:t>
            </w:r>
          </w:p>
        </w:tc>
      </w:tr>
      <w:tr w:rsidR="007D728B" w:rsidRPr="008373FE" w14:paraId="34CDF45C" w14:textId="77777777" w:rsidTr="007D728B">
        <w:tc>
          <w:tcPr>
            <w:tcW w:w="706" w:type="dxa"/>
            <w:tcBorders>
              <w:right w:val="single" w:sz="4" w:space="0" w:color="000000" w:themeColor="text1"/>
            </w:tcBorders>
            <w:noWrap/>
          </w:tcPr>
          <w:p w14:paraId="548E7F19" w14:textId="5AE16BE4" w:rsidR="007D728B" w:rsidRPr="008373FE" w:rsidRDefault="007D728B" w:rsidP="007D728B">
            <w:pPr>
              <w:ind w:left="-58" w:right="-58"/>
              <w:jc w:val="center"/>
              <w:rPr>
                <w:rFonts w:cs="Arial"/>
                <w:bCs/>
                <w:sz w:val="19"/>
                <w:szCs w:val="19"/>
              </w:rPr>
            </w:pPr>
            <w:r w:rsidRPr="008373FE">
              <w:rPr>
                <w:rFonts w:cs="Arial"/>
                <w:bCs/>
                <w:sz w:val="19"/>
                <w:szCs w:val="19"/>
              </w:rPr>
              <w:t>37</w:t>
            </w:r>
          </w:p>
        </w:tc>
        <w:tc>
          <w:tcPr>
            <w:tcW w:w="3643" w:type="dxa"/>
            <w:tcBorders>
              <w:left w:val="single" w:sz="4" w:space="0" w:color="000000" w:themeColor="text1"/>
              <w:right w:val="single" w:sz="4" w:space="0" w:color="000000" w:themeColor="text1"/>
            </w:tcBorders>
            <w:noWrap/>
            <w:vAlign w:val="bottom"/>
          </w:tcPr>
          <w:p w14:paraId="79AEC8BB" w14:textId="3BE8709C" w:rsidR="007D728B" w:rsidRPr="008373FE" w:rsidRDefault="007D728B" w:rsidP="007D728B">
            <w:pPr>
              <w:ind w:left="302" w:right="-58"/>
              <w:jc w:val="left"/>
              <w:rPr>
                <w:rFonts w:cs="Arial"/>
                <w:bCs/>
                <w:sz w:val="19"/>
                <w:szCs w:val="19"/>
              </w:rPr>
            </w:pPr>
            <w:r>
              <w:rPr>
                <w:rFonts w:cs="Arial"/>
                <w:bCs/>
                <w:sz w:val="19"/>
                <w:szCs w:val="19"/>
              </w:rPr>
              <w:t>Decrease/(</w:t>
            </w:r>
            <w:r w:rsidRPr="00F54FC2">
              <w:rPr>
                <w:rFonts w:cs="Arial"/>
                <w:bCs/>
                <w:sz w:val="19"/>
                <w:szCs w:val="19"/>
              </w:rPr>
              <w:t>Increase</w:t>
            </w:r>
            <w:r>
              <w:rPr>
                <w:rFonts w:cs="Arial"/>
                <w:bCs/>
                <w:sz w:val="19"/>
                <w:szCs w:val="19"/>
              </w:rPr>
              <w:t>)</w:t>
            </w:r>
            <w:r w:rsidRPr="00F54FC2">
              <w:rPr>
                <w:rFonts w:cs="Arial"/>
                <w:bCs/>
                <w:sz w:val="19"/>
                <w:szCs w:val="19"/>
              </w:rPr>
              <w:t xml:space="preserve"> in receivables from services provided by the Company</w:t>
            </w:r>
          </w:p>
        </w:tc>
        <w:tc>
          <w:tcPr>
            <w:tcW w:w="775" w:type="dxa"/>
            <w:tcBorders>
              <w:left w:val="single" w:sz="4" w:space="0" w:color="000000" w:themeColor="text1"/>
              <w:right w:val="single" w:sz="4" w:space="0" w:color="000000" w:themeColor="text1"/>
            </w:tcBorders>
            <w:noWrap/>
            <w:vAlign w:val="bottom"/>
          </w:tcPr>
          <w:p w14:paraId="4157A84B"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right w:val="single" w:sz="4" w:space="0" w:color="000000" w:themeColor="text1"/>
            </w:tcBorders>
            <w:vAlign w:val="bottom"/>
          </w:tcPr>
          <w:p w14:paraId="5AE0108C" w14:textId="36E3F43D" w:rsidR="007D728B" w:rsidRPr="003C222B" w:rsidRDefault="007D728B" w:rsidP="007D728B">
            <w:pPr>
              <w:jc w:val="right"/>
              <w:rPr>
                <w:rFonts w:cs="Arial"/>
                <w:sz w:val="19"/>
                <w:szCs w:val="19"/>
              </w:rPr>
            </w:pPr>
            <w:r w:rsidRPr="00FA525D">
              <w:t>373</w:t>
            </w:r>
            <w:r w:rsidR="00CA0E3B">
              <w:t>,</w:t>
            </w:r>
            <w:r w:rsidRPr="00FA525D">
              <w:t>799</w:t>
            </w:r>
          </w:p>
        </w:tc>
        <w:tc>
          <w:tcPr>
            <w:tcW w:w="1886" w:type="dxa"/>
            <w:tcBorders>
              <w:left w:val="single" w:sz="4" w:space="0" w:color="000000" w:themeColor="text1"/>
            </w:tcBorders>
            <w:noWrap/>
            <w:vAlign w:val="bottom"/>
          </w:tcPr>
          <w:p w14:paraId="60E7B9C0" w14:textId="26CE20CF" w:rsidR="007D728B" w:rsidRPr="003C222B" w:rsidRDefault="007D728B" w:rsidP="007D728B">
            <w:pPr>
              <w:jc w:val="right"/>
              <w:rPr>
                <w:rFonts w:cs="Arial"/>
                <w:sz w:val="19"/>
                <w:szCs w:val="19"/>
              </w:rPr>
            </w:pPr>
            <w:r w:rsidRPr="00FA525D">
              <w:t>268</w:t>
            </w:r>
            <w:r w:rsidR="00CA0E3B">
              <w:t>,</w:t>
            </w:r>
            <w:r w:rsidRPr="00FA525D">
              <w:t xml:space="preserve">494 </w:t>
            </w:r>
          </w:p>
        </w:tc>
      </w:tr>
      <w:tr w:rsidR="007D728B" w:rsidRPr="008373FE" w14:paraId="317B9C5A" w14:textId="77777777" w:rsidTr="007D728B">
        <w:tc>
          <w:tcPr>
            <w:tcW w:w="706" w:type="dxa"/>
            <w:tcBorders>
              <w:bottom w:val="nil"/>
              <w:right w:val="single" w:sz="4" w:space="0" w:color="000000" w:themeColor="text1"/>
            </w:tcBorders>
            <w:noWrap/>
          </w:tcPr>
          <w:p w14:paraId="5C243FB1" w14:textId="2B072DA5" w:rsidR="007D728B" w:rsidRPr="008373FE" w:rsidRDefault="007D728B" w:rsidP="007D728B">
            <w:pPr>
              <w:ind w:left="-58" w:right="-58"/>
              <w:jc w:val="center"/>
              <w:rPr>
                <w:rFonts w:cs="Arial"/>
                <w:bCs/>
                <w:sz w:val="19"/>
                <w:szCs w:val="19"/>
              </w:rPr>
            </w:pPr>
            <w:r w:rsidRPr="008373FE">
              <w:rPr>
                <w:rFonts w:cs="Arial"/>
                <w:bCs/>
                <w:sz w:val="19"/>
                <w:szCs w:val="19"/>
              </w:rPr>
              <w:t>39</w:t>
            </w:r>
          </w:p>
        </w:tc>
        <w:tc>
          <w:tcPr>
            <w:tcW w:w="3643" w:type="dxa"/>
            <w:tcBorders>
              <w:left w:val="single" w:sz="4" w:space="0" w:color="000000" w:themeColor="text1"/>
              <w:bottom w:val="nil"/>
              <w:right w:val="single" w:sz="4" w:space="0" w:color="000000" w:themeColor="text1"/>
            </w:tcBorders>
            <w:noWrap/>
            <w:vAlign w:val="bottom"/>
          </w:tcPr>
          <w:p w14:paraId="75AC5412" w14:textId="01114AAC" w:rsidR="007D728B" w:rsidRPr="008373FE" w:rsidRDefault="007D728B" w:rsidP="007D728B">
            <w:pPr>
              <w:ind w:left="302"/>
              <w:rPr>
                <w:rFonts w:cs="Arial"/>
                <w:bCs/>
                <w:sz w:val="19"/>
                <w:szCs w:val="19"/>
              </w:rPr>
            </w:pPr>
            <w:r w:rsidRPr="00E11AD8">
              <w:rPr>
                <w:rFonts w:cs="Arial"/>
                <w:bCs/>
                <w:sz w:val="19"/>
                <w:szCs w:val="19"/>
              </w:rPr>
              <w:t>Increase in other receivables</w:t>
            </w:r>
          </w:p>
        </w:tc>
        <w:tc>
          <w:tcPr>
            <w:tcW w:w="775" w:type="dxa"/>
            <w:tcBorders>
              <w:left w:val="single" w:sz="4" w:space="0" w:color="000000" w:themeColor="text1"/>
              <w:bottom w:val="nil"/>
              <w:right w:val="single" w:sz="4" w:space="0" w:color="000000" w:themeColor="text1"/>
            </w:tcBorders>
            <w:noWrap/>
            <w:vAlign w:val="bottom"/>
          </w:tcPr>
          <w:p w14:paraId="6F223085"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bottom w:val="nil"/>
              <w:right w:val="single" w:sz="4" w:space="0" w:color="000000" w:themeColor="text1"/>
            </w:tcBorders>
            <w:vAlign w:val="bottom"/>
          </w:tcPr>
          <w:p w14:paraId="0DAC536F" w14:textId="2FF3AD3F" w:rsidR="007D728B" w:rsidRPr="003C222B" w:rsidRDefault="007D728B" w:rsidP="007D728B">
            <w:pPr>
              <w:jc w:val="right"/>
              <w:rPr>
                <w:rFonts w:cs="Arial"/>
                <w:sz w:val="19"/>
                <w:szCs w:val="19"/>
              </w:rPr>
            </w:pPr>
            <w:r w:rsidRPr="00FA525D">
              <w:t>1</w:t>
            </w:r>
            <w:r w:rsidR="00CA0E3B">
              <w:t>,</w:t>
            </w:r>
            <w:r w:rsidRPr="00FA525D">
              <w:t>767</w:t>
            </w:r>
            <w:r w:rsidR="00CA0E3B">
              <w:t>,</w:t>
            </w:r>
            <w:r w:rsidRPr="00FA525D">
              <w:t>398</w:t>
            </w:r>
            <w:r w:rsidR="00CA0E3B">
              <w:t>,</w:t>
            </w:r>
            <w:r w:rsidRPr="00FA525D">
              <w:t>008</w:t>
            </w:r>
          </w:p>
        </w:tc>
        <w:tc>
          <w:tcPr>
            <w:tcW w:w="1886" w:type="dxa"/>
            <w:tcBorders>
              <w:left w:val="single" w:sz="4" w:space="0" w:color="000000" w:themeColor="text1"/>
              <w:bottom w:val="nil"/>
            </w:tcBorders>
            <w:noWrap/>
            <w:vAlign w:val="bottom"/>
          </w:tcPr>
          <w:p w14:paraId="27097935" w14:textId="4ED775A1" w:rsidR="007D728B" w:rsidRPr="003C222B" w:rsidRDefault="007D728B" w:rsidP="007D728B">
            <w:pPr>
              <w:jc w:val="right"/>
              <w:rPr>
                <w:rFonts w:cs="Arial"/>
                <w:sz w:val="19"/>
                <w:szCs w:val="19"/>
              </w:rPr>
            </w:pPr>
            <w:r w:rsidRPr="00FA525D">
              <w:t>(1</w:t>
            </w:r>
            <w:r w:rsidR="00CA0E3B">
              <w:t>,</w:t>
            </w:r>
            <w:r w:rsidRPr="00FA525D">
              <w:t>758</w:t>
            </w:r>
            <w:r w:rsidR="00CA0E3B">
              <w:t>,</w:t>
            </w:r>
            <w:r w:rsidRPr="00FA525D">
              <w:t>823</w:t>
            </w:r>
            <w:r w:rsidR="00CA0E3B">
              <w:t>,</w:t>
            </w:r>
            <w:r w:rsidRPr="00FA525D">
              <w:t xml:space="preserve">008) </w:t>
            </w:r>
          </w:p>
        </w:tc>
      </w:tr>
      <w:tr w:rsidR="007D728B" w:rsidRPr="008373FE" w14:paraId="0E6B4F04" w14:textId="77777777" w:rsidTr="007D728B">
        <w:tc>
          <w:tcPr>
            <w:tcW w:w="706" w:type="dxa"/>
            <w:tcBorders>
              <w:bottom w:val="nil"/>
              <w:right w:val="single" w:sz="4" w:space="0" w:color="000000" w:themeColor="text1"/>
            </w:tcBorders>
            <w:noWrap/>
          </w:tcPr>
          <w:p w14:paraId="3A838AAB" w14:textId="30372C18" w:rsidR="007D728B" w:rsidRPr="008373FE" w:rsidRDefault="007D728B" w:rsidP="007D728B">
            <w:pPr>
              <w:ind w:left="-58" w:right="-58"/>
              <w:jc w:val="center"/>
              <w:rPr>
                <w:rFonts w:cs="Arial"/>
                <w:bCs/>
                <w:sz w:val="19"/>
                <w:szCs w:val="19"/>
              </w:rPr>
            </w:pPr>
            <w:r w:rsidRPr="008373FE">
              <w:rPr>
                <w:rFonts w:cs="Arial"/>
                <w:bCs/>
                <w:sz w:val="19"/>
                <w:szCs w:val="19"/>
              </w:rPr>
              <w:t>40</w:t>
            </w:r>
          </w:p>
        </w:tc>
        <w:tc>
          <w:tcPr>
            <w:tcW w:w="3643" w:type="dxa"/>
            <w:tcBorders>
              <w:left w:val="single" w:sz="4" w:space="0" w:color="000000" w:themeColor="text1"/>
              <w:bottom w:val="nil"/>
              <w:right w:val="single" w:sz="4" w:space="0" w:color="000000" w:themeColor="text1"/>
            </w:tcBorders>
            <w:noWrap/>
            <w:vAlign w:val="bottom"/>
          </w:tcPr>
          <w:p w14:paraId="636B95F7" w14:textId="2852D4D1" w:rsidR="007D728B" w:rsidRPr="008373FE" w:rsidRDefault="007D728B" w:rsidP="007D728B">
            <w:pPr>
              <w:ind w:left="302"/>
              <w:rPr>
                <w:rFonts w:cs="Arial"/>
                <w:bCs/>
                <w:sz w:val="19"/>
                <w:szCs w:val="19"/>
              </w:rPr>
            </w:pPr>
            <w:r>
              <w:rPr>
                <w:rFonts w:cs="Arial"/>
                <w:bCs/>
                <w:sz w:val="19"/>
                <w:szCs w:val="19"/>
              </w:rPr>
              <w:t>(</w:t>
            </w:r>
            <w:r w:rsidRPr="002A7D1D">
              <w:rPr>
                <w:rFonts w:cs="Arial"/>
                <w:bCs/>
                <w:sz w:val="19"/>
                <w:szCs w:val="19"/>
              </w:rPr>
              <w:t>Increase</w:t>
            </w:r>
            <w:r>
              <w:rPr>
                <w:rFonts w:cs="Arial"/>
                <w:bCs/>
                <w:sz w:val="19"/>
                <w:szCs w:val="19"/>
              </w:rPr>
              <w:t>)/Decrease</w:t>
            </w:r>
            <w:r w:rsidRPr="002A7D1D">
              <w:rPr>
                <w:rFonts w:cs="Arial"/>
                <w:bCs/>
                <w:sz w:val="19"/>
                <w:szCs w:val="19"/>
              </w:rPr>
              <w:t xml:space="preserve"> in other assets</w:t>
            </w:r>
          </w:p>
        </w:tc>
        <w:tc>
          <w:tcPr>
            <w:tcW w:w="775" w:type="dxa"/>
            <w:tcBorders>
              <w:left w:val="single" w:sz="4" w:space="0" w:color="000000" w:themeColor="text1"/>
              <w:bottom w:val="nil"/>
              <w:right w:val="single" w:sz="4" w:space="0" w:color="000000" w:themeColor="text1"/>
            </w:tcBorders>
            <w:noWrap/>
            <w:vAlign w:val="bottom"/>
          </w:tcPr>
          <w:p w14:paraId="31650863"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bottom w:val="nil"/>
              <w:right w:val="single" w:sz="4" w:space="0" w:color="000000" w:themeColor="text1"/>
            </w:tcBorders>
            <w:vAlign w:val="bottom"/>
          </w:tcPr>
          <w:p w14:paraId="0BFF87C6" w14:textId="6581D515" w:rsidR="007D728B" w:rsidRPr="003C222B" w:rsidRDefault="007D728B" w:rsidP="007D728B">
            <w:pPr>
              <w:jc w:val="right"/>
              <w:rPr>
                <w:rFonts w:cs="Arial"/>
                <w:sz w:val="19"/>
                <w:szCs w:val="19"/>
              </w:rPr>
            </w:pPr>
            <w:r w:rsidRPr="00FA525D">
              <w:t>(1</w:t>
            </w:r>
            <w:r w:rsidR="00CA0E3B">
              <w:t>,</w:t>
            </w:r>
            <w:r w:rsidRPr="00FA525D">
              <w:t>992</w:t>
            </w:r>
            <w:r w:rsidR="00CA0E3B">
              <w:t>,</w:t>
            </w:r>
            <w:r w:rsidRPr="00FA525D">
              <w:t>453</w:t>
            </w:r>
            <w:r w:rsidR="00CA0E3B">
              <w:t>,</w:t>
            </w:r>
            <w:r w:rsidRPr="00FA525D">
              <w:t>600)</w:t>
            </w:r>
          </w:p>
        </w:tc>
        <w:tc>
          <w:tcPr>
            <w:tcW w:w="1886" w:type="dxa"/>
            <w:tcBorders>
              <w:left w:val="single" w:sz="4" w:space="0" w:color="000000" w:themeColor="text1"/>
              <w:bottom w:val="nil"/>
            </w:tcBorders>
            <w:noWrap/>
            <w:vAlign w:val="bottom"/>
          </w:tcPr>
          <w:p w14:paraId="6508672E" w14:textId="7C7B37F3" w:rsidR="007D728B" w:rsidRPr="003C222B" w:rsidRDefault="007D728B" w:rsidP="007D728B">
            <w:pPr>
              <w:jc w:val="right"/>
              <w:rPr>
                <w:rFonts w:cs="Arial"/>
                <w:sz w:val="19"/>
                <w:szCs w:val="19"/>
              </w:rPr>
            </w:pPr>
            <w:r w:rsidRPr="00FA525D">
              <w:t>(333</w:t>
            </w:r>
            <w:r w:rsidR="00CA0E3B">
              <w:t>,</w:t>
            </w:r>
            <w:r w:rsidRPr="00FA525D">
              <w:t>458</w:t>
            </w:r>
            <w:r w:rsidR="00CA0E3B">
              <w:t>,</w:t>
            </w:r>
            <w:r w:rsidRPr="00FA525D">
              <w:t>599)</w:t>
            </w:r>
          </w:p>
        </w:tc>
      </w:tr>
      <w:tr w:rsidR="007D728B" w:rsidRPr="008373FE" w14:paraId="493E4E5D" w14:textId="77777777" w:rsidTr="007D728B">
        <w:tc>
          <w:tcPr>
            <w:tcW w:w="706" w:type="dxa"/>
            <w:tcBorders>
              <w:bottom w:val="nil"/>
              <w:right w:val="single" w:sz="4" w:space="0" w:color="000000" w:themeColor="text1"/>
            </w:tcBorders>
            <w:noWrap/>
          </w:tcPr>
          <w:p w14:paraId="7CD4F43E" w14:textId="4820A04C" w:rsidR="007D728B" w:rsidRPr="008373FE" w:rsidRDefault="007D728B" w:rsidP="007D728B">
            <w:pPr>
              <w:ind w:left="-58" w:right="-58"/>
              <w:jc w:val="center"/>
              <w:rPr>
                <w:rFonts w:cs="Arial"/>
                <w:bCs/>
                <w:sz w:val="19"/>
                <w:szCs w:val="19"/>
              </w:rPr>
            </w:pPr>
            <w:r w:rsidRPr="008373FE">
              <w:rPr>
                <w:rFonts w:cs="Arial"/>
                <w:bCs/>
                <w:sz w:val="19"/>
                <w:szCs w:val="19"/>
              </w:rPr>
              <w:t>41</w:t>
            </w:r>
          </w:p>
        </w:tc>
        <w:tc>
          <w:tcPr>
            <w:tcW w:w="3643" w:type="dxa"/>
            <w:tcBorders>
              <w:left w:val="single" w:sz="4" w:space="0" w:color="000000" w:themeColor="text1"/>
              <w:bottom w:val="nil"/>
              <w:right w:val="single" w:sz="4" w:space="0" w:color="000000" w:themeColor="text1"/>
            </w:tcBorders>
            <w:noWrap/>
            <w:vAlign w:val="bottom"/>
          </w:tcPr>
          <w:p w14:paraId="10AAD687" w14:textId="6407CAF7" w:rsidR="007D728B" w:rsidRPr="008373FE" w:rsidRDefault="007D728B" w:rsidP="007D728B">
            <w:pPr>
              <w:ind w:left="302"/>
              <w:jc w:val="left"/>
              <w:rPr>
                <w:rFonts w:cs="Arial"/>
                <w:bCs/>
                <w:sz w:val="19"/>
                <w:szCs w:val="19"/>
              </w:rPr>
            </w:pPr>
            <w:r w:rsidRPr="00581F27">
              <w:rPr>
                <w:rFonts w:cs="Arial"/>
                <w:bCs/>
                <w:sz w:val="19"/>
                <w:szCs w:val="19"/>
              </w:rPr>
              <w:t>Increase in accrued expenses (excluding interest expenses)</w:t>
            </w:r>
          </w:p>
        </w:tc>
        <w:tc>
          <w:tcPr>
            <w:tcW w:w="775" w:type="dxa"/>
            <w:tcBorders>
              <w:left w:val="single" w:sz="4" w:space="0" w:color="000000" w:themeColor="text1"/>
              <w:bottom w:val="nil"/>
              <w:right w:val="single" w:sz="4" w:space="0" w:color="000000" w:themeColor="text1"/>
            </w:tcBorders>
            <w:noWrap/>
            <w:vAlign w:val="bottom"/>
          </w:tcPr>
          <w:p w14:paraId="04F4B105"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bottom w:val="nil"/>
              <w:right w:val="single" w:sz="4" w:space="0" w:color="000000" w:themeColor="text1"/>
            </w:tcBorders>
            <w:vAlign w:val="bottom"/>
          </w:tcPr>
          <w:p w14:paraId="3A37B43B" w14:textId="289738CC" w:rsidR="007D728B" w:rsidRPr="003C222B" w:rsidRDefault="007D728B" w:rsidP="007D728B">
            <w:pPr>
              <w:jc w:val="right"/>
              <w:rPr>
                <w:rFonts w:cs="Arial"/>
                <w:sz w:val="19"/>
                <w:szCs w:val="19"/>
              </w:rPr>
            </w:pPr>
            <w:r w:rsidRPr="00FA525D">
              <w:t>6</w:t>
            </w:r>
            <w:r w:rsidR="00CA0E3B">
              <w:t>,</w:t>
            </w:r>
            <w:r w:rsidRPr="00FA525D">
              <w:t>820</w:t>
            </w:r>
            <w:r w:rsidR="00CA0E3B">
              <w:t>,</w:t>
            </w:r>
            <w:r w:rsidRPr="00FA525D">
              <w:t>699</w:t>
            </w:r>
            <w:r w:rsidR="00CA0E3B">
              <w:t>,</w:t>
            </w:r>
            <w:r w:rsidRPr="00FA525D">
              <w:t>578</w:t>
            </w:r>
          </w:p>
        </w:tc>
        <w:tc>
          <w:tcPr>
            <w:tcW w:w="1886" w:type="dxa"/>
            <w:tcBorders>
              <w:left w:val="single" w:sz="4" w:space="0" w:color="000000" w:themeColor="text1"/>
              <w:bottom w:val="nil"/>
            </w:tcBorders>
            <w:noWrap/>
            <w:vAlign w:val="bottom"/>
          </w:tcPr>
          <w:p w14:paraId="060A03BE" w14:textId="658ED4A2" w:rsidR="007D728B" w:rsidRPr="003C222B" w:rsidRDefault="007D728B" w:rsidP="007D728B">
            <w:pPr>
              <w:jc w:val="right"/>
              <w:rPr>
                <w:rFonts w:cs="Arial"/>
                <w:sz w:val="19"/>
                <w:szCs w:val="19"/>
              </w:rPr>
            </w:pPr>
            <w:r w:rsidRPr="00FA525D">
              <w:t>801</w:t>
            </w:r>
            <w:r w:rsidR="00CA0E3B">
              <w:t>,</w:t>
            </w:r>
            <w:r w:rsidRPr="00FA525D">
              <w:t>668</w:t>
            </w:r>
            <w:r w:rsidR="00CA0E3B">
              <w:t>,</w:t>
            </w:r>
            <w:r w:rsidRPr="00FA525D">
              <w:t>102</w:t>
            </w:r>
          </w:p>
        </w:tc>
      </w:tr>
      <w:tr w:rsidR="007D728B" w:rsidRPr="008373FE" w14:paraId="097E2F74" w14:textId="77777777" w:rsidTr="007D728B">
        <w:tc>
          <w:tcPr>
            <w:tcW w:w="706" w:type="dxa"/>
            <w:tcBorders>
              <w:bottom w:val="nil"/>
              <w:right w:val="single" w:sz="4" w:space="0" w:color="000000" w:themeColor="text1"/>
            </w:tcBorders>
            <w:noWrap/>
          </w:tcPr>
          <w:p w14:paraId="3899168C" w14:textId="263BB97B" w:rsidR="007D728B" w:rsidRPr="008373FE" w:rsidRDefault="007D728B" w:rsidP="007D728B">
            <w:pPr>
              <w:ind w:left="-58" w:right="-58"/>
              <w:jc w:val="center"/>
              <w:rPr>
                <w:rFonts w:cs="Arial"/>
                <w:bCs/>
                <w:sz w:val="19"/>
                <w:szCs w:val="19"/>
              </w:rPr>
            </w:pPr>
            <w:r w:rsidRPr="008373FE">
              <w:rPr>
                <w:rFonts w:cs="Arial"/>
                <w:bCs/>
                <w:sz w:val="19"/>
                <w:szCs w:val="19"/>
              </w:rPr>
              <w:t>42</w:t>
            </w:r>
          </w:p>
        </w:tc>
        <w:tc>
          <w:tcPr>
            <w:tcW w:w="3643" w:type="dxa"/>
            <w:tcBorders>
              <w:left w:val="single" w:sz="4" w:space="0" w:color="000000" w:themeColor="text1"/>
              <w:bottom w:val="nil"/>
              <w:right w:val="single" w:sz="4" w:space="0" w:color="000000" w:themeColor="text1"/>
            </w:tcBorders>
            <w:noWrap/>
            <w:vAlign w:val="bottom"/>
          </w:tcPr>
          <w:p w14:paraId="6402D77E" w14:textId="4B269301" w:rsidR="007D728B" w:rsidRPr="008373FE" w:rsidRDefault="007D728B" w:rsidP="007D728B">
            <w:pPr>
              <w:ind w:left="302"/>
              <w:rPr>
                <w:rFonts w:cs="Arial"/>
                <w:bCs/>
                <w:sz w:val="19"/>
                <w:szCs w:val="19"/>
              </w:rPr>
            </w:pPr>
            <w:r w:rsidRPr="004A501A">
              <w:rPr>
                <w:rFonts w:cs="Arial"/>
                <w:bCs/>
                <w:sz w:val="19"/>
                <w:szCs w:val="19"/>
              </w:rPr>
              <w:t>Increase in prepaid expenses</w:t>
            </w:r>
          </w:p>
        </w:tc>
        <w:tc>
          <w:tcPr>
            <w:tcW w:w="775" w:type="dxa"/>
            <w:tcBorders>
              <w:left w:val="single" w:sz="4" w:space="0" w:color="000000" w:themeColor="text1"/>
              <w:bottom w:val="nil"/>
              <w:right w:val="single" w:sz="4" w:space="0" w:color="000000" w:themeColor="text1"/>
            </w:tcBorders>
            <w:noWrap/>
            <w:vAlign w:val="bottom"/>
          </w:tcPr>
          <w:p w14:paraId="5C11E66C"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bottom w:val="nil"/>
              <w:right w:val="single" w:sz="4" w:space="0" w:color="000000" w:themeColor="text1"/>
            </w:tcBorders>
            <w:vAlign w:val="bottom"/>
          </w:tcPr>
          <w:p w14:paraId="35C19B6C" w14:textId="49CF8211" w:rsidR="007D728B" w:rsidRPr="003C222B" w:rsidRDefault="007D728B" w:rsidP="007D728B">
            <w:pPr>
              <w:jc w:val="right"/>
              <w:rPr>
                <w:rFonts w:cs="Arial"/>
                <w:sz w:val="19"/>
                <w:szCs w:val="19"/>
              </w:rPr>
            </w:pPr>
            <w:r w:rsidRPr="00FA525D">
              <w:t>(1</w:t>
            </w:r>
            <w:r w:rsidR="00CA0E3B">
              <w:t>,</w:t>
            </w:r>
            <w:r w:rsidRPr="00FA525D">
              <w:t>944</w:t>
            </w:r>
            <w:r w:rsidR="00CA0E3B">
              <w:t>,</w:t>
            </w:r>
            <w:r w:rsidRPr="00FA525D">
              <w:t>327</w:t>
            </w:r>
            <w:r w:rsidR="00CA0E3B">
              <w:t>,</w:t>
            </w:r>
            <w:r w:rsidRPr="00FA525D">
              <w:t>704)</w:t>
            </w:r>
          </w:p>
        </w:tc>
        <w:tc>
          <w:tcPr>
            <w:tcW w:w="1886" w:type="dxa"/>
            <w:tcBorders>
              <w:left w:val="single" w:sz="4" w:space="0" w:color="000000" w:themeColor="text1"/>
              <w:bottom w:val="nil"/>
            </w:tcBorders>
            <w:noWrap/>
            <w:vAlign w:val="bottom"/>
          </w:tcPr>
          <w:p w14:paraId="5F743E12" w14:textId="47B414D7" w:rsidR="007D728B" w:rsidRPr="003C222B" w:rsidRDefault="007D728B" w:rsidP="007D728B">
            <w:pPr>
              <w:jc w:val="right"/>
              <w:rPr>
                <w:rFonts w:cs="Arial"/>
                <w:sz w:val="19"/>
                <w:szCs w:val="19"/>
              </w:rPr>
            </w:pPr>
            <w:r w:rsidRPr="00FA525D">
              <w:t>(240</w:t>
            </w:r>
            <w:r w:rsidR="00CA0E3B">
              <w:t>,</w:t>
            </w:r>
            <w:r w:rsidRPr="00FA525D">
              <w:t>009</w:t>
            </w:r>
            <w:r w:rsidR="00CA0E3B">
              <w:t>,</w:t>
            </w:r>
            <w:r w:rsidRPr="00FA525D">
              <w:t>174)</w:t>
            </w:r>
          </w:p>
        </w:tc>
      </w:tr>
      <w:tr w:rsidR="007D728B" w:rsidRPr="008373FE" w14:paraId="062CDD79" w14:textId="77777777" w:rsidTr="007D728B">
        <w:tc>
          <w:tcPr>
            <w:tcW w:w="706" w:type="dxa"/>
            <w:tcBorders>
              <w:bottom w:val="nil"/>
              <w:right w:val="single" w:sz="4" w:space="0" w:color="000000" w:themeColor="text1"/>
            </w:tcBorders>
            <w:noWrap/>
          </w:tcPr>
          <w:p w14:paraId="6BE9DFA5" w14:textId="3D3A1444" w:rsidR="007D728B" w:rsidRPr="008373FE" w:rsidRDefault="007D728B" w:rsidP="007D728B">
            <w:pPr>
              <w:ind w:left="-58" w:right="-58"/>
              <w:jc w:val="center"/>
              <w:rPr>
                <w:rFonts w:cs="Arial"/>
                <w:bCs/>
                <w:sz w:val="19"/>
                <w:szCs w:val="19"/>
              </w:rPr>
            </w:pPr>
            <w:r w:rsidRPr="008373FE">
              <w:rPr>
                <w:rFonts w:cs="Arial"/>
                <w:bCs/>
                <w:sz w:val="19"/>
                <w:szCs w:val="19"/>
              </w:rPr>
              <w:t>43</w:t>
            </w:r>
          </w:p>
        </w:tc>
        <w:tc>
          <w:tcPr>
            <w:tcW w:w="3643" w:type="dxa"/>
            <w:tcBorders>
              <w:left w:val="single" w:sz="4" w:space="0" w:color="000000" w:themeColor="text1"/>
              <w:bottom w:val="nil"/>
              <w:right w:val="single" w:sz="4" w:space="0" w:color="000000" w:themeColor="text1"/>
            </w:tcBorders>
            <w:noWrap/>
            <w:vAlign w:val="bottom"/>
          </w:tcPr>
          <w:p w14:paraId="0635B488" w14:textId="362243BC" w:rsidR="007D728B" w:rsidRPr="008373FE" w:rsidRDefault="007D728B" w:rsidP="007D728B">
            <w:pPr>
              <w:ind w:left="302"/>
              <w:rPr>
                <w:rFonts w:cs="Arial"/>
                <w:bCs/>
                <w:sz w:val="19"/>
                <w:szCs w:val="19"/>
              </w:rPr>
            </w:pPr>
            <w:r w:rsidRPr="007B0185">
              <w:rPr>
                <w:rFonts w:cs="Arial"/>
                <w:bCs/>
                <w:sz w:val="19"/>
                <w:szCs w:val="19"/>
              </w:rPr>
              <w:t>CIT paid</w:t>
            </w:r>
          </w:p>
        </w:tc>
        <w:tc>
          <w:tcPr>
            <w:tcW w:w="775" w:type="dxa"/>
            <w:tcBorders>
              <w:left w:val="single" w:sz="4" w:space="0" w:color="000000" w:themeColor="text1"/>
              <w:bottom w:val="nil"/>
              <w:right w:val="single" w:sz="4" w:space="0" w:color="000000" w:themeColor="text1"/>
            </w:tcBorders>
            <w:noWrap/>
            <w:vAlign w:val="bottom"/>
          </w:tcPr>
          <w:p w14:paraId="555B74FC" w14:textId="38CC9BFE" w:rsidR="007D728B" w:rsidRPr="003C222B" w:rsidRDefault="007D728B" w:rsidP="007D728B">
            <w:pPr>
              <w:ind w:left="-58" w:right="-58"/>
              <w:jc w:val="center"/>
              <w:rPr>
                <w:rFonts w:cs="Arial"/>
                <w:sz w:val="19"/>
                <w:szCs w:val="19"/>
              </w:rPr>
            </w:pPr>
            <w:r w:rsidRPr="003C222B">
              <w:rPr>
                <w:rFonts w:cs="Arial"/>
                <w:sz w:val="19"/>
                <w:szCs w:val="19"/>
              </w:rPr>
              <w:t>16</w:t>
            </w:r>
          </w:p>
        </w:tc>
        <w:tc>
          <w:tcPr>
            <w:tcW w:w="1886" w:type="dxa"/>
            <w:tcBorders>
              <w:left w:val="single" w:sz="4" w:space="0" w:color="000000" w:themeColor="text1"/>
              <w:bottom w:val="nil"/>
              <w:right w:val="single" w:sz="4" w:space="0" w:color="000000" w:themeColor="text1"/>
            </w:tcBorders>
            <w:vAlign w:val="bottom"/>
          </w:tcPr>
          <w:p w14:paraId="30A3CE80" w14:textId="302EFB23" w:rsidR="007D728B" w:rsidRPr="003C222B" w:rsidRDefault="007D728B" w:rsidP="007D728B">
            <w:pPr>
              <w:jc w:val="right"/>
              <w:rPr>
                <w:rFonts w:cs="Arial"/>
                <w:sz w:val="19"/>
                <w:szCs w:val="19"/>
              </w:rPr>
            </w:pPr>
            <w:r w:rsidRPr="00FA525D">
              <w:t>(9</w:t>
            </w:r>
            <w:r w:rsidR="00CA0E3B">
              <w:t>,</w:t>
            </w:r>
            <w:r w:rsidRPr="00FA525D">
              <w:t>562</w:t>
            </w:r>
            <w:r w:rsidR="00CA0E3B">
              <w:t>,</w:t>
            </w:r>
            <w:r w:rsidRPr="00FA525D">
              <w:t>167</w:t>
            </w:r>
            <w:r w:rsidR="00CA0E3B">
              <w:t>,</w:t>
            </w:r>
            <w:r w:rsidRPr="00FA525D">
              <w:t>251)</w:t>
            </w:r>
          </w:p>
        </w:tc>
        <w:tc>
          <w:tcPr>
            <w:tcW w:w="1886" w:type="dxa"/>
            <w:tcBorders>
              <w:left w:val="single" w:sz="4" w:space="0" w:color="000000" w:themeColor="text1"/>
              <w:bottom w:val="nil"/>
            </w:tcBorders>
            <w:noWrap/>
            <w:vAlign w:val="bottom"/>
          </w:tcPr>
          <w:p w14:paraId="1735CE02" w14:textId="40BF8403" w:rsidR="007D728B" w:rsidRPr="003C222B" w:rsidRDefault="007D728B" w:rsidP="007D728B">
            <w:pPr>
              <w:jc w:val="right"/>
              <w:rPr>
                <w:rFonts w:cs="Arial"/>
                <w:sz w:val="19"/>
                <w:szCs w:val="19"/>
              </w:rPr>
            </w:pPr>
            <w:r w:rsidRPr="00FA525D">
              <w:t>(10</w:t>
            </w:r>
            <w:r w:rsidR="00CA0E3B">
              <w:t>,</w:t>
            </w:r>
            <w:r w:rsidRPr="00FA525D">
              <w:t>251</w:t>
            </w:r>
            <w:r w:rsidR="00CA0E3B">
              <w:t>,</w:t>
            </w:r>
            <w:r w:rsidRPr="00FA525D">
              <w:t>687</w:t>
            </w:r>
            <w:r w:rsidR="00CA0E3B">
              <w:t>,</w:t>
            </w:r>
            <w:r w:rsidRPr="00FA525D">
              <w:t xml:space="preserve">581) </w:t>
            </w:r>
          </w:p>
        </w:tc>
      </w:tr>
      <w:tr w:rsidR="007D728B" w:rsidRPr="008373FE" w14:paraId="572D59D9" w14:textId="77777777" w:rsidTr="007D728B">
        <w:tc>
          <w:tcPr>
            <w:tcW w:w="706" w:type="dxa"/>
            <w:tcBorders>
              <w:bottom w:val="nil"/>
              <w:right w:val="single" w:sz="4" w:space="0" w:color="000000" w:themeColor="text1"/>
            </w:tcBorders>
            <w:noWrap/>
          </w:tcPr>
          <w:p w14:paraId="4E8FFEE4" w14:textId="3DC17783" w:rsidR="007D728B" w:rsidRPr="008373FE" w:rsidRDefault="007D728B" w:rsidP="007D728B">
            <w:pPr>
              <w:ind w:left="-58" w:right="-58"/>
              <w:jc w:val="center"/>
              <w:rPr>
                <w:rFonts w:cs="Arial"/>
                <w:bCs/>
                <w:sz w:val="19"/>
                <w:szCs w:val="19"/>
              </w:rPr>
            </w:pPr>
            <w:r w:rsidRPr="008373FE">
              <w:rPr>
                <w:rFonts w:cs="Arial"/>
                <w:bCs/>
                <w:sz w:val="19"/>
                <w:szCs w:val="19"/>
              </w:rPr>
              <w:t>44</w:t>
            </w:r>
          </w:p>
        </w:tc>
        <w:tc>
          <w:tcPr>
            <w:tcW w:w="3643" w:type="dxa"/>
            <w:tcBorders>
              <w:left w:val="single" w:sz="4" w:space="0" w:color="000000" w:themeColor="text1"/>
              <w:bottom w:val="nil"/>
              <w:right w:val="single" w:sz="4" w:space="0" w:color="000000" w:themeColor="text1"/>
            </w:tcBorders>
            <w:noWrap/>
            <w:vAlign w:val="bottom"/>
          </w:tcPr>
          <w:p w14:paraId="05323F35" w14:textId="1BBEA05D" w:rsidR="007D728B" w:rsidRPr="008373FE" w:rsidRDefault="007D728B" w:rsidP="007D728B">
            <w:pPr>
              <w:ind w:left="302"/>
              <w:rPr>
                <w:rFonts w:cs="Arial"/>
                <w:bCs/>
                <w:sz w:val="19"/>
                <w:szCs w:val="19"/>
              </w:rPr>
            </w:pPr>
            <w:r w:rsidRPr="00307465">
              <w:rPr>
                <w:rFonts w:cs="Arial"/>
                <w:bCs/>
                <w:sz w:val="19"/>
                <w:szCs w:val="19"/>
              </w:rPr>
              <w:t>Interest paid</w:t>
            </w:r>
          </w:p>
        </w:tc>
        <w:tc>
          <w:tcPr>
            <w:tcW w:w="775" w:type="dxa"/>
            <w:tcBorders>
              <w:left w:val="single" w:sz="4" w:space="0" w:color="000000" w:themeColor="text1"/>
              <w:bottom w:val="nil"/>
              <w:right w:val="single" w:sz="4" w:space="0" w:color="000000" w:themeColor="text1"/>
            </w:tcBorders>
            <w:noWrap/>
            <w:vAlign w:val="bottom"/>
          </w:tcPr>
          <w:p w14:paraId="73AF8794"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bottom w:val="nil"/>
              <w:right w:val="single" w:sz="4" w:space="0" w:color="000000" w:themeColor="text1"/>
            </w:tcBorders>
            <w:vAlign w:val="bottom"/>
          </w:tcPr>
          <w:p w14:paraId="2FF122DE" w14:textId="236BDFA3" w:rsidR="007D728B" w:rsidRPr="003C222B" w:rsidRDefault="007D728B" w:rsidP="007D728B">
            <w:pPr>
              <w:jc w:val="right"/>
              <w:rPr>
                <w:rFonts w:cs="Arial"/>
                <w:sz w:val="19"/>
                <w:szCs w:val="19"/>
              </w:rPr>
            </w:pPr>
            <w:r w:rsidRPr="00FA525D">
              <w:t>(48</w:t>
            </w:r>
            <w:r w:rsidR="00CA0E3B">
              <w:t>,</w:t>
            </w:r>
            <w:r w:rsidRPr="00FA525D">
              <w:t>092</w:t>
            </w:r>
            <w:r w:rsidR="00CA0E3B">
              <w:t>,</w:t>
            </w:r>
            <w:r w:rsidRPr="00FA525D">
              <w:t>180</w:t>
            </w:r>
            <w:r w:rsidR="00CA0E3B">
              <w:t>,</w:t>
            </w:r>
            <w:r w:rsidRPr="00FA525D">
              <w:t>822)</w:t>
            </w:r>
          </w:p>
        </w:tc>
        <w:tc>
          <w:tcPr>
            <w:tcW w:w="1886" w:type="dxa"/>
            <w:tcBorders>
              <w:left w:val="single" w:sz="4" w:space="0" w:color="000000" w:themeColor="text1"/>
              <w:bottom w:val="nil"/>
            </w:tcBorders>
            <w:noWrap/>
            <w:vAlign w:val="bottom"/>
          </w:tcPr>
          <w:p w14:paraId="50D359EB" w14:textId="68BD6EC2" w:rsidR="007D728B" w:rsidRPr="003C222B" w:rsidRDefault="007D728B" w:rsidP="007D728B">
            <w:pPr>
              <w:jc w:val="right"/>
              <w:rPr>
                <w:rFonts w:cs="Arial"/>
                <w:sz w:val="19"/>
                <w:szCs w:val="19"/>
              </w:rPr>
            </w:pPr>
            <w:r w:rsidRPr="00FA525D">
              <w:t>(56</w:t>
            </w:r>
            <w:r w:rsidR="00CA0E3B">
              <w:t>,</w:t>
            </w:r>
            <w:r w:rsidRPr="00FA525D">
              <w:t>141</w:t>
            </w:r>
            <w:r w:rsidR="00CA0E3B">
              <w:t>,</w:t>
            </w:r>
            <w:r w:rsidRPr="00FA525D">
              <w:t>865</w:t>
            </w:r>
            <w:r w:rsidR="00CA0E3B">
              <w:t>,</w:t>
            </w:r>
            <w:r w:rsidRPr="00FA525D">
              <w:t>281)</w:t>
            </w:r>
          </w:p>
        </w:tc>
      </w:tr>
      <w:tr w:rsidR="007D728B" w:rsidRPr="008373FE" w14:paraId="673C63CB" w14:textId="77777777" w:rsidTr="007D728B">
        <w:tc>
          <w:tcPr>
            <w:tcW w:w="706" w:type="dxa"/>
            <w:tcBorders>
              <w:bottom w:val="nil"/>
              <w:right w:val="single" w:sz="4" w:space="0" w:color="000000" w:themeColor="text1"/>
            </w:tcBorders>
            <w:noWrap/>
          </w:tcPr>
          <w:p w14:paraId="10A49541" w14:textId="63A5635B" w:rsidR="007D728B" w:rsidRPr="008373FE" w:rsidRDefault="007D728B" w:rsidP="007D728B">
            <w:pPr>
              <w:ind w:left="-58" w:right="-58"/>
              <w:jc w:val="center"/>
              <w:rPr>
                <w:rFonts w:cs="Arial"/>
                <w:bCs/>
                <w:sz w:val="19"/>
                <w:szCs w:val="19"/>
              </w:rPr>
            </w:pPr>
            <w:r w:rsidRPr="008373FE">
              <w:rPr>
                <w:rFonts w:cs="Arial"/>
                <w:bCs/>
                <w:sz w:val="19"/>
                <w:szCs w:val="19"/>
              </w:rPr>
              <w:t>45</w:t>
            </w:r>
          </w:p>
        </w:tc>
        <w:tc>
          <w:tcPr>
            <w:tcW w:w="3643" w:type="dxa"/>
            <w:tcBorders>
              <w:left w:val="single" w:sz="4" w:space="0" w:color="000000" w:themeColor="text1"/>
              <w:bottom w:val="nil"/>
              <w:right w:val="single" w:sz="4" w:space="0" w:color="000000" w:themeColor="text1"/>
            </w:tcBorders>
            <w:noWrap/>
            <w:vAlign w:val="bottom"/>
          </w:tcPr>
          <w:p w14:paraId="14FEA712" w14:textId="7A15D01B" w:rsidR="007D728B" w:rsidRPr="008373FE" w:rsidRDefault="007D728B" w:rsidP="007D728B">
            <w:pPr>
              <w:ind w:left="302"/>
              <w:jc w:val="left"/>
              <w:rPr>
                <w:rFonts w:cs="Arial"/>
                <w:bCs/>
                <w:sz w:val="19"/>
                <w:szCs w:val="19"/>
              </w:rPr>
            </w:pPr>
            <w:r w:rsidRPr="002D32FE">
              <w:rPr>
                <w:rFonts w:cs="Arial"/>
                <w:bCs/>
                <w:sz w:val="19"/>
                <w:szCs w:val="19"/>
              </w:rPr>
              <w:t>Increase/(Decrease) in trade payables</w:t>
            </w:r>
          </w:p>
        </w:tc>
        <w:tc>
          <w:tcPr>
            <w:tcW w:w="775" w:type="dxa"/>
            <w:tcBorders>
              <w:left w:val="single" w:sz="4" w:space="0" w:color="000000" w:themeColor="text1"/>
              <w:bottom w:val="nil"/>
              <w:right w:val="single" w:sz="4" w:space="0" w:color="000000" w:themeColor="text1"/>
            </w:tcBorders>
            <w:noWrap/>
            <w:vAlign w:val="bottom"/>
          </w:tcPr>
          <w:p w14:paraId="085C29D2"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bottom w:val="nil"/>
              <w:right w:val="single" w:sz="4" w:space="0" w:color="000000" w:themeColor="text1"/>
            </w:tcBorders>
            <w:vAlign w:val="bottom"/>
          </w:tcPr>
          <w:p w14:paraId="52BD0D51" w14:textId="5A9323D4" w:rsidR="007D728B" w:rsidRPr="003C222B" w:rsidRDefault="007D728B" w:rsidP="007D728B">
            <w:pPr>
              <w:jc w:val="right"/>
              <w:rPr>
                <w:rFonts w:cs="Arial"/>
                <w:sz w:val="19"/>
                <w:szCs w:val="19"/>
              </w:rPr>
            </w:pPr>
            <w:r w:rsidRPr="00FA525D">
              <w:t>(1</w:t>
            </w:r>
            <w:r w:rsidR="00CA0E3B">
              <w:t>,</w:t>
            </w:r>
            <w:r w:rsidRPr="00FA525D">
              <w:t>371</w:t>
            </w:r>
            <w:r w:rsidR="00CA0E3B">
              <w:t>,</w:t>
            </w:r>
            <w:r w:rsidRPr="00FA525D">
              <w:t>400</w:t>
            </w:r>
            <w:r w:rsidR="00CA0E3B">
              <w:t>,</w:t>
            </w:r>
            <w:r w:rsidRPr="00FA525D">
              <w:t>527)</w:t>
            </w:r>
          </w:p>
        </w:tc>
        <w:tc>
          <w:tcPr>
            <w:tcW w:w="1886" w:type="dxa"/>
            <w:tcBorders>
              <w:left w:val="single" w:sz="4" w:space="0" w:color="000000" w:themeColor="text1"/>
              <w:bottom w:val="nil"/>
            </w:tcBorders>
            <w:noWrap/>
            <w:vAlign w:val="bottom"/>
          </w:tcPr>
          <w:p w14:paraId="39B4C6D3" w14:textId="67659F99" w:rsidR="007D728B" w:rsidRPr="003C222B" w:rsidRDefault="007D728B" w:rsidP="007D728B">
            <w:pPr>
              <w:jc w:val="right"/>
              <w:rPr>
                <w:rFonts w:cs="Arial"/>
                <w:sz w:val="19"/>
                <w:szCs w:val="19"/>
              </w:rPr>
            </w:pPr>
            <w:r w:rsidRPr="00FA525D">
              <w:t>2</w:t>
            </w:r>
            <w:r w:rsidR="00CA0E3B">
              <w:t>,</w:t>
            </w:r>
            <w:r w:rsidRPr="00FA525D">
              <w:t>369</w:t>
            </w:r>
            <w:r w:rsidR="00CA0E3B">
              <w:t>,</w:t>
            </w:r>
            <w:r w:rsidRPr="00FA525D">
              <w:t>995</w:t>
            </w:r>
            <w:r w:rsidR="00CA0E3B">
              <w:t>,</w:t>
            </w:r>
            <w:r w:rsidRPr="00FA525D">
              <w:t>597</w:t>
            </w:r>
          </w:p>
        </w:tc>
      </w:tr>
      <w:tr w:rsidR="007D728B" w:rsidRPr="008373FE" w14:paraId="2FBB5A9C" w14:textId="77777777" w:rsidTr="007D728B">
        <w:tc>
          <w:tcPr>
            <w:tcW w:w="706" w:type="dxa"/>
            <w:tcBorders>
              <w:bottom w:val="nil"/>
              <w:right w:val="single" w:sz="4" w:space="0" w:color="000000" w:themeColor="text1"/>
            </w:tcBorders>
            <w:noWrap/>
          </w:tcPr>
          <w:p w14:paraId="6C917378" w14:textId="4CFC5ADA" w:rsidR="007D728B" w:rsidRPr="008373FE" w:rsidRDefault="007D728B" w:rsidP="007D728B">
            <w:pPr>
              <w:ind w:left="-58" w:right="-58"/>
              <w:jc w:val="center"/>
              <w:rPr>
                <w:rFonts w:cs="Arial"/>
                <w:bCs/>
                <w:sz w:val="19"/>
                <w:szCs w:val="19"/>
              </w:rPr>
            </w:pPr>
            <w:r w:rsidRPr="008373FE">
              <w:rPr>
                <w:rFonts w:cs="Arial"/>
                <w:bCs/>
                <w:sz w:val="19"/>
                <w:szCs w:val="19"/>
              </w:rPr>
              <w:t>47</w:t>
            </w:r>
          </w:p>
        </w:tc>
        <w:tc>
          <w:tcPr>
            <w:tcW w:w="3643" w:type="dxa"/>
            <w:tcBorders>
              <w:left w:val="single" w:sz="4" w:space="0" w:color="000000" w:themeColor="text1"/>
              <w:bottom w:val="nil"/>
              <w:right w:val="single" w:sz="4" w:space="0" w:color="000000" w:themeColor="text1"/>
            </w:tcBorders>
            <w:noWrap/>
            <w:vAlign w:val="bottom"/>
          </w:tcPr>
          <w:p w14:paraId="2307ACFE" w14:textId="174BD92D" w:rsidR="007D728B" w:rsidRPr="008373FE" w:rsidRDefault="007D728B" w:rsidP="007D728B">
            <w:pPr>
              <w:ind w:left="302"/>
              <w:jc w:val="left"/>
              <w:rPr>
                <w:rFonts w:cs="Arial"/>
                <w:bCs/>
                <w:sz w:val="19"/>
                <w:szCs w:val="19"/>
              </w:rPr>
            </w:pPr>
            <w:r w:rsidRPr="00F0191B">
              <w:rPr>
                <w:rFonts w:cs="Arial"/>
                <w:bCs/>
                <w:sz w:val="19"/>
                <w:szCs w:val="19"/>
              </w:rPr>
              <w:t>Increase/(Decrease) in tax and payables to the State (excluding CIT paid)</w:t>
            </w:r>
          </w:p>
        </w:tc>
        <w:tc>
          <w:tcPr>
            <w:tcW w:w="775" w:type="dxa"/>
            <w:tcBorders>
              <w:left w:val="single" w:sz="4" w:space="0" w:color="000000" w:themeColor="text1"/>
              <w:bottom w:val="nil"/>
              <w:right w:val="single" w:sz="4" w:space="0" w:color="000000" w:themeColor="text1"/>
            </w:tcBorders>
            <w:noWrap/>
            <w:vAlign w:val="bottom"/>
          </w:tcPr>
          <w:p w14:paraId="78846369" w14:textId="708A9ACB" w:rsidR="007D728B" w:rsidRPr="003C222B" w:rsidRDefault="007D728B" w:rsidP="007D728B">
            <w:pPr>
              <w:ind w:left="-58" w:right="-58"/>
              <w:jc w:val="center"/>
              <w:rPr>
                <w:rFonts w:cs="Arial"/>
                <w:sz w:val="19"/>
                <w:szCs w:val="19"/>
              </w:rPr>
            </w:pPr>
          </w:p>
        </w:tc>
        <w:tc>
          <w:tcPr>
            <w:tcW w:w="1886" w:type="dxa"/>
            <w:tcBorders>
              <w:left w:val="single" w:sz="4" w:space="0" w:color="000000" w:themeColor="text1"/>
              <w:bottom w:val="nil"/>
              <w:right w:val="single" w:sz="4" w:space="0" w:color="000000" w:themeColor="text1"/>
            </w:tcBorders>
            <w:vAlign w:val="bottom"/>
          </w:tcPr>
          <w:p w14:paraId="09E6BCDE" w14:textId="5905B581" w:rsidR="007D728B" w:rsidRPr="003C222B" w:rsidRDefault="007D728B" w:rsidP="007D728B">
            <w:pPr>
              <w:jc w:val="right"/>
              <w:rPr>
                <w:rFonts w:cs="Arial"/>
                <w:sz w:val="19"/>
                <w:szCs w:val="19"/>
              </w:rPr>
            </w:pPr>
            <w:r w:rsidRPr="00FA525D">
              <w:t>(9</w:t>
            </w:r>
            <w:r w:rsidR="00CA0E3B">
              <w:t>,</w:t>
            </w:r>
            <w:r w:rsidRPr="00FA525D">
              <w:t>155</w:t>
            </w:r>
            <w:r w:rsidR="00CA0E3B">
              <w:t>,</w:t>
            </w:r>
            <w:r w:rsidRPr="00FA525D">
              <w:t>306</w:t>
            </w:r>
            <w:r w:rsidR="00CA0E3B">
              <w:t>,</w:t>
            </w:r>
            <w:r w:rsidRPr="00FA525D">
              <w:t>654)</w:t>
            </w:r>
          </w:p>
        </w:tc>
        <w:tc>
          <w:tcPr>
            <w:tcW w:w="1886" w:type="dxa"/>
            <w:tcBorders>
              <w:left w:val="single" w:sz="4" w:space="0" w:color="000000" w:themeColor="text1"/>
              <w:bottom w:val="nil"/>
            </w:tcBorders>
            <w:noWrap/>
            <w:vAlign w:val="bottom"/>
          </w:tcPr>
          <w:p w14:paraId="73E83EBA" w14:textId="2DCBA4D9" w:rsidR="007D728B" w:rsidRPr="003C222B" w:rsidRDefault="007D728B" w:rsidP="007D728B">
            <w:pPr>
              <w:jc w:val="right"/>
              <w:rPr>
                <w:rFonts w:cs="Arial"/>
                <w:sz w:val="19"/>
                <w:szCs w:val="19"/>
              </w:rPr>
            </w:pPr>
            <w:r w:rsidRPr="00FA525D">
              <w:t>8</w:t>
            </w:r>
            <w:r w:rsidR="00CA0E3B">
              <w:t>,</w:t>
            </w:r>
            <w:r w:rsidRPr="00FA525D">
              <w:t>517</w:t>
            </w:r>
            <w:r w:rsidR="00CA0E3B">
              <w:t>,</w:t>
            </w:r>
            <w:r w:rsidRPr="00FA525D">
              <w:t>926</w:t>
            </w:r>
            <w:r w:rsidR="00CA0E3B">
              <w:t>,</w:t>
            </w:r>
            <w:r w:rsidRPr="00FA525D">
              <w:t>260</w:t>
            </w:r>
          </w:p>
        </w:tc>
      </w:tr>
      <w:tr w:rsidR="007D728B" w:rsidRPr="008373FE" w14:paraId="00DEF8B6" w14:textId="77777777" w:rsidTr="007D728B">
        <w:tc>
          <w:tcPr>
            <w:tcW w:w="706" w:type="dxa"/>
            <w:tcBorders>
              <w:bottom w:val="nil"/>
              <w:right w:val="single" w:sz="4" w:space="0" w:color="000000" w:themeColor="text1"/>
            </w:tcBorders>
            <w:noWrap/>
          </w:tcPr>
          <w:p w14:paraId="2D678762" w14:textId="24B05183" w:rsidR="007D728B" w:rsidRPr="008373FE" w:rsidRDefault="007D728B" w:rsidP="007D728B">
            <w:pPr>
              <w:ind w:left="-58" w:right="-58"/>
              <w:jc w:val="center"/>
              <w:rPr>
                <w:rFonts w:cs="Arial"/>
                <w:bCs/>
                <w:sz w:val="19"/>
                <w:szCs w:val="19"/>
              </w:rPr>
            </w:pPr>
            <w:r w:rsidRPr="008373FE">
              <w:rPr>
                <w:rFonts w:cs="Arial"/>
                <w:bCs/>
                <w:sz w:val="19"/>
                <w:szCs w:val="19"/>
              </w:rPr>
              <w:t>48</w:t>
            </w:r>
          </w:p>
        </w:tc>
        <w:tc>
          <w:tcPr>
            <w:tcW w:w="3643" w:type="dxa"/>
            <w:tcBorders>
              <w:left w:val="single" w:sz="4" w:space="0" w:color="000000" w:themeColor="text1"/>
              <w:bottom w:val="nil"/>
              <w:right w:val="single" w:sz="4" w:space="0" w:color="000000" w:themeColor="text1"/>
            </w:tcBorders>
            <w:noWrap/>
            <w:vAlign w:val="bottom"/>
          </w:tcPr>
          <w:p w14:paraId="77C17B69" w14:textId="55F53A11" w:rsidR="007D728B" w:rsidRPr="008373FE" w:rsidRDefault="007D728B" w:rsidP="007D728B">
            <w:pPr>
              <w:ind w:left="302"/>
              <w:rPr>
                <w:rFonts w:cs="Arial"/>
                <w:bCs/>
                <w:sz w:val="19"/>
                <w:szCs w:val="19"/>
              </w:rPr>
            </w:pPr>
            <w:r w:rsidRPr="006105A1">
              <w:rPr>
                <w:rFonts w:cs="Arial"/>
                <w:bCs/>
                <w:sz w:val="19"/>
                <w:szCs w:val="19"/>
              </w:rPr>
              <w:t>Increase/(Decrease) in payables to employees</w:t>
            </w:r>
          </w:p>
        </w:tc>
        <w:tc>
          <w:tcPr>
            <w:tcW w:w="775" w:type="dxa"/>
            <w:tcBorders>
              <w:left w:val="single" w:sz="4" w:space="0" w:color="000000" w:themeColor="text1"/>
              <w:bottom w:val="nil"/>
              <w:right w:val="single" w:sz="4" w:space="0" w:color="000000" w:themeColor="text1"/>
            </w:tcBorders>
            <w:noWrap/>
            <w:vAlign w:val="bottom"/>
          </w:tcPr>
          <w:p w14:paraId="54A86FEB"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bottom w:val="nil"/>
              <w:right w:val="single" w:sz="4" w:space="0" w:color="000000" w:themeColor="text1"/>
            </w:tcBorders>
            <w:vAlign w:val="bottom"/>
          </w:tcPr>
          <w:p w14:paraId="5CDA5F1D" w14:textId="2250EFA2" w:rsidR="007D728B" w:rsidRPr="003C222B" w:rsidRDefault="007D728B" w:rsidP="007D728B">
            <w:pPr>
              <w:jc w:val="right"/>
              <w:rPr>
                <w:rFonts w:cs="Arial"/>
                <w:sz w:val="19"/>
                <w:szCs w:val="19"/>
              </w:rPr>
            </w:pPr>
            <w:r w:rsidRPr="00FA525D">
              <w:t>(324</w:t>
            </w:r>
            <w:r w:rsidR="00CA0E3B">
              <w:t>,</w:t>
            </w:r>
            <w:r w:rsidRPr="00FA525D">
              <w:t>777</w:t>
            </w:r>
            <w:r w:rsidR="00CA0E3B">
              <w:t>,</w:t>
            </w:r>
            <w:r w:rsidRPr="00FA525D">
              <w:t>657)</w:t>
            </w:r>
          </w:p>
        </w:tc>
        <w:tc>
          <w:tcPr>
            <w:tcW w:w="1886" w:type="dxa"/>
            <w:tcBorders>
              <w:left w:val="single" w:sz="4" w:space="0" w:color="000000" w:themeColor="text1"/>
              <w:bottom w:val="nil"/>
            </w:tcBorders>
            <w:noWrap/>
            <w:vAlign w:val="bottom"/>
          </w:tcPr>
          <w:p w14:paraId="407FC615" w14:textId="15052EBA" w:rsidR="007D728B" w:rsidRPr="003C222B" w:rsidRDefault="007D728B" w:rsidP="007D728B">
            <w:pPr>
              <w:jc w:val="right"/>
              <w:rPr>
                <w:rFonts w:cs="Arial"/>
                <w:sz w:val="19"/>
                <w:szCs w:val="19"/>
              </w:rPr>
            </w:pPr>
            <w:r w:rsidRPr="00FA525D">
              <w:t>1</w:t>
            </w:r>
            <w:r w:rsidR="00CA0E3B">
              <w:t>,</w:t>
            </w:r>
            <w:r w:rsidRPr="00FA525D">
              <w:t>614</w:t>
            </w:r>
            <w:r w:rsidR="00CA0E3B">
              <w:t>,</w:t>
            </w:r>
            <w:r w:rsidRPr="00FA525D">
              <w:t>806</w:t>
            </w:r>
            <w:r w:rsidR="00CA0E3B">
              <w:t>,</w:t>
            </w:r>
            <w:r w:rsidRPr="00FA525D">
              <w:t xml:space="preserve">002 </w:t>
            </w:r>
          </w:p>
        </w:tc>
      </w:tr>
      <w:tr w:rsidR="007D728B" w:rsidRPr="008373FE" w14:paraId="7BAADEAF" w14:textId="77777777" w:rsidTr="007D728B">
        <w:tc>
          <w:tcPr>
            <w:tcW w:w="706" w:type="dxa"/>
            <w:tcBorders>
              <w:bottom w:val="nil"/>
              <w:right w:val="single" w:sz="4" w:space="0" w:color="000000" w:themeColor="text1"/>
            </w:tcBorders>
            <w:noWrap/>
          </w:tcPr>
          <w:p w14:paraId="748DA355" w14:textId="3EBB5A44" w:rsidR="007D728B" w:rsidRPr="008373FE" w:rsidRDefault="007D728B" w:rsidP="007D728B">
            <w:pPr>
              <w:ind w:left="-58" w:right="-58"/>
              <w:jc w:val="center"/>
              <w:rPr>
                <w:rFonts w:cs="Arial"/>
                <w:bCs/>
                <w:sz w:val="19"/>
                <w:szCs w:val="19"/>
              </w:rPr>
            </w:pPr>
            <w:r w:rsidRPr="008373FE">
              <w:rPr>
                <w:rFonts w:cs="Arial"/>
                <w:bCs/>
                <w:sz w:val="19"/>
                <w:szCs w:val="19"/>
              </w:rPr>
              <w:t>50</w:t>
            </w:r>
          </w:p>
        </w:tc>
        <w:tc>
          <w:tcPr>
            <w:tcW w:w="3643" w:type="dxa"/>
            <w:tcBorders>
              <w:left w:val="single" w:sz="4" w:space="0" w:color="000000" w:themeColor="text1"/>
              <w:bottom w:val="nil"/>
              <w:right w:val="single" w:sz="4" w:space="0" w:color="000000" w:themeColor="text1"/>
            </w:tcBorders>
            <w:noWrap/>
            <w:vAlign w:val="bottom"/>
          </w:tcPr>
          <w:p w14:paraId="78BFF175" w14:textId="1E40FA9F" w:rsidR="007D728B" w:rsidRPr="008373FE" w:rsidRDefault="007D728B" w:rsidP="007D728B">
            <w:pPr>
              <w:ind w:left="302"/>
              <w:rPr>
                <w:rFonts w:cs="Arial"/>
                <w:bCs/>
                <w:sz w:val="19"/>
                <w:szCs w:val="19"/>
              </w:rPr>
            </w:pPr>
            <w:r w:rsidRPr="00EC51D2">
              <w:rPr>
                <w:rFonts w:cs="Arial"/>
                <w:bCs/>
                <w:sz w:val="19"/>
                <w:szCs w:val="19"/>
              </w:rPr>
              <w:t>Decrease in other payables</w:t>
            </w:r>
          </w:p>
        </w:tc>
        <w:tc>
          <w:tcPr>
            <w:tcW w:w="775" w:type="dxa"/>
            <w:tcBorders>
              <w:left w:val="single" w:sz="4" w:space="0" w:color="000000" w:themeColor="text1"/>
              <w:bottom w:val="nil"/>
              <w:right w:val="single" w:sz="4" w:space="0" w:color="000000" w:themeColor="text1"/>
            </w:tcBorders>
            <w:noWrap/>
            <w:vAlign w:val="bottom"/>
          </w:tcPr>
          <w:p w14:paraId="769EFFD3"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bottom w:val="nil"/>
              <w:right w:val="single" w:sz="4" w:space="0" w:color="000000" w:themeColor="text1"/>
            </w:tcBorders>
            <w:vAlign w:val="bottom"/>
          </w:tcPr>
          <w:p w14:paraId="4CC93843" w14:textId="2CD2D51B" w:rsidR="007D728B" w:rsidRPr="003C222B" w:rsidRDefault="007D728B" w:rsidP="007D728B">
            <w:pPr>
              <w:jc w:val="right"/>
              <w:rPr>
                <w:rFonts w:cs="Arial"/>
                <w:sz w:val="19"/>
                <w:szCs w:val="19"/>
              </w:rPr>
            </w:pPr>
            <w:r w:rsidRPr="00FA525D">
              <w:t>(2</w:t>
            </w:r>
            <w:r w:rsidR="00CA0E3B">
              <w:t>,</w:t>
            </w:r>
            <w:r w:rsidRPr="00FA525D">
              <w:t>408</w:t>
            </w:r>
            <w:r w:rsidR="00CA0E3B">
              <w:t>,</w:t>
            </w:r>
            <w:r w:rsidRPr="00FA525D">
              <w:t>995</w:t>
            </w:r>
            <w:r w:rsidR="00CA0E3B">
              <w:t>,</w:t>
            </w:r>
            <w:r w:rsidRPr="00FA525D">
              <w:t>299)</w:t>
            </w:r>
          </w:p>
        </w:tc>
        <w:tc>
          <w:tcPr>
            <w:tcW w:w="1886" w:type="dxa"/>
            <w:tcBorders>
              <w:top w:val="nil"/>
              <w:left w:val="single" w:sz="4" w:space="0" w:color="000000" w:themeColor="text1"/>
              <w:bottom w:val="nil"/>
            </w:tcBorders>
            <w:noWrap/>
            <w:vAlign w:val="bottom"/>
          </w:tcPr>
          <w:p w14:paraId="5E8050DC" w14:textId="1552AA79" w:rsidR="007D728B" w:rsidRPr="003C222B" w:rsidRDefault="007D728B" w:rsidP="007D728B">
            <w:pPr>
              <w:jc w:val="right"/>
              <w:rPr>
                <w:rFonts w:cs="Arial"/>
                <w:sz w:val="19"/>
                <w:szCs w:val="19"/>
              </w:rPr>
            </w:pPr>
            <w:r w:rsidRPr="00FA525D">
              <w:t>2</w:t>
            </w:r>
            <w:r w:rsidR="00CA0E3B">
              <w:t>,</w:t>
            </w:r>
            <w:r w:rsidRPr="00FA525D">
              <w:t>448</w:t>
            </w:r>
            <w:r w:rsidR="00CA0E3B">
              <w:t>,</w:t>
            </w:r>
            <w:r w:rsidRPr="00FA525D">
              <w:t>729</w:t>
            </w:r>
            <w:r w:rsidR="00CA0E3B">
              <w:t>,</w:t>
            </w:r>
            <w:r w:rsidRPr="00FA525D">
              <w:t xml:space="preserve">738 </w:t>
            </w:r>
          </w:p>
        </w:tc>
      </w:tr>
      <w:tr w:rsidR="007D728B" w:rsidRPr="008373FE" w14:paraId="4ADD0428" w14:textId="77777777" w:rsidTr="007D728B">
        <w:tc>
          <w:tcPr>
            <w:tcW w:w="706" w:type="dxa"/>
            <w:tcBorders>
              <w:bottom w:val="nil"/>
              <w:right w:val="single" w:sz="4" w:space="0" w:color="000000" w:themeColor="text1"/>
            </w:tcBorders>
            <w:noWrap/>
          </w:tcPr>
          <w:p w14:paraId="15917533" w14:textId="1382B4F6" w:rsidR="007D728B" w:rsidRPr="008373FE" w:rsidRDefault="007D728B" w:rsidP="007D728B">
            <w:pPr>
              <w:ind w:left="-58" w:right="-58"/>
              <w:jc w:val="center"/>
              <w:rPr>
                <w:rFonts w:cs="Arial"/>
                <w:bCs/>
                <w:sz w:val="19"/>
                <w:szCs w:val="19"/>
              </w:rPr>
            </w:pPr>
            <w:r w:rsidRPr="008373FE">
              <w:rPr>
                <w:rFonts w:cs="Arial"/>
                <w:bCs/>
                <w:sz w:val="19"/>
                <w:szCs w:val="19"/>
              </w:rPr>
              <w:t>51</w:t>
            </w:r>
          </w:p>
        </w:tc>
        <w:tc>
          <w:tcPr>
            <w:tcW w:w="3643" w:type="dxa"/>
            <w:tcBorders>
              <w:left w:val="single" w:sz="4" w:space="0" w:color="000000" w:themeColor="text1"/>
              <w:bottom w:val="nil"/>
              <w:right w:val="single" w:sz="4" w:space="0" w:color="000000" w:themeColor="text1"/>
            </w:tcBorders>
            <w:noWrap/>
            <w:vAlign w:val="bottom"/>
          </w:tcPr>
          <w:p w14:paraId="0849DA5B" w14:textId="50510E92" w:rsidR="007D728B" w:rsidRPr="008373FE" w:rsidRDefault="007D728B" w:rsidP="007D728B">
            <w:pPr>
              <w:ind w:left="302"/>
              <w:jc w:val="left"/>
              <w:rPr>
                <w:rFonts w:cs="Arial"/>
                <w:bCs/>
                <w:sz w:val="19"/>
                <w:szCs w:val="19"/>
              </w:rPr>
            </w:pPr>
            <w:r w:rsidRPr="00092EA8">
              <w:rPr>
                <w:rFonts w:cs="Arial"/>
                <w:bCs/>
                <w:sz w:val="19"/>
                <w:szCs w:val="19"/>
              </w:rPr>
              <w:t>Other receipts from operating activities</w:t>
            </w:r>
          </w:p>
        </w:tc>
        <w:tc>
          <w:tcPr>
            <w:tcW w:w="775" w:type="dxa"/>
            <w:tcBorders>
              <w:left w:val="single" w:sz="4" w:space="0" w:color="000000" w:themeColor="text1"/>
              <w:bottom w:val="nil"/>
              <w:right w:val="single" w:sz="4" w:space="0" w:color="000000" w:themeColor="text1"/>
            </w:tcBorders>
            <w:noWrap/>
            <w:vAlign w:val="bottom"/>
          </w:tcPr>
          <w:p w14:paraId="144A8AB6"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bottom w:val="nil"/>
              <w:right w:val="single" w:sz="4" w:space="0" w:color="000000" w:themeColor="text1"/>
            </w:tcBorders>
            <w:vAlign w:val="bottom"/>
          </w:tcPr>
          <w:p w14:paraId="0AB81DB2" w14:textId="4B2CC5E9" w:rsidR="007D728B" w:rsidRPr="003C222B" w:rsidRDefault="007D728B" w:rsidP="007D728B">
            <w:pPr>
              <w:jc w:val="right"/>
              <w:rPr>
                <w:rFonts w:cs="Arial"/>
                <w:sz w:val="19"/>
                <w:szCs w:val="19"/>
              </w:rPr>
            </w:pPr>
            <w:r w:rsidRPr="00FA525D">
              <w:t>163</w:t>
            </w:r>
            <w:r w:rsidR="00CA0E3B">
              <w:t>,</w:t>
            </w:r>
            <w:r w:rsidRPr="00FA525D">
              <w:t>960</w:t>
            </w:r>
            <w:r w:rsidR="00CA0E3B">
              <w:t>,</w:t>
            </w:r>
            <w:r w:rsidRPr="00FA525D">
              <w:t>000</w:t>
            </w:r>
          </w:p>
        </w:tc>
        <w:tc>
          <w:tcPr>
            <w:tcW w:w="1886" w:type="dxa"/>
            <w:tcBorders>
              <w:left w:val="single" w:sz="4" w:space="0" w:color="000000" w:themeColor="text1"/>
              <w:bottom w:val="nil"/>
            </w:tcBorders>
            <w:noWrap/>
            <w:vAlign w:val="bottom"/>
          </w:tcPr>
          <w:p w14:paraId="5457E445" w14:textId="139008AA" w:rsidR="007D728B" w:rsidRPr="003C222B" w:rsidRDefault="007D728B" w:rsidP="007D728B">
            <w:pPr>
              <w:jc w:val="right"/>
              <w:rPr>
                <w:rFonts w:cs="Arial"/>
                <w:sz w:val="19"/>
                <w:szCs w:val="19"/>
              </w:rPr>
            </w:pPr>
            <w:r w:rsidRPr="00FA525D">
              <w:t>102</w:t>
            </w:r>
            <w:r w:rsidR="00CA0E3B">
              <w:t>,</w:t>
            </w:r>
            <w:r w:rsidRPr="00FA525D">
              <w:t>884</w:t>
            </w:r>
            <w:r w:rsidR="00CA0E3B">
              <w:t>,</w:t>
            </w:r>
            <w:r w:rsidRPr="00FA525D">
              <w:t xml:space="preserve">000 </w:t>
            </w:r>
          </w:p>
        </w:tc>
      </w:tr>
      <w:tr w:rsidR="007D728B" w:rsidRPr="008373FE" w14:paraId="212393B6" w14:textId="77777777" w:rsidTr="007D728B">
        <w:tc>
          <w:tcPr>
            <w:tcW w:w="706" w:type="dxa"/>
            <w:tcBorders>
              <w:bottom w:val="nil"/>
              <w:right w:val="single" w:sz="4" w:space="0" w:color="000000" w:themeColor="text1"/>
            </w:tcBorders>
            <w:noWrap/>
          </w:tcPr>
          <w:p w14:paraId="2D1D815C" w14:textId="73683BC5" w:rsidR="007D728B" w:rsidRPr="008373FE" w:rsidRDefault="007D728B" w:rsidP="007D728B">
            <w:pPr>
              <w:ind w:left="-58" w:right="-58"/>
              <w:jc w:val="center"/>
              <w:rPr>
                <w:rFonts w:cs="Arial"/>
                <w:bCs/>
                <w:sz w:val="19"/>
                <w:szCs w:val="19"/>
              </w:rPr>
            </w:pPr>
            <w:r w:rsidRPr="008373FE">
              <w:rPr>
                <w:rFonts w:cs="Arial"/>
                <w:bCs/>
                <w:sz w:val="19"/>
                <w:szCs w:val="19"/>
              </w:rPr>
              <w:t>52</w:t>
            </w:r>
          </w:p>
        </w:tc>
        <w:tc>
          <w:tcPr>
            <w:tcW w:w="3643" w:type="dxa"/>
            <w:tcBorders>
              <w:left w:val="single" w:sz="4" w:space="0" w:color="000000" w:themeColor="text1"/>
              <w:bottom w:val="nil"/>
              <w:right w:val="single" w:sz="4" w:space="0" w:color="000000" w:themeColor="text1"/>
            </w:tcBorders>
            <w:noWrap/>
            <w:vAlign w:val="bottom"/>
          </w:tcPr>
          <w:p w14:paraId="5FF86B34" w14:textId="647C7F4C" w:rsidR="007D728B" w:rsidRPr="008373FE" w:rsidRDefault="007D728B" w:rsidP="007D728B">
            <w:pPr>
              <w:ind w:left="302"/>
              <w:jc w:val="left"/>
              <w:rPr>
                <w:rFonts w:cs="Arial"/>
                <w:bCs/>
                <w:sz w:val="19"/>
                <w:szCs w:val="19"/>
              </w:rPr>
            </w:pPr>
            <w:r w:rsidRPr="00C74179">
              <w:rPr>
                <w:rFonts w:cs="Arial"/>
                <w:bCs/>
                <w:sz w:val="19"/>
                <w:szCs w:val="19"/>
              </w:rPr>
              <w:t>Other payments for operating activities</w:t>
            </w:r>
          </w:p>
        </w:tc>
        <w:tc>
          <w:tcPr>
            <w:tcW w:w="775" w:type="dxa"/>
            <w:tcBorders>
              <w:left w:val="single" w:sz="4" w:space="0" w:color="000000" w:themeColor="text1"/>
              <w:bottom w:val="nil"/>
              <w:right w:val="single" w:sz="4" w:space="0" w:color="000000" w:themeColor="text1"/>
            </w:tcBorders>
            <w:noWrap/>
            <w:vAlign w:val="bottom"/>
          </w:tcPr>
          <w:p w14:paraId="5835A05A" w14:textId="77777777" w:rsidR="007D728B" w:rsidRPr="003C222B" w:rsidRDefault="007D728B" w:rsidP="007D728B">
            <w:pPr>
              <w:ind w:left="-58" w:right="-58"/>
              <w:jc w:val="center"/>
              <w:rPr>
                <w:rFonts w:cs="Arial"/>
                <w:sz w:val="19"/>
                <w:szCs w:val="19"/>
                <w:lang w:val="vi-VN"/>
              </w:rPr>
            </w:pPr>
          </w:p>
        </w:tc>
        <w:tc>
          <w:tcPr>
            <w:tcW w:w="1886" w:type="dxa"/>
            <w:tcBorders>
              <w:left w:val="single" w:sz="4" w:space="0" w:color="000000" w:themeColor="text1"/>
              <w:bottom w:val="nil"/>
              <w:right w:val="single" w:sz="4" w:space="0" w:color="000000" w:themeColor="text1"/>
            </w:tcBorders>
            <w:vAlign w:val="bottom"/>
          </w:tcPr>
          <w:p w14:paraId="1C557D35" w14:textId="793138E2" w:rsidR="007D728B" w:rsidRPr="003C222B" w:rsidRDefault="007D728B" w:rsidP="007D728B">
            <w:pPr>
              <w:jc w:val="right"/>
              <w:rPr>
                <w:rFonts w:cs="Arial"/>
                <w:sz w:val="19"/>
                <w:szCs w:val="19"/>
              </w:rPr>
            </w:pPr>
            <w:r w:rsidRPr="00FA525D">
              <w:t>(240</w:t>
            </w:r>
            <w:r w:rsidR="00CA0E3B">
              <w:t>,</w:t>
            </w:r>
            <w:r w:rsidRPr="00FA525D">
              <w:t>947</w:t>
            </w:r>
            <w:r w:rsidR="00CA0E3B">
              <w:t>,</w:t>
            </w:r>
            <w:r w:rsidRPr="00FA525D">
              <w:t xml:space="preserve">035) </w:t>
            </w:r>
          </w:p>
        </w:tc>
        <w:tc>
          <w:tcPr>
            <w:tcW w:w="1886" w:type="dxa"/>
            <w:tcBorders>
              <w:left w:val="single" w:sz="4" w:space="0" w:color="000000" w:themeColor="text1"/>
              <w:bottom w:val="nil"/>
            </w:tcBorders>
            <w:noWrap/>
            <w:vAlign w:val="bottom"/>
          </w:tcPr>
          <w:p w14:paraId="16B10BEF" w14:textId="1C30B888" w:rsidR="007D728B" w:rsidRPr="003C222B" w:rsidRDefault="007D728B" w:rsidP="007D728B">
            <w:pPr>
              <w:jc w:val="right"/>
              <w:rPr>
                <w:rFonts w:cs="Arial"/>
                <w:sz w:val="19"/>
                <w:szCs w:val="19"/>
              </w:rPr>
            </w:pPr>
            <w:r w:rsidRPr="00FA525D">
              <w:t>(848</w:t>
            </w:r>
            <w:r w:rsidR="00CA0E3B">
              <w:t>,</w:t>
            </w:r>
            <w:r w:rsidRPr="00FA525D">
              <w:t>650</w:t>
            </w:r>
            <w:r w:rsidR="00CA0E3B">
              <w:t>,</w:t>
            </w:r>
            <w:r w:rsidRPr="00FA525D">
              <w:t xml:space="preserve">000) </w:t>
            </w:r>
          </w:p>
        </w:tc>
      </w:tr>
      <w:tr w:rsidR="007D728B" w:rsidRPr="008373FE" w14:paraId="23CA40EA" w14:textId="77777777" w:rsidTr="007D728B">
        <w:tc>
          <w:tcPr>
            <w:tcW w:w="706" w:type="dxa"/>
            <w:tcBorders>
              <w:top w:val="nil"/>
              <w:bottom w:val="nil"/>
              <w:right w:val="single" w:sz="4" w:space="0" w:color="000000" w:themeColor="text1"/>
            </w:tcBorders>
            <w:noWrap/>
          </w:tcPr>
          <w:p w14:paraId="6E2A0814" w14:textId="0FB2E7D9" w:rsidR="007D728B" w:rsidRPr="008373FE" w:rsidRDefault="007D728B" w:rsidP="007D728B">
            <w:pPr>
              <w:spacing w:before="120"/>
              <w:ind w:left="-58" w:right="-58"/>
              <w:jc w:val="center"/>
              <w:rPr>
                <w:rFonts w:cs="Arial"/>
                <w:b/>
                <w:bCs/>
                <w:sz w:val="19"/>
                <w:szCs w:val="19"/>
              </w:rPr>
            </w:pPr>
            <w:r w:rsidRPr="008373FE">
              <w:rPr>
                <w:rFonts w:cs="Arial"/>
                <w:b/>
                <w:bCs/>
                <w:sz w:val="19"/>
                <w:szCs w:val="19"/>
              </w:rPr>
              <w:t>60</w:t>
            </w:r>
          </w:p>
        </w:tc>
        <w:tc>
          <w:tcPr>
            <w:tcW w:w="3643" w:type="dxa"/>
            <w:tcBorders>
              <w:top w:val="nil"/>
              <w:left w:val="single" w:sz="4" w:space="0" w:color="000000" w:themeColor="text1"/>
              <w:bottom w:val="nil"/>
              <w:right w:val="single" w:sz="4" w:space="0" w:color="000000" w:themeColor="text1"/>
            </w:tcBorders>
            <w:noWrap/>
            <w:vAlign w:val="bottom"/>
          </w:tcPr>
          <w:p w14:paraId="5D84C9DF" w14:textId="0ED4A019" w:rsidR="007D728B" w:rsidRPr="008373FE" w:rsidRDefault="007D728B" w:rsidP="007D728B">
            <w:pPr>
              <w:spacing w:before="120"/>
              <w:ind w:left="-58"/>
              <w:jc w:val="left"/>
              <w:rPr>
                <w:rFonts w:cs="Arial"/>
                <w:bCs/>
                <w:sz w:val="19"/>
                <w:szCs w:val="19"/>
              </w:rPr>
            </w:pPr>
            <w:r w:rsidRPr="004413FC">
              <w:rPr>
                <w:rFonts w:cs="Arial"/>
                <w:b/>
                <w:bCs/>
                <w:sz w:val="19"/>
                <w:szCs w:val="19"/>
              </w:rPr>
              <w:t>Net cash flows used in operating activities</w:t>
            </w:r>
          </w:p>
        </w:tc>
        <w:tc>
          <w:tcPr>
            <w:tcW w:w="775" w:type="dxa"/>
            <w:tcBorders>
              <w:top w:val="nil"/>
              <w:left w:val="single" w:sz="4" w:space="0" w:color="000000" w:themeColor="text1"/>
              <w:bottom w:val="nil"/>
              <w:right w:val="single" w:sz="4" w:space="0" w:color="000000" w:themeColor="text1"/>
            </w:tcBorders>
            <w:noWrap/>
            <w:vAlign w:val="bottom"/>
          </w:tcPr>
          <w:p w14:paraId="4A414B59" w14:textId="77777777" w:rsidR="007D728B" w:rsidRPr="003C222B" w:rsidRDefault="007D728B" w:rsidP="007D728B">
            <w:pPr>
              <w:spacing w:before="120"/>
              <w:ind w:left="-58" w:right="-58"/>
              <w:jc w:val="center"/>
              <w:rPr>
                <w:rFonts w:cs="Arial"/>
                <w:sz w:val="19"/>
                <w:szCs w:val="19"/>
                <w:lang w:val="vi-VN"/>
              </w:rPr>
            </w:pPr>
          </w:p>
        </w:tc>
        <w:tc>
          <w:tcPr>
            <w:tcW w:w="1886" w:type="dxa"/>
            <w:tcBorders>
              <w:top w:val="nil"/>
              <w:left w:val="single" w:sz="4" w:space="0" w:color="000000" w:themeColor="text1"/>
              <w:bottom w:val="nil"/>
              <w:right w:val="single" w:sz="4" w:space="0" w:color="000000" w:themeColor="text1"/>
            </w:tcBorders>
            <w:vAlign w:val="bottom"/>
          </w:tcPr>
          <w:p w14:paraId="45F47F48" w14:textId="610511A8" w:rsidR="007D728B" w:rsidRPr="005F5F8B" w:rsidRDefault="007D728B" w:rsidP="007D728B">
            <w:pPr>
              <w:spacing w:before="120"/>
              <w:ind w:left="-58"/>
              <w:jc w:val="right"/>
              <w:rPr>
                <w:rFonts w:cs="Arial"/>
                <w:b/>
                <w:bCs/>
                <w:sz w:val="19"/>
                <w:szCs w:val="19"/>
              </w:rPr>
            </w:pPr>
            <w:r w:rsidRPr="005F5F8B">
              <w:rPr>
                <w:b/>
                <w:bCs/>
              </w:rPr>
              <w:t>(861</w:t>
            </w:r>
            <w:r w:rsidR="00CA0E3B" w:rsidRPr="005F5F8B">
              <w:rPr>
                <w:b/>
                <w:bCs/>
              </w:rPr>
              <w:t>,</w:t>
            </w:r>
            <w:r w:rsidRPr="005F5F8B">
              <w:rPr>
                <w:b/>
                <w:bCs/>
              </w:rPr>
              <w:t>760</w:t>
            </w:r>
            <w:r w:rsidR="00CA0E3B" w:rsidRPr="005F5F8B">
              <w:rPr>
                <w:b/>
                <w:bCs/>
              </w:rPr>
              <w:t>,</w:t>
            </w:r>
            <w:r w:rsidRPr="005F5F8B">
              <w:rPr>
                <w:b/>
                <w:bCs/>
              </w:rPr>
              <w:t>554</w:t>
            </w:r>
            <w:r w:rsidR="00CA0E3B" w:rsidRPr="005F5F8B">
              <w:rPr>
                <w:b/>
                <w:bCs/>
              </w:rPr>
              <w:t>,</w:t>
            </w:r>
            <w:r w:rsidRPr="005F5F8B">
              <w:rPr>
                <w:b/>
                <w:bCs/>
              </w:rPr>
              <w:t>152)</w:t>
            </w:r>
          </w:p>
        </w:tc>
        <w:tc>
          <w:tcPr>
            <w:tcW w:w="1886" w:type="dxa"/>
            <w:tcBorders>
              <w:top w:val="nil"/>
              <w:left w:val="single" w:sz="4" w:space="0" w:color="000000" w:themeColor="text1"/>
              <w:bottom w:val="nil"/>
            </w:tcBorders>
            <w:noWrap/>
            <w:vAlign w:val="bottom"/>
          </w:tcPr>
          <w:p w14:paraId="4FC3C0DA" w14:textId="0B63C99E" w:rsidR="007D728B" w:rsidRPr="005F5F8B" w:rsidRDefault="007D728B" w:rsidP="007D728B">
            <w:pPr>
              <w:spacing w:before="120"/>
              <w:jc w:val="right"/>
              <w:rPr>
                <w:rFonts w:cs="Arial"/>
                <w:b/>
                <w:bCs/>
                <w:sz w:val="19"/>
                <w:szCs w:val="19"/>
              </w:rPr>
            </w:pPr>
            <w:r w:rsidRPr="005F5F8B">
              <w:rPr>
                <w:b/>
                <w:bCs/>
              </w:rPr>
              <w:t>(230</w:t>
            </w:r>
            <w:r w:rsidR="00CA0E3B" w:rsidRPr="005F5F8B">
              <w:rPr>
                <w:b/>
                <w:bCs/>
              </w:rPr>
              <w:t>,</w:t>
            </w:r>
            <w:r w:rsidRPr="005F5F8B">
              <w:rPr>
                <w:b/>
                <w:bCs/>
              </w:rPr>
              <w:t>271</w:t>
            </w:r>
            <w:r w:rsidR="00CA0E3B" w:rsidRPr="005F5F8B">
              <w:rPr>
                <w:b/>
                <w:bCs/>
              </w:rPr>
              <w:t>,</w:t>
            </w:r>
            <w:r w:rsidRPr="005F5F8B">
              <w:rPr>
                <w:b/>
                <w:bCs/>
              </w:rPr>
              <w:t>540</w:t>
            </w:r>
            <w:r w:rsidR="00CA0E3B" w:rsidRPr="005F5F8B">
              <w:rPr>
                <w:b/>
                <w:bCs/>
              </w:rPr>
              <w:t>,</w:t>
            </w:r>
            <w:r w:rsidRPr="005F5F8B">
              <w:rPr>
                <w:b/>
                <w:bCs/>
              </w:rPr>
              <w:t>512)</w:t>
            </w:r>
          </w:p>
        </w:tc>
      </w:tr>
      <w:tr w:rsidR="00D97D7E" w:rsidRPr="00D33812" w14:paraId="2FA75090" w14:textId="77777777" w:rsidTr="00FA28E4">
        <w:trPr>
          <w:trHeight w:val="261"/>
        </w:trPr>
        <w:tc>
          <w:tcPr>
            <w:tcW w:w="706" w:type="dxa"/>
            <w:tcBorders>
              <w:top w:val="nil"/>
              <w:bottom w:val="double" w:sz="6" w:space="0" w:color="auto"/>
              <w:right w:val="single" w:sz="4" w:space="0" w:color="000000" w:themeColor="text1"/>
            </w:tcBorders>
            <w:noWrap/>
          </w:tcPr>
          <w:p w14:paraId="64938427" w14:textId="4939E198" w:rsidR="00D97D7E" w:rsidRPr="00FA28E4" w:rsidRDefault="00D97D7E" w:rsidP="00FA28E4">
            <w:pPr>
              <w:ind w:left="-58" w:right="-58"/>
              <w:jc w:val="center"/>
              <w:rPr>
                <w:rFonts w:cs="Arial"/>
                <w:b/>
                <w:bCs/>
                <w:sz w:val="4"/>
                <w:szCs w:val="4"/>
              </w:rPr>
            </w:pPr>
          </w:p>
        </w:tc>
        <w:tc>
          <w:tcPr>
            <w:tcW w:w="3643" w:type="dxa"/>
            <w:tcBorders>
              <w:top w:val="nil"/>
              <w:left w:val="single" w:sz="4" w:space="0" w:color="000000" w:themeColor="text1"/>
              <w:bottom w:val="double" w:sz="6" w:space="0" w:color="auto"/>
              <w:right w:val="single" w:sz="4" w:space="0" w:color="000000" w:themeColor="text1"/>
            </w:tcBorders>
            <w:noWrap/>
            <w:vAlign w:val="bottom"/>
          </w:tcPr>
          <w:p w14:paraId="0A41C3E8" w14:textId="0D9CCD24" w:rsidR="00D97D7E" w:rsidRPr="00FA28E4" w:rsidRDefault="00D97D7E" w:rsidP="00FA28E4">
            <w:pPr>
              <w:spacing w:after="120"/>
              <w:jc w:val="left"/>
              <w:rPr>
                <w:rFonts w:cs="Arial"/>
                <w:b/>
                <w:bCs/>
                <w:sz w:val="4"/>
                <w:szCs w:val="4"/>
              </w:rPr>
            </w:pPr>
          </w:p>
        </w:tc>
        <w:tc>
          <w:tcPr>
            <w:tcW w:w="775" w:type="dxa"/>
            <w:tcBorders>
              <w:top w:val="nil"/>
              <w:left w:val="single" w:sz="4" w:space="0" w:color="000000" w:themeColor="text1"/>
              <w:bottom w:val="double" w:sz="6" w:space="0" w:color="auto"/>
              <w:right w:val="single" w:sz="4" w:space="0" w:color="000000" w:themeColor="text1"/>
            </w:tcBorders>
            <w:noWrap/>
            <w:vAlign w:val="bottom"/>
          </w:tcPr>
          <w:p w14:paraId="180558CD" w14:textId="77777777" w:rsidR="00D97D7E" w:rsidRPr="00FA28E4" w:rsidRDefault="00D97D7E" w:rsidP="00FA28E4">
            <w:pPr>
              <w:spacing w:after="120"/>
              <w:ind w:left="-58" w:right="-58"/>
              <w:jc w:val="center"/>
              <w:rPr>
                <w:rFonts w:cs="Arial"/>
                <w:sz w:val="4"/>
                <w:szCs w:val="4"/>
                <w:lang w:val="vi-VN"/>
              </w:rPr>
            </w:pPr>
          </w:p>
        </w:tc>
        <w:tc>
          <w:tcPr>
            <w:tcW w:w="1886" w:type="dxa"/>
            <w:tcBorders>
              <w:top w:val="nil"/>
              <w:left w:val="single" w:sz="4" w:space="0" w:color="000000" w:themeColor="text1"/>
              <w:bottom w:val="double" w:sz="6" w:space="0" w:color="auto"/>
              <w:right w:val="single" w:sz="4" w:space="0" w:color="000000" w:themeColor="text1"/>
            </w:tcBorders>
            <w:vAlign w:val="bottom"/>
          </w:tcPr>
          <w:p w14:paraId="202C68D2" w14:textId="523FAC3C" w:rsidR="00D97D7E" w:rsidRPr="00FA28E4" w:rsidRDefault="00D97D7E" w:rsidP="00FA28E4">
            <w:pPr>
              <w:spacing w:after="120"/>
              <w:ind w:left="-58"/>
              <w:jc w:val="right"/>
              <w:rPr>
                <w:rFonts w:cs="Arial"/>
                <w:b/>
                <w:bCs/>
                <w:sz w:val="4"/>
                <w:szCs w:val="4"/>
              </w:rPr>
            </w:pPr>
          </w:p>
        </w:tc>
        <w:tc>
          <w:tcPr>
            <w:tcW w:w="1886" w:type="dxa"/>
            <w:tcBorders>
              <w:top w:val="nil"/>
              <w:left w:val="single" w:sz="4" w:space="0" w:color="000000" w:themeColor="text1"/>
              <w:bottom w:val="double" w:sz="6" w:space="0" w:color="auto"/>
            </w:tcBorders>
            <w:noWrap/>
            <w:vAlign w:val="bottom"/>
          </w:tcPr>
          <w:p w14:paraId="62BE0A8B" w14:textId="6FBF6D69" w:rsidR="00D97D7E" w:rsidRPr="00FA28E4" w:rsidDel="00DD434A" w:rsidRDefault="00D97D7E" w:rsidP="00FA28E4">
            <w:pPr>
              <w:spacing w:after="120"/>
              <w:jc w:val="right"/>
              <w:rPr>
                <w:b/>
                <w:bCs/>
                <w:sz w:val="4"/>
                <w:szCs w:val="4"/>
              </w:rPr>
            </w:pPr>
          </w:p>
        </w:tc>
      </w:tr>
    </w:tbl>
    <w:p w14:paraId="55F655E9" w14:textId="4B56B7B3" w:rsidR="00B92D82" w:rsidRPr="00D33812" w:rsidRDefault="00B92D82">
      <w:pPr>
        <w:spacing w:before="120" w:after="120"/>
        <w:ind w:right="-57"/>
        <w:rPr>
          <w:rFonts w:cs="Arial"/>
          <w:lang w:val="en-GB"/>
        </w:rPr>
        <w:sectPr w:rsidR="00B92D82" w:rsidRPr="00D33812" w:rsidSect="0063755C">
          <w:headerReference w:type="even" r:id="rId38"/>
          <w:headerReference w:type="default" r:id="rId39"/>
          <w:headerReference w:type="first" r:id="rId40"/>
          <w:pgSz w:w="11909" w:h="16834" w:code="9"/>
          <w:pgMar w:top="1440" w:right="1440" w:bottom="862" w:left="1582" w:header="720" w:footer="578" w:gutter="0"/>
          <w:cols w:space="720"/>
        </w:sectPr>
      </w:pPr>
    </w:p>
    <w:tbl>
      <w:tblPr>
        <w:tblW w:w="8887"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706"/>
        <w:gridCol w:w="3591"/>
        <w:gridCol w:w="630"/>
        <w:gridCol w:w="1980"/>
        <w:gridCol w:w="1980"/>
      </w:tblGrid>
      <w:tr w:rsidR="00B82654" w:rsidRPr="00D33812" w14:paraId="1DE8403F" w14:textId="77777777" w:rsidTr="009645E4">
        <w:trPr>
          <w:trHeight w:val="108"/>
        </w:trPr>
        <w:tc>
          <w:tcPr>
            <w:tcW w:w="706" w:type="dxa"/>
            <w:tcBorders>
              <w:top w:val="double" w:sz="6" w:space="0" w:color="auto"/>
              <w:bottom w:val="single" w:sz="4" w:space="0" w:color="auto"/>
              <w:right w:val="single" w:sz="4" w:space="0" w:color="000000"/>
            </w:tcBorders>
            <w:noWrap/>
            <w:vAlign w:val="bottom"/>
          </w:tcPr>
          <w:p w14:paraId="367336B2" w14:textId="1DD53967" w:rsidR="00B82654" w:rsidRPr="00FA28E4" w:rsidRDefault="00D82574" w:rsidP="00B82654">
            <w:pPr>
              <w:spacing w:before="120" w:after="120"/>
              <w:ind w:left="-58" w:right="-58"/>
              <w:jc w:val="center"/>
              <w:rPr>
                <w:rFonts w:cs="Arial"/>
                <w:i/>
                <w:iCs/>
                <w:sz w:val="19"/>
                <w:szCs w:val="19"/>
              </w:rPr>
            </w:pPr>
            <w:r>
              <w:rPr>
                <w:rFonts w:cs="Arial"/>
                <w:i/>
                <w:iCs/>
                <w:sz w:val="19"/>
                <w:szCs w:val="19"/>
              </w:rPr>
              <w:lastRenderedPageBreak/>
              <w:t>Code</w:t>
            </w:r>
          </w:p>
        </w:tc>
        <w:tc>
          <w:tcPr>
            <w:tcW w:w="3591" w:type="dxa"/>
            <w:tcBorders>
              <w:top w:val="double" w:sz="6" w:space="0" w:color="auto"/>
              <w:left w:val="single" w:sz="4" w:space="0" w:color="000000"/>
              <w:bottom w:val="single" w:sz="4" w:space="0" w:color="auto"/>
              <w:right w:val="single" w:sz="4" w:space="0" w:color="000000"/>
            </w:tcBorders>
            <w:noWrap/>
            <w:vAlign w:val="bottom"/>
          </w:tcPr>
          <w:p w14:paraId="7D061151" w14:textId="1807D965" w:rsidR="00B82654" w:rsidRPr="00FA28E4" w:rsidRDefault="00D82574" w:rsidP="00B82654">
            <w:pPr>
              <w:spacing w:before="120" w:after="120"/>
              <w:ind w:left="-58"/>
              <w:rPr>
                <w:rFonts w:cs="Arial"/>
                <w:i/>
                <w:iCs/>
                <w:sz w:val="19"/>
                <w:szCs w:val="19"/>
              </w:rPr>
            </w:pPr>
            <w:r>
              <w:rPr>
                <w:rFonts w:cs="Arial"/>
                <w:i/>
                <w:iCs/>
                <w:sz w:val="19"/>
                <w:szCs w:val="19"/>
              </w:rPr>
              <w:t>ITEMS</w:t>
            </w:r>
          </w:p>
        </w:tc>
        <w:tc>
          <w:tcPr>
            <w:tcW w:w="630" w:type="dxa"/>
            <w:tcBorders>
              <w:top w:val="double" w:sz="6" w:space="0" w:color="auto"/>
              <w:left w:val="single" w:sz="4" w:space="0" w:color="000000"/>
              <w:bottom w:val="single" w:sz="4" w:space="0" w:color="auto"/>
              <w:right w:val="single" w:sz="4" w:space="0" w:color="000000"/>
            </w:tcBorders>
            <w:noWrap/>
            <w:vAlign w:val="bottom"/>
          </w:tcPr>
          <w:p w14:paraId="6CD35BA4" w14:textId="002BBB48" w:rsidR="00B82654" w:rsidRPr="00FA28E4" w:rsidRDefault="00D82574" w:rsidP="00B82654">
            <w:pPr>
              <w:spacing w:before="120" w:after="120"/>
              <w:ind w:left="-58" w:right="-58"/>
              <w:jc w:val="center"/>
              <w:rPr>
                <w:rFonts w:cs="Arial"/>
                <w:i/>
                <w:iCs/>
                <w:sz w:val="19"/>
                <w:szCs w:val="19"/>
              </w:rPr>
            </w:pPr>
            <w:r>
              <w:rPr>
                <w:rFonts w:cs="Arial"/>
                <w:i/>
                <w:iCs/>
                <w:sz w:val="19"/>
                <w:szCs w:val="19"/>
              </w:rPr>
              <w:t>Notes</w:t>
            </w:r>
          </w:p>
        </w:tc>
        <w:tc>
          <w:tcPr>
            <w:tcW w:w="1980" w:type="dxa"/>
            <w:tcBorders>
              <w:top w:val="double" w:sz="6" w:space="0" w:color="auto"/>
              <w:left w:val="single" w:sz="4" w:space="0" w:color="000000"/>
              <w:bottom w:val="single" w:sz="4" w:space="0" w:color="auto"/>
              <w:right w:val="single" w:sz="4" w:space="0" w:color="000000"/>
            </w:tcBorders>
            <w:vAlign w:val="bottom"/>
          </w:tcPr>
          <w:p w14:paraId="4ED6D927" w14:textId="77777777" w:rsidR="008F0752" w:rsidRPr="008F0752" w:rsidRDefault="008F0752" w:rsidP="008F0752">
            <w:pPr>
              <w:spacing w:before="120"/>
              <w:jc w:val="right"/>
              <w:rPr>
                <w:rFonts w:cs="Arial"/>
                <w:i/>
                <w:sz w:val="19"/>
                <w:szCs w:val="19"/>
              </w:rPr>
            </w:pPr>
            <w:r w:rsidRPr="008F0752">
              <w:rPr>
                <w:rFonts w:cs="Arial"/>
                <w:i/>
                <w:sz w:val="19"/>
                <w:szCs w:val="19"/>
              </w:rPr>
              <w:t>Current year</w:t>
            </w:r>
          </w:p>
          <w:p w14:paraId="69D94607" w14:textId="5249956C" w:rsidR="00B82654" w:rsidRPr="00D33812" w:rsidRDefault="008F0752" w:rsidP="00B82654">
            <w:pPr>
              <w:spacing w:after="120"/>
              <w:jc w:val="right"/>
              <w:rPr>
                <w:rFonts w:cs="Arial"/>
                <w:i/>
                <w:sz w:val="19"/>
                <w:szCs w:val="19"/>
                <w:lang w:val="vi-VN"/>
              </w:rPr>
            </w:pPr>
            <w:r w:rsidRPr="008F0752">
              <w:rPr>
                <w:rFonts w:cs="Arial"/>
                <w:i/>
                <w:sz w:val="19"/>
                <w:szCs w:val="19"/>
              </w:rPr>
              <w:t>VND</w:t>
            </w:r>
          </w:p>
        </w:tc>
        <w:tc>
          <w:tcPr>
            <w:tcW w:w="1980" w:type="dxa"/>
            <w:tcBorders>
              <w:top w:val="double" w:sz="6" w:space="0" w:color="auto"/>
              <w:left w:val="single" w:sz="4" w:space="0" w:color="000000"/>
              <w:bottom w:val="single" w:sz="4" w:space="0" w:color="auto"/>
            </w:tcBorders>
            <w:noWrap/>
            <w:vAlign w:val="bottom"/>
          </w:tcPr>
          <w:p w14:paraId="506F697F" w14:textId="77777777" w:rsidR="00CA3B81" w:rsidRPr="00CA3B81" w:rsidRDefault="00CA3B81" w:rsidP="00CA3B81">
            <w:pPr>
              <w:spacing w:before="120"/>
              <w:jc w:val="right"/>
              <w:rPr>
                <w:rFonts w:cs="Arial"/>
                <w:i/>
                <w:sz w:val="19"/>
                <w:szCs w:val="19"/>
              </w:rPr>
            </w:pPr>
            <w:r w:rsidRPr="00CA3B81">
              <w:rPr>
                <w:rFonts w:cs="Arial"/>
                <w:i/>
                <w:sz w:val="19"/>
                <w:szCs w:val="19"/>
              </w:rPr>
              <w:t>Previous year</w:t>
            </w:r>
          </w:p>
          <w:p w14:paraId="3E249EAE" w14:textId="52A61E1E" w:rsidR="00B82654" w:rsidRPr="00D33812" w:rsidRDefault="00CA3B81" w:rsidP="00B82654">
            <w:pPr>
              <w:spacing w:after="120"/>
              <w:jc w:val="right"/>
              <w:rPr>
                <w:rFonts w:cs="Arial"/>
                <w:i/>
                <w:iCs/>
                <w:sz w:val="19"/>
                <w:szCs w:val="19"/>
              </w:rPr>
            </w:pPr>
            <w:r w:rsidRPr="00CA3B81">
              <w:rPr>
                <w:rFonts w:cs="Arial"/>
                <w:i/>
                <w:sz w:val="19"/>
                <w:szCs w:val="19"/>
              </w:rPr>
              <w:t>VND</w:t>
            </w:r>
          </w:p>
        </w:tc>
      </w:tr>
      <w:tr w:rsidR="005C55A7" w:rsidRPr="000B1CC3" w14:paraId="68C0CAD3" w14:textId="77777777" w:rsidTr="009645E4">
        <w:tc>
          <w:tcPr>
            <w:tcW w:w="706" w:type="dxa"/>
            <w:tcBorders>
              <w:top w:val="single" w:sz="4" w:space="0" w:color="auto"/>
              <w:bottom w:val="nil"/>
              <w:right w:val="single" w:sz="4" w:space="0" w:color="000000"/>
            </w:tcBorders>
            <w:noWrap/>
          </w:tcPr>
          <w:p w14:paraId="20AA1D0B" w14:textId="61A851F1" w:rsidR="005C55A7" w:rsidRPr="000B1CC3" w:rsidRDefault="005C55A7" w:rsidP="005C55A7">
            <w:pPr>
              <w:spacing w:before="120"/>
              <w:ind w:left="-58" w:right="-58"/>
              <w:jc w:val="center"/>
              <w:rPr>
                <w:rFonts w:cs="Arial"/>
                <w:b/>
                <w:bCs/>
                <w:sz w:val="19"/>
                <w:szCs w:val="19"/>
              </w:rPr>
            </w:pPr>
          </w:p>
        </w:tc>
        <w:tc>
          <w:tcPr>
            <w:tcW w:w="3591" w:type="dxa"/>
            <w:tcBorders>
              <w:top w:val="single" w:sz="4" w:space="0" w:color="auto"/>
              <w:left w:val="single" w:sz="4" w:space="0" w:color="000000"/>
              <w:bottom w:val="nil"/>
              <w:right w:val="single" w:sz="4" w:space="0" w:color="000000"/>
            </w:tcBorders>
            <w:noWrap/>
            <w:vAlign w:val="bottom"/>
          </w:tcPr>
          <w:p w14:paraId="3928E911" w14:textId="7C41AB03" w:rsidR="005C55A7" w:rsidRPr="00A6189C" w:rsidRDefault="005C55A7" w:rsidP="00FA28E4">
            <w:pPr>
              <w:spacing w:before="120"/>
              <w:ind w:left="299" w:hanging="357"/>
              <w:jc w:val="left"/>
              <w:rPr>
                <w:rFonts w:cs="Arial"/>
                <w:b/>
                <w:bCs/>
                <w:sz w:val="19"/>
                <w:szCs w:val="19"/>
              </w:rPr>
            </w:pPr>
            <w:r w:rsidRPr="00D62A65">
              <w:rPr>
                <w:rFonts w:cs="Arial"/>
                <w:b/>
                <w:bCs/>
                <w:sz w:val="19"/>
                <w:szCs w:val="19"/>
              </w:rPr>
              <w:t>II.</w:t>
            </w:r>
            <w:r w:rsidRPr="00D62A65">
              <w:rPr>
                <w:rFonts w:cs="Arial"/>
                <w:b/>
                <w:bCs/>
                <w:sz w:val="19"/>
                <w:szCs w:val="19"/>
              </w:rPr>
              <w:tab/>
            </w:r>
            <w:r w:rsidRPr="00D62A65">
              <w:rPr>
                <w:rFonts w:cs="Arial"/>
                <w:b/>
                <w:bCs/>
                <w:sz w:val="19"/>
                <w:szCs w:val="19"/>
              </w:rPr>
              <w:tab/>
            </w:r>
            <w:r w:rsidRPr="00D62A65">
              <w:rPr>
                <w:rFonts w:cs="Arial"/>
                <w:b/>
                <w:bCs/>
                <w:sz w:val="19"/>
                <w:szCs w:val="19"/>
              </w:rPr>
              <w:tab/>
            </w:r>
            <w:r w:rsidRPr="00D62A65">
              <w:rPr>
                <w:rFonts w:cs="Arial"/>
                <w:b/>
                <w:bCs/>
                <w:sz w:val="19"/>
                <w:szCs w:val="19"/>
              </w:rPr>
              <w:tab/>
            </w:r>
            <w:r w:rsidRPr="00D62A65">
              <w:rPr>
                <w:rFonts w:cs="Arial"/>
                <w:b/>
                <w:bCs/>
                <w:sz w:val="19"/>
                <w:szCs w:val="19"/>
              </w:rPr>
              <w:tab/>
            </w:r>
            <w:r w:rsidRPr="00D62A65">
              <w:rPr>
                <w:rFonts w:cs="Arial"/>
                <w:b/>
                <w:bCs/>
                <w:sz w:val="19"/>
                <w:szCs w:val="19"/>
              </w:rPr>
              <w:tab/>
            </w:r>
            <w:r w:rsidRPr="00D33812">
              <w:rPr>
                <w:rFonts w:cs="Arial"/>
                <w:b/>
                <w:bCs/>
                <w:sz w:val="19"/>
                <w:szCs w:val="19"/>
              </w:rPr>
              <w:tab/>
            </w:r>
            <w:r w:rsidRPr="00D33812">
              <w:rPr>
                <w:rFonts w:cs="Arial"/>
                <w:b/>
                <w:bCs/>
                <w:sz w:val="19"/>
                <w:szCs w:val="19"/>
              </w:rPr>
              <w:tab/>
            </w:r>
            <w:r w:rsidRPr="00D33812">
              <w:rPr>
                <w:rFonts w:cs="Arial"/>
                <w:b/>
                <w:bCs/>
                <w:sz w:val="19"/>
                <w:szCs w:val="19"/>
              </w:rPr>
              <w:tab/>
            </w:r>
            <w:r>
              <w:rPr>
                <w:rFonts w:cs="Arial"/>
                <w:b/>
                <w:bCs/>
                <w:sz w:val="19"/>
                <w:szCs w:val="19"/>
              </w:rPr>
              <w:t>CASH FLOWS FROM INVESTING ACTIVITIES</w:t>
            </w:r>
          </w:p>
        </w:tc>
        <w:tc>
          <w:tcPr>
            <w:tcW w:w="630" w:type="dxa"/>
            <w:tcBorders>
              <w:top w:val="single" w:sz="4" w:space="0" w:color="auto"/>
              <w:left w:val="single" w:sz="4" w:space="0" w:color="000000"/>
              <w:bottom w:val="nil"/>
              <w:right w:val="single" w:sz="4" w:space="0" w:color="000000"/>
            </w:tcBorders>
            <w:noWrap/>
            <w:vAlign w:val="bottom"/>
          </w:tcPr>
          <w:p w14:paraId="7182023F" w14:textId="77777777" w:rsidR="005C55A7" w:rsidRPr="000B1CC3" w:rsidRDefault="005C55A7" w:rsidP="005C55A7">
            <w:pPr>
              <w:spacing w:before="120"/>
              <w:ind w:left="-58" w:right="-58"/>
              <w:jc w:val="center"/>
              <w:rPr>
                <w:rFonts w:cs="Arial"/>
                <w:b/>
                <w:bCs/>
                <w:sz w:val="19"/>
                <w:szCs w:val="19"/>
                <w:lang w:val="vi-VN"/>
              </w:rPr>
            </w:pPr>
          </w:p>
        </w:tc>
        <w:tc>
          <w:tcPr>
            <w:tcW w:w="1980" w:type="dxa"/>
            <w:tcBorders>
              <w:top w:val="single" w:sz="4" w:space="0" w:color="auto"/>
              <w:left w:val="single" w:sz="4" w:space="0" w:color="000000"/>
              <w:bottom w:val="nil"/>
              <w:right w:val="single" w:sz="4" w:space="0" w:color="000000"/>
            </w:tcBorders>
            <w:vAlign w:val="bottom"/>
          </w:tcPr>
          <w:p w14:paraId="239D1942" w14:textId="3A1D1764" w:rsidR="005C55A7" w:rsidRPr="003C222B" w:rsidRDefault="005C55A7" w:rsidP="005C55A7">
            <w:pPr>
              <w:spacing w:before="120"/>
              <w:ind w:left="-57"/>
              <w:jc w:val="right"/>
              <w:rPr>
                <w:rFonts w:cs="Arial"/>
                <w:b/>
                <w:sz w:val="19"/>
                <w:szCs w:val="19"/>
                <w:lang w:val="vi-VN"/>
              </w:rPr>
            </w:pPr>
          </w:p>
        </w:tc>
        <w:tc>
          <w:tcPr>
            <w:tcW w:w="1980" w:type="dxa"/>
            <w:tcBorders>
              <w:top w:val="single" w:sz="4" w:space="0" w:color="auto"/>
              <w:left w:val="single" w:sz="4" w:space="0" w:color="000000"/>
              <w:bottom w:val="nil"/>
            </w:tcBorders>
            <w:noWrap/>
            <w:vAlign w:val="bottom"/>
          </w:tcPr>
          <w:p w14:paraId="5CDEC1E1" w14:textId="09171DD7" w:rsidR="005C55A7" w:rsidRPr="003C222B" w:rsidRDefault="005C55A7" w:rsidP="005C55A7">
            <w:pPr>
              <w:spacing w:before="120"/>
              <w:ind w:left="-57"/>
              <w:jc w:val="right"/>
              <w:rPr>
                <w:rFonts w:cs="Arial"/>
                <w:b/>
                <w:sz w:val="19"/>
                <w:szCs w:val="19"/>
                <w:lang w:val="vi-VN"/>
              </w:rPr>
            </w:pPr>
          </w:p>
        </w:tc>
      </w:tr>
      <w:tr w:rsidR="009645E4" w:rsidRPr="000B1CC3" w14:paraId="58EF4F01" w14:textId="77777777" w:rsidTr="009645E4">
        <w:tc>
          <w:tcPr>
            <w:tcW w:w="706" w:type="dxa"/>
            <w:tcBorders>
              <w:top w:val="nil"/>
              <w:right w:val="single" w:sz="4" w:space="0" w:color="000000"/>
            </w:tcBorders>
            <w:noWrap/>
          </w:tcPr>
          <w:p w14:paraId="4731E4AE" w14:textId="7E4A87CC" w:rsidR="009645E4" w:rsidRPr="00FA28E4" w:rsidRDefault="009645E4" w:rsidP="009645E4">
            <w:pPr>
              <w:spacing w:before="120"/>
              <w:ind w:left="-58" w:right="-58"/>
              <w:jc w:val="center"/>
              <w:rPr>
                <w:rFonts w:cs="Arial"/>
                <w:sz w:val="19"/>
                <w:szCs w:val="19"/>
              </w:rPr>
            </w:pPr>
            <w:r w:rsidRPr="00FA28E4">
              <w:rPr>
                <w:rFonts w:cs="Arial"/>
                <w:sz w:val="19"/>
                <w:szCs w:val="19"/>
              </w:rPr>
              <w:t>61</w:t>
            </w:r>
          </w:p>
        </w:tc>
        <w:tc>
          <w:tcPr>
            <w:tcW w:w="3591" w:type="dxa"/>
            <w:tcBorders>
              <w:top w:val="nil"/>
              <w:left w:val="single" w:sz="4" w:space="0" w:color="000000"/>
              <w:right w:val="single" w:sz="4" w:space="0" w:color="000000"/>
            </w:tcBorders>
            <w:noWrap/>
            <w:vAlign w:val="bottom"/>
          </w:tcPr>
          <w:p w14:paraId="601ED3DB" w14:textId="484B1C70" w:rsidR="009645E4" w:rsidRPr="00FA28E4" w:rsidRDefault="009645E4" w:rsidP="009645E4">
            <w:pPr>
              <w:pStyle w:val="ListParagraph"/>
              <w:spacing w:before="120"/>
              <w:ind w:left="302"/>
              <w:jc w:val="left"/>
              <w:rPr>
                <w:rFonts w:cs="Arial"/>
                <w:sz w:val="19"/>
                <w:szCs w:val="19"/>
              </w:rPr>
            </w:pPr>
            <w:r w:rsidRPr="00FA28E4">
              <w:rPr>
                <w:rFonts w:cs="Arial"/>
                <w:sz w:val="19"/>
                <w:szCs w:val="19"/>
              </w:rPr>
              <w:t>Payments for purchases and constructions of fixed assets, investment properties and other long-term assets</w:t>
            </w:r>
          </w:p>
        </w:tc>
        <w:tc>
          <w:tcPr>
            <w:tcW w:w="630" w:type="dxa"/>
            <w:tcBorders>
              <w:top w:val="nil"/>
              <w:left w:val="single" w:sz="4" w:space="0" w:color="000000"/>
              <w:right w:val="single" w:sz="4" w:space="0" w:color="000000"/>
            </w:tcBorders>
            <w:noWrap/>
            <w:vAlign w:val="bottom"/>
          </w:tcPr>
          <w:p w14:paraId="19B260F0" w14:textId="77777777" w:rsidR="009645E4" w:rsidRPr="000B1CC3" w:rsidRDefault="009645E4" w:rsidP="009645E4">
            <w:pPr>
              <w:spacing w:before="120"/>
              <w:ind w:left="-58" w:right="-58"/>
              <w:jc w:val="center"/>
              <w:rPr>
                <w:rFonts w:cs="Arial"/>
                <w:bCs/>
                <w:sz w:val="19"/>
                <w:szCs w:val="19"/>
                <w:lang w:val="vi-VN"/>
              </w:rPr>
            </w:pPr>
          </w:p>
        </w:tc>
        <w:tc>
          <w:tcPr>
            <w:tcW w:w="1980" w:type="dxa"/>
            <w:tcBorders>
              <w:top w:val="nil"/>
              <w:left w:val="single" w:sz="4" w:space="0" w:color="000000"/>
              <w:right w:val="single" w:sz="4" w:space="0" w:color="000000"/>
            </w:tcBorders>
            <w:vAlign w:val="bottom"/>
          </w:tcPr>
          <w:p w14:paraId="6B3D8BA3" w14:textId="229BF44D" w:rsidR="009645E4" w:rsidRPr="005C55A7" w:rsidRDefault="009645E4" w:rsidP="009645E4">
            <w:pPr>
              <w:spacing w:before="120"/>
              <w:ind w:left="-57"/>
              <w:jc w:val="right"/>
              <w:rPr>
                <w:rFonts w:cs="Arial"/>
                <w:sz w:val="19"/>
                <w:szCs w:val="19"/>
              </w:rPr>
            </w:pPr>
            <w:r w:rsidRPr="00162FB9">
              <w:t>(2</w:t>
            </w:r>
            <w:r w:rsidR="009D53F5">
              <w:t>,</w:t>
            </w:r>
            <w:r w:rsidRPr="00162FB9">
              <w:t>028</w:t>
            </w:r>
            <w:r w:rsidR="009D53F5">
              <w:t>,</w:t>
            </w:r>
            <w:r w:rsidRPr="00162FB9">
              <w:t>352</w:t>
            </w:r>
            <w:r w:rsidR="009D53F5">
              <w:t>,</w:t>
            </w:r>
            <w:r w:rsidRPr="00162FB9">
              <w:t>800)</w:t>
            </w:r>
          </w:p>
        </w:tc>
        <w:tc>
          <w:tcPr>
            <w:tcW w:w="1980" w:type="dxa"/>
            <w:tcBorders>
              <w:top w:val="nil"/>
              <w:left w:val="single" w:sz="4" w:space="0" w:color="000000"/>
            </w:tcBorders>
            <w:noWrap/>
            <w:vAlign w:val="bottom"/>
          </w:tcPr>
          <w:p w14:paraId="3322CBC0" w14:textId="767502D2" w:rsidR="009645E4" w:rsidRPr="005C55A7" w:rsidRDefault="009645E4" w:rsidP="009645E4">
            <w:pPr>
              <w:spacing w:before="120"/>
              <w:ind w:left="-57"/>
              <w:jc w:val="right"/>
              <w:rPr>
                <w:rFonts w:cs="Arial"/>
                <w:sz w:val="19"/>
                <w:szCs w:val="19"/>
              </w:rPr>
            </w:pPr>
            <w:r w:rsidRPr="00162FB9">
              <w:t>(1</w:t>
            </w:r>
            <w:r w:rsidR="009D53F5">
              <w:t>,</w:t>
            </w:r>
            <w:r w:rsidRPr="00162FB9">
              <w:t>984</w:t>
            </w:r>
            <w:r w:rsidR="009D53F5">
              <w:t>,</w:t>
            </w:r>
            <w:r w:rsidRPr="00162FB9">
              <w:t>035</w:t>
            </w:r>
            <w:r w:rsidR="009D53F5">
              <w:t>,</w:t>
            </w:r>
            <w:r w:rsidRPr="00162FB9">
              <w:t>000)</w:t>
            </w:r>
          </w:p>
        </w:tc>
      </w:tr>
      <w:tr w:rsidR="009645E4" w:rsidRPr="000B1CC3" w14:paraId="6F99D2C9" w14:textId="77777777" w:rsidTr="009645E4">
        <w:tc>
          <w:tcPr>
            <w:tcW w:w="706" w:type="dxa"/>
            <w:tcBorders>
              <w:top w:val="nil"/>
              <w:right w:val="single" w:sz="4" w:space="0" w:color="000000"/>
            </w:tcBorders>
            <w:noWrap/>
          </w:tcPr>
          <w:p w14:paraId="6808B2A5" w14:textId="68418B41" w:rsidR="009645E4" w:rsidRDefault="009645E4" w:rsidP="009645E4">
            <w:pPr>
              <w:spacing w:before="120"/>
              <w:ind w:left="-58" w:right="-58"/>
              <w:jc w:val="center"/>
              <w:rPr>
                <w:rFonts w:cs="Arial"/>
                <w:bCs/>
                <w:sz w:val="19"/>
                <w:szCs w:val="19"/>
              </w:rPr>
            </w:pPr>
            <w:r w:rsidRPr="00D33812">
              <w:rPr>
                <w:rFonts w:cs="Arial"/>
                <w:b/>
                <w:bCs/>
                <w:sz w:val="19"/>
                <w:szCs w:val="19"/>
              </w:rPr>
              <w:t>70</w:t>
            </w:r>
          </w:p>
        </w:tc>
        <w:tc>
          <w:tcPr>
            <w:tcW w:w="3591" w:type="dxa"/>
            <w:tcBorders>
              <w:top w:val="nil"/>
              <w:left w:val="single" w:sz="4" w:space="0" w:color="000000"/>
              <w:right w:val="single" w:sz="4" w:space="0" w:color="000000"/>
            </w:tcBorders>
            <w:noWrap/>
            <w:vAlign w:val="bottom"/>
          </w:tcPr>
          <w:p w14:paraId="30BA5143" w14:textId="35882B35" w:rsidR="009645E4" w:rsidRPr="000B1CC3" w:rsidRDefault="009645E4" w:rsidP="009645E4">
            <w:pPr>
              <w:spacing w:before="120"/>
              <w:ind w:left="302" w:hanging="360"/>
              <w:jc w:val="left"/>
              <w:rPr>
                <w:rFonts w:cs="Arial"/>
                <w:bCs/>
                <w:sz w:val="19"/>
                <w:szCs w:val="19"/>
              </w:rPr>
            </w:pPr>
            <w:r w:rsidRPr="00F5372B">
              <w:rPr>
                <w:rFonts w:cs="Arial"/>
                <w:b/>
                <w:bCs/>
                <w:sz w:val="19"/>
                <w:szCs w:val="19"/>
              </w:rPr>
              <w:t>Net cash flow from</w:t>
            </w:r>
            <w:proofErr w:type="gramStart"/>
            <w:r w:rsidRPr="00F5372B">
              <w:rPr>
                <w:rFonts w:cs="Arial"/>
                <w:b/>
                <w:bCs/>
                <w:sz w:val="19"/>
                <w:szCs w:val="19"/>
              </w:rPr>
              <w:t>/(</w:t>
            </w:r>
            <w:proofErr w:type="gramEnd"/>
            <w:r w:rsidRPr="00F5372B">
              <w:rPr>
                <w:rFonts w:cs="Arial"/>
                <w:b/>
                <w:bCs/>
                <w:sz w:val="19"/>
                <w:szCs w:val="19"/>
              </w:rPr>
              <w:t>used in) investing activities</w:t>
            </w:r>
          </w:p>
        </w:tc>
        <w:tc>
          <w:tcPr>
            <w:tcW w:w="630" w:type="dxa"/>
            <w:tcBorders>
              <w:top w:val="nil"/>
              <w:left w:val="single" w:sz="4" w:space="0" w:color="000000"/>
              <w:right w:val="single" w:sz="4" w:space="0" w:color="000000"/>
            </w:tcBorders>
            <w:noWrap/>
            <w:vAlign w:val="bottom"/>
          </w:tcPr>
          <w:p w14:paraId="76CC51B3" w14:textId="77777777" w:rsidR="009645E4" w:rsidRPr="000B1CC3" w:rsidRDefault="009645E4" w:rsidP="009645E4">
            <w:pPr>
              <w:spacing w:before="120"/>
              <w:ind w:left="-58" w:right="-58"/>
              <w:jc w:val="center"/>
              <w:rPr>
                <w:rFonts w:cs="Arial"/>
                <w:bCs/>
                <w:sz w:val="19"/>
                <w:szCs w:val="19"/>
                <w:lang w:val="vi-VN"/>
              </w:rPr>
            </w:pPr>
          </w:p>
        </w:tc>
        <w:tc>
          <w:tcPr>
            <w:tcW w:w="1980" w:type="dxa"/>
            <w:tcBorders>
              <w:top w:val="nil"/>
              <w:left w:val="single" w:sz="4" w:space="0" w:color="000000"/>
              <w:right w:val="single" w:sz="4" w:space="0" w:color="000000"/>
            </w:tcBorders>
            <w:vAlign w:val="bottom"/>
          </w:tcPr>
          <w:p w14:paraId="1767427B" w14:textId="7F02344A" w:rsidR="009645E4" w:rsidRPr="009645E4" w:rsidRDefault="009645E4" w:rsidP="009645E4">
            <w:pPr>
              <w:spacing w:before="120"/>
              <w:ind w:left="-57"/>
              <w:jc w:val="right"/>
              <w:rPr>
                <w:rFonts w:cs="Arial"/>
                <w:b/>
                <w:bCs/>
                <w:sz w:val="19"/>
                <w:szCs w:val="19"/>
              </w:rPr>
            </w:pPr>
            <w:r w:rsidRPr="009645E4">
              <w:rPr>
                <w:b/>
                <w:bCs/>
              </w:rPr>
              <w:t>(2</w:t>
            </w:r>
            <w:r w:rsidR="009D53F5">
              <w:rPr>
                <w:b/>
                <w:bCs/>
              </w:rPr>
              <w:t>,</w:t>
            </w:r>
            <w:r w:rsidRPr="009645E4">
              <w:rPr>
                <w:b/>
                <w:bCs/>
              </w:rPr>
              <w:t>028</w:t>
            </w:r>
            <w:r w:rsidR="009D53F5">
              <w:rPr>
                <w:b/>
                <w:bCs/>
              </w:rPr>
              <w:t>,</w:t>
            </w:r>
            <w:r w:rsidRPr="009645E4">
              <w:rPr>
                <w:b/>
                <w:bCs/>
              </w:rPr>
              <w:t>352</w:t>
            </w:r>
            <w:r w:rsidR="009D53F5">
              <w:rPr>
                <w:b/>
                <w:bCs/>
              </w:rPr>
              <w:t>,</w:t>
            </w:r>
            <w:r w:rsidRPr="009645E4">
              <w:rPr>
                <w:b/>
                <w:bCs/>
              </w:rPr>
              <w:t>800)</w:t>
            </w:r>
          </w:p>
        </w:tc>
        <w:tc>
          <w:tcPr>
            <w:tcW w:w="1980" w:type="dxa"/>
            <w:tcBorders>
              <w:top w:val="nil"/>
              <w:left w:val="single" w:sz="4" w:space="0" w:color="000000"/>
            </w:tcBorders>
            <w:noWrap/>
            <w:vAlign w:val="bottom"/>
          </w:tcPr>
          <w:p w14:paraId="6F6E254C" w14:textId="11CD9FAB" w:rsidR="009645E4" w:rsidRPr="009645E4" w:rsidRDefault="009645E4" w:rsidP="009645E4">
            <w:pPr>
              <w:spacing w:before="120"/>
              <w:ind w:left="-57"/>
              <w:jc w:val="right"/>
              <w:rPr>
                <w:rFonts w:cs="Arial"/>
                <w:b/>
                <w:bCs/>
                <w:sz w:val="19"/>
                <w:szCs w:val="19"/>
              </w:rPr>
            </w:pPr>
            <w:r w:rsidRPr="009645E4">
              <w:rPr>
                <w:b/>
                <w:bCs/>
              </w:rPr>
              <w:t>(1</w:t>
            </w:r>
            <w:r w:rsidR="009D53F5">
              <w:rPr>
                <w:b/>
                <w:bCs/>
              </w:rPr>
              <w:t>,</w:t>
            </w:r>
            <w:r w:rsidRPr="009645E4">
              <w:rPr>
                <w:b/>
                <w:bCs/>
              </w:rPr>
              <w:t>984</w:t>
            </w:r>
            <w:r w:rsidR="009D53F5">
              <w:rPr>
                <w:b/>
                <w:bCs/>
              </w:rPr>
              <w:t>,</w:t>
            </w:r>
            <w:r w:rsidRPr="009645E4">
              <w:rPr>
                <w:b/>
                <w:bCs/>
              </w:rPr>
              <w:t>035</w:t>
            </w:r>
            <w:r w:rsidR="009D53F5">
              <w:rPr>
                <w:b/>
                <w:bCs/>
              </w:rPr>
              <w:t>,</w:t>
            </w:r>
            <w:r w:rsidRPr="009645E4">
              <w:rPr>
                <w:b/>
                <w:bCs/>
              </w:rPr>
              <w:t>000)</w:t>
            </w:r>
          </w:p>
        </w:tc>
      </w:tr>
      <w:tr w:rsidR="009645E4" w:rsidRPr="000B1CC3" w14:paraId="67C47805" w14:textId="77777777" w:rsidTr="009645E4">
        <w:tc>
          <w:tcPr>
            <w:tcW w:w="706" w:type="dxa"/>
            <w:tcBorders>
              <w:top w:val="nil"/>
              <w:right w:val="single" w:sz="4" w:space="0" w:color="000000"/>
            </w:tcBorders>
            <w:noWrap/>
          </w:tcPr>
          <w:p w14:paraId="41A7D4F7" w14:textId="77777777" w:rsidR="009645E4" w:rsidRDefault="009645E4" w:rsidP="009645E4">
            <w:pPr>
              <w:spacing w:before="120"/>
              <w:ind w:left="-58" w:right="-58"/>
              <w:jc w:val="center"/>
              <w:rPr>
                <w:rFonts w:cs="Arial"/>
                <w:bCs/>
                <w:sz w:val="19"/>
                <w:szCs w:val="19"/>
              </w:rPr>
            </w:pPr>
          </w:p>
        </w:tc>
        <w:tc>
          <w:tcPr>
            <w:tcW w:w="3591" w:type="dxa"/>
            <w:tcBorders>
              <w:top w:val="nil"/>
              <w:left w:val="single" w:sz="4" w:space="0" w:color="000000"/>
              <w:right w:val="single" w:sz="4" w:space="0" w:color="000000"/>
            </w:tcBorders>
            <w:noWrap/>
            <w:vAlign w:val="bottom"/>
          </w:tcPr>
          <w:p w14:paraId="5EA1D6A1" w14:textId="0E9838CA" w:rsidR="009645E4" w:rsidRPr="000B1CC3" w:rsidRDefault="009645E4" w:rsidP="009645E4">
            <w:pPr>
              <w:spacing w:before="120"/>
              <w:ind w:left="302" w:hanging="360"/>
              <w:jc w:val="left"/>
              <w:rPr>
                <w:rFonts w:cs="Arial"/>
                <w:bCs/>
                <w:sz w:val="19"/>
                <w:szCs w:val="19"/>
              </w:rPr>
            </w:pPr>
            <w:r w:rsidRPr="000B1CC3">
              <w:rPr>
                <w:rFonts w:cs="Arial"/>
                <w:b/>
                <w:bCs/>
                <w:sz w:val="19"/>
                <w:szCs w:val="19"/>
              </w:rPr>
              <w:t>III.</w:t>
            </w:r>
            <w:r w:rsidRPr="000B1CC3">
              <w:rPr>
                <w:rFonts w:cs="Arial"/>
                <w:b/>
                <w:bCs/>
                <w:sz w:val="19"/>
                <w:szCs w:val="19"/>
              </w:rPr>
              <w:tab/>
            </w:r>
            <w:r w:rsidRPr="000B1CC3">
              <w:rPr>
                <w:rFonts w:cs="Arial"/>
                <w:b/>
                <w:bCs/>
                <w:sz w:val="19"/>
                <w:szCs w:val="19"/>
              </w:rPr>
              <w:tab/>
            </w:r>
            <w:r w:rsidRPr="0027494D">
              <w:rPr>
                <w:rFonts w:cs="Arial"/>
                <w:b/>
                <w:bCs/>
                <w:sz w:val="19"/>
                <w:szCs w:val="19"/>
                <w:lang w:val="vi-VN"/>
              </w:rPr>
              <w:t>CASH FLOWS FROM FINANCING ACTIVITIES</w:t>
            </w:r>
          </w:p>
        </w:tc>
        <w:tc>
          <w:tcPr>
            <w:tcW w:w="630" w:type="dxa"/>
            <w:tcBorders>
              <w:top w:val="nil"/>
              <w:left w:val="single" w:sz="4" w:space="0" w:color="000000"/>
              <w:right w:val="single" w:sz="4" w:space="0" w:color="000000"/>
            </w:tcBorders>
            <w:noWrap/>
            <w:vAlign w:val="bottom"/>
          </w:tcPr>
          <w:p w14:paraId="01B3C299" w14:textId="77777777" w:rsidR="009645E4" w:rsidRPr="000B1CC3" w:rsidRDefault="009645E4" w:rsidP="009645E4">
            <w:pPr>
              <w:spacing w:before="120"/>
              <w:ind w:left="-58" w:right="-58"/>
              <w:jc w:val="center"/>
              <w:rPr>
                <w:rFonts w:cs="Arial"/>
                <w:bCs/>
                <w:sz w:val="19"/>
                <w:szCs w:val="19"/>
                <w:lang w:val="vi-VN"/>
              </w:rPr>
            </w:pPr>
          </w:p>
        </w:tc>
        <w:tc>
          <w:tcPr>
            <w:tcW w:w="1980" w:type="dxa"/>
            <w:tcBorders>
              <w:top w:val="nil"/>
              <w:left w:val="single" w:sz="4" w:space="0" w:color="000000"/>
              <w:right w:val="single" w:sz="4" w:space="0" w:color="000000"/>
            </w:tcBorders>
            <w:vAlign w:val="bottom"/>
          </w:tcPr>
          <w:p w14:paraId="683D0E78" w14:textId="77777777" w:rsidR="009645E4" w:rsidRPr="009645E4" w:rsidRDefault="009645E4" w:rsidP="009645E4">
            <w:pPr>
              <w:spacing w:before="120"/>
              <w:ind w:left="-57"/>
              <w:jc w:val="right"/>
              <w:rPr>
                <w:rFonts w:cs="Arial"/>
                <w:b/>
                <w:bCs/>
                <w:sz w:val="19"/>
                <w:szCs w:val="19"/>
              </w:rPr>
            </w:pPr>
          </w:p>
        </w:tc>
        <w:tc>
          <w:tcPr>
            <w:tcW w:w="1980" w:type="dxa"/>
            <w:tcBorders>
              <w:top w:val="nil"/>
              <w:left w:val="single" w:sz="4" w:space="0" w:color="000000"/>
            </w:tcBorders>
            <w:noWrap/>
            <w:vAlign w:val="bottom"/>
          </w:tcPr>
          <w:p w14:paraId="0960F5DB" w14:textId="77777777" w:rsidR="009645E4" w:rsidRPr="009645E4" w:rsidRDefault="009645E4" w:rsidP="009645E4">
            <w:pPr>
              <w:spacing w:before="120"/>
              <w:ind w:left="-57"/>
              <w:jc w:val="right"/>
              <w:rPr>
                <w:rFonts w:cs="Arial"/>
                <w:b/>
                <w:bCs/>
                <w:sz w:val="19"/>
                <w:szCs w:val="19"/>
              </w:rPr>
            </w:pPr>
          </w:p>
        </w:tc>
      </w:tr>
      <w:tr w:rsidR="009645E4" w:rsidRPr="000B1CC3" w14:paraId="5DB02EEF" w14:textId="77777777" w:rsidTr="009645E4">
        <w:tc>
          <w:tcPr>
            <w:tcW w:w="706" w:type="dxa"/>
            <w:tcBorders>
              <w:top w:val="nil"/>
              <w:right w:val="single" w:sz="4" w:space="0" w:color="000000"/>
            </w:tcBorders>
            <w:noWrap/>
          </w:tcPr>
          <w:p w14:paraId="74849F6E" w14:textId="08D07562" w:rsidR="009645E4" w:rsidRDefault="009645E4" w:rsidP="009645E4">
            <w:pPr>
              <w:spacing w:before="120"/>
              <w:ind w:left="-58" w:right="-58"/>
              <w:jc w:val="center"/>
              <w:rPr>
                <w:rFonts w:cs="Arial"/>
                <w:bCs/>
                <w:sz w:val="19"/>
                <w:szCs w:val="19"/>
              </w:rPr>
            </w:pPr>
            <w:r>
              <w:rPr>
                <w:rFonts w:cs="Arial"/>
                <w:bCs/>
                <w:sz w:val="19"/>
                <w:szCs w:val="19"/>
              </w:rPr>
              <w:t>71</w:t>
            </w:r>
          </w:p>
        </w:tc>
        <w:tc>
          <w:tcPr>
            <w:tcW w:w="3591" w:type="dxa"/>
            <w:tcBorders>
              <w:top w:val="nil"/>
              <w:left w:val="single" w:sz="4" w:space="0" w:color="000000"/>
              <w:right w:val="single" w:sz="4" w:space="0" w:color="000000"/>
            </w:tcBorders>
            <w:noWrap/>
            <w:vAlign w:val="bottom"/>
          </w:tcPr>
          <w:p w14:paraId="1EE531C1" w14:textId="4033D551" w:rsidR="009645E4" w:rsidRPr="000B1CC3" w:rsidRDefault="009645E4" w:rsidP="009645E4">
            <w:pPr>
              <w:spacing w:before="120"/>
              <w:ind w:left="302" w:hanging="360"/>
              <w:jc w:val="left"/>
              <w:rPr>
                <w:rFonts w:cs="Arial"/>
                <w:bCs/>
                <w:sz w:val="19"/>
                <w:szCs w:val="19"/>
              </w:rPr>
            </w:pPr>
            <w:r w:rsidRPr="000B1CC3">
              <w:rPr>
                <w:rFonts w:cs="Arial"/>
                <w:bCs/>
                <w:sz w:val="19"/>
                <w:szCs w:val="19"/>
              </w:rPr>
              <w:t>1.</w:t>
            </w:r>
            <w:r w:rsidRPr="000B1CC3">
              <w:rPr>
                <w:rFonts w:cs="Arial"/>
                <w:bCs/>
                <w:sz w:val="19"/>
                <w:szCs w:val="19"/>
              </w:rPr>
              <w:tab/>
            </w:r>
            <w:r w:rsidRPr="00994EFA">
              <w:rPr>
                <w:rFonts w:cs="Arial"/>
                <w:bCs/>
                <w:sz w:val="19"/>
                <w:szCs w:val="19"/>
              </w:rPr>
              <w:t>Proceeds from share issuance, capital contribution</w:t>
            </w:r>
            <w:r w:rsidRPr="000B1CC3" w:rsidDel="00DD3D52">
              <w:rPr>
                <w:rFonts w:cs="Arial"/>
                <w:bCs/>
                <w:sz w:val="19"/>
                <w:szCs w:val="19"/>
              </w:rPr>
              <w:t xml:space="preserve"> </w:t>
            </w:r>
          </w:p>
        </w:tc>
        <w:tc>
          <w:tcPr>
            <w:tcW w:w="630" w:type="dxa"/>
            <w:tcBorders>
              <w:top w:val="nil"/>
              <w:left w:val="single" w:sz="4" w:space="0" w:color="000000"/>
              <w:right w:val="single" w:sz="4" w:space="0" w:color="000000"/>
            </w:tcBorders>
            <w:noWrap/>
            <w:vAlign w:val="bottom"/>
          </w:tcPr>
          <w:p w14:paraId="59B27714" w14:textId="77777777" w:rsidR="009645E4" w:rsidRPr="000B1CC3" w:rsidRDefault="009645E4" w:rsidP="009645E4">
            <w:pPr>
              <w:spacing w:before="120"/>
              <w:ind w:left="-58" w:right="-58"/>
              <w:jc w:val="center"/>
              <w:rPr>
                <w:rFonts w:cs="Arial"/>
                <w:bCs/>
                <w:sz w:val="19"/>
                <w:szCs w:val="19"/>
                <w:lang w:val="vi-VN"/>
              </w:rPr>
            </w:pPr>
          </w:p>
        </w:tc>
        <w:tc>
          <w:tcPr>
            <w:tcW w:w="1980" w:type="dxa"/>
            <w:tcBorders>
              <w:top w:val="nil"/>
              <w:left w:val="single" w:sz="4" w:space="0" w:color="000000"/>
              <w:right w:val="single" w:sz="4" w:space="0" w:color="000000"/>
            </w:tcBorders>
            <w:vAlign w:val="bottom"/>
          </w:tcPr>
          <w:p w14:paraId="2E8F1C6C" w14:textId="0088DA86" w:rsidR="009645E4" w:rsidRDefault="009645E4" w:rsidP="009645E4">
            <w:pPr>
              <w:spacing w:before="120"/>
              <w:ind w:left="-57"/>
              <w:jc w:val="right"/>
              <w:rPr>
                <w:rFonts w:cs="Arial"/>
                <w:bCs/>
                <w:sz w:val="19"/>
                <w:szCs w:val="19"/>
              </w:rPr>
            </w:pPr>
            <w:r w:rsidRPr="00162FB9">
              <w:t>-</w:t>
            </w:r>
          </w:p>
        </w:tc>
        <w:tc>
          <w:tcPr>
            <w:tcW w:w="1980" w:type="dxa"/>
            <w:tcBorders>
              <w:top w:val="nil"/>
              <w:left w:val="single" w:sz="4" w:space="0" w:color="000000"/>
            </w:tcBorders>
            <w:noWrap/>
            <w:vAlign w:val="bottom"/>
          </w:tcPr>
          <w:p w14:paraId="43423320" w14:textId="6D75692F" w:rsidR="009645E4" w:rsidRDefault="009645E4" w:rsidP="009645E4">
            <w:pPr>
              <w:spacing w:before="120"/>
              <w:ind w:left="-57"/>
              <w:jc w:val="right"/>
              <w:rPr>
                <w:rFonts w:cs="Arial"/>
                <w:bCs/>
                <w:sz w:val="19"/>
                <w:szCs w:val="19"/>
              </w:rPr>
            </w:pPr>
            <w:r w:rsidRPr="00162FB9">
              <w:t>-</w:t>
            </w:r>
          </w:p>
        </w:tc>
      </w:tr>
      <w:tr w:rsidR="009645E4" w:rsidRPr="000B1CC3" w14:paraId="25A038B1" w14:textId="77777777" w:rsidTr="009645E4">
        <w:tc>
          <w:tcPr>
            <w:tcW w:w="706" w:type="dxa"/>
            <w:tcBorders>
              <w:top w:val="nil"/>
              <w:right w:val="single" w:sz="4" w:space="0" w:color="000000"/>
            </w:tcBorders>
            <w:noWrap/>
          </w:tcPr>
          <w:p w14:paraId="33C31AD5" w14:textId="137970A1" w:rsidR="009645E4" w:rsidRPr="000B1CC3" w:rsidRDefault="009645E4" w:rsidP="009645E4">
            <w:pPr>
              <w:spacing w:before="120"/>
              <w:ind w:left="-58" w:right="-58"/>
              <w:jc w:val="center"/>
              <w:rPr>
                <w:rFonts w:cs="Arial"/>
                <w:bCs/>
                <w:sz w:val="19"/>
                <w:szCs w:val="19"/>
              </w:rPr>
            </w:pPr>
            <w:r w:rsidRPr="000B1CC3">
              <w:rPr>
                <w:rFonts w:cs="Arial"/>
                <w:bCs/>
                <w:sz w:val="19"/>
                <w:szCs w:val="19"/>
              </w:rPr>
              <w:t>73</w:t>
            </w:r>
          </w:p>
        </w:tc>
        <w:tc>
          <w:tcPr>
            <w:tcW w:w="3591" w:type="dxa"/>
            <w:tcBorders>
              <w:top w:val="nil"/>
              <w:left w:val="single" w:sz="4" w:space="0" w:color="000000"/>
              <w:right w:val="single" w:sz="4" w:space="0" w:color="000000"/>
            </w:tcBorders>
            <w:noWrap/>
            <w:vAlign w:val="bottom"/>
          </w:tcPr>
          <w:p w14:paraId="5EE9387D" w14:textId="104B8E35" w:rsidR="009645E4" w:rsidRPr="000B1CC3" w:rsidRDefault="009645E4" w:rsidP="009645E4">
            <w:pPr>
              <w:spacing w:before="120"/>
              <w:ind w:left="302" w:hanging="360"/>
              <w:rPr>
                <w:rFonts w:cs="Arial"/>
                <w:bCs/>
                <w:sz w:val="19"/>
                <w:szCs w:val="19"/>
              </w:rPr>
            </w:pPr>
            <w:r>
              <w:rPr>
                <w:rFonts w:cs="Arial"/>
                <w:bCs/>
                <w:sz w:val="19"/>
                <w:szCs w:val="19"/>
              </w:rPr>
              <w:t>2</w:t>
            </w:r>
            <w:r w:rsidRPr="000B1CC3">
              <w:rPr>
                <w:rFonts w:cs="Arial"/>
                <w:bCs/>
                <w:sz w:val="19"/>
                <w:szCs w:val="19"/>
              </w:rPr>
              <w:t>.</w:t>
            </w:r>
            <w:r w:rsidRPr="000B1CC3">
              <w:rPr>
                <w:rFonts w:cs="Arial"/>
                <w:bCs/>
                <w:sz w:val="19"/>
                <w:szCs w:val="19"/>
              </w:rPr>
              <w:tab/>
            </w:r>
            <w:r w:rsidRPr="00B14063">
              <w:rPr>
                <w:rFonts w:cs="Arial"/>
                <w:bCs/>
                <w:sz w:val="19"/>
                <w:szCs w:val="19"/>
              </w:rPr>
              <w:t>Drawdown of borrowings</w:t>
            </w:r>
          </w:p>
        </w:tc>
        <w:tc>
          <w:tcPr>
            <w:tcW w:w="630" w:type="dxa"/>
            <w:tcBorders>
              <w:top w:val="nil"/>
              <w:left w:val="single" w:sz="4" w:space="0" w:color="000000"/>
              <w:right w:val="single" w:sz="4" w:space="0" w:color="000000"/>
            </w:tcBorders>
            <w:noWrap/>
            <w:vAlign w:val="bottom"/>
          </w:tcPr>
          <w:p w14:paraId="34290ED1" w14:textId="77777777" w:rsidR="009645E4" w:rsidRPr="000B1CC3" w:rsidRDefault="009645E4" w:rsidP="009645E4">
            <w:pPr>
              <w:spacing w:before="120"/>
              <w:ind w:left="-58" w:right="-58"/>
              <w:jc w:val="center"/>
              <w:rPr>
                <w:rFonts w:cs="Arial"/>
                <w:bCs/>
                <w:sz w:val="19"/>
                <w:szCs w:val="19"/>
                <w:lang w:val="vi-VN"/>
              </w:rPr>
            </w:pPr>
          </w:p>
        </w:tc>
        <w:tc>
          <w:tcPr>
            <w:tcW w:w="1980" w:type="dxa"/>
            <w:tcBorders>
              <w:top w:val="nil"/>
              <w:left w:val="single" w:sz="4" w:space="0" w:color="000000"/>
              <w:right w:val="single" w:sz="4" w:space="0" w:color="000000"/>
            </w:tcBorders>
            <w:vAlign w:val="bottom"/>
          </w:tcPr>
          <w:p w14:paraId="262A47FC" w14:textId="4EDA25B9" w:rsidR="009645E4" w:rsidRPr="00D82FED" w:rsidRDefault="009645E4" w:rsidP="009645E4">
            <w:pPr>
              <w:spacing w:before="120"/>
              <w:ind w:left="-57"/>
              <w:jc w:val="right"/>
              <w:rPr>
                <w:rFonts w:cs="Arial"/>
                <w:bCs/>
                <w:sz w:val="19"/>
                <w:szCs w:val="19"/>
                <w:lang w:val="vi-VN"/>
              </w:rPr>
            </w:pPr>
            <w:r w:rsidRPr="00162FB9">
              <w:t>4</w:t>
            </w:r>
            <w:r w:rsidR="009D53F5">
              <w:t>,</w:t>
            </w:r>
            <w:r w:rsidRPr="00162FB9">
              <w:t>997</w:t>
            </w:r>
            <w:r w:rsidR="009D53F5">
              <w:t>,</w:t>
            </w:r>
            <w:r w:rsidRPr="00162FB9">
              <w:t>783</w:t>
            </w:r>
            <w:r w:rsidR="009D53F5">
              <w:t>,</w:t>
            </w:r>
            <w:r w:rsidRPr="00162FB9">
              <w:t>100</w:t>
            </w:r>
            <w:r w:rsidR="009D53F5">
              <w:t>,</w:t>
            </w:r>
            <w:r w:rsidRPr="00162FB9">
              <w:t>000</w:t>
            </w:r>
          </w:p>
        </w:tc>
        <w:tc>
          <w:tcPr>
            <w:tcW w:w="1980" w:type="dxa"/>
            <w:tcBorders>
              <w:top w:val="nil"/>
              <w:left w:val="single" w:sz="4" w:space="0" w:color="000000"/>
            </w:tcBorders>
            <w:noWrap/>
            <w:vAlign w:val="bottom"/>
          </w:tcPr>
          <w:p w14:paraId="3F186324" w14:textId="7E7A5E99" w:rsidR="009645E4" w:rsidRDefault="009645E4" w:rsidP="009645E4">
            <w:pPr>
              <w:spacing w:before="120"/>
              <w:ind w:left="-57"/>
              <w:jc w:val="right"/>
              <w:rPr>
                <w:rFonts w:cs="Arial"/>
                <w:bCs/>
                <w:sz w:val="19"/>
                <w:szCs w:val="19"/>
              </w:rPr>
            </w:pPr>
            <w:r w:rsidRPr="00162FB9">
              <w:t>8</w:t>
            </w:r>
            <w:r w:rsidR="009D53F5">
              <w:t>,</w:t>
            </w:r>
            <w:r w:rsidRPr="00162FB9">
              <w:t>119</w:t>
            </w:r>
            <w:r w:rsidR="009D53F5">
              <w:t>,</w:t>
            </w:r>
            <w:r w:rsidRPr="00162FB9">
              <w:t>479</w:t>
            </w:r>
            <w:r w:rsidR="009D53F5">
              <w:t>,</w:t>
            </w:r>
            <w:r w:rsidRPr="00162FB9">
              <w:t>500</w:t>
            </w:r>
            <w:r w:rsidR="009D53F5">
              <w:t>,</w:t>
            </w:r>
            <w:r w:rsidRPr="00162FB9">
              <w:t xml:space="preserve">000 </w:t>
            </w:r>
          </w:p>
        </w:tc>
      </w:tr>
      <w:tr w:rsidR="009645E4" w:rsidRPr="000B1CC3" w14:paraId="52F12524" w14:textId="77777777" w:rsidTr="009645E4">
        <w:tc>
          <w:tcPr>
            <w:tcW w:w="706" w:type="dxa"/>
            <w:tcBorders>
              <w:right w:val="single" w:sz="4" w:space="0" w:color="000000"/>
            </w:tcBorders>
            <w:noWrap/>
          </w:tcPr>
          <w:p w14:paraId="6FB6B36D" w14:textId="75D2B2C0" w:rsidR="009645E4" w:rsidRPr="000B1CC3" w:rsidRDefault="009645E4" w:rsidP="009645E4">
            <w:pPr>
              <w:ind w:left="-58" w:right="-58"/>
              <w:jc w:val="center"/>
              <w:rPr>
                <w:rFonts w:cs="Arial"/>
                <w:bCs/>
                <w:sz w:val="19"/>
                <w:szCs w:val="19"/>
              </w:rPr>
            </w:pPr>
            <w:r w:rsidRPr="000B1CC3">
              <w:rPr>
                <w:rFonts w:cs="Arial"/>
                <w:bCs/>
                <w:sz w:val="19"/>
                <w:szCs w:val="19"/>
              </w:rPr>
              <w:t>74</w:t>
            </w:r>
          </w:p>
        </w:tc>
        <w:tc>
          <w:tcPr>
            <w:tcW w:w="3591" w:type="dxa"/>
            <w:tcBorders>
              <w:left w:val="single" w:sz="4" w:space="0" w:color="000000"/>
              <w:right w:val="single" w:sz="4" w:space="0" w:color="000000"/>
            </w:tcBorders>
            <w:noWrap/>
          </w:tcPr>
          <w:p w14:paraId="4F0E432D" w14:textId="25664410" w:rsidR="009645E4" w:rsidRPr="000B1CC3" w:rsidRDefault="009645E4" w:rsidP="009645E4">
            <w:pPr>
              <w:ind w:left="302" w:hanging="360"/>
              <w:rPr>
                <w:rFonts w:cs="Arial"/>
                <w:bCs/>
                <w:sz w:val="19"/>
                <w:szCs w:val="19"/>
              </w:rPr>
            </w:pPr>
            <w:r>
              <w:rPr>
                <w:rFonts w:cs="Arial"/>
                <w:bCs/>
                <w:sz w:val="19"/>
                <w:szCs w:val="19"/>
              </w:rPr>
              <w:t>3</w:t>
            </w:r>
            <w:r w:rsidRPr="000B1CC3">
              <w:rPr>
                <w:rFonts w:cs="Arial"/>
                <w:bCs/>
                <w:sz w:val="19"/>
                <w:szCs w:val="19"/>
              </w:rPr>
              <w:t>.</w:t>
            </w:r>
            <w:r w:rsidRPr="000B1CC3">
              <w:rPr>
                <w:rFonts w:cs="Arial"/>
                <w:bCs/>
                <w:sz w:val="19"/>
                <w:szCs w:val="19"/>
              </w:rPr>
              <w:tab/>
            </w:r>
            <w:r w:rsidRPr="00D361D8">
              <w:rPr>
                <w:rFonts w:cs="Arial"/>
                <w:bCs/>
                <w:sz w:val="19"/>
                <w:szCs w:val="19"/>
              </w:rPr>
              <w:t>Repayment of borrowings</w:t>
            </w:r>
          </w:p>
        </w:tc>
        <w:tc>
          <w:tcPr>
            <w:tcW w:w="630" w:type="dxa"/>
            <w:tcBorders>
              <w:left w:val="single" w:sz="4" w:space="0" w:color="000000"/>
              <w:right w:val="single" w:sz="4" w:space="0" w:color="000000"/>
            </w:tcBorders>
            <w:noWrap/>
            <w:vAlign w:val="bottom"/>
          </w:tcPr>
          <w:p w14:paraId="7133E272" w14:textId="77777777" w:rsidR="009645E4" w:rsidRPr="000B1CC3" w:rsidRDefault="009645E4" w:rsidP="009645E4">
            <w:pPr>
              <w:ind w:left="-58" w:right="-58"/>
              <w:jc w:val="center"/>
              <w:rPr>
                <w:rFonts w:cs="Arial"/>
                <w:bCs/>
                <w:sz w:val="19"/>
                <w:szCs w:val="19"/>
                <w:lang w:val="vi-VN"/>
              </w:rPr>
            </w:pPr>
          </w:p>
        </w:tc>
        <w:tc>
          <w:tcPr>
            <w:tcW w:w="1980" w:type="dxa"/>
            <w:tcBorders>
              <w:left w:val="single" w:sz="4" w:space="0" w:color="000000"/>
              <w:right w:val="single" w:sz="4" w:space="0" w:color="000000"/>
            </w:tcBorders>
            <w:vAlign w:val="bottom"/>
          </w:tcPr>
          <w:p w14:paraId="6E832C18" w14:textId="75E7F53F" w:rsidR="009645E4" w:rsidRPr="003C222B" w:rsidRDefault="009645E4" w:rsidP="009645E4">
            <w:pPr>
              <w:ind w:left="-57"/>
              <w:jc w:val="right"/>
              <w:rPr>
                <w:rFonts w:cs="Arial"/>
                <w:sz w:val="19"/>
                <w:szCs w:val="19"/>
                <w:lang w:val="vi-VN"/>
              </w:rPr>
            </w:pPr>
            <w:r w:rsidRPr="00162FB9">
              <w:t xml:space="preserve"> (4</w:t>
            </w:r>
            <w:r w:rsidR="009D53F5">
              <w:t>,</w:t>
            </w:r>
            <w:r w:rsidRPr="00162FB9">
              <w:t>214</w:t>
            </w:r>
            <w:r w:rsidR="009D53F5">
              <w:t>,</w:t>
            </w:r>
            <w:r w:rsidRPr="00162FB9">
              <w:t>953</w:t>
            </w:r>
            <w:r w:rsidR="009D53F5">
              <w:t>,</w:t>
            </w:r>
            <w:r w:rsidRPr="00162FB9">
              <w:t>700</w:t>
            </w:r>
            <w:r w:rsidR="009D53F5">
              <w:t>,</w:t>
            </w:r>
            <w:r w:rsidRPr="00162FB9">
              <w:t xml:space="preserve">000) </w:t>
            </w:r>
          </w:p>
        </w:tc>
        <w:tc>
          <w:tcPr>
            <w:tcW w:w="1980" w:type="dxa"/>
            <w:tcBorders>
              <w:left w:val="single" w:sz="4" w:space="0" w:color="000000"/>
            </w:tcBorders>
            <w:noWrap/>
            <w:vAlign w:val="bottom"/>
          </w:tcPr>
          <w:p w14:paraId="393F7826" w14:textId="4FB173AD" w:rsidR="009645E4" w:rsidRPr="003C222B" w:rsidRDefault="009645E4" w:rsidP="009645E4">
            <w:pPr>
              <w:ind w:left="-57"/>
              <w:jc w:val="right"/>
              <w:rPr>
                <w:rFonts w:cs="Arial"/>
                <w:sz w:val="19"/>
                <w:szCs w:val="19"/>
                <w:lang w:val="vi-VN"/>
              </w:rPr>
            </w:pPr>
            <w:r w:rsidRPr="00162FB9">
              <w:t>(8</w:t>
            </w:r>
            <w:r w:rsidR="009D53F5">
              <w:t>,</w:t>
            </w:r>
            <w:r w:rsidRPr="00162FB9">
              <w:t>308</w:t>
            </w:r>
            <w:r w:rsidR="009D53F5">
              <w:t>,</w:t>
            </w:r>
            <w:r w:rsidRPr="00162FB9">
              <w:t>252</w:t>
            </w:r>
            <w:r w:rsidR="009D53F5">
              <w:t>,</w:t>
            </w:r>
            <w:r w:rsidRPr="00162FB9">
              <w:t>500</w:t>
            </w:r>
            <w:r w:rsidR="009D53F5">
              <w:t>,</w:t>
            </w:r>
            <w:r w:rsidRPr="00162FB9">
              <w:t xml:space="preserve">000) </w:t>
            </w:r>
          </w:p>
        </w:tc>
      </w:tr>
      <w:tr w:rsidR="009645E4" w:rsidRPr="000B1CC3" w14:paraId="50AD9673" w14:textId="77777777" w:rsidTr="009645E4">
        <w:tc>
          <w:tcPr>
            <w:tcW w:w="706" w:type="dxa"/>
            <w:tcBorders>
              <w:right w:val="single" w:sz="4" w:space="0" w:color="000000"/>
            </w:tcBorders>
            <w:noWrap/>
          </w:tcPr>
          <w:p w14:paraId="082AC008" w14:textId="603EE325" w:rsidR="009645E4" w:rsidRPr="000B1CC3" w:rsidRDefault="009645E4" w:rsidP="009645E4">
            <w:pPr>
              <w:spacing w:before="120"/>
              <w:ind w:left="-58" w:right="-58"/>
              <w:jc w:val="center"/>
              <w:rPr>
                <w:rFonts w:cs="Arial"/>
                <w:bCs/>
                <w:sz w:val="19"/>
                <w:szCs w:val="19"/>
              </w:rPr>
            </w:pPr>
            <w:r w:rsidRPr="000B1CC3">
              <w:rPr>
                <w:rFonts w:cs="Arial"/>
                <w:b/>
                <w:sz w:val="19"/>
                <w:szCs w:val="19"/>
              </w:rPr>
              <w:t>80</w:t>
            </w:r>
          </w:p>
        </w:tc>
        <w:tc>
          <w:tcPr>
            <w:tcW w:w="3591" w:type="dxa"/>
            <w:tcBorders>
              <w:left w:val="single" w:sz="4" w:space="0" w:color="000000"/>
              <w:right w:val="single" w:sz="4" w:space="0" w:color="000000"/>
            </w:tcBorders>
            <w:noWrap/>
            <w:vAlign w:val="bottom"/>
          </w:tcPr>
          <w:p w14:paraId="6B15A03C" w14:textId="33DD4B96" w:rsidR="009645E4" w:rsidRPr="000B1CC3" w:rsidRDefault="009645E4" w:rsidP="009645E4">
            <w:pPr>
              <w:spacing w:before="120"/>
              <w:ind w:left="-58"/>
              <w:jc w:val="left"/>
              <w:rPr>
                <w:rFonts w:cs="Arial"/>
                <w:bCs/>
                <w:sz w:val="19"/>
                <w:szCs w:val="19"/>
              </w:rPr>
            </w:pPr>
            <w:r w:rsidRPr="00BB2B22">
              <w:rPr>
                <w:rFonts w:cs="Arial"/>
                <w:b/>
                <w:bCs/>
                <w:sz w:val="19"/>
                <w:szCs w:val="19"/>
              </w:rPr>
              <w:t>Net cash flow (used in)/from financing activities</w:t>
            </w:r>
          </w:p>
        </w:tc>
        <w:tc>
          <w:tcPr>
            <w:tcW w:w="630" w:type="dxa"/>
            <w:tcBorders>
              <w:left w:val="single" w:sz="4" w:space="0" w:color="000000"/>
              <w:right w:val="single" w:sz="4" w:space="0" w:color="000000"/>
            </w:tcBorders>
            <w:noWrap/>
            <w:vAlign w:val="bottom"/>
          </w:tcPr>
          <w:p w14:paraId="37B119E1" w14:textId="77777777" w:rsidR="009645E4" w:rsidRPr="000B1CC3" w:rsidRDefault="009645E4" w:rsidP="009645E4">
            <w:pPr>
              <w:spacing w:before="120"/>
              <w:ind w:left="-58" w:right="-58"/>
              <w:jc w:val="center"/>
              <w:rPr>
                <w:rFonts w:cs="Arial"/>
                <w:bCs/>
                <w:sz w:val="19"/>
                <w:szCs w:val="19"/>
                <w:lang w:val="vi-VN"/>
              </w:rPr>
            </w:pPr>
          </w:p>
        </w:tc>
        <w:tc>
          <w:tcPr>
            <w:tcW w:w="1980" w:type="dxa"/>
            <w:tcBorders>
              <w:left w:val="single" w:sz="4" w:space="0" w:color="000000"/>
              <w:right w:val="single" w:sz="4" w:space="0" w:color="000000"/>
            </w:tcBorders>
            <w:vAlign w:val="bottom"/>
          </w:tcPr>
          <w:p w14:paraId="203A9EC9" w14:textId="44F22C82" w:rsidR="009645E4" w:rsidRPr="009D53F5" w:rsidRDefault="009645E4" w:rsidP="009645E4">
            <w:pPr>
              <w:spacing w:before="120"/>
              <w:ind w:left="-57"/>
              <w:jc w:val="right"/>
              <w:rPr>
                <w:rFonts w:cs="Arial"/>
                <w:b/>
                <w:bCs/>
                <w:sz w:val="19"/>
                <w:szCs w:val="19"/>
                <w:lang w:val="vi-VN"/>
              </w:rPr>
            </w:pPr>
            <w:r w:rsidRPr="009D53F5">
              <w:rPr>
                <w:b/>
                <w:bCs/>
              </w:rPr>
              <w:t>(782</w:t>
            </w:r>
            <w:r w:rsidR="009D53F5">
              <w:rPr>
                <w:b/>
                <w:bCs/>
              </w:rPr>
              <w:t>,</w:t>
            </w:r>
            <w:r w:rsidRPr="009D53F5">
              <w:rPr>
                <w:b/>
                <w:bCs/>
              </w:rPr>
              <w:t>829</w:t>
            </w:r>
            <w:r w:rsidR="009D53F5">
              <w:rPr>
                <w:b/>
                <w:bCs/>
              </w:rPr>
              <w:t>,</w:t>
            </w:r>
            <w:r w:rsidRPr="009D53F5">
              <w:rPr>
                <w:b/>
                <w:bCs/>
              </w:rPr>
              <w:t>400</w:t>
            </w:r>
            <w:r w:rsidR="009D53F5">
              <w:rPr>
                <w:b/>
                <w:bCs/>
              </w:rPr>
              <w:t>,</w:t>
            </w:r>
            <w:r w:rsidRPr="009D53F5">
              <w:rPr>
                <w:b/>
                <w:bCs/>
              </w:rPr>
              <w:t xml:space="preserve">000) </w:t>
            </w:r>
          </w:p>
        </w:tc>
        <w:tc>
          <w:tcPr>
            <w:tcW w:w="1980" w:type="dxa"/>
            <w:tcBorders>
              <w:left w:val="single" w:sz="4" w:space="0" w:color="000000"/>
            </w:tcBorders>
            <w:noWrap/>
            <w:vAlign w:val="bottom"/>
          </w:tcPr>
          <w:p w14:paraId="03EA5AE4" w14:textId="4984D77E" w:rsidR="009645E4" w:rsidRPr="009D53F5" w:rsidRDefault="009645E4" w:rsidP="009645E4">
            <w:pPr>
              <w:spacing w:before="120"/>
              <w:ind w:left="-57"/>
              <w:jc w:val="right"/>
              <w:rPr>
                <w:rFonts w:cs="Arial"/>
                <w:b/>
                <w:bCs/>
                <w:sz w:val="19"/>
                <w:szCs w:val="19"/>
                <w:lang w:val="vi-VN"/>
              </w:rPr>
            </w:pPr>
            <w:r w:rsidRPr="009D53F5">
              <w:rPr>
                <w:b/>
                <w:bCs/>
              </w:rPr>
              <w:t>(188</w:t>
            </w:r>
            <w:r w:rsidR="009D53F5">
              <w:rPr>
                <w:b/>
                <w:bCs/>
              </w:rPr>
              <w:t>,</w:t>
            </w:r>
            <w:r w:rsidRPr="009D53F5">
              <w:rPr>
                <w:b/>
                <w:bCs/>
              </w:rPr>
              <w:t>773</w:t>
            </w:r>
            <w:r w:rsidR="009D53F5">
              <w:rPr>
                <w:b/>
                <w:bCs/>
              </w:rPr>
              <w:t>,</w:t>
            </w:r>
            <w:r w:rsidRPr="009D53F5">
              <w:rPr>
                <w:b/>
                <w:bCs/>
              </w:rPr>
              <w:t>000</w:t>
            </w:r>
            <w:r w:rsidR="009D53F5">
              <w:rPr>
                <w:b/>
                <w:bCs/>
              </w:rPr>
              <w:t>,</w:t>
            </w:r>
            <w:r w:rsidRPr="009D53F5">
              <w:rPr>
                <w:b/>
                <w:bCs/>
              </w:rPr>
              <w:t xml:space="preserve">000) </w:t>
            </w:r>
          </w:p>
        </w:tc>
      </w:tr>
      <w:tr w:rsidR="009645E4" w:rsidRPr="000B1CC3" w14:paraId="1F310C88" w14:textId="77777777" w:rsidTr="009645E4">
        <w:tc>
          <w:tcPr>
            <w:tcW w:w="706" w:type="dxa"/>
            <w:tcBorders>
              <w:right w:val="single" w:sz="4" w:space="0" w:color="000000"/>
            </w:tcBorders>
            <w:noWrap/>
          </w:tcPr>
          <w:p w14:paraId="2E718768" w14:textId="1E05946B" w:rsidR="009645E4" w:rsidRPr="000B1CC3" w:rsidRDefault="009645E4" w:rsidP="009645E4">
            <w:pPr>
              <w:spacing w:before="120"/>
              <w:ind w:left="-58" w:right="-58"/>
              <w:jc w:val="center"/>
              <w:rPr>
                <w:rFonts w:cs="Arial"/>
                <w:b/>
                <w:bCs/>
                <w:sz w:val="19"/>
                <w:szCs w:val="19"/>
              </w:rPr>
            </w:pPr>
            <w:r w:rsidRPr="000B1CC3">
              <w:rPr>
                <w:rFonts w:cs="Arial"/>
                <w:b/>
                <w:bCs/>
                <w:sz w:val="19"/>
                <w:szCs w:val="19"/>
              </w:rPr>
              <w:t>90</w:t>
            </w:r>
          </w:p>
        </w:tc>
        <w:tc>
          <w:tcPr>
            <w:tcW w:w="3591" w:type="dxa"/>
            <w:tcBorders>
              <w:left w:val="single" w:sz="4" w:space="0" w:color="000000"/>
              <w:right w:val="single" w:sz="4" w:space="0" w:color="000000"/>
            </w:tcBorders>
            <w:noWrap/>
            <w:vAlign w:val="bottom"/>
          </w:tcPr>
          <w:p w14:paraId="54645B26" w14:textId="13FF2039" w:rsidR="009645E4" w:rsidRPr="000B1CC3" w:rsidRDefault="009645E4" w:rsidP="009645E4">
            <w:pPr>
              <w:spacing w:before="120"/>
              <w:ind w:left="-58"/>
              <w:rPr>
                <w:rFonts w:cs="Arial"/>
                <w:b/>
                <w:bCs/>
                <w:spacing w:val="-4"/>
                <w:sz w:val="19"/>
                <w:szCs w:val="19"/>
              </w:rPr>
            </w:pPr>
            <w:r w:rsidRPr="00DA2956">
              <w:rPr>
                <w:rFonts w:cs="Arial"/>
                <w:b/>
                <w:bCs/>
                <w:spacing w:val="-4"/>
                <w:sz w:val="19"/>
                <w:szCs w:val="19"/>
              </w:rPr>
              <w:t>NET CASH FLOW DURING THE YEAR</w:t>
            </w:r>
          </w:p>
        </w:tc>
        <w:tc>
          <w:tcPr>
            <w:tcW w:w="630" w:type="dxa"/>
            <w:tcBorders>
              <w:left w:val="single" w:sz="4" w:space="0" w:color="000000"/>
              <w:right w:val="single" w:sz="4" w:space="0" w:color="000000"/>
            </w:tcBorders>
            <w:noWrap/>
            <w:vAlign w:val="bottom"/>
          </w:tcPr>
          <w:p w14:paraId="2909ADC1" w14:textId="77777777" w:rsidR="009645E4" w:rsidRPr="000B1CC3" w:rsidRDefault="009645E4" w:rsidP="009645E4">
            <w:pPr>
              <w:spacing w:before="120"/>
              <w:ind w:left="-58" w:right="-58"/>
              <w:jc w:val="center"/>
              <w:rPr>
                <w:rFonts w:cs="Arial"/>
                <w:b/>
                <w:bCs/>
                <w:sz w:val="19"/>
                <w:szCs w:val="19"/>
                <w:lang w:val="vi-VN"/>
              </w:rPr>
            </w:pPr>
          </w:p>
        </w:tc>
        <w:tc>
          <w:tcPr>
            <w:tcW w:w="1980" w:type="dxa"/>
            <w:tcBorders>
              <w:left w:val="single" w:sz="4" w:space="0" w:color="000000"/>
              <w:right w:val="single" w:sz="4" w:space="0" w:color="000000"/>
            </w:tcBorders>
            <w:vAlign w:val="bottom"/>
          </w:tcPr>
          <w:p w14:paraId="735B7CA2" w14:textId="5531A15A" w:rsidR="009645E4" w:rsidRPr="009D53F5" w:rsidRDefault="009645E4" w:rsidP="009645E4">
            <w:pPr>
              <w:spacing w:before="120"/>
              <w:ind w:left="-57"/>
              <w:jc w:val="right"/>
              <w:rPr>
                <w:rFonts w:cs="Arial"/>
                <w:b/>
                <w:bCs/>
                <w:sz w:val="19"/>
                <w:szCs w:val="19"/>
                <w:lang w:val="vi-VN"/>
              </w:rPr>
            </w:pPr>
            <w:r w:rsidRPr="009D53F5">
              <w:rPr>
                <w:b/>
                <w:bCs/>
              </w:rPr>
              <w:t>(80</w:t>
            </w:r>
            <w:r w:rsidR="009D53F5">
              <w:rPr>
                <w:b/>
                <w:bCs/>
              </w:rPr>
              <w:t>,</w:t>
            </w:r>
            <w:r w:rsidRPr="009D53F5">
              <w:rPr>
                <w:b/>
                <w:bCs/>
              </w:rPr>
              <w:t>959</w:t>
            </w:r>
            <w:r w:rsidR="009D53F5">
              <w:rPr>
                <w:b/>
                <w:bCs/>
              </w:rPr>
              <w:t>,</w:t>
            </w:r>
            <w:r w:rsidRPr="009D53F5">
              <w:rPr>
                <w:b/>
                <w:bCs/>
              </w:rPr>
              <w:t>506</w:t>
            </w:r>
            <w:r w:rsidR="009D53F5">
              <w:rPr>
                <w:b/>
                <w:bCs/>
              </w:rPr>
              <w:t>,</w:t>
            </w:r>
            <w:r w:rsidRPr="009D53F5">
              <w:rPr>
                <w:b/>
                <w:bCs/>
              </w:rPr>
              <w:t xml:space="preserve">952) </w:t>
            </w:r>
          </w:p>
        </w:tc>
        <w:tc>
          <w:tcPr>
            <w:tcW w:w="1980" w:type="dxa"/>
            <w:tcBorders>
              <w:left w:val="single" w:sz="4" w:space="0" w:color="000000"/>
            </w:tcBorders>
            <w:noWrap/>
            <w:vAlign w:val="bottom"/>
          </w:tcPr>
          <w:p w14:paraId="17C9438C" w14:textId="686B107F" w:rsidR="009645E4" w:rsidRPr="009D53F5" w:rsidRDefault="009645E4" w:rsidP="009645E4">
            <w:pPr>
              <w:spacing w:before="120"/>
              <w:ind w:left="-57"/>
              <w:jc w:val="right"/>
              <w:rPr>
                <w:rFonts w:cs="Arial"/>
                <w:b/>
                <w:bCs/>
                <w:sz w:val="19"/>
                <w:szCs w:val="19"/>
                <w:lang w:val="vi-VN"/>
              </w:rPr>
            </w:pPr>
            <w:r w:rsidRPr="009D53F5">
              <w:rPr>
                <w:b/>
                <w:bCs/>
              </w:rPr>
              <w:t>(421</w:t>
            </w:r>
            <w:r w:rsidR="009D53F5">
              <w:rPr>
                <w:b/>
                <w:bCs/>
              </w:rPr>
              <w:t>,</w:t>
            </w:r>
            <w:r w:rsidRPr="009D53F5">
              <w:rPr>
                <w:b/>
                <w:bCs/>
              </w:rPr>
              <w:t>028</w:t>
            </w:r>
            <w:r w:rsidR="009D53F5">
              <w:rPr>
                <w:b/>
                <w:bCs/>
              </w:rPr>
              <w:t>,</w:t>
            </w:r>
            <w:r w:rsidRPr="009D53F5">
              <w:rPr>
                <w:b/>
                <w:bCs/>
              </w:rPr>
              <w:t>575</w:t>
            </w:r>
            <w:r w:rsidR="009D53F5">
              <w:rPr>
                <w:b/>
                <w:bCs/>
              </w:rPr>
              <w:t>,</w:t>
            </w:r>
            <w:r w:rsidRPr="009D53F5">
              <w:rPr>
                <w:b/>
                <w:bCs/>
              </w:rPr>
              <w:t xml:space="preserve">512) </w:t>
            </w:r>
          </w:p>
        </w:tc>
      </w:tr>
      <w:tr w:rsidR="009645E4" w:rsidRPr="000B1CC3" w14:paraId="01687C7A" w14:textId="77777777" w:rsidTr="009645E4">
        <w:tc>
          <w:tcPr>
            <w:tcW w:w="706" w:type="dxa"/>
            <w:tcBorders>
              <w:right w:val="single" w:sz="4" w:space="0" w:color="000000"/>
            </w:tcBorders>
            <w:noWrap/>
          </w:tcPr>
          <w:p w14:paraId="37BA7980" w14:textId="5CAB9B52" w:rsidR="009645E4" w:rsidRPr="000B1CC3" w:rsidRDefault="009645E4" w:rsidP="009645E4">
            <w:pPr>
              <w:spacing w:before="120"/>
              <w:ind w:left="-58" w:right="-58"/>
              <w:jc w:val="center"/>
              <w:rPr>
                <w:rFonts w:cs="Arial"/>
                <w:b/>
                <w:bCs/>
                <w:sz w:val="19"/>
                <w:szCs w:val="19"/>
              </w:rPr>
            </w:pPr>
            <w:r w:rsidRPr="000B1CC3">
              <w:rPr>
                <w:rFonts w:cs="Arial"/>
                <w:b/>
                <w:bCs/>
                <w:sz w:val="19"/>
                <w:szCs w:val="19"/>
              </w:rPr>
              <w:t>101</w:t>
            </w:r>
          </w:p>
        </w:tc>
        <w:tc>
          <w:tcPr>
            <w:tcW w:w="3591" w:type="dxa"/>
            <w:tcBorders>
              <w:left w:val="single" w:sz="4" w:space="0" w:color="000000"/>
              <w:right w:val="single" w:sz="4" w:space="0" w:color="000000"/>
            </w:tcBorders>
            <w:noWrap/>
            <w:vAlign w:val="bottom"/>
          </w:tcPr>
          <w:p w14:paraId="07D3F0E8" w14:textId="69207B57" w:rsidR="009645E4" w:rsidRPr="000B1CC3" w:rsidRDefault="009645E4" w:rsidP="009645E4">
            <w:pPr>
              <w:spacing w:before="120"/>
              <w:ind w:left="-58"/>
              <w:jc w:val="left"/>
              <w:rPr>
                <w:rFonts w:cs="Arial"/>
                <w:b/>
                <w:bCs/>
                <w:sz w:val="19"/>
                <w:szCs w:val="19"/>
              </w:rPr>
            </w:pPr>
            <w:r w:rsidRPr="00F30392">
              <w:rPr>
                <w:rFonts w:cs="Arial"/>
                <w:b/>
                <w:bCs/>
                <w:sz w:val="19"/>
                <w:szCs w:val="19"/>
              </w:rPr>
              <w:t>CASH AND CASH EQUIVALENTS AT THE BEGINNING OF THE YEAR</w:t>
            </w:r>
          </w:p>
        </w:tc>
        <w:tc>
          <w:tcPr>
            <w:tcW w:w="630" w:type="dxa"/>
            <w:tcBorders>
              <w:left w:val="single" w:sz="4" w:space="0" w:color="000000"/>
              <w:right w:val="single" w:sz="4" w:space="0" w:color="000000"/>
            </w:tcBorders>
            <w:noWrap/>
            <w:vAlign w:val="bottom"/>
          </w:tcPr>
          <w:p w14:paraId="68CD99BE" w14:textId="7F755922" w:rsidR="009645E4" w:rsidRPr="000B1CC3" w:rsidRDefault="009645E4" w:rsidP="009645E4">
            <w:pPr>
              <w:spacing w:before="120"/>
              <w:ind w:left="-58" w:right="-58"/>
              <w:jc w:val="center"/>
              <w:rPr>
                <w:rFonts w:cs="Arial"/>
                <w:b/>
                <w:bCs/>
                <w:sz w:val="19"/>
                <w:szCs w:val="19"/>
              </w:rPr>
            </w:pPr>
          </w:p>
        </w:tc>
        <w:tc>
          <w:tcPr>
            <w:tcW w:w="1980" w:type="dxa"/>
            <w:tcBorders>
              <w:left w:val="single" w:sz="4" w:space="0" w:color="000000"/>
              <w:right w:val="single" w:sz="4" w:space="0" w:color="000000"/>
            </w:tcBorders>
            <w:vAlign w:val="bottom"/>
          </w:tcPr>
          <w:p w14:paraId="32900755" w14:textId="121565A6" w:rsidR="009645E4" w:rsidRPr="009D53F5" w:rsidRDefault="009645E4" w:rsidP="009645E4">
            <w:pPr>
              <w:spacing w:before="120"/>
              <w:ind w:left="-57"/>
              <w:jc w:val="right"/>
              <w:rPr>
                <w:rFonts w:cs="Arial"/>
                <w:b/>
                <w:bCs/>
                <w:sz w:val="19"/>
                <w:szCs w:val="19"/>
              </w:rPr>
            </w:pPr>
            <w:r w:rsidRPr="009D53F5">
              <w:rPr>
                <w:b/>
                <w:bCs/>
              </w:rPr>
              <w:t>83</w:t>
            </w:r>
            <w:r w:rsidR="009D53F5">
              <w:rPr>
                <w:b/>
                <w:bCs/>
              </w:rPr>
              <w:t>,</w:t>
            </w:r>
            <w:r w:rsidRPr="009D53F5">
              <w:rPr>
                <w:b/>
                <w:bCs/>
              </w:rPr>
              <w:t>889</w:t>
            </w:r>
            <w:r w:rsidR="009D53F5">
              <w:rPr>
                <w:b/>
                <w:bCs/>
              </w:rPr>
              <w:t>,</w:t>
            </w:r>
            <w:r w:rsidRPr="009D53F5">
              <w:rPr>
                <w:b/>
                <w:bCs/>
              </w:rPr>
              <w:t>044</w:t>
            </w:r>
            <w:r w:rsidR="009D53F5">
              <w:rPr>
                <w:b/>
                <w:bCs/>
              </w:rPr>
              <w:t>,</w:t>
            </w:r>
            <w:r w:rsidRPr="009D53F5">
              <w:rPr>
                <w:b/>
                <w:bCs/>
              </w:rPr>
              <w:t xml:space="preserve">845 </w:t>
            </w:r>
          </w:p>
        </w:tc>
        <w:tc>
          <w:tcPr>
            <w:tcW w:w="1980" w:type="dxa"/>
            <w:tcBorders>
              <w:left w:val="single" w:sz="4" w:space="0" w:color="000000"/>
            </w:tcBorders>
            <w:noWrap/>
            <w:vAlign w:val="bottom"/>
          </w:tcPr>
          <w:p w14:paraId="5A7624A4" w14:textId="209CAFF8" w:rsidR="009645E4" w:rsidRPr="009D53F5" w:rsidRDefault="009645E4" w:rsidP="009645E4">
            <w:pPr>
              <w:spacing w:before="120"/>
              <w:ind w:left="-57"/>
              <w:jc w:val="right"/>
              <w:rPr>
                <w:rFonts w:cs="Arial"/>
                <w:b/>
                <w:bCs/>
                <w:sz w:val="19"/>
                <w:szCs w:val="19"/>
              </w:rPr>
            </w:pPr>
            <w:r w:rsidRPr="009D53F5">
              <w:rPr>
                <w:b/>
                <w:bCs/>
              </w:rPr>
              <w:t>504</w:t>
            </w:r>
            <w:r w:rsidR="009D53F5">
              <w:rPr>
                <w:b/>
                <w:bCs/>
              </w:rPr>
              <w:t>,</w:t>
            </w:r>
            <w:r w:rsidRPr="009D53F5">
              <w:rPr>
                <w:b/>
                <w:bCs/>
              </w:rPr>
              <w:t>917</w:t>
            </w:r>
            <w:r w:rsidR="009D53F5">
              <w:rPr>
                <w:b/>
                <w:bCs/>
              </w:rPr>
              <w:t>,</w:t>
            </w:r>
            <w:r w:rsidRPr="009D53F5">
              <w:rPr>
                <w:b/>
                <w:bCs/>
              </w:rPr>
              <w:t>620</w:t>
            </w:r>
            <w:r w:rsidR="009D53F5">
              <w:rPr>
                <w:b/>
                <w:bCs/>
              </w:rPr>
              <w:t>,</w:t>
            </w:r>
            <w:r w:rsidRPr="009D53F5">
              <w:rPr>
                <w:b/>
                <w:bCs/>
              </w:rPr>
              <w:t xml:space="preserve">357 </w:t>
            </w:r>
          </w:p>
        </w:tc>
      </w:tr>
      <w:tr w:rsidR="009645E4" w:rsidRPr="000B1CC3" w14:paraId="008AF3AF" w14:textId="77777777" w:rsidTr="009645E4">
        <w:tc>
          <w:tcPr>
            <w:tcW w:w="706" w:type="dxa"/>
            <w:tcBorders>
              <w:right w:val="single" w:sz="4" w:space="0" w:color="000000"/>
            </w:tcBorders>
            <w:noWrap/>
          </w:tcPr>
          <w:p w14:paraId="207C0015" w14:textId="6AB526DD" w:rsidR="009645E4" w:rsidRPr="000B1CC3" w:rsidRDefault="009645E4" w:rsidP="009645E4">
            <w:pPr>
              <w:ind w:left="-58" w:right="-58"/>
              <w:jc w:val="center"/>
              <w:rPr>
                <w:rFonts w:cs="Arial"/>
                <w:bCs/>
                <w:sz w:val="19"/>
                <w:szCs w:val="19"/>
              </w:rPr>
            </w:pPr>
            <w:r w:rsidRPr="000B1CC3">
              <w:rPr>
                <w:rFonts w:cs="Arial"/>
                <w:bCs/>
                <w:sz w:val="19"/>
                <w:szCs w:val="19"/>
              </w:rPr>
              <w:t>101.1</w:t>
            </w:r>
          </w:p>
        </w:tc>
        <w:tc>
          <w:tcPr>
            <w:tcW w:w="3591" w:type="dxa"/>
            <w:tcBorders>
              <w:left w:val="single" w:sz="4" w:space="0" w:color="000000"/>
              <w:right w:val="single" w:sz="4" w:space="0" w:color="000000"/>
            </w:tcBorders>
            <w:noWrap/>
            <w:vAlign w:val="bottom"/>
          </w:tcPr>
          <w:p w14:paraId="501BDC1A" w14:textId="42976278" w:rsidR="009645E4" w:rsidRPr="000B1CC3" w:rsidRDefault="009645E4" w:rsidP="009645E4">
            <w:pPr>
              <w:ind w:left="302"/>
              <w:rPr>
                <w:rFonts w:cs="Arial"/>
                <w:bCs/>
                <w:sz w:val="19"/>
                <w:szCs w:val="19"/>
              </w:rPr>
            </w:pPr>
            <w:r w:rsidRPr="00522228">
              <w:rPr>
                <w:rFonts w:cs="Arial"/>
                <w:bCs/>
                <w:sz w:val="19"/>
                <w:szCs w:val="19"/>
              </w:rPr>
              <w:t>Cash</w:t>
            </w:r>
          </w:p>
        </w:tc>
        <w:tc>
          <w:tcPr>
            <w:tcW w:w="630" w:type="dxa"/>
            <w:tcBorders>
              <w:left w:val="single" w:sz="4" w:space="0" w:color="000000"/>
              <w:right w:val="single" w:sz="4" w:space="0" w:color="000000"/>
            </w:tcBorders>
            <w:noWrap/>
            <w:vAlign w:val="bottom"/>
          </w:tcPr>
          <w:p w14:paraId="57D7B8CF" w14:textId="77777777" w:rsidR="009645E4" w:rsidRPr="000B1CC3" w:rsidRDefault="009645E4" w:rsidP="009645E4">
            <w:pPr>
              <w:ind w:left="-58" w:right="-58"/>
              <w:jc w:val="center"/>
              <w:rPr>
                <w:rFonts w:cs="Arial"/>
                <w:bCs/>
                <w:sz w:val="19"/>
                <w:szCs w:val="19"/>
                <w:lang w:val="vi-VN"/>
              </w:rPr>
            </w:pPr>
          </w:p>
        </w:tc>
        <w:tc>
          <w:tcPr>
            <w:tcW w:w="1980" w:type="dxa"/>
            <w:tcBorders>
              <w:left w:val="single" w:sz="4" w:space="0" w:color="000000"/>
              <w:right w:val="single" w:sz="4" w:space="0" w:color="000000"/>
            </w:tcBorders>
            <w:vAlign w:val="bottom"/>
          </w:tcPr>
          <w:p w14:paraId="09D9B9D0" w14:textId="2209495F" w:rsidR="009645E4" w:rsidRPr="000B1CC3" w:rsidRDefault="009645E4" w:rsidP="009645E4">
            <w:pPr>
              <w:ind w:left="-57"/>
              <w:jc w:val="right"/>
              <w:rPr>
                <w:rFonts w:cs="Arial"/>
                <w:sz w:val="19"/>
                <w:szCs w:val="19"/>
              </w:rPr>
            </w:pPr>
            <w:r w:rsidRPr="00162FB9">
              <w:t>83</w:t>
            </w:r>
            <w:r w:rsidR="009D53F5">
              <w:t>,</w:t>
            </w:r>
            <w:r w:rsidRPr="00162FB9">
              <w:t>889</w:t>
            </w:r>
            <w:r w:rsidR="009D53F5">
              <w:t>,</w:t>
            </w:r>
            <w:r w:rsidRPr="00162FB9">
              <w:t>044</w:t>
            </w:r>
            <w:r w:rsidR="009D53F5">
              <w:t>,</w:t>
            </w:r>
            <w:r w:rsidRPr="00162FB9">
              <w:t xml:space="preserve">845 </w:t>
            </w:r>
          </w:p>
        </w:tc>
        <w:tc>
          <w:tcPr>
            <w:tcW w:w="1980" w:type="dxa"/>
            <w:tcBorders>
              <w:left w:val="single" w:sz="4" w:space="0" w:color="000000"/>
            </w:tcBorders>
            <w:noWrap/>
            <w:vAlign w:val="bottom"/>
          </w:tcPr>
          <w:p w14:paraId="00BA2786" w14:textId="11CF89C0" w:rsidR="009645E4" w:rsidRPr="000B1CC3" w:rsidRDefault="009645E4" w:rsidP="009645E4">
            <w:pPr>
              <w:ind w:left="-57"/>
              <w:jc w:val="right"/>
              <w:rPr>
                <w:rFonts w:cs="Arial"/>
                <w:bCs/>
                <w:sz w:val="19"/>
                <w:szCs w:val="19"/>
              </w:rPr>
            </w:pPr>
            <w:r w:rsidRPr="00162FB9">
              <w:t>504</w:t>
            </w:r>
            <w:r w:rsidR="009D53F5">
              <w:t>,</w:t>
            </w:r>
            <w:r w:rsidRPr="00162FB9">
              <w:t>917</w:t>
            </w:r>
            <w:r w:rsidR="009D53F5">
              <w:t>,</w:t>
            </w:r>
            <w:r w:rsidRPr="00162FB9">
              <w:t>620</w:t>
            </w:r>
            <w:r w:rsidR="009D53F5">
              <w:t>,</w:t>
            </w:r>
            <w:r w:rsidRPr="00162FB9">
              <w:t xml:space="preserve">357 </w:t>
            </w:r>
          </w:p>
        </w:tc>
      </w:tr>
      <w:tr w:rsidR="009645E4" w:rsidRPr="000B1CC3" w14:paraId="268590F0" w14:textId="77777777" w:rsidTr="009645E4">
        <w:tc>
          <w:tcPr>
            <w:tcW w:w="706" w:type="dxa"/>
            <w:tcBorders>
              <w:right w:val="single" w:sz="4" w:space="0" w:color="000000"/>
            </w:tcBorders>
            <w:noWrap/>
          </w:tcPr>
          <w:p w14:paraId="71B9F4A6" w14:textId="276B5243" w:rsidR="009645E4" w:rsidRPr="000B1CC3" w:rsidRDefault="009645E4" w:rsidP="009645E4">
            <w:pPr>
              <w:ind w:left="-58" w:right="-58"/>
              <w:jc w:val="center"/>
              <w:rPr>
                <w:rFonts w:cs="Arial"/>
                <w:bCs/>
                <w:sz w:val="19"/>
                <w:szCs w:val="19"/>
              </w:rPr>
            </w:pPr>
            <w:r w:rsidRPr="000B1CC3">
              <w:rPr>
                <w:rFonts w:cs="Arial"/>
                <w:bCs/>
                <w:sz w:val="19"/>
                <w:szCs w:val="19"/>
              </w:rPr>
              <w:t>102</w:t>
            </w:r>
          </w:p>
        </w:tc>
        <w:tc>
          <w:tcPr>
            <w:tcW w:w="3591" w:type="dxa"/>
            <w:tcBorders>
              <w:left w:val="single" w:sz="4" w:space="0" w:color="000000"/>
              <w:right w:val="single" w:sz="4" w:space="0" w:color="000000"/>
            </w:tcBorders>
            <w:noWrap/>
            <w:vAlign w:val="bottom"/>
          </w:tcPr>
          <w:p w14:paraId="05EB85B6" w14:textId="4A18736B" w:rsidR="009645E4" w:rsidRPr="000B1CC3" w:rsidRDefault="009645E4" w:rsidP="009645E4">
            <w:pPr>
              <w:ind w:left="302"/>
              <w:jc w:val="left"/>
              <w:rPr>
                <w:rFonts w:cs="Arial"/>
                <w:bCs/>
                <w:sz w:val="19"/>
                <w:szCs w:val="19"/>
              </w:rPr>
            </w:pPr>
            <w:r w:rsidRPr="00371C1B">
              <w:rPr>
                <w:rFonts w:cs="Arial"/>
                <w:bCs/>
                <w:sz w:val="19"/>
                <w:szCs w:val="19"/>
              </w:rPr>
              <w:t>Impact of exchange rate fluctuation</w:t>
            </w:r>
          </w:p>
        </w:tc>
        <w:tc>
          <w:tcPr>
            <w:tcW w:w="630" w:type="dxa"/>
            <w:tcBorders>
              <w:left w:val="single" w:sz="4" w:space="0" w:color="000000"/>
              <w:right w:val="single" w:sz="4" w:space="0" w:color="000000"/>
            </w:tcBorders>
            <w:noWrap/>
            <w:vAlign w:val="bottom"/>
          </w:tcPr>
          <w:p w14:paraId="37753EE8" w14:textId="77777777" w:rsidR="009645E4" w:rsidRPr="000B1CC3" w:rsidRDefault="009645E4" w:rsidP="009645E4">
            <w:pPr>
              <w:ind w:left="-58" w:right="-58"/>
              <w:jc w:val="center"/>
              <w:rPr>
                <w:rFonts w:cs="Arial"/>
                <w:bCs/>
                <w:sz w:val="19"/>
                <w:szCs w:val="19"/>
                <w:lang w:val="vi-VN"/>
              </w:rPr>
            </w:pPr>
          </w:p>
        </w:tc>
        <w:tc>
          <w:tcPr>
            <w:tcW w:w="1980" w:type="dxa"/>
            <w:tcBorders>
              <w:left w:val="single" w:sz="4" w:space="0" w:color="000000"/>
              <w:right w:val="single" w:sz="4" w:space="0" w:color="000000"/>
            </w:tcBorders>
            <w:vAlign w:val="bottom"/>
          </w:tcPr>
          <w:p w14:paraId="27FB0F11" w14:textId="3629FC4D" w:rsidR="009645E4" w:rsidRPr="000B1CC3" w:rsidDel="009B7BD3" w:rsidRDefault="009645E4" w:rsidP="009645E4">
            <w:pPr>
              <w:ind w:left="-57"/>
              <w:jc w:val="right"/>
              <w:rPr>
                <w:rFonts w:cs="Arial"/>
                <w:bCs/>
                <w:sz w:val="19"/>
                <w:szCs w:val="19"/>
              </w:rPr>
            </w:pPr>
            <w:r w:rsidRPr="00162FB9">
              <w:t>3</w:t>
            </w:r>
            <w:r w:rsidR="009D53F5">
              <w:t>,</w:t>
            </w:r>
            <w:r w:rsidRPr="00162FB9">
              <w:t>219</w:t>
            </w:r>
            <w:r w:rsidR="009D53F5">
              <w:t>,</w:t>
            </w:r>
            <w:r w:rsidRPr="00162FB9">
              <w:t xml:space="preserve">534 </w:t>
            </w:r>
          </w:p>
        </w:tc>
        <w:tc>
          <w:tcPr>
            <w:tcW w:w="1980" w:type="dxa"/>
            <w:tcBorders>
              <w:left w:val="single" w:sz="4" w:space="0" w:color="000000"/>
            </w:tcBorders>
            <w:noWrap/>
            <w:vAlign w:val="bottom"/>
          </w:tcPr>
          <w:p w14:paraId="657DCF46" w14:textId="536AA766" w:rsidR="009645E4" w:rsidRPr="000B1CC3" w:rsidDel="009B7BD3" w:rsidRDefault="009645E4" w:rsidP="009645E4">
            <w:pPr>
              <w:ind w:left="-57"/>
              <w:jc w:val="right"/>
              <w:rPr>
                <w:rFonts w:cs="Arial"/>
                <w:bCs/>
                <w:sz w:val="19"/>
                <w:szCs w:val="19"/>
              </w:rPr>
            </w:pPr>
            <w:r w:rsidRPr="00162FB9">
              <w:t>(7</w:t>
            </w:r>
            <w:r w:rsidR="009D53F5">
              <w:t>,</w:t>
            </w:r>
            <w:r w:rsidRPr="00162FB9">
              <w:t>398</w:t>
            </w:r>
            <w:r w:rsidR="009D53F5">
              <w:t>,</w:t>
            </w:r>
            <w:r w:rsidRPr="00162FB9">
              <w:t xml:space="preserve">215) </w:t>
            </w:r>
          </w:p>
        </w:tc>
      </w:tr>
      <w:tr w:rsidR="009645E4" w:rsidRPr="000B1CC3" w14:paraId="759A9D40" w14:textId="77777777" w:rsidTr="009645E4">
        <w:tc>
          <w:tcPr>
            <w:tcW w:w="706" w:type="dxa"/>
            <w:tcBorders>
              <w:right w:val="single" w:sz="4" w:space="0" w:color="000000"/>
            </w:tcBorders>
            <w:noWrap/>
          </w:tcPr>
          <w:p w14:paraId="50302D01" w14:textId="7B6F455F" w:rsidR="009645E4" w:rsidRPr="000B1CC3" w:rsidRDefault="009645E4" w:rsidP="009645E4">
            <w:pPr>
              <w:spacing w:before="120"/>
              <w:ind w:left="-58" w:right="-58"/>
              <w:jc w:val="center"/>
              <w:rPr>
                <w:rFonts w:cs="Arial"/>
                <w:bCs/>
                <w:sz w:val="19"/>
                <w:szCs w:val="19"/>
              </w:rPr>
            </w:pPr>
            <w:r w:rsidRPr="000B1CC3">
              <w:rPr>
                <w:rFonts w:cs="Arial"/>
                <w:b/>
                <w:bCs/>
                <w:sz w:val="19"/>
                <w:szCs w:val="19"/>
              </w:rPr>
              <w:t>103</w:t>
            </w:r>
          </w:p>
        </w:tc>
        <w:tc>
          <w:tcPr>
            <w:tcW w:w="3591" w:type="dxa"/>
            <w:tcBorders>
              <w:left w:val="single" w:sz="4" w:space="0" w:color="000000"/>
              <w:right w:val="single" w:sz="4" w:space="0" w:color="000000"/>
            </w:tcBorders>
            <w:noWrap/>
            <w:vAlign w:val="bottom"/>
          </w:tcPr>
          <w:p w14:paraId="633B62CB" w14:textId="35E556E7" w:rsidR="009645E4" w:rsidRPr="000B1CC3" w:rsidRDefault="009645E4" w:rsidP="009645E4">
            <w:pPr>
              <w:spacing w:before="120"/>
              <w:ind w:left="-58"/>
              <w:jc w:val="left"/>
              <w:rPr>
                <w:rFonts w:cs="Arial"/>
                <w:bCs/>
                <w:sz w:val="19"/>
                <w:szCs w:val="19"/>
              </w:rPr>
            </w:pPr>
            <w:r w:rsidRPr="003C5A48">
              <w:rPr>
                <w:rFonts w:cs="Arial"/>
                <w:b/>
                <w:bCs/>
                <w:sz w:val="19"/>
                <w:szCs w:val="19"/>
              </w:rPr>
              <w:t>CASH AND CASH EQUIVALENTS AT THE END OF THE YEAR</w:t>
            </w:r>
          </w:p>
        </w:tc>
        <w:tc>
          <w:tcPr>
            <w:tcW w:w="630" w:type="dxa"/>
            <w:tcBorders>
              <w:left w:val="single" w:sz="4" w:space="0" w:color="000000"/>
              <w:right w:val="single" w:sz="4" w:space="0" w:color="000000"/>
            </w:tcBorders>
            <w:noWrap/>
            <w:vAlign w:val="bottom"/>
          </w:tcPr>
          <w:p w14:paraId="7849E101" w14:textId="25C7EDBE" w:rsidR="009645E4" w:rsidRPr="000B1CC3" w:rsidRDefault="009645E4" w:rsidP="009645E4">
            <w:pPr>
              <w:spacing w:before="120"/>
              <w:ind w:left="-58" w:right="-58"/>
              <w:jc w:val="center"/>
              <w:rPr>
                <w:rFonts w:cs="Arial"/>
                <w:b/>
                <w:sz w:val="19"/>
                <w:szCs w:val="19"/>
              </w:rPr>
            </w:pPr>
            <w:r w:rsidRPr="000B1CC3">
              <w:rPr>
                <w:rFonts w:cs="Arial"/>
                <w:b/>
                <w:sz w:val="19"/>
                <w:szCs w:val="19"/>
              </w:rPr>
              <w:t>5</w:t>
            </w:r>
          </w:p>
        </w:tc>
        <w:tc>
          <w:tcPr>
            <w:tcW w:w="1980" w:type="dxa"/>
            <w:tcBorders>
              <w:left w:val="single" w:sz="4" w:space="0" w:color="000000"/>
              <w:right w:val="single" w:sz="4" w:space="0" w:color="000000"/>
            </w:tcBorders>
            <w:vAlign w:val="bottom"/>
          </w:tcPr>
          <w:p w14:paraId="4549ECB5" w14:textId="19A5BFBB" w:rsidR="009645E4" w:rsidRPr="009D53F5" w:rsidRDefault="009645E4" w:rsidP="009645E4">
            <w:pPr>
              <w:spacing w:before="120"/>
              <w:ind w:left="-57"/>
              <w:jc w:val="right"/>
              <w:rPr>
                <w:rFonts w:cs="Arial"/>
                <w:b/>
                <w:bCs/>
                <w:sz w:val="19"/>
                <w:szCs w:val="19"/>
              </w:rPr>
            </w:pPr>
            <w:r w:rsidRPr="009D53F5">
              <w:rPr>
                <w:b/>
                <w:bCs/>
              </w:rPr>
              <w:t>2</w:t>
            </w:r>
            <w:r w:rsidR="009D53F5">
              <w:rPr>
                <w:b/>
                <w:bCs/>
              </w:rPr>
              <w:t>,</w:t>
            </w:r>
            <w:r w:rsidRPr="009D53F5">
              <w:rPr>
                <w:b/>
                <w:bCs/>
              </w:rPr>
              <w:t>929</w:t>
            </w:r>
            <w:r w:rsidR="009D53F5">
              <w:rPr>
                <w:b/>
                <w:bCs/>
              </w:rPr>
              <w:t>,</w:t>
            </w:r>
            <w:r w:rsidRPr="009D53F5">
              <w:rPr>
                <w:b/>
                <w:bCs/>
              </w:rPr>
              <w:t>537</w:t>
            </w:r>
            <w:r w:rsidR="009D53F5">
              <w:rPr>
                <w:b/>
                <w:bCs/>
              </w:rPr>
              <w:t>,</w:t>
            </w:r>
            <w:r w:rsidRPr="009D53F5">
              <w:rPr>
                <w:b/>
                <w:bCs/>
              </w:rPr>
              <w:t xml:space="preserve">893 </w:t>
            </w:r>
          </w:p>
        </w:tc>
        <w:tc>
          <w:tcPr>
            <w:tcW w:w="1980" w:type="dxa"/>
            <w:tcBorders>
              <w:left w:val="single" w:sz="4" w:space="0" w:color="000000"/>
            </w:tcBorders>
            <w:noWrap/>
            <w:vAlign w:val="bottom"/>
          </w:tcPr>
          <w:p w14:paraId="400AB3A5" w14:textId="62617B77" w:rsidR="009645E4" w:rsidRPr="009D53F5" w:rsidRDefault="009645E4" w:rsidP="009645E4">
            <w:pPr>
              <w:spacing w:before="120"/>
              <w:ind w:left="-57"/>
              <w:jc w:val="right"/>
              <w:rPr>
                <w:rFonts w:cs="Arial"/>
                <w:b/>
                <w:bCs/>
                <w:sz w:val="19"/>
                <w:szCs w:val="19"/>
              </w:rPr>
            </w:pPr>
            <w:r w:rsidRPr="009D53F5">
              <w:rPr>
                <w:b/>
                <w:bCs/>
              </w:rPr>
              <w:t>83</w:t>
            </w:r>
            <w:r w:rsidR="009D53F5">
              <w:rPr>
                <w:b/>
                <w:bCs/>
              </w:rPr>
              <w:t>,</w:t>
            </w:r>
            <w:r w:rsidRPr="009D53F5">
              <w:rPr>
                <w:b/>
                <w:bCs/>
              </w:rPr>
              <w:t>889</w:t>
            </w:r>
            <w:r w:rsidR="009D53F5">
              <w:rPr>
                <w:b/>
                <w:bCs/>
              </w:rPr>
              <w:t>,</w:t>
            </w:r>
            <w:r w:rsidRPr="009D53F5">
              <w:rPr>
                <w:b/>
                <w:bCs/>
              </w:rPr>
              <w:t>044</w:t>
            </w:r>
            <w:r w:rsidR="009D53F5">
              <w:rPr>
                <w:b/>
                <w:bCs/>
              </w:rPr>
              <w:t>,</w:t>
            </w:r>
            <w:r w:rsidRPr="009D53F5">
              <w:rPr>
                <w:b/>
                <w:bCs/>
              </w:rPr>
              <w:t xml:space="preserve">845 </w:t>
            </w:r>
          </w:p>
        </w:tc>
      </w:tr>
      <w:tr w:rsidR="009645E4" w:rsidRPr="000B1CC3" w14:paraId="50711606" w14:textId="77777777" w:rsidTr="009645E4">
        <w:tc>
          <w:tcPr>
            <w:tcW w:w="706" w:type="dxa"/>
            <w:tcBorders>
              <w:bottom w:val="nil"/>
              <w:right w:val="single" w:sz="4" w:space="0" w:color="000000"/>
            </w:tcBorders>
            <w:noWrap/>
          </w:tcPr>
          <w:p w14:paraId="478F980F" w14:textId="6A09D806" w:rsidR="009645E4" w:rsidRPr="000B1CC3" w:rsidRDefault="009645E4" w:rsidP="009645E4">
            <w:pPr>
              <w:ind w:left="-58" w:right="-58"/>
              <w:jc w:val="center"/>
              <w:rPr>
                <w:rFonts w:cs="Arial"/>
                <w:bCs/>
                <w:sz w:val="19"/>
                <w:szCs w:val="19"/>
              </w:rPr>
            </w:pPr>
            <w:r w:rsidRPr="000B1CC3">
              <w:rPr>
                <w:rFonts w:cs="Arial"/>
                <w:bCs/>
                <w:sz w:val="19"/>
                <w:szCs w:val="19"/>
              </w:rPr>
              <w:t>103.1</w:t>
            </w:r>
          </w:p>
        </w:tc>
        <w:tc>
          <w:tcPr>
            <w:tcW w:w="3591" w:type="dxa"/>
            <w:tcBorders>
              <w:left w:val="single" w:sz="4" w:space="0" w:color="000000"/>
              <w:bottom w:val="nil"/>
              <w:right w:val="single" w:sz="4" w:space="0" w:color="000000"/>
            </w:tcBorders>
            <w:noWrap/>
            <w:vAlign w:val="bottom"/>
          </w:tcPr>
          <w:p w14:paraId="6AC9625F" w14:textId="2F4215D0" w:rsidR="009645E4" w:rsidRPr="000B1CC3" w:rsidRDefault="009645E4" w:rsidP="009645E4">
            <w:pPr>
              <w:ind w:left="302"/>
              <w:rPr>
                <w:rFonts w:cs="Arial"/>
                <w:bCs/>
                <w:sz w:val="19"/>
                <w:szCs w:val="19"/>
              </w:rPr>
            </w:pPr>
            <w:r w:rsidRPr="00B0146D">
              <w:rPr>
                <w:rFonts w:cs="Arial"/>
                <w:bCs/>
                <w:sz w:val="19"/>
                <w:szCs w:val="19"/>
              </w:rPr>
              <w:t>Cash</w:t>
            </w:r>
          </w:p>
        </w:tc>
        <w:tc>
          <w:tcPr>
            <w:tcW w:w="630" w:type="dxa"/>
            <w:tcBorders>
              <w:left w:val="single" w:sz="4" w:space="0" w:color="000000"/>
              <w:bottom w:val="nil"/>
              <w:right w:val="single" w:sz="4" w:space="0" w:color="000000"/>
            </w:tcBorders>
            <w:noWrap/>
            <w:vAlign w:val="bottom"/>
          </w:tcPr>
          <w:p w14:paraId="4ACFB811" w14:textId="77777777" w:rsidR="009645E4" w:rsidRPr="000B1CC3" w:rsidRDefault="009645E4" w:rsidP="009645E4">
            <w:pPr>
              <w:ind w:left="-58" w:right="-58"/>
              <w:jc w:val="center"/>
              <w:rPr>
                <w:rFonts w:cs="Arial"/>
                <w:bCs/>
                <w:sz w:val="19"/>
                <w:szCs w:val="19"/>
                <w:lang w:val="vi-VN"/>
              </w:rPr>
            </w:pPr>
          </w:p>
        </w:tc>
        <w:tc>
          <w:tcPr>
            <w:tcW w:w="1980" w:type="dxa"/>
            <w:tcBorders>
              <w:left w:val="single" w:sz="4" w:space="0" w:color="000000"/>
              <w:bottom w:val="nil"/>
              <w:right w:val="single" w:sz="4" w:space="0" w:color="000000"/>
            </w:tcBorders>
            <w:vAlign w:val="bottom"/>
          </w:tcPr>
          <w:p w14:paraId="1DD55133" w14:textId="63AD1530" w:rsidR="009645E4" w:rsidRPr="003C222B" w:rsidRDefault="009645E4" w:rsidP="009645E4">
            <w:pPr>
              <w:ind w:left="-57"/>
              <w:jc w:val="right"/>
              <w:rPr>
                <w:rFonts w:cs="Arial"/>
                <w:sz w:val="19"/>
                <w:szCs w:val="19"/>
              </w:rPr>
            </w:pPr>
            <w:r w:rsidRPr="00162FB9">
              <w:t>2</w:t>
            </w:r>
            <w:r w:rsidR="009D53F5">
              <w:t>,</w:t>
            </w:r>
            <w:r w:rsidRPr="00162FB9">
              <w:t>929</w:t>
            </w:r>
            <w:r w:rsidR="009D53F5">
              <w:t>,</w:t>
            </w:r>
            <w:r w:rsidRPr="00162FB9">
              <w:t>537</w:t>
            </w:r>
            <w:r w:rsidR="009D53F5">
              <w:t>,</w:t>
            </w:r>
            <w:r w:rsidRPr="00162FB9">
              <w:t>293</w:t>
            </w:r>
          </w:p>
        </w:tc>
        <w:tc>
          <w:tcPr>
            <w:tcW w:w="1980" w:type="dxa"/>
            <w:tcBorders>
              <w:left w:val="single" w:sz="4" w:space="0" w:color="000000"/>
              <w:bottom w:val="nil"/>
            </w:tcBorders>
            <w:noWrap/>
            <w:vAlign w:val="bottom"/>
          </w:tcPr>
          <w:p w14:paraId="1B98D005" w14:textId="5707E950" w:rsidR="009645E4" w:rsidRPr="000B1CC3" w:rsidRDefault="009645E4" w:rsidP="009645E4">
            <w:pPr>
              <w:ind w:left="-57"/>
              <w:jc w:val="right"/>
              <w:rPr>
                <w:rFonts w:cs="Arial"/>
                <w:sz w:val="19"/>
                <w:szCs w:val="19"/>
              </w:rPr>
            </w:pPr>
            <w:r w:rsidRPr="00162FB9">
              <w:t>83</w:t>
            </w:r>
            <w:r w:rsidR="009D53F5">
              <w:t>,</w:t>
            </w:r>
            <w:r w:rsidRPr="00162FB9">
              <w:t>889</w:t>
            </w:r>
            <w:r w:rsidR="009D53F5">
              <w:t>,</w:t>
            </w:r>
            <w:r w:rsidRPr="00162FB9">
              <w:t>044</w:t>
            </w:r>
            <w:r w:rsidR="009D53F5">
              <w:t>,</w:t>
            </w:r>
            <w:r w:rsidRPr="00162FB9">
              <w:t>845</w:t>
            </w:r>
          </w:p>
        </w:tc>
      </w:tr>
      <w:tr w:rsidR="009645E4" w:rsidRPr="000B1CC3" w14:paraId="4B7D902E" w14:textId="77777777" w:rsidTr="009645E4">
        <w:tblPrEx>
          <w:tblBorders>
            <w:insideV w:val="single" w:sz="6" w:space="0" w:color="auto"/>
          </w:tblBorders>
        </w:tblPrEx>
        <w:tc>
          <w:tcPr>
            <w:tcW w:w="706" w:type="dxa"/>
            <w:tcBorders>
              <w:top w:val="nil"/>
              <w:bottom w:val="double" w:sz="6" w:space="0" w:color="auto"/>
              <w:right w:val="single" w:sz="4" w:space="0" w:color="000000"/>
            </w:tcBorders>
            <w:noWrap/>
          </w:tcPr>
          <w:p w14:paraId="05883211" w14:textId="08C35272" w:rsidR="009645E4" w:rsidRPr="000B1CC3" w:rsidRDefault="009645E4" w:rsidP="009645E4">
            <w:pPr>
              <w:spacing w:after="120"/>
              <w:ind w:left="-58" w:right="-58"/>
              <w:jc w:val="center"/>
              <w:rPr>
                <w:rFonts w:cs="Arial"/>
                <w:bCs/>
                <w:sz w:val="19"/>
                <w:szCs w:val="19"/>
              </w:rPr>
            </w:pPr>
            <w:r w:rsidRPr="000B1CC3">
              <w:rPr>
                <w:rFonts w:cs="Arial"/>
                <w:bCs/>
                <w:sz w:val="19"/>
                <w:szCs w:val="19"/>
              </w:rPr>
              <w:t>104</w:t>
            </w:r>
          </w:p>
        </w:tc>
        <w:tc>
          <w:tcPr>
            <w:tcW w:w="3591" w:type="dxa"/>
            <w:tcBorders>
              <w:top w:val="nil"/>
              <w:left w:val="single" w:sz="4" w:space="0" w:color="000000"/>
              <w:bottom w:val="double" w:sz="6" w:space="0" w:color="auto"/>
              <w:right w:val="single" w:sz="4" w:space="0" w:color="000000"/>
            </w:tcBorders>
            <w:noWrap/>
            <w:vAlign w:val="bottom"/>
          </w:tcPr>
          <w:p w14:paraId="54F567DA" w14:textId="37EA2300" w:rsidR="009645E4" w:rsidRPr="000B1CC3" w:rsidRDefault="009645E4" w:rsidP="009645E4">
            <w:pPr>
              <w:spacing w:after="120"/>
              <w:ind w:left="302"/>
              <w:jc w:val="left"/>
              <w:rPr>
                <w:rFonts w:cs="Arial"/>
                <w:bCs/>
                <w:sz w:val="19"/>
                <w:szCs w:val="19"/>
              </w:rPr>
            </w:pPr>
            <w:r w:rsidRPr="00AC22DC">
              <w:rPr>
                <w:rFonts w:cs="Arial"/>
                <w:bCs/>
                <w:sz w:val="19"/>
                <w:szCs w:val="19"/>
              </w:rPr>
              <w:t>Impact of exchange rate fluctuation</w:t>
            </w:r>
          </w:p>
        </w:tc>
        <w:tc>
          <w:tcPr>
            <w:tcW w:w="630" w:type="dxa"/>
            <w:tcBorders>
              <w:top w:val="nil"/>
              <w:left w:val="single" w:sz="4" w:space="0" w:color="000000"/>
              <w:bottom w:val="double" w:sz="6" w:space="0" w:color="auto"/>
              <w:right w:val="single" w:sz="4" w:space="0" w:color="000000"/>
            </w:tcBorders>
            <w:noWrap/>
            <w:vAlign w:val="bottom"/>
          </w:tcPr>
          <w:p w14:paraId="659E0071" w14:textId="77777777" w:rsidR="009645E4" w:rsidRPr="000B1CC3" w:rsidRDefault="009645E4" w:rsidP="009645E4">
            <w:pPr>
              <w:spacing w:after="120"/>
              <w:ind w:left="-58" w:right="-58"/>
              <w:jc w:val="center"/>
              <w:rPr>
                <w:rFonts w:cs="Arial"/>
                <w:bCs/>
                <w:sz w:val="19"/>
                <w:szCs w:val="19"/>
                <w:lang w:val="vi-VN"/>
              </w:rPr>
            </w:pPr>
          </w:p>
        </w:tc>
        <w:tc>
          <w:tcPr>
            <w:tcW w:w="1980" w:type="dxa"/>
            <w:tcBorders>
              <w:top w:val="nil"/>
              <w:left w:val="single" w:sz="4" w:space="0" w:color="000000"/>
              <w:bottom w:val="double" w:sz="6" w:space="0" w:color="auto"/>
              <w:right w:val="single" w:sz="4" w:space="0" w:color="000000"/>
            </w:tcBorders>
            <w:vAlign w:val="bottom"/>
          </w:tcPr>
          <w:p w14:paraId="7983DE9E" w14:textId="78784D49" w:rsidR="009645E4" w:rsidRPr="000B1CC3" w:rsidDel="009B7BD3" w:rsidRDefault="009645E4" w:rsidP="009645E4">
            <w:pPr>
              <w:spacing w:after="120"/>
              <w:jc w:val="right"/>
              <w:rPr>
                <w:rFonts w:cs="Arial"/>
                <w:bCs/>
                <w:sz w:val="19"/>
                <w:szCs w:val="19"/>
              </w:rPr>
            </w:pPr>
            <w:r w:rsidRPr="00162FB9">
              <w:t>4</w:t>
            </w:r>
            <w:r w:rsidR="009D53F5">
              <w:t>,</w:t>
            </w:r>
            <w:r w:rsidRPr="00162FB9">
              <w:t>870</w:t>
            </w:r>
            <w:r w:rsidR="009D53F5">
              <w:t>,</w:t>
            </w:r>
            <w:r w:rsidRPr="00162FB9">
              <w:t xml:space="preserve">127 </w:t>
            </w:r>
          </w:p>
        </w:tc>
        <w:tc>
          <w:tcPr>
            <w:tcW w:w="1980" w:type="dxa"/>
            <w:tcBorders>
              <w:top w:val="nil"/>
              <w:left w:val="single" w:sz="4" w:space="0" w:color="000000"/>
              <w:bottom w:val="double" w:sz="6" w:space="0" w:color="auto"/>
            </w:tcBorders>
            <w:noWrap/>
            <w:vAlign w:val="bottom"/>
          </w:tcPr>
          <w:p w14:paraId="53003EFF" w14:textId="525C5FD4" w:rsidR="009645E4" w:rsidRPr="000B1CC3" w:rsidDel="009B7BD3" w:rsidRDefault="009645E4" w:rsidP="009645E4">
            <w:pPr>
              <w:spacing w:after="120"/>
              <w:jc w:val="right"/>
              <w:rPr>
                <w:rFonts w:cs="Arial"/>
                <w:bCs/>
                <w:sz w:val="19"/>
                <w:szCs w:val="19"/>
              </w:rPr>
            </w:pPr>
            <w:r w:rsidRPr="00162FB9">
              <w:t>3</w:t>
            </w:r>
            <w:r w:rsidR="009D53F5">
              <w:t>,</w:t>
            </w:r>
            <w:r w:rsidRPr="00162FB9">
              <w:t>219</w:t>
            </w:r>
            <w:r w:rsidR="009D53F5">
              <w:t>,</w:t>
            </w:r>
            <w:r w:rsidRPr="00162FB9">
              <w:t xml:space="preserve">534 </w:t>
            </w:r>
          </w:p>
        </w:tc>
      </w:tr>
    </w:tbl>
    <w:p w14:paraId="5F69433D" w14:textId="77777777" w:rsidR="00630F87" w:rsidRPr="002A0B87" w:rsidRDefault="00630F87" w:rsidP="00367B00">
      <w:pPr>
        <w:tabs>
          <w:tab w:val="left" w:pos="3456"/>
        </w:tabs>
        <w:rPr>
          <w:rFonts w:cs="Arial"/>
          <w:lang w:val="en-GB"/>
        </w:rPr>
      </w:pPr>
    </w:p>
    <w:p w14:paraId="7DE5BD19" w14:textId="77777777" w:rsidR="00706B5B" w:rsidRPr="002A0B87" w:rsidRDefault="00706B5B" w:rsidP="00367B00">
      <w:pPr>
        <w:tabs>
          <w:tab w:val="left" w:pos="3456"/>
        </w:tabs>
        <w:rPr>
          <w:rFonts w:cs="Arial"/>
          <w:lang w:val="en-GB"/>
        </w:rPr>
        <w:sectPr w:rsidR="00706B5B" w:rsidRPr="002A0B87" w:rsidSect="0063755C">
          <w:headerReference w:type="default" r:id="rId41"/>
          <w:pgSz w:w="11909" w:h="16834" w:code="9"/>
          <w:pgMar w:top="1440" w:right="1440" w:bottom="862" w:left="1582" w:header="720" w:footer="578" w:gutter="0"/>
          <w:cols w:space="720"/>
        </w:sectPr>
      </w:pPr>
    </w:p>
    <w:p w14:paraId="5F32B9E1" w14:textId="22AD0474" w:rsidR="00AB3B1E" w:rsidRPr="002A0B87" w:rsidRDefault="007109E8" w:rsidP="005E3FAF">
      <w:pPr>
        <w:pStyle w:val="Heading1"/>
      </w:pPr>
      <w:r w:rsidRPr="007109E8">
        <w:lastRenderedPageBreak/>
        <w:t>CASH FLOWS FROM BROKERAGE AND TRUST ACTIVITIES OF CUSTOMERS</w:t>
      </w:r>
      <w:r w:rsidRPr="007109E8" w:rsidDel="007109E8">
        <w:t xml:space="preserve"> </w:t>
      </w:r>
    </w:p>
    <w:p w14:paraId="0348673D" w14:textId="51D061B4" w:rsidR="0053447E" w:rsidRPr="002A0B87" w:rsidRDefault="0053447E" w:rsidP="005E3FAF">
      <w:pPr>
        <w:rPr>
          <w:lang w:val="nl-NL"/>
        </w:rPr>
      </w:pPr>
    </w:p>
    <w:tbl>
      <w:tblPr>
        <w:tblW w:w="8899"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706"/>
        <w:gridCol w:w="3231"/>
        <w:gridCol w:w="648"/>
        <w:gridCol w:w="2142"/>
        <w:gridCol w:w="2172"/>
      </w:tblGrid>
      <w:tr w:rsidR="00B82654" w:rsidRPr="002A0B87" w14:paraId="3D33FFF7" w14:textId="77777777" w:rsidTr="00A251AB">
        <w:trPr>
          <w:trHeight w:val="108"/>
        </w:trPr>
        <w:tc>
          <w:tcPr>
            <w:tcW w:w="706" w:type="dxa"/>
            <w:tcBorders>
              <w:top w:val="double" w:sz="6" w:space="0" w:color="auto"/>
              <w:bottom w:val="single" w:sz="4" w:space="0" w:color="000000"/>
              <w:right w:val="single" w:sz="4" w:space="0" w:color="000000"/>
            </w:tcBorders>
            <w:noWrap/>
            <w:vAlign w:val="bottom"/>
          </w:tcPr>
          <w:p w14:paraId="5C27B191" w14:textId="62909AEC" w:rsidR="00B82654" w:rsidRPr="00FA28E4" w:rsidRDefault="00DB2CBC" w:rsidP="00B82654">
            <w:pPr>
              <w:spacing w:before="120" w:after="120"/>
              <w:ind w:left="-58" w:right="-58"/>
              <w:jc w:val="center"/>
              <w:rPr>
                <w:rFonts w:cs="Arial"/>
                <w:i/>
                <w:iCs/>
                <w:sz w:val="18"/>
                <w:szCs w:val="18"/>
              </w:rPr>
            </w:pPr>
            <w:r>
              <w:rPr>
                <w:rFonts w:cs="Arial"/>
                <w:i/>
                <w:iCs/>
                <w:sz w:val="18"/>
                <w:szCs w:val="18"/>
              </w:rPr>
              <w:t>Code</w:t>
            </w:r>
          </w:p>
        </w:tc>
        <w:tc>
          <w:tcPr>
            <w:tcW w:w="3231" w:type="dxa"/>
            <w:tcBorders>
              <w:top w:val="double" w:sz="6" w:space="0" w:color="auto"/>
              <w:left w:val="single" w:sz="4" w:space="0" w:color="000000"/>
              <w:bottom w:val="single" w:sz="4" w:space="0" w:color="000000"/>
              <w:right w:val="single" w:sz="4" w:space="0" w:color="000000"/>
            </w:tcBorders>
            <w:noWrap/>
            <w:vAlign w:val="bottom"/>
          </w:tcPr>
          <w:p w14:paraId="79D3E303" w14:textId="60944632" w:rsidR="00B82654" w:rsidRPr="00FA28E4" w:rsidRDefault="00DB2CBC" w:rsidP="00B82654">
            <w:pPr>
              <w:spacing w:before="120" w:after="120"/>
              <w:ind w:left="-58"/>
              <w:rPr>
                <w:rFonts w:cs="Arial"/>
                <w:i/>
                <w:iCs/>
                <w:sz w:val="18"/>
                <w:szCs w:val="18"/>
              </w:rPr>
            </w:pPr>
            <w:r>
              <w:rPr>
                <w:rFonts w:cs="Arial"/>
                <w:i/>
                <w:iCs/>
                <w:sz w:val="18"/>
                <w:szCs w:val="18"/>
              </w:rPr>
              <w:t>ITEMS</w:t>
            </w:r>
          </w:p>
        </w:tc>
        <w:tc>
          <w:tcPr>
            <w:tcW w:w="648" w:type="dxa"/>
            <w:tcBorders>
              <w:top w:val="double" w:sz="6" w:space="0" w:color="auto"/>
              <w:left w:val="single" w:sz="4" w:space="0" w:color="000000"/>
              <w:bottom w:val="single" w:sz="4" w:space="0" w:color="000000"/>
              <w:right w:val="single" w:sz="4" w:space="0" w:color="000000"/>
            </w:tcBorders>
            <w:noWrap/>
            <w:vAlign w:val="bottom"/>
          </w:tcPr>
          <w:p w14:paraId="50B8D40A" w14:textId="3355CCAC" w:rsidR="00B82654" w:rsidRPr="00FA28E4" w:rsidRDefault="00DB2CBC" w:rsidP="00B82654">
            <w:pPr>
              <w:spacing w:before="120" w:after="120"/>
              <w:ind w:left="-58" w:right="-58"/>
              <w:jc w:val="center"/>
              <w:rPr>
                <w:rFonts w:cs="Arial"/>
                <w:i/>
                <w:iCs/>
                <w:sz w:val="18"/>
                <w:szCs w:val="18"/>
              </w:rPr>
            </w:pPr>
            <w:r>
              <w:rPr>
                <w:rFonts w:cs="Arial"/>
                <w:i/>
                <w:iCs/>
                <w:sz w:val="18"/>
                <w:szCs w:val="18"/>
              </w:rPr>
              <w:t>Notes</w:t>
            </w:r>
          </w:p>
        </w:tc>
        <w:tc>
          <w:tcPr>
            <w:tcW w:w="2142" w:type="dxa"/>
            <w:tcBorders>
              <w:top w:val="double" w:sz="6" w:space="0" w:color="auto"/>
              <w:left w:val="single" w:sz="4" w:space="0" w:color="000000"/>
              <w:bottom w:val="single" w:sz="4" w:space="0" w:color="000000"/>
              <w:right w:val="single" w:sz="4" w:space="0" w:color="000000"/>
            </w:tcBorders>
            <w:vAlign w:val="bottom"/>
          </w:tcPr>
          <w:p w14:paraId="72319208" w14:textId="77777777" w:rsidR="0042203B" w:rsidRPr="0042203B" w:rsidRDefault="0042203B" w:rsidP="0042203B">
            <w:pPr>
              <w:spacing w:before="120"/>
              <w:jc w:val="right"/>
              <w:rPr>
                <w:rFonts w:cs="Arial"/>
                <w:i/>
                <w:sz w:val="18"/>
                <w:szCs w:val="18"/>
              </w:rPr>
            </w:pPr>
            <w:r w:rsidRPr="0042203B">
              <w:rPr>
                <w:rFonts w:cs="Arial"/>
                <w:i/>
                <w:sz w:val="18"/>
                <w:szCs w:val="18"/>
              </w:rPr>
              <w:t>Current year</w:t>
            </w:r>
          </w:p>
          <w:p w14:paraId="1147C6FA" w14:textId="3DE5C3D1" w:rsidR="00B82654" w:rsidRPr="002A0B87" w:rsidRDefault="0042203B" w:rsidP="00B82654">
            <w:pPr>
              <w:spacing w:after="120"/>
              <w:jc w:val="right"/>
              <w:rPr>
                <w:rFonts w:cs="Arial"/>
                <w:i/>
                <w:sz w:val="18"/>
                <w:szCs w:val="18"/>
                <w:lang w:val="vi-VN"/>
              </w:rPr>
            </w:pPr>
            <w:r w:rsidRPr="0042203B">
              <w:rPr>
                <w:rFonts w:cs="Arial"/>
                <w:i/>
                <w:sz w:val="18"/>
                <w:szCs w:val="18"/>
              </w:rPr>
              <w:t>VND</w:t>
            </w:r>
          </w:p>
        </w:tc>
        <w:tc>
          <w:tcPr>
            <w:tcW w:w="2172" w:type="dxa"/>
            <w:tcBorders>
              <w:top w:val="double" w:sz="6" w:space="0" w:color="auto"/>
              <w:left w:val="single" w:sz="4" w:space="0" w:color="000000"/>
              <w:bottom w:val="single" w:sz="4" w:space="0" w:color="000000"/>
            </w:tcBorders>
            <w:noWrap/>
            <w:vAlign w:val="bottom"/>
          </w:tcPr>
          <w:p w14:paraId="1BD8F751" w14:textId="77777777" w:rsidR="006F6894" w:rsidRPr="006F6894" w:rsidRDefault="006F6894" w:rsidP="006F6894">
            <w:pPr>
              <w:spacing w:before="120"/>
              <w:jc w:val="right"/>
              <w:rPr>
                <w:rFonts w:cs="Arial"/>
                <w:i/>
                <w:sz w:val="18"/>
                <w:szCs w:val="18"/>
              </w:rPr>
            </w:pPr>
            <w:r w:rsidRPr="006F6894">
              <w:rPr>
                <w:rFonts w:cs="Arial"/>
                <w:i/>
                <w:sz w:val="18"/>
                <w:szCs w:val="18"/>
              </w:rPr>
              <w:t>Previous year</w:t>
            </w:r>
          </w:p>
          <w:p w14:paraId="3A6E86BE" w14:textId="57488762" w:rsidR="00B82654" w:rsidRPr="002A0B87" w:rsidRDefault="006F6894" w:rsidP="00B82654">
            <w:pPr>
              <w:spacing w:after="120"/>
              <w:jc w:val="right"/>
              <w:rPr>
                <w:rFonts w:cs="Arial"/>
                <w:i/>
                <w:iCs/>
                <w:sz w:val="18"/>
                <w:szCs w:val="18"/>
              </w:rPr>
            </w:pPr>
            <w:r w:rsidRPr="006F6894">
              <w:rPr>
                <w:rFonts w:cs="Arial"/>
                <w:i/>
                <w:sz w:val="18"/>
                <w:szCs w:val="18"/>
              </w:rPr>
              <w:t>VND</w:t>
            </w:r>
          </w:p>
        </w:tc>
      </w:tr>
      <w:tr w:rsidR="00584B9E" w:rsidRPr="002A0B87" w14:paraId="3072AC20" w14:textId="77777777" w:rsidTr="00A251AB">
        <w:tc>
          <w:tcPr>
            <w:tcW w:w="706" w:type="dxa"/>
            <w:tcBorders>
              <w:top w:val="single" w:sz="4" w:space="0" w:color="000000"/>
              <w:bottom w:val="nil"/>
              <w:right w:val="single" w:sz="4" w:space="0" w:color="000000"/>
            </w:tcBorders>
            <w:noWrap/>
          </w:tcPr>
          <w:p w14:paraId="0EEF7183" w14:textId="77777777" w:rsidR="0033524E" w:rsidRPr="002A0B87" w:rsidRDefault="0033524E" w:rsidP="00A7203D">
            <w:pPr>
              <w:spacing w:before="120"/>
              <w:ind w:left="-58" w:right="-58"/>
              <w:jc w:val="center"/>
              <w:rPr>
                <w:rFonts w:cs="Arial"/>
                <w:b/>
                <w:bCs/>
                <w:sz w:val="18"/>
                <w:szCs w:val="18"/>
                <w:lang w:val="vi-VN"/>
              </w:rPr>
            </w:pPr>
          </w:p>
        </w:tc>
        <w:tc>
          <w:tcPr>
            <w:tcW w:w="3231" w:type="dxa"/>
            <w:tcBorders>
              <w:top w:val="single" w:sz="4" w:space="0" w:color="000000"/>
              <w:left w:val="single" w:sz="4" w:space="0" w:color="000000"/>
              <w:bottom w:val="nil"/>
              <w:right w:val="single" w:sz="4" w:space="0" w:color="000000"/>
            </w:tcBorders>
            <w:noWrap/>
            <w:vAlign w:val="bottom"/>
          </w:tcPr>
          <w:p w14:paraId="12E26CB5" w14:textId="55EF31C9" w:rsidR="0033524E" w:rsidRPr="002A0B87" w:rsidRDefault="0033524E" w:rsidP="00461FA9">
            <w:pPr>
              <w:spacing w:before="120"/>
              <w:ind w:left="299" w:hanging="357"/>
              <w:rPr>
                <w:rFonts w:cs="Arial"/>
                <w:b/>
                <w:bCs/>
                <w:sz w:val="18"/>
                <w:szCs w:val="18"/>
              </w:rPr>
            </w:pPr>
            <w:r w:rsidRPr="002A0B87">
              <w:rPr>
                <w:rFonts w:cs="Arial"/>
                <w:b/>
                <w:bCs/>
                <w:sz w:val="18"/>
                <w:szCs w:val="18"/>
              </w:rPr>
              <w:t>I</w:t>
            </w:r>
            <w:r w:rsidRPr="002A0B87">
              <w:rPr>
                <w:rFonts w:cs="Arial"/>
                <w:b/>
                <w:bCs/>
                <w:sz w:val="18"/>
                <w:szCs w:val="18"/>
                <w:lang w:val="vi-VN"/>
              </w:rPr>
              <w:t>.</w:t>
            </w:r>
            <w:r w:rsidRPr="002A0B87">
              <w:rPr>
                <w:rFonts w:cs="Arial"/>
                <w:b/>
                <w:bCs/>
                <w:sz w:val="18"/>
                <w:szCs w:val="18"/>
                <w:lang w:val="vi-VN"/>
              </w:rPr>
              <w:tab/>
            </w:r>
            <w:r w:rsidR="00E75FB8" w:rsidRPr="00E75FB8">
              <w:rPr>
                <w:rFonts w:cs="Arial"/>
                <w:b/>
                <w:bCs/>
                <w:sz w:val="18"/>
                <w:szCs w:val="18"/>
                <w:lang w:val="vi-VN"/>
              </w:rPr>
              <w:t>Cash flows from brokerage and trust activities of customers</w:t>
            </w:r>
          </w:p>
        </w:tc>
        <w:tc>
          <w:tcPr>
            <w:tcW w:w="648" w:type="dxa"/>
            <w:tcBorders>
              <w:top w:val="single" w:sz="4" w:space="0" w:color="000000"/>
              <w:left w:val="single" w:sz="4" w:space="0" w:color="000000"/>
              <w:bottom w:val="nil"/>
              <w:right w:val="single" w:sz="4" w:space="0" w:color="000000"/>
            </w:tcBorders>
            <w:noWrap/>
            <w:vAlign w:val="bottom"/>
          </w:tcPr>
          <w:p w14:paraId="1371257D" w14:textId="77777777" w:rsidR="0033524E" w:rsidRPr="003C222B" w:rsidRDefault="0033524E">
            <w:pPr>
              <w:spacing w:before="120"/>
              <w:ind w:left="-58" w:right="-58"/>
              <w:jc w:val="center"/>
              <w:rPr>
                <w:rFonts w:cs="Arial"/>
                <w:b/>
                <w:sz w:val="18"/>
                <w:szCs w:val="18"/>
                <w:lang w:val="vi-VN"/>
              </w:rPr>
            </w:pPr>
          </w:p>
        </w:tc>
        <w:tc>
          <w:tcPr>
            <w:tcW w:w="2142" w:type="dxa"/>
            <w:tcBorders>
              <w:top w:val="single" w:sz="4" w:space="0" w:color="000000"/>
              <w:left w:val="single" w:sz="4" w:space="0" w:color="000000"/>
              <w:bottom w:val="nil"/>
              <w:right w:val="single" w:sz="4" w:space="0" w:color="000000"/>
            </w:tcBorders>
            <w:vAlign w:val="bottom"/>
          </w:tcPr>
          <w:p w14:paraId="76B7D5B1" w14:textId="77777777" w:rsidR="0033524E" w:rsidRPr="003C222B" w:rsidRDefault="0033524E" w:rsidP="00A251AB">
            <w:pPr>
              <w:spacing w:before="120"/>
              <w:jc w:val="right"/>
              <w:rPr>
                <w:rFonts w:cs="Arial"/>
                <w:b/>
                <w:sz w:val="18"/>
                <w:szCs w:val="18"/>
                <w:lang w:val="vi-VN"/>
              </w:rPr>
            </w:pPr>
          </w:p>
        </w:tc>
        <w:tc>
          <w:tcPr>
            <w:tcW w:w="2172" w:type="dxa"/>
            <w:tcBorders>
              <w:top w:val="single" w:sz="4" w:space="0" w:color="000000"/>
              <w:left w:val="single" w:sz="4" w:space="0" w:color="000000"/>
              <w:bottom w:val="nil"/>
            </w:tcBorders>
            <w:noWrap/>
            <w:vAlign w:val="bottom"/>
          </w:tcPr>
          <w:p w14:paraId="058DEABB" w14:textId="77777777" w:rsidR="0033524E" w:rsidRPr="002A0B87" w:rsidRDefault="0033524E" w:rsidP="00A251AB">
            <w:pPr>
              <w:spacing w:before="120"/>
              <w:jc w:val="right"/>
              <w:rPr>
                <w:rFonts w:cs="Arial"/>
                <w:b/>
                <w:bCs/>
                <w:sz w:val="18"/>
                <w:szCs w:val="18"/>
              </w:rPr>
            </w:pPr>
          </w:p>
        </w:tc>
      </w:tr>
      <w:tr w:rsidR="00A251AB" w:rsidRPr="002A0B87" w14:paraId="145085FE" w14:textId="77777777" w:rsidTr="00A251AB">
        <w:tc>
          <w:tcPr>
            <w:tcW w:w="706" w:type="dxa"/>
            <w:tcBorders>
              <w:right w:val="single" w:sz="4" w:space="0" w:color="000000"/>
            </w:tcBorders>
            <w:noWrap/>
          </w:tcPr>
          <w:p w14:paraId="3A421733" w14:textId="5AA20400" w:rsidR="00A251AB" w:rsidRPr="002A0B87" w:rsidRDefault="00A251AB" w:rsidP="00A251AB">
            <w:pPr>
              <w:spacing w:before="120"/>
              <w:ind w:left="-58" w:right="-58"/>
              <w:jc w:val="center"/>
              <w:rPr>
                <w:rFonts w:cs="Arial"/>
                <w:bCs/>
                <w:sz w:val="18"/>
                <w:szCs w:val="18"/>
              </w:rPr>
            </w:pPr>
            <w:r w:rsidRPr="002A0B87">
              <w:rPr>
                <w:rFonts w:cs="Arial"/>
                <w:sz w:val="18"/>
                <w:szCs w:val="18"/>
              </w:rPr>
              <w:t>01</w:t>
            </w:r>
          </w:p>
        </w:tc>
        <w:tc>
          <w:tcPr>
            <w:tcW w:w="3231" w:type="dxa"/>
            <w:tcBorders>
              <w:left w:val="single" w:sz="4" w:space="0" w:color="000000"/>
              <w:right w:val="single" w:sz="4" w:space="0" w:color="000000"/>
            </w:tcBorders>
            <w:noWrap/>
            <w:vAlign w:val="bottom"/>
          </w:tcPr>
          <w:p w14:paraId="1480D59F" w14:textId="5455BFA3" w:rsidR="00A251AB" w:rsidRPr="002A0B87" w:rsidRDefault="00A251AB" w:rsidP="00A251AB">
            <w:pPr>
              <w:spacing w:before="120"/>
              <w:ind w:left="302" w:hanging="360"/>
              <w:jc w:val="left"/>
              <w:rPr>
                <w:rFonts w:cs="Arial"/>
                <w:bCs/>
                <w:sz w:val="18"/>
                <w:szCs w:val="18"/>
              </w:rPr>
            </w:pPr>
            <w:r w:rsidRPr="002A0B87">
              <w:rPr>
                <w:rFonts w:cs="Arial"/>
                <w:sz w:val="18"/>
                <w:szCs w:val="18"/>
              </w:rPr>
              <w:t>1.</w:t>
            </w:r>
            <w:r w:rsidRPr="002A0B87">
              <w:rPr>
                <w:rFonts w:cs="Arial"/>
                <w:sz w:val="18"/>
                <w:szCs w:val="18"/>
              </w:rPr>
              <w:tab/>
            </w:r>
            <w:r w:rsidRPr="0016067F">
              <w:rPr>
                <w:rFonts w:cs="Arial"/>
                <w:bCs/>
                <w:iCs/>
                <w:sz w:val="18"/>
                <w:szCs w:val="18"/>
                <w:lang w:val="vi-VN"/>
              </w:rPr>
              <w:t>Cash receipts from disposal of brokerage securities of customers</w:t>
            </w:r>
          </w:p>
        </w:tc>
        <w:tc>
          <w:tcPr>
            <w:tcW w:w="648" w:type="dxa"/>
            <w:tcBorders>
              <w:left w:val="single" w:sz="4" w:space="0" w:color="000000"/>
              <w:right w:val="single" w:sz="4" w:space="0" w:color="000000"/>
            </w:tcBorders>
            <w:noWrap/>
            <w:vAlign w:val="bottom"/>
          </w:tcPr>
          <w:p w14:paraId="2D90034A" w14:textId="77777777" w:rsidR="00A251AB" w:rsidRPr="003C222B" w:rsidRDefault="00A251AB" w:rsidP="00A251AB">
            <w:pPr>
              <w:spacing w:before="120"/>
              <w:ind w:left="-58" w:right="-58"/>
              <w:jc w:val="center"/>
              <w:rPr>
                <w:rFonts w:cs="Arial"/>
                <w:sz w:val="18"/>
                <w:szCs w:val="18"/>
                <w:lang w:val="vi-VN"/>
              </w:rPr>
            </w:pPr>
          </w:p>
        </w:tc>
        <w:tc>
          <w:tcPr>
            <w:tcW w:w="2142" w:type="dxa"/>
            <w:tcBorders>
              <w:left w:val="single" w:sz="4" w:space="0" w:color="000000"/>
              <w:right w:val="single" w:sz="4" w:space="0" w:color="000000"/>
            </w:tcBorders>
            <w:vAlign w:val="bottom"/>
          </w:tcPr>
          <w:p w14:paraId="08DAEF26" w14:textId="24E68E73" w:rsidR="00A251AB" w:rsidRPr="003C222B" w:rsidRDefault="00A251AB" w:rsidP="00A251AB">
            <w:pPr>
              <w:spacing w:before="120"/>
              <w:jc w:val="right"/>
              <w:rPr>
                <w:rFonts w:cs="Arial"/>
                <w:sz w:val="18"/>
                <w:szCs w:val="18"/>
                <w:lang w:val="vi-VN"/>
              </w:rPr>
            </w:pPr>
            <w:r w:rsidRPr="00FD1550">
              <w:t xml:space="preserve">12.539.816.141.770 </w:t>
            </w:r>
          </w:p>
        </w:tc>
        <w:tc>
          <w:tcPr>
            <w:tcW w:w="2172" w:type="dxa"/>
            <w:tcBorders>
              <w:left w:val="single" w:sz="4" w:space="0" w:color="000000"/>
            </w:tcBorders>
            <w:noWrap/>
            <w:vAlign w:val="bottom"/>
          </w:tcPr>
          <w:p w14:paraId="5215404C" w14:textId="09545464" w:rsidR="00A251AB" w:rsidRPr="003C222B" w:rsidRDefault="00A251AB" w:rsidP="00A251AB">
            <w:pPr>
              <w:spacing w:before="120"/>
              <w:jc w:val="right"/>
              <w:rPr>
                <w:rFonts w:cs="Arial"/>
                <w:sz w:val="18"/>
                <w:szCs w:val="18"/>
                <w:lang w:val="vi-VN"/>
              </w:rPr>
            </w:pPr>
            <w:r w:rsidRPr="00FD1550">
              <w:t xml:space="preserve">23.964.840.108.700 </w:t>
            </w:r>
          </w:p>
        </w:tc>
      </w:tr>
      <w:tr w:rsidR="00A251AB" w:rsidRPr="002A0B87" w14:paraId="30E59A4A" w14:textId="77777777" w:rsidTr="00A251AB">
        <w:tc>
          <w:tcPr>
            <w:tcW w:w="706" w:type="dxa"/>
            <w:tcBorders>
              <w:right w:val="single" w:sz="4" w:space="0" w:color="000000"/>
            </w:tcBorders>
            <w:noWrap/>
          </w:tcPr>
          <w:p w14:paraId="703127B4" w14:textId="19CC7C0E" w:rsidR="00A251AB" w:rsidRPr="002A0B87" w:rsidRDefault="00A251AB" w:rsidP="00A251AB">
            <w:pPr>
              <w:ind w:left="-58" w:right="-58"/>
              <w:jc w:val="center"/>
              <w:rPr>
                <w:rFonts w:cs="Arial"/>
                <w:bCs/>
                <w:sz w:val="18"/>
                <w:szCs w:val="18"/>
              </w:rPr>
            </w:pPr>
            <w:r w:rsidRPr="002A0B87">
              <w:rPr>
                <w:rFonts w:cs="Arial"/>
                <w:sz w:val="18"/>
                <w:szCs w:val="18"/>
              </w:rPr>
              <w:t>02</w:t>
            </w:r>
          </w:p>
        </w:tc>
        <w:tc>
          <w:tcPr>
            <w:tcW w:w="3231" w:type="dxa"/>
            <w:tcBorders>
              <w:left w:val="single" w:sz="4" w:space="0" w:color="000000"/>
              <w:right w:val="single" w:sz="4" w:space="0" w:color="000000"/>
            </w:tcBorders>
            <w:noWrap/>
            <w:vAlign w:val="bottom"/>
          </w:tcPr>
          <w:p w14:paraId="28CD1AB4" w14:textId="7DBAC47B" w:rsidR="00A251AB" w:rsidRPr="002A0B87" w:rsidRDefault="00A251AB" w:rsidP="00A251AB">
            <w:pPr>
              <w:ind w:left="302" w:hanging="360"/>
              <w:jc w:val="left"/>
              <w:rPr>
                <w:rFonts w:cs="Arial"/>
                <w:sz w:val="18"/>
                <w:szCs w:val="18"/>
                <w:lang w:val="vi-VN"/>
              </w:rPr>
            </w:pPr>
            <w:r w:rsidRPr="002A0B87">
              <w:rPr>
                <w:rFonts w:cs="Arial"/>
                <w:sz w:val="18"/>
                <w:szCs w:val="18"/>
              </w:rPr>
              <w:t>2.</w:t>
            </w:r>
            <w:r w:rsidRPr="002A0B87">
              <w:rPr>
                <w:rFonts w:cs="Arial"/>
                <w:sz w:val="18"/>
                <w:szCs w:val="18"/>
              </w:rPr>
              <w:tab/>
            </w:r>
            <w:r w:rsidRPr="00101CC2">
              <w:rPr>
                <w:rFonts w:cs="Arial"/>
                <w:sz w:val="18"/>
                <w:szCs w:val="18"/>
                <w:lang w:val="vi-VN"/>
              </w:rPr>
              <w:t>Cash payments for purchase of brokerage securities of customers</w:t>
            </w:r>
          </w:p>
        </w:tc>
        <w:tc>
          <w:tcPr>
            <w:tcW w:w="648" w:type="dxa"/>
            <w:tcBorders>
              <w:left w:val="single" w:sz="4" w:space="0" w:color="000000"/>
              <w:right w:val="single" w:sz="4" w:space="0" w:color="000000"/>
            </w:tcBorders>
            <w:noWrap/>
            <w:vAlign w:val="bottom"/>
          </w:tcPr>
          <w:p w14:paraId="5F863E09" w14:textId="77777777" w:rsidR="00A251AB" w:rsidRPr="003C222B" w:rsidRDefault="00A251AB" w:rsidP="00A251AB">
            <w:pPr>
              <w:ind w:left="-58" w:right="-58"/>
              <w:jc w:val="center"/>
              <w:rPr>
                <w:rFonts w:cs="Arial"/>
                <w:sz w:val="18"/>
                <w:szCs w:val="18"/>
                <w:lang w:val="vi-VN"/>
              </w:rPr>
            </w:pPr>
          </w:p>
        </w:tc>
        <w:tc>
          <w:tcPr>
            <w:tcW w:w="2142" w:type="dxa"/>
            <w:tcBorders>
              <w:left w:val="single" w:sz="4" w:space="0" w:color="000000"/>
              <w:right w:val="single" w:sz="4" w:space="0" w:color="000000"/>
            </w:tcBorders>
            <w:vAlign w:val="bottom"/>
          </w:tcPr>
          <w:p w14:paraId="3C06C685" w14:textId="52097086" w:rsidR="00A251AB" w:rsidRPr="003C222B" w:rsidRDefault="00A251AB" w:rsidP="00A251AB">
            <w:pPr>
              <w:ind w:left="-57"/>
              <w:jc w:val="right"/>
              <w:rPr>
                <w:rFonts w:cs="Arial"/>
                <w:sz w:val="18"/>
                <w:szCs w:val="18"/>
                <w:lang w:val="vi-VN"/>
              </w:rPr>
            </w:pPr>
            <w:r w:rsidRPr="00FD1550">
              <w:t xml:space="preserve">(12.589.998.136.860) </w:t>
            </w:r>
          </w:p>
        </w:tc>
        <w:tc>
          <w:tcPr>
            <w:tcW w:w="2172" w:type="dxa"/>
            <w:tcBorders>
              <w:left w:val="single" w:sz="4" w:space="0" w:color="000000"/>
            </w:tcBorders>
            <w:noWrap/>
            <w:vAlign w:val="bottom"/>
          </w:tcPr>
          <w:p w14:paraId="6AFAC1B1" w14:textId="4B983093" w:rsidR="00A251AB" w:rsidRPr="003C222B" w:rsidRDefault="00A251AB" w:rsidP="00A251AB">
            <w:pPr>
              <w:ind w:left="-57"/>
              <w:jc w:val="right"/>
              <w:rPr>
                <w:rFonts w:cs="Arial"/>
                <w:sz w:val="18"/>
                <w:szCs w:val="18"/>
                <w:lang w:val="vi-VN"/>
              </w:rPr>
            </w:pPr>
            <w:r w:rsidRPr="00FD1550">
              <w:t xml:space="preserve">(24.947.540.843.700) </w:t>
            </w:r>
          </w:p>
        </w:tc>
      </w:tr>
      <w:tr w:rsidR="00A251AB" w:rsidRPr="002A0B87" w14:paraId="28C3DCFE" w14:textId="77777777" w:rsidTr="00A251AB">
        <w:tc>
          <w:tcPr>
            <w:tcW w:w="706" w:type="dxa"/>
            <w:tcBorders>
              <w:right w:val="single" w:sz="4" w:space="0" w:color="000000"/>
            </w:tcBorders>
            <w:noWrap/>
          </w:tcPr>
          <w:p w14:paraId="735CCD70" w14:textId="4535802F" w:rsidR="00A251AB" w:rsidRPr="002A0B87" w:rsidRDefault="00A251AB" w:rsidP="00A251AB">
            <w:pPr>
              <w:ind w:left="-58" w:right="-58"/>
              <w:jc w:val="center"/>
              <w:rPr>
                <w:rFonts w:cs="Arial"/>
                <w:bCs/>
                <w:sz w:val="18"/>
                <w:szCs w:val="18"/>
              </w:rPr>
            </w:pPr>
            <w:r w:rsidRPr="002A0B87">
              <w:rPr>
                <w:rFonts w:cs="Arial"/>
                <w:bCs/>
                <w:sz w:val="18"/>
                <w:szCs w:val="18"/>
              </w:rPr>
              <w:t>07</w:t>
            </w:r>
          </w:p>
        </w:tc>
        <w:tc>
          <w:tcPr>
            <w:tcW w:w="3231" w:type="dxa"/>
            <w:tcBorders>
              <w:left w:val="single" w:sz="4" w:space="0" w:color="000000"/>
              <w:right w:val="single" w:sz="4" w:space="0" w:color="000000"/>
            </w:tcBorders>
            <w:noWrap/>
            <w:vAlign w:val="bottom"/>
          </w:tcPr>
          <w:p w14:paraId="4A42499B" w14:textId="50A6DFC6" w:rsidR="00A251AB" w:rsidRPr="002A0B87" w:rsidRDefault="00A251AB" w:rsidP="00A251AB">
            <w:pPr>
              <w:ind w:left="302" w:hanging="360"/>
              <w:jc w:val="left"/>
              <w:rPr>
                <w:rFonts w:cs="Arial"/>
                <w:sz w:val="18"/>
                <w:szCs w:val="18"/>
                <w:lang w:val="vi-VN"/>
              </w:rPr>
            </w:pPr>
            <w:r w:rsidRPr="002A0B87">
              <w:rPr>
                <w:rFonts w:cs="Arial"/>
                <w:bCs/>
                <w:sz w:val="18"/>
                <w:szCs w:val="18"/>
              </w:rPr>
              <w:t>3.</w:t>
            </w:r>
            <w:r w:rsidRPr="002A0B87">
              <w:rPr>
                <w:rFonts w:cs="Arial"/>
                <w:bCs/>
                <w:sz w:val="18"/>
                <w:szCs w:val="18"/>
              </w:rPr>
              <w:tab/>
            </w:r>
            <w:r w:rsidRPr="003E52BD">
              <w:rPr>
                <w:rFonts w:cs="Arial"/>
                <w:sz w:val="18"/>
                <w:szCs w:val="18"/>
              </w:rPr>
              <w:t>Cash receipts for settlement of securities transactions of customers</w:t>
            </w:r>
          </w:p>
        </w:tc>
        <w:tc>
          <w:tcPr>
            <w:tcW w:w="648" w:type="dxa"/>
            <w:tcBorders>
              <w:left w:val="single" w:sz="4" w:space="0" w:color="000000"/>
              <w:right w:val="single" w:sz="4" w:space="0" w:color="000000"/>
            </w:tcBorders>
            <w:noWrap/>
            <w:vAlign w:val="bottom"/>
          </w:tcPr>
          <w:p w14:paraId="6C0EAC54" w14:textId="77777777" w:rsidR="00A251AB" w:rsidRPr="003C222B" w:rsidRDefault="00A251AB" w:rsidP="00A251AB">
            <w:pPr>
              <w:ind w:left="-58" w:right="-58"/>
              <w:jc w:val="center"/>
              <w:rPr>
                <w:rFonts w:cs="Arial"/>
                <w:sz w:val="18"/>
                <w:szCs w:val="18"/>
                <w:lang w:val="vi-VN"/>
              </w:rPr>
            </w:pPr>
          </w:p>
        </w:tc>
        <w:tc>
          <w:tcPr>
            <w:tcW w:w="2142" w:type="dxa"/>
            <w:tcBorders>
              <w:left w:val="single" w:sz="4" w:space="0" w:color="000000"/>
              <w:right w:val="single" w:sz="4" w:space="0" w:color="000000"/>
            </w:tcBorders>
            <w:vAlign w:val="bottom"/>
          </w:tcPr>
          <w:p w14:paraId="09F5F75F" w14:textId="2C9C4C19" w:rsidR="00A251AB" w:rsidRPr="003C222B" w:rsidRDefault="00A251AB" w:rsidP="00A251AB">
            <w:pPr>
              <w:jc w:val="right"/>
              <w:rPr>
                <w:rFonts w:cs="Arial"/>
                <w:sz w:val="18"/>
                <w:szCs w:val="18"/>
                <w:lang w:val="vi-VN"/>
              </w:rPr>
            </w:pPr>
            <w:r w:rsidRPr="00FD1550">
              <w:t xml:space="preserve">7.001.770.929.926 </w:t>
            </w:r>
          </w:p>
        </w:tc>
        <w:tc>
          <w:tcPr>
            <w:tcW w:w="2172" w:type="dxa"/>
            <w:tcBorders>
              <w:left w:val="single" w:sz="4" w:space="0" w:color="000000"/>
            </w:tcBorders>
            <w:noWrap/>
            <w:vAlign w:val="bottom"/>
          </w:tcPr>
          <w:p w14:paraId="3C1FBDDF" w14:textId="048FBF70" w:rsidR="00A251AB" w:rsidRPr="003C222B" w:rsidRDefault="00A251AB" w:rsidP="00A251AB">
            <w:pPr>
              <w:jc w:val="right"/>
              <w:rPr>
                <w:rFonts w:cs="Arial"/>
                <w:sz w:val="18"/>
                <w:szCs w:val="18"/>
                <w:lang w:val="vi-VN"/>
              </w:rPr>
            </w:pPr>
            <w:r w:rsidRPr="00FD1550">
              <w:t xml:space="preserve">11.777.639.714.422 </w:t>
            </w:r>
          </w:p>
        </w:tc>
      </w:tr>
      <w:tr w:rsidR="00A251AB" w:rsidRPr="002A0B87" w14:paraId="63278316" w14:textId="77777777" w:rsidTr="00A251AB">
        <w:tc>
          <w:tcPr>
            <w:tcW w:w="706" w:type="dxa"/>
            <w:tcBorders>
              <w:right w:val="single" w:sz="4" w:space="0" w:color="000000"/>
            </w:tcBorders>
            <w:noWrap/>
          </w:tcPr>
          <w:p w14:paraId="563F9E3A" w14:textId="74896366" w:rsidR="00A251AB" w:rsidRPr="002A0B87" w:rsidRDefault="00A251AB" w:rsidP="00A251AB">
            <w:pPr>
              <w:ind w:left="-58" w:right="-58"/>
              <w:jc w:val="center"/>
              <w:rPr>
                <w:rFonts w:cs="Arial"/>
                <w:bCs/>
                <w:sz w:val="18"/>
                <w:szCs w:val="18"/>
              </w:rPr>
            </w:pPr>
            <w:r>
              <w:rPr>
                <w:rFonts w:cs="Arial"/>
                <w:bCs/>
                <w:sz w:val="18"/>
                <w:szCs w:val="18"/>
              </w:rPr>
              <w:t>08</w:t>
            </w:r>
          </w:p>
        </w:tc>
        <w:tc>
          <w:tcPr>
            <w:tcW w:w="3231" w:type="dxa"/>
            <w:tcBorders>
              <w:left w:val="single" w:sz="4" w:space="0" w:color="000000"/>
              <w:right w:val="single" w:sz="4" w:space="0" w:color="000000"/>
            </w:tcBorders>
            <w:noWrap/>
            <w:vAlign w:val="bottom"/>
          </w:tcPr>
          <w:p w14:paraId="61A5F1F5" w14:textId="35F4FB92" w:rsidR="00A251AB" w:rsidRPr="002A0B87" w:rsidRDefault="00A251AB" w:rsidP="00A251AB">
            <w:pPr>
              <w:ind w:left="302" w:hanging="360"/>
              <w:jc w:val="left"/>
              <w:rPr>
                <w:rFonts w:cs="Arial"/>
                <w:bCs/>
                <w:sz w:val="18"/>
                <w:szCs w:val="18"/>
              </w:rPr>
            </w:pPr>
            <w:r w:rsidRPr="002A0B87">
              <w:rPr>
                <w:rFonts w:cs="Arial"/>
                <w:bCs/>
                <w:sz w:val="18"/>
                <w:szCs w:val="18"/>
              </w:rPr>
              <w:t>4.</w:t>
            </w:r>
            <w:r w:rsidRPr="002A0B87">
              <w:rPr>
                <w:rFonts w:cs="Arial"/>
                <w:bCs/>
                <w:sz w:val="18"/>
                <w:szCs w:val="18"/>
              </w:rPr>
              <w:tab/>
            </w:r>
            <w:r w:rsidRPr="00082ED8">
              <w:rPr>
                <w:rFonts w:cs="Arial"/>
                <w:bCs/>
                <w:sz w:val="18"/>
                <w:szCs w:val="18"/>
              </w:rPr>
              <w:t>Cash payment for settlement of securities transactions of customers</w:t>
            </w:r>
          </w:p>
        </w:tc>
        <w:tc>
          <w:tcPr>
            <w:tcW w:w="648" w:type="dxa"/>
            <w:tcBorders>
              <w:left w:val="single" w:sz="4" w:space="0" w:color="000000"/>
              <w:right w:val="single" w:sz="4" w:space="0" w:color="000000"/>
            </w:tcBorders>
            <w:noWrap/>
            <w:vAlign w:val="bottom"/>
          </w:tcPr>
          <w:p w14:paraId="36402A82" w14:textId="77777777" w:rsidR="00A251AB" w:rsidRPr="003C222B" w:rsidRDefault="00A251AB" w:rsidP="00A251AB">
            <w:pPr>
              <w:ind w:left="-58" w:right="-58"/>
              <w:jc w:val="center"/>
              <w:rPr>
                <w:rFonts w:cs="Arial"/>
                <w:sz w:val="18"/>
                <w:szCs w:val="18"/>
                <w:lang w:val="vi-VN"/>
              </w:rPr>
            </w:pPr>
          </w:p>
        </w:tc>
        <w:tc>
          <w:tcPr>
            <w:tcW w:w="2142" w:type="dxa"/>
            <w:tcBorders>
              <w:left w:val="single" w:sz="4" w:space="0" w:color="000000"/>
              <w:right w:val="single" w:sz="4" w:space="0" w:color="000000"/>
            </w:tcBorders>
            <w:vAlign w:val="bottom"/>
          </w:tcPr>
          <w:p w14:paraId="56AB8349" w14:textId="0AF19859" w:rsidR="00A251AB" w:rsidRPr="003C222B" w:rsidRDefault="00A251AB" w:rsidP="00A251AB">
            <w:pPr>
              <w:jc w:val="right"/>
              <w:rPr>
                <w:rFonts w:cs="Arial"/>
                <w:sz w:val="18"/>
                <w:szCs w:val="18"/>
                <w:lang w:val="vi-VN"/>
              </w:rPr>
            </w:pPr>
            <w:r w:rsidRPr="00FD1550">
              <w:t xml:space="preserve">(7.015.649.333.587) </w:t>
            </w:r>
          </w:p>
        </w:tc>
        <w:tc>
          <w:tcPr>
            <w:tcW w:w="2172" w:type="dxa"/>
            <w:tcBorders>
              <w:left w:val="single" w:sz="4" w:space="0" w:color="000000"/>
            </w:tcBorders>
            <w:noWrap/>
            <w:vAlign w:val="bottom"/>
          </w:tcPr>
          <w:p w14:paraId="0CD85AFE" w14:textId="30F4805F" w:rsidR="00A251AB" w:rsidRPr="003C222B" w:rsidRDefault="00A251AB" w:rsidP="00A251AB">
            <w:pPr>
              <w:jc w:val="right"/>
              <w:rPr>
                <w:rFonts w:cs="Arial"/>
                <w:sz w:val="18"/>
                <w:szCs w:val="18"/>
                <w:lang w:val="vi-VN"/>
              </w:rPr>
            </w:pPr>
            <w:r w:rsidRPr="00FD1550">
              <w:t xml:space="preserve">(10.692.254.884.796) </w:t>
            </w:r>
          </w:p>
        </w:tc>
      </w:tr>
      <w:tr w:rsidR="00A251AB" w:rsidRPr="002A0B87" w14:paraId="4AA588AE" w14:textId="77777777" w:rsidTr="00A251AB">
        <w:tc>
          <w:tcPr>
            <w:tcW w:w="706" w:type="dxa"/>
            <w:tcBorders>
              <w:right w:val="single" w:sz="4" w:space="0" w:color="000000"/>
            </w:tcBorders>
            <w:noWrap/>
          </w:tcPr>
          <w:p w14:paraId="2ED9336F" w14:textId="401E8761" w:rsidR="00A251AB" w:rsidRPr="002A0B87" w:rsidRDefault="00A251AB" w:rsidP="00A251AB">
            <w:pPr>
              <w:ind w:left="-58" w:right="-58"/>
              <w:jc w:val="center"/>
              <w:rPr>
                <w:rFonts w:cs="Arial"/>
                <w:bCs/>
                <w:sz w:val="18"/>
                <w:szCs w:val="18"/>
              </w:rPr>
            </w:pPr>
            <w:r w:rsidRPr="002A0B87">
              <w:rPr>
                <w:rFonts w:cs="Arial"/>
                <w:bCs/>
                <w:sz w:val="18"/>
                <w:szCs w:val="18"/>
              </w:rPr>
              <w:t>14</w:t>
            </w:r>
          </w:p>
        </w:tc>
        <w:tc>
          <w:tcPr>
            <w:tcW w:w="3231" w:type="dxa"/>
            <w:tcBorders>
              <w:left w:val="single" w:sz="4" w:space="0" w:color="000000"/>
              <w:right w:val="single" w:sz="4" w:space="0" w:color="000000"/>
            </w:tcBorders>
            <w:noWrap/>
            <w:vAlign w:val="bottom"/>
          </w:tcPr>
          <w:p w14:paraId="5D96FD9E" w14:textId="5119DF05" w:rsidR="00A251AB" w:rsidRPr="002A0B87" w:rsidRDefault="00A251AB" w:rsidP="00A251AB">
            <w:pPr>
              <w:ind w:left="302" w:hanging="360"/>
              <w:jc w:val="left"/>
              <w:rPr>
                <w:rFonts w:cs="Arial"/>
                <w:bCs/>
                <w:sz w:val="18"/>
                <w:szCs w:val="18"/>
              </w:rPr>
            </w:pPr>
            <w:r w:rsidRPr="002A0B87">
              <w:rPr>
                <w:rFonts w:cs="Arial"/>
                <w:bCs/>
                <w:sz w:val="18"/>
                <w:szCs w:val="18"/>
              </w:rPr>
              <w:t>5.</w:t>
            </w:r>
            <w:r w:rsidRPr="002A0B87">
              <w:rPr>
                <w:rFonts w:cs="Arial"/>
                <w:bCs/>
                <w:sz w:val="18"/>
                <w:szCs w:val="18"/>
              </w:rPr>
              <w:tab/>
            </w:r>
            <w:r>
              <w:rPr>
                <w:rFonts w:cs="Arial"/>
                <w:bCs/>
                <w:sz w:val="18"/>
                <w:szCs w:val="18"/>
              </w:rPr>
              <w:tab/>
            </w:r>
            <w:r w:rsidRPr="00574A06">
              <w:rPr>
                <w:rFonts w:cs="Arial"/>
                <w:bCs/>
                <w:sz w:val="18"/>
                <w:szCs w:val="18"/>
              </w:rPr>
              <w:t>Cash payments for securities depository of customers</w:t>
            </w:r>
          </w:p>
        </w:tc>
        <w:tc>
          <w:tcPr>
            <w:tcW w:w="648" w:type="dxa"/>
            <w:tcBorders>
              <w:left w:val="single" w:sz="4" w:space="0" w:color="000000"/>
              <w:right w:val="single" w:sz="4" w:space="0" w:color="000000"/>
            </w:tcBorders>
            <w:noWrap/>
            <w:vAlign w:val="bottom"/>
          </w:tcPr>
          <w:p w14:paraId="048C7D81" w14:textId="77777777" w:rsidR="00A251AB" w:rsidRPr="003C222B" w:rsidRDefault="00A251AB" w:rsidP="00A251AB">
            <w:pPr>
              <w:ind w:left="-58" w:right="-58"/>
              <w:jc w:val="center"/>
              <w:rPr>
                <w:rFonts w:cs="Arial"/>
                <w:sz w:val="18"/>
                <w:szCs w:val="18"/>
                <w:lang w:val="vi-VN"/>
              </w:rPr>
            </w:pPr>
          </w:p>
        </w:tc>
        <w:tc>
          <w:tcPr>
            <w:tcW w:w="2142" w:type="dxa"/>
            <w:tcBorders>
              <w:left w:val="single" w:sz="4" w:space="0" w:color="000000"/>
              <w:right w:val="single" w:sz="4" w:space="0" w:color="000000"/>
            </w:tcBorders>
            <w:vAlign w:val="bottom"/>
          </w:tcPr>
          <w:p w14:paraId="1CB76EF2" w14:textId="6BB38C1B" w:rsidR="00A251AB" w:rsidRPr="003C222B" w:rsidRDefault="00A251AB" w:rsidP="00A251AB">
            <w:pPr>
              <w:jc w:val="right"/>
              <w:rPr>
                <w:rFonts w:cs="Arial"/>
                <w:sz w:val="18"/>
                <w:szCs w:val="18"/>
                <w:lang w:val="vi-VN"/>
              </w:rPr>
            </w:pPr>
            <w:r w:rsidRPr="00FD1550">
              <w:t xml:space="preserve">(370.248.099) </w:t>
            </w:r>
          </w:p>
        </w:tc>
        <w:tc>
          <w:tcPr>
            <w:tcW w:w="2172" w:type="dxa"/>
            <w:tcBorders>
              <w:left w:val="single" w:sz="4" w:space="0" w:color="000000"/>
            </w:tcBorders>
            <w:noWrap/>
            <w:vAlign w:val="bottom"/>
          </w:tcPr>
          <w:p w14:paraId="4427EC6A" w14:textId="090E1BD8" w:rsidR="00A251AB" w:rsidRPr="003C222B" w:rsidRDefault="00A251AB" w:rsidP="00A251AB">
            <w:pPr>
              <w:jc w:val="right"/>
              <w:rPr>
                <w:rFonts w:cs="Arial"/>
                <w:sz w:val="18"/>
                <w:szCs w:val="18"/>
                <w:lang w:val="vi-VN"/>
              </w:rPr>
            </w:pPr>
            <w:r w:rsidRPr="00FD1550">
              <w:t xml:space="preserve">(304.189.715) </w:t>
            </w:r>
          </w:p>
        </w:tc>
      </w:tr>
      <w:tr w:rsidR="00A251AB" w:rsidRPr="002A0B87" w14:paraId="753B7FC8" w14:textId="77777777" w:rsidTr="00A251AB">
        <w:tc>
          <w:tcPr>
            <w:tcW w:w="706" w:type="dxa"/>
            <w:tcBorders>
              <w:right w:val="single" w:sz="4" w:space="0" w:color="000000"/>
            </w:tcBorders>
            <w:noWrap/>
          </w:tcPr>
          <w:p w14:paraId="7D01D2F6" w14:textId="5C9D31E7" w:rsidR="00A251AB" w:rsidRPr="002A0B87" w:rsidRDefault="00A251AB" w:rsidP="00A251AB">
            <w:pPr>
              <w:spacing w:before="120"/>
              <w:ind w:left="-58" w:right="-58"/>
              <w:jc w:val="center"/>
              <w:rPr>
                <w:rFonts w:cs="Arial"/>
                <w:b/>
                <w:bCs/>
                <w:sz w:val="18"/>
                <w:szCs w:val="18"/>
              </w:rPr>
            </w:pPr>
            <w:r w:rsidRPr="002A0B87">
              <w:rPr>
                <w:rFonts w:cs="Arial"/>
                <w:b/>
                <w:bCs/>
                <w:sz w:val="18"/>
                <w:szCs w:val="18"/>
              </w:rPr>
              <w:t>20</w:t>
            </w:r>
          </w:p>
        </w:tc>
        <w:tc>
          <w:tcPr>
            <w:tcW w:w="3231" w:type="dxa"/>
            <w:tcBorders>
              <w:left w:val="single" w:sz="4" w:space="0" w:color="000000"/>
              <w:right w:val="single" w:sz="4" w:space="0" w:color="000000"/>
            </w:tcBorders>
            <w:noWrap/>
            <w:vAlign w:val="bottom"/>
          </w:tcPr>
          <w:p w14:paraId="4A072DA3" w14:textId="0E959225" w:rsidR="00A251AB" w:rsidRPr="002A0B87" w:rsidRDefault="00A251AB" w:rsidP="00A251AB">
            <w:pPr>
              <w:spacing w:before="120"/>
              <w:ind w:left="-58"/>
              <w:rPr>
                <w:rFonts w:cs="Arial"/>
                <w:b/>
                <w:bCs/>
                <w:sz w:val="18"/>
                <w:szCs w:val="18"/>
              </w:rPr>
            </w:pPr>
            <w:r w:rsidRPr="00C469CC">
              <w:rPr>
                <w:rFonts w:cs="Arial"/>
                <w:b/>
                <w:bCs/>
                <w:sz w:val="18"/>
                <w:szCs w:val="18"/>
              </w:rPr>
              <w:t>Net increase in cash during the year</w:t>
            </w:r>
          </w:p>
        </w:tc>
        <w:tc>
          <w:tcPr>
            <w:tcW w:w="648" w:type="dxa"/>
            <w:tcBorders>
              <w:left w:val="single" w:sz="4" w:space="0" w:color="000000"/>
              <w:right w:val="single" w:sz="4" w:space="0" w:color="000000"/>
            </w:tcBorders>
            <w:noWrap/>
            <w:vAlign w:val="bottom"/>
          </w:tcPr>
          <w:p w14:paraId="106EB33D" w14:textId="77777777" w:rsidR="00A251AB" w:rsidRPr="003C222B" w:rsidRDefault="00A251AB" w:rsidP="00A251AB">
            <w:pPr>
              <w:spacing w:before="120"/>
              <w:ind w:left="-58" w:right="-58"/>
              <w:jc w:val="center"/>
              <w:rPr>
                <w:rFonts w:cs="Arial"/>
                <w:b/>
                <w:sz w:val="18"/>
                <w:szCs w:val="18"/>
                <w:lang w:val="vi-VN"/>
              </w:rPr>
            </w:pPr>
          </w:p>
        </w:tc>
        <w:tc>
          <w:tcPr>
            <w:tcW w:w="2142" w:type="dxa"/>
            <w:tcBorders>
              <w:left w:val="single" w:sz="4" w:space="0" w:color="000000"/>
              <w:right w:val="single" w:sz="4" w:space="0" w:color="000000"/>
            </w:tcBorders>
            <w:vAlign w:val="bottom"/>
          </w:tcPr>
          <w:p w14:paraId="01DEE9A8" w14:textId="53F92E07" w:rsidR="00A251AB" w:rsidRPr="00A251AB" w:rsidRDefault="00A251AB" w:rsidP="00A251AB">
            <w:pPr>
              <w:spacing w:before="120"/>
              <w:jc w:val="right"/>
              <w:rPr>
                <w:rFonts w:cs="Arial"/>
                <w:b/>
                <w:bCs/>
                <w:sz w:val="18"/>
                <w:szCs w:val="18"/>
                <w:lang w:val="vi-VN"/>
              </w:rPr>
            </w:pPr>
            <w:r w:rsidRPr="00A251AB">
              <w:rPr>
                <w:b/>
                <w:bCs/>
              </w:rPr>
              <w:t>(64.430.646.850)</w:t>
            </w:r>
          </w:p>
        </w:tc>
        <w:tc>
          <w:tcPr>
            <w:tcW w:w="2172" w:type="dxa"/>
            <w:tcBorders>
              <w:left w:val="single" w:sz="4" w:space="0" w:color="000000"/>
            </w:tcBorders>
            <w:noWrap/>
            <w:vAlign w:val="bottom"/>
          </w:tcPr>
          <w:p w14:paraId="5FB671E0" w14:textId="389659E0" w:rsidR="00A251AB" w:rsidRPr="00A251AB" w:rsidRDefault="00A251AB" w:rsidP="00A251AB">
            <w:pPr>
              <w:spacing w:before="120"/>
              <w:jc w:val="right"/>
              <w:rPr>
                <w:rFonts w:cs="Arial"/>
                <w:b/>
                <w:bCs/>
                <w:sz w:val="18"/>
                <w:szCs w:val="18"/>
                <w:lang w:val="vi-VN"/>
              </w:rPr>
            </w:pPr>
            <w:r w:rsidRPr="00A251AB">
              <w:rPr>
                <w:b/>
                <w:bCs/>
              </w:rPr>
              <w:t xml:space="preserve">102.379.904.911 </w:t>
            </w:r>
          </w:p>
        </w:tc>
      </w:tr>
      <w:tr w:rsidR="00A251AB" w:rsidRPr="002A0B87" w14:paraId="27F5303C" w14:textId="77777777" w:rsidTr="00A251AB">
        <w:tc>
          <w:tcPr>
            <w:tcW w:w="706" w:type="dxa"/>
            <w:tcBorders>
              <w:right w:val="single" w:sz="4" w:space="0" w:color="000000"/>
            </w:tcBorders>
            <w:noWrap/>
          </w:tcPr>
          <w:p w14:paraId="06A21199" w14:textId="7525B745" w:rsidR="00A251AB" w:rsidRPr="002A0B87" w:rsidRDefault="00A251AB" w:rsidP="00A251AB">
            <w:pPr>
              <w:spacing w:before="120"/>
              <w:ind w:left="-58" w:right="-58"/>
              <w:jc w:val="center"/>
              <w:rPr>
                <w:rFonts w:cs="Arial"/>
                <w:b/>
                <w:bCs/>
                <w:sz w:val="18"/>
                <w:szCs w:val="18"/>
              </w:rPr>
            </w:pPr>
            <w:r w:rsidRPr="002A0B87">
              <w:rPr>
                <w:rFonts w:cs="Arial"/>
                <w:b/>
                <w:bCs/>
                <w:sz w:val="18"/>
                <w:szCs w:val="18"/>
              </w:rPr>
              <w:t>30</w:t>
            </w:r>
          </w:p>
        </w:tc>
        <w:tc>
          <w:tcPr>
            <w:tcW w:w="3231" w:type="dxa"/>
            <w:tcBorders>
              <w:left w:val="single" w:sz="4" w:space="0" w:color="000000"/>
              <w:right w:val="single" w:sz="4" w:space="0" w:color="000000"/>
            </w:tcBorders>
            <w:noWrap/>
            <w:vAlign w:val="bottom"/>
          </w:tcPr>
          <w:p w14:paraId="1289CA77" w14:textId="5CCE4B14" w:rsidR="00A251AB" w:rsidRPr="002A0B87" w:rsidRDefault="00A251AB" w:rsidP="00A251AB">
            <w:pPr>
              <w:spacing w:before="120"/>
              <w:ind w:left="302" w:hanging="360"/>
              <w:jc w:val="left"/>
              <w:rPr>
                <w:rFonts w:cs="Arial"/>
                <w:bCs/>
                <w:sz w:val="18"/>
                <w:szCs w:val="18"/>
              </w:rPr>
            </w:pPr>
            <w:r w:rsidRPr="002A0B87">
              <w:rPr>
                <w:rFonts w:cs="Arial"/>
                <w:b/>
                <w:bCs/>
                <w:sz w:val="18"/>
                <w:szCs w:val="18"/>
              </w:rPr>
              <w:t>II.</w:t>
            </w:r>
            <w:r w:rsidRPr="002A0B87">
              <w:rPr>
                <w:rFonts w:cs="Arial"/>
                <w:b/>
                <w:bCs/>
                <w:sz w:val="18"/>
                <w:szCs w:val="18"/>
              </w:rPr>
              <w:tab/>
            </w:r>
            <w:r w:rsidRPr="002A0B87">
              <w:rPr>
                <w:rFonts w:cs="Arial"/>
                <w:b/>
                <w:bCs/>
                <w:sz w:val="18"/>
                <w:szCs w:val="18"/>
              </w:rPr>
              <w:tab/>
            </w:r>
            <w:r w:rsidRPr="00854262">
              <w:rPr>
                <w:rFonts w:cs="Arial"/>
                <w:b/>
                <w:bCs/>
                <w:sz w:val="18"/>
                <w:szCs w:val="18"/>
              </w:rPr>
              <w:t>Cash and cash equivalents of customers at the beginning of the year</w:t>
            </w:r>
          </w:p>
        </w:tc>
        <w:tc>
          <w:tcPr>
            <w:tcW w:w="648" w:type="dxa"/>
            <w:tcBorders>
              <w:left w:val="single" w:sz="4" w:space="0" w:color="000000"/>
              <w:right w:val="single" w:sz="4" w:space="0" w:color="000000"/>
            </w:tcBorders>
            <w:noWrap/>
            <w:vAlign w:val="bottom"/>
          </w:tcPr>
          <w:p w14:paraId="4B28ED54" w14:textId="77777777" w:rsidR="00A251AB" w:rsidRPr="003C222B" w:rsidRDefault="00A251AB" w:rsidP="00A251AB">
            <w:pPr>
              <w:spacing w:before="120"/>
              <w:ind w:left="-58" w:right="-58"/>
              <w:jc w:val="center"/>
              <w:rPr>
                <w:rFonts w:cs="Arial"/>
                <w:b/>
                <w:sz w:val="18"/>
                <w:szCs w:val="18"/>
                <w:lang w:val="vi-VN"/>
              </w:rPr>
            </w:pPr>
          </w:p>
        </w:tc>
        <w:tc>
          <w:tcPr>
            <w:tcW w:w="2142" w:type="dxa"/>
            <w:tcBorders>
              <w:left w:val="single" w:sz="4" w:space="0" w:color="000000"/>
              <w:right w:val="single" w:sz="4" w:space="0" w:color="000000"/>
            </w:tcBorders>
            <w:vAlign w:val="bottom"/>
          </w:tcPr>
          <w:p w14:paraId="7C258EE5" w14:textId="32DCD7EE" w:rsidR="00A251AB" w:rsidRPr="00A251AB" w:rsidRDefault="00A251AB" w:rsidP="00A251AB">
            <w:pPr>
              <w:spacing w:before="120"/>
              <w:jc w:val="right"/>
              <w:rPr>
                <w:rFonts w:cs="Arial"/>
                <w:b/>
                <w:bCs/>
                <w:sz w:val="18"/>
                <w:szCs w:val="18"/>
                <w:lang w:val="vi-VN"/>
              </w:rPr>
            </w:pPr>
            <w:r w:rsidRPr="00A251AB">
              <w:rPr>
                <w:b/>
                <w:bCs/>
              </w:rPr>
              <w:t>183.339.389.419</w:t>
            </w:r>
          </w:p>
        </w:tc>
        <w:tc>
          <w:tcPr>
            <w:tcW w:w="2172" w:type="dxa"/>
            <w:tcBorders>
              <w:left w:val="single" w:sz="4" w:space="0" w:color="000000"/>
            </w:tcBorders>
            <w:noWrap/>
            <w:vAlign w:val="bottom"/>
          </w:tcPr>
          <w:p w14:paraId="47E7F029" w14:textId="11ACA771" w:rsidR="00A251AB" w:rsidRPr="00A251AB" w:rsidRDefault="00A251AB" w:rsidP="00A251AB">
            <w:pPr>
              <w:spacing w:before="120"/>
              <w:jc w:val="right"/>
              <w:rPr>
                <w:rFonts w:cs="Arial"/>
                <w:b/>
                <w:bCs/>
                <w:sz w:val="18"/>
                <w:szCs w:val="18"/>
              </w:rPr>
            </w:pPr>
            <w:r w:rsidRPr="00A251AB">
              <w:rPr>
                <w:b/>
                <w:bCs/>
              </w:rPr>
              <w:t xml:space="preserve">80.959.484.508 </w:t>
            </w:r>
          </w:p>
        </w:tc>
      </w:tr>
      <w:tr w:rsidR="00A251AB" w:rsidRPr="002A0B87" w14:paraId="7E085BB1" w14:textId="77777777" w:rsidTr="00A251AB">
        <w:tc>
          <w:tcPr>
            <w:tcW w:w="706" w:type="dxa"/>
            <w:tcBorders>
              <w:right w:val="single" w:sz="4" w:space="0" w:color="000000"/>
            </w:tcBorders>
            <w:noWrap/>
          </w:tcPr>
          <w:p w14:paraId="04483163" w14:textId="29AF1D7C" w:rsidR="00A251AB" w:rsidRPr="002A0B87" w:rsidRDefault="00A251AB" w:rsidP="00A251AB">
            <w:pPr>
              <w:spacing w:before="120"/>
              <w:ind w:left="-58" w:right="-58"/>
              <w:jc w:val="center"/>
              <w:rPr>
                <w:rFonts w:cs="Arial"/>
                <w:bCs/>
                <w:sz w:val="18"/>
                <w:szCs w:val="18"/>
              </w:rPr>
            </w:pPr>
            <w:r w:rsidRPr="002A0B87">
              <w:rPr>
                <w:rFonts w:cs="Arial"/>
                <w:bCs/>
                <w:sz w:val="18"/>
                <w:szCs w:val="18"/>
              </w:rPr>
              <w:t>31</w:t>
            </w:r>
          </w:p>
        </w:tc>
        <w:tc>
          <w:tcPr>
            <w:tcW w:w="3231" w:type="dxa"/>
            <w:tcBorders>
              <w:left w:val="single" w:sz="4" w:space="0" w:color="000000"/>
              <w:right w:val="single" w:sz="4" w:space="0" w:color="000000"/>
            </w:tcBorders>
            <w:noWrap/>
            <w:vAlign w:val="bottom"/>
          </w:tcPr>
          <w:p w14:paraId="609B504B" w14:textId="285ADD89" w:rsidR="00A251AB" w:rsidRPr="002A0B87" w:rsidRDefault="00A251AB" w:rsidP="00A251AB">
            <w:pPr>
              <w:ind w:left="302"/>
              <w:rPr>
                <w:rFonts w:cs="Arial"/>
                <w:bCs/>
                <w:sz w:val="18"/>
                <w:szCs w:val="18"/>
              </w:rPr>
            </w:pPr>
            <w:r w:rsidRPr="00744949">
              <w:rPr>
                <w:rFonts w:cs="Arial"/>
                <w:bCs/>
                <w:sz w:val="18"/>
                <w:szCs w:val="18"/>
              </w:rPr>
              <w:t>Cash at banks at the beginning of the year</w:t>
            </w:r>
          </w:p>
        </w:tc>
        <w:tc>
          <w:tcPr>
            <w:tcW w:w="648" w:type="dxa"/>
            <w:tcBorders>
              <w:left w:val="single" w:sz="4" w:space="0" w:color="000000"/>
              <w:right w:val="single" w:sz="4" w:space="0" w:color="000000"/>
            </w:tcBorders>
            <w:noWrap/>
            <w:vAlign w:val="bottom"/>
          </w:tcPr>
          <w:p w14:paraId="41644954" w14:textId="77777777" w:rsidR="00A251AB" w:rsidRPr="003C222B" w:rsidRDefault="00A251AB" w:rsidP="00A251AB">
            <w:pPr>
              <w:spacing w:before="120"/>
              <w:ind w:left="-58" w:right="-58"/>
              <w:jc w:val="center"/>
              <w:rPr>
                <w:rFonts w:cs="Arial"/>
                <w:sz w:val="18"/>
                <w:szCs w:val="18"/>
                <w:lang w:val="vi-VN"/>
              </w:rPr>
            </w:pPr>
          </w:p>
        </w:tc>
        <w:tc>
          <w:tcPr>
            <w:tcW w:w="2142" w:type="dxa"/>
            <w:tcBorders>
              <w:left w:val="single" w:sz="4" w:space="0" w:color="000000"/>
              <w:right w:val="single" w:sz="4" w:space="0" w:color="000000"/>
            </w:tcBorders>
            <w:vAlign w:val="bottom"/>
          </w:tcPr>
          <w:p w14:paraId="3F5DED90" w14:textId="4D7A3251" w:rsidR="00A251AB" w:rsidRPr="003C222B" w:rsidRDefault="00A251AB" w:rsidP="00A251AB">
            <w:pPr>
              <w:spacing w:before="120"/>
              <w:jc w:val="right"/>
              <w:rPr>
                <w:rFonts w:cs="Arial"/>
                <w:sz w:val="18"/>
                <w:szCs w:val="18"/>
                <w:lang w:val="vi-VN"/>
              </w:rPr>
            </w:pPr>
            <w:r w:rsidRPr="00FD1550">
              <w:t xml:space="preserve">183.339.389.419 </w:t>
            </w:r>
          </w:p>
        </w:tc>
        <w:tc>
          <w:tcPr>
            <w:tcW w:w="2172" w:type="dxa"/>
            <w:tcBorders>
              <w:left w:val="single" w:sz="4" w:space="0" w:color="000000"/>
            </w:tcBorders>
            <w:noWrap/>
            <w:vAlign w:val="bottom"/>
          </w:tcPr>
          <w:p w14:paraId="116F832F" w14:textId="01DC35A8" w:rsidR="00A251AB" w:rsidRPr="003C222B" w:rsidRDefault="00A251AB" w:rsidP="00A251AB">
            <w:pPr>
              <w:spacing w:before="120"/>
              <w:jc w:val="right"/>
              <w:rPr>
                <w:rFonts w:cs="Arial"/>
                <w:sz w:val="18"/>
                <w:szCs w:val="18"/>
                <w:lang w:val="vi-VN"/>
              </w:rPr>
            </w:pPr>
            <w:r w:rsidRPr="00FD1550">
              <w:t xml:space="preserve">80.959.484.508 </w:t>
            </w:r>
          </w:p>
        </w:tc>
      </w:tr>
      <w:tr w:rsidR="00A251AB" w:rsidRPr="002A0B87" w14:paraId="7B0F5F8C" w14:textId="77777777" w:rsidTr="00A251AB">
        <w:tc>
          <w:tcPr>
            <w:tcW w:w="706" w:type="dxa"/>
            <w:tcBorders>
              <w:right w:val="single" w:sz="4" w:space="0" w:color="000000"/>
            </w:tcBorders>
            <w:noWrap/>
          </w:tcPr>
          <w:p w14:paraId="21B2894B" w14:textId="1681238B" w:rsidR="00A251AB" w:rsidRPr="002A0B87" w:rsidRDefault="00A251AB" w:rsidP="00A251AB">
            <w:pPr>
              <w:ind w:left="-58" w:right="-58"/>
              <w:jc w:val="center"/>
              <w:rPr>
                <w:rFonts w:cs="Arial"/>
                <w:bCs/>
                <w:sz w:val="18"/>
                <w:szCs w:val="18"/>
              </w:rPr>
            </w:pPr>
            <w:r w:rsidRPr="002A0B87">
              <w:rPr>
                <w:rFonts w:cs="Arial"/>
                <w:bCs/>
                <w:sz w:val="18"/>
                <w:szCs w:val="18"/>
              </w:rPr>
              <w:t>32</w:t>
            </w:r>
          </w:p>
        </w:tc>
        <w:tc>
          <w:tcPr>
            <w:tcW w:w="3231" w:type="dxa"/>
            <w:tcBorders>
              <w:left w:val="single" w:sz="4" w:space="0" w:color="000000"/>
              <w:right w:val="single" w:sz="4" w:space="0" w:color="000000"/>
            </w:tcBorders>
            <w:noWrap/>
            <w:vAlign w:val="bottom"/>
          </w:tcPr>
          <w:p w14:paraId="5949BC9D" w14:textId="7803602D" w:rsidR="00A251AB" w:rsidRPr="002A0B87" w:rsidRDefault="00A251AB" w:rsidP="00A251AB">
            <w:pPr>
              <w:ind w:left="302"/>
              <w:jc w:val="left"/>
              <w:rPr>
                <w:rFonts w:cs="Arial"/>
                <w:bCs/>
                <w:sz w:val="18"/>
                <w:szCs w:val="18"/>
              </w:rPr>
            </w:pPr>
            <w:r w:rsidRPr="009E294C">
              <w:rPr>
                <w:rFonts w:cs="Arial"/>
                <w:bCs/>
                <w:sz w:val="18"/>
                <w:szCs w:val="18"/>
              </w:rPr>
              <w:t>Investors’ deposits managed by the Company for securities trading activities</w:t>
            </w:r>
          </w:p>
        </w:tc>
        <w:tc>
          <w:tcPr>
            <w:tcW w:w="648" w:type="dxa"/>
            <w:tcBorders>
              <w:left w:val="single" w:sz="4" w:space="0" w:color="000000"/>
              <w:right w:val="single" w:sz="4" w:space="0" w:color="000000"/>
            </w:tcBorders>
            <w:noWrap/>
            <w:vAlign w:val="bottom"/>
          </w:tcPr>
          <w:p w14:paraId="7CD5BFFA" w14:textId="77777777" w:rsidR="00A251AB" w:rsidRPr="003C222B" w:rsidRDefault="00A251AB" w:rsidP="00A251AB">
            <w:pPr>
              <w:ind w:left="-58" w:right="-58"/>
              <w:jc w:val="center"/>
              <w:rPr>
                <w:rFonts w:cs="Arial"/>
                <w:sz w:val="18"/>
                <w:szCs w:val="18"/>
                <w:lang w:val="vi-VN"/>
              </w:rPr>
            </w:pPr>
          </w:p>
        </w:tc>
        <w:tc>
          <w:tcPr>
            <w:tcW w:w="2142" w:type="dxa"/>
            <w:tcBorders>
              <w:left w:val="single" w:sz="4" w:space="0" w:color="000000"/>
              <w:right w:val="single" w:sz="4" w:space="0" w:color="000000"/>
            </w:tcBorders>
            <w:vAlign w:val="bottom"/>
          </w:tcPr>
          <w:p w14:paraId="2F32DE12" w14:textId="2A6012F5" w:rsidR="00A251AB" w:rsidRPr="003C222B" w:rsidRDefault="00A251AB" w:rsidP="00A251AB">
            <w:pPr>
              <w:jc w:val="right"/>
              <w:rPr>
                <w:rFonts w:cs="Arial"/>
                <w:sz w:val="18"/>
                <w:szCs w:val="18"/>
                <w:lang w:val="vi-VN"/>
              </w:rPr>
            </w:pPr>
            <w:r w:rsidRPr="00FD1550">
              <w:t>183.328.271.940</w:t>
            </w:r>
          </w:p>
        </w:tc>
        <w:tc>
          <w:tcPr>
            <w:tcW w:w="2172" w:type="dxa"/>
            <w:tcBorders>
              <w:left w:val="single" w:sz="4" w:space="0" w:color="000000"/>
            </w:tcBorders>
            <w:noWrap/>
            <w:vAlign w:val="bottom"/>
          </w:tcPr>
          <w:p w14:paraId="4D7E22F1" w14:textId="7327DD1C" w:rsidR="00A251AB" w:rsidRPr="003C222B" w:rsidRDefault="00A251AB" w:rsidP="00A251AB">
            <w:pPr>
              <w:jc w:val="right"/>
              <w:rPr>
                <w:rFonts w:cs="Arial"/>
                <w:sz w:val="18"/>
                <w:szCs w:val="18"/>
                <w:lang w:val="vi-VN"/>
              </w:rPr>
            </w:pPr>
            <w:r w:rsidRPr="00FD1550">
              <w:t xml:space="preserve">80.948.770.707 </w:t>
            </w:r>
          </w:p>
        </w:tc>
      </w:tr>
      <w:tr w:rsidR="00A251AB" w:rsidRPr="002A0B87" w14:paraId="72593999" w14:textId="77777777" w:rsidTr="00A251AB">
        <w:tc>
          <w:tcPr>
            <w:tcW w:w="706" w:type="dxa"/>
            <w:tcBorders>
              <w:right w:val="single" w:sz="4" w:space="0" w:color="000000"/>
            </w:tcBorders>
            <w:noWrap/>
          </w:tcPr>
          <w:p w14:paraId="4D6161DB" w14:textId="14099591" w:rsidR="00A251AB" w:rsidRPr="002A0B87" w:rsidRDefault="00A251AB" w:rsidP="00A251AB">
            <w:pPr>
              <w:ind w:left="-58" w:right="-58"/>
              <w:jc w:val="center"/>
              <w:rPr>
                <w:rFonts w:cs="Arial"/>
                <w:bCs/>
                <w:sz w:val="18"/>
                <w:szCs w:val="18"/>
              </w:rPr>
            </w:pPr>
            <w:r w:rsidRPr="002A0B87">
              <w:rPr>
                <w:rFonts w:cs="Arial"/>
                <w:bCs/>
                <w:sz w:val="18"/>
                <w:szCs w:val="18"/>
              </w:rPr>
              <w:t>33</w:t>
            </w:r>
          </w:p>
        </w:tc>
        <w:tc>
          <w:tcPr>
            <w:tcW w:w="3231" w:type="dxa"/>
            <w:tcBorders>
              <w:left w:val="single" w:sz="4" w:space="0" w:color="000000"/>
              <w:right w:val="single" w:sz="4" w:space="0" w:color="000000"/>
            </w:tcBorders>
            <w:noWrap/>
            <w:vAlign w:val="bottom"/>
          </w:tcPr>
          <w:p w14:paraId="2BF3FCA1" w14:textId="77D5E92C" w:rsidR="00A251AB" w:rsidRPr="00557104" w:rsidRDefault="00A251AB" w:rsidP="00A251AB">
            <w:pPr>
              <w:ind w:left="302" w:right="-86"/>
              <w:jc w:val="left"/>
              <w:rPr>
                <w:rFonts w:cs="Arial"/>
                <w:bCs/>
                <w:spacing w:val="-2"/>
                <w:sz w:val="18"/>
                <w:szCs w:val="18"/>
              </w:rPr>
            </w:pPr>
            <w:r w:rsidRPr="00AC186F">
              <w:rPr>
                <w:rFonts w:cs="Arial"/>
                <w:bCs/>
                <w:spacing w:val="-2"/>
                <w:sz w:val="18"/>
                <w:szCs w:val="18"/>
              </w:rPr>
              <w:t>Investors’ deposits for securities trading activities</w:t>
            </w:r>
          </w:p>
        </w:tc>
        <w:tc>
          <w:tcPr>
            <w:tcW w:w="648" w:type="dxa"/>
            <w:tcBorders>
              <w:left w:val="single" w:sz="4" w:space="0" w:color="000000"/>
              <w:right w:val="single" w:sz="4" w:space="0" w:color="000000"/>
            </w:tcBorders>
            <w:noWrap/>
            <w:vAlign w:val="bottom"/>
          </w:tcPr>
          <w:p w14:paraId="4A2F7FCF" w14:textId="77777777" w:rsidR="00A251AB" w:rsidRPr="003C222B" w:rsidRDefault="00A251AB" w:rsidP="00A251AB">
            <w:pPr>
              <w:ind w:left="-58" w:right="-58"/>
              <w:jc w:val="center"/>
              <w:rPr>
                <w:rFonts w:cs="Arial"/>
                <w:sz w:val="18"/>
                <w:szCs w:val="18"/>
                <w:lang w:val="vi-VN"/>
              </w:rPr>
            </w:pPr>
          </w:p>
        </w:tc>
        <w:tc>
          <w:tcPr>
            <w:tcW w:w="2142" w:type="dxa"/>
            <w:tcBorders>
              <w:left w:val="single" w:sz="4" w:space="0" w:color="000000"/>
              <w:right w:val="single" w:sz="4" w:space="0" w:color="000000"/>
            </w:tcBorders>
            <w:vAlign w:val="bottom"/>
          </w:tcPr>
          <w:p w14:paraId="1B470171" w14:textId="3913A56F" w:rsidR="00A251AB" w:rsidRPr="003C222B" w:rsidRDefault="00A251AB" w:rsidP="00A251AB">
            <w:pPr>
              <w:jc w:val="right"/>
              <w:rPr>
                <w:rFonts w:cs="Arial"/>
                <w:sz w:val="18"/>
                <w:szCs w:val="18"/>
                <w:lang w:val="vi-VN"/>
              </w:rPr>
            </w:pPr>
            <w:r w:rsidRPr="00FD1550">
              <w:t>8.220.832</w:t>
            </w:r>
          </w:p>
        </w:tc>
        <w:tc>
          <w:tcPr>
            <w:tcW w:w="2172" w:type="dxa"/>
            <w:tcBorders>
              <w:left w:val="single" w:sz="4" w:space="0" w:color="000000"/>
            </w:tcBorders>
            <w:noWrap/>
            <w:vAlign w:val="bottom"/>
          </w:tcPr>
          <w:p w14:paraId="0E0F0C58" w14:textId="3F8EAB87" w:rsidR="00A251AB" w:rsidRPr="003C222B" w:rsidRDefault="00A251AB" w:rsidP="00A251AB">
            <w:pPr>
              <w:jc w:val="right"/>
              <w:rPr>
                <w:rFonts w:cs="Arial"/>
                <w:sz w:val="18"/>
                <w:szCs w:val="18"/>
                <w:lang w:val="vi-VN"/>
              </w:rPr>
            </w:pPr>
            <w:r w:rsidRPr="00FD1550">
              <w:t xml:space="preserve">7.361.551 </w:t>
            </w:r>
          </w:p>
        </w:tc>
      </w:tr>
      <w:tr w:rsidR="00A251AB" w:rsidRPr="002A0B87" w14:paraId="61152814" w14:textId="77777777" w:rsidTr="00A251AB">
        <w:tc>
          <w:tcPr>
            <w:tcW w:w="706" w:type="dxa"/>
            <w:tcBorders>
              <w:right w:val="single" w:sz="4" w:space="0" w:color="000000"/>
            </w:tcBorders>
            <w:noWrap/>
          </w:tcPr>
          <w:p w14:paraId="048E01FD" w14:textId="0C5E5D9F" w:rsidR="00A251AB" w:rsidRPr="002A0B87" w:rsidRDefault="00A251AB" w:rsidP="00A251AB">
            <w:pPr>
              <w:ind w:left="-58" w:right="-58"/>
              <w:jc w:val="center"/>
              <w:rPr>
                <w:rFonts w:cs="Arial"/>
                <w:bCs/>
                <w:sz w:val="18"/>
                <w:szCs w:val="18"/>
              </w:rPr>
            </w:pPr>
            <w:r w:rsidRPr="002A0B87">
              <w:rPr>
                <w:rFonts w:cs="Arial"/>
                <w:bCs/>
                <w:sz w:val="18"/>
                <w:szCs w:val="18"/>
              </w:rPr>
              <w:t>34</w:t>
            </w:r>
          </w:p>
        </w:tc>
        <w:tc>
          <w:tcPr>
            <w:tcW w:w="3231" w:type="dxa"/>
            <w:tcBorders>
              <w:left w:val="single" w:sz="4" w:space="0" w:color="000000"/>
              <w:right w:val="single" w:sz="4" w:space="0" w:color="000000"/>
            </w:tcBorders>
            <w:noWrap/>
            <w:vAlign w:val="bottom"/>
          </w:tcPr>
          <w:p w14:paraId="56EEEA0D" w14:textId="4A407C7E" w:rsidR="00A251AB" w:rsidRPr="002A0B87" w:rsidRDefault="00A251AB" w:rsidP="00A251AB">
            <w:pPr>
              <w:ind w:left="302"/>
              <w:jc w:val="left"/>
              <w:rPr>
                <w:rFonts w:cs="Arial"/>
                <w:bCs/>
                <w:sz w:val="18"/>
                <w:szCs w:val="18"/>
              </w:rPr>
            </w:pPr>
            <w:r>
              <w:rPr>
                <w:rFonts w:cs="Arial"/>
                <w:bCs/>
                <w:sz w:val="18"/>
                <w:szCs w:val="18"/>
              </w:rPr>
              <w:t>Investors’ d</w:t>
            </w:r>
            <w:r w:rsidRPr="00C9237F">
              <w:rPr>
                <w:rFonts w:cs="Arial"/>
                <w:bCs/>
                <w:sz w:val="18"/>
                <w:szCs w:val="18"/>
              </w:rPr>
              <w:t>eposits for securities clearing and settlement</w:t>
            </w:r>
          </w:p>
        </w:tc>
        <w:tc>
          <w:tcPr>
            <w:tcW w:w="648" w:type="dxa"/>
            <w:tcBorders>
              <w:left w:val="single" w:sz="4" w:space="0" w:color="000000"/>
              <w:right w:val="single" w:sz="4" w:space="0" w:color="000000"/>
            </w:tcBorders>
            <w:noWrap/>
            <w:vAlign w:val="bottom"/>
          </w:tcPr>
          <w:p w14:paraId="2695D5D5" w14:textId="77777777" w:rsidR="00A251AB" w:rsidRPr="003C222B" w:rsidRDefault="00A251AB" w:rsidP="00A251AB">
            <w:pPr>
              <w:ind w:left="-58" w:right="-58"/>
              <w:jc w:val="center"/>
              <w:rPr>
                <w:rFonts w:cs="Arial"/>
                <w:sz w:val="18"/>
                <w:szCs w:val="18"/>
                <w:lang w:val="vi-VN"/>
              </w:rPr>
            </w:pPr>
          </w:p>
        </w:tc>
        <w:tc>
          <w:tcPr>
            <w:tcW w:w="2142" w:type="dxa"/>
            <w:tcBorders>
              <w:left w:val="single" w:sz="4" w:space="0" w:color="000000"/>
              <w:right w:val="single" w:sz="4" w:space="0" w:color="000000"/>
            </w:tcBorders>
            <w:vAlign w:val="bottom"/>
          </w:tcPr>
          <w:p w14:paraId="5D390F70" w14:textId="2F03DB8F" w:rsidR="00A251AB" w:rsidRPr="003C222B" w:rsidRDefault="00A251AB" w:rsidP="00A251AB">
            <w:pPr>
              <w:jc w:val="right"/>
              <w:rPr>
                <w:rFonts w:cs="Arial"/>
                <w:sz w:val="18"/>
                <w:szCs w:val="18"/>
              </w:rPr>
            </w:pPr>
            <w:r w:rsidRPr="00FD1550">
              <w:t>2.896.647</w:t>
            </w:r>
          </w:p>
        </w:tc>
        <w:tc>
          <w:tcPr>
            <w:tcW w:w="2172" w:type="dxa"/>
            <w:tcBorders>
              <w:left w:val="single" w:sz="4" w:space="0" w:color="000000"/>
            </w:tcBorders>
            <w:noWrap/>
            <w:vAlign w:val="bottom"/>
          </w:tcPr>
          <w:p w14:paraId="71122B54" w14:textId="34A83783" w:rsidR="00A251AB" w:rsidRPr="003C222B" w:rsidRDefault="00A251AB" w:rsidP="00A251AB">
            <w:pPr>
              <w:jc w:val="right"/>
              <w:rPr>
                <w:rFonts w:cs="Arial"/>
                <w:sz w:val="18"/>
                <w:szCs w:val="18"/>
                <w:lang w:val="vi-VN"/>
              </w:rPr>
            </w:pPr>
            <w:r w:rsidRPr="00FD1550">
              <w:t xml:space="preserve">3.352.250 </w:t>
            </w:r>
          </w:p>
        </w:tc>
      </w:tr>
      <w:tr w:rsidR="00A251AB" w:rsidRPr="002A0B87" w14:paraId="36368983" w14:textId="77777777" w:rsidTr="00A251AB">
        <w:tc>
          <w:tcPr>
            <w:tcW w:w="706" w:type="dxa"/>
            <w:tcBorders>
              <w:right w:val="single" w:sz="4" w:space="0" w:color="000000"/>
            </w:tcBorders>
            <w:noWrap/>
          </w:tcPr>
          <w:p w14:paraId="1FABC48C" w14:textId="7F3C8EAB" w:rsidR="00A251AB" w:rsidRPr="002A0B87" w:rsidRDefault="00A251AB" w:rsidP="00A251AB">
            <w:pPr>
              <w:spacing w:before="120"/>
              <w:ind w:left="-58" w:right="-58"/>
              <w:jc w:val="center"/>
              <w:rPr>
                <w:rFonts w:cs="Arial"/>
                <w:b/>
                <w:bCs/>
                <w:sz w:val="18"/>
                <w:szCs w:val="18"/>
              </w:rPr>
            </w:pPr>
            <w:r w:rsidRPr="002A0B87">
              <w:rPr>
                <w:rFonts w:cs="Arial"/>
                <w:b/>
                <w:bCs/>
                <w:sz w:val="18"/>
                <w:szCs w:val="18"/>
              </w:rPr>
              <w:t>40</w:t>
            </w:r>
          </w:p>
        </w:tc>
        <w:tc>
          <w:tcPr>
            <w:tcW w:w="3231" w:type="dxa"/>
            <w:tcBorders>
              <w:left w:val="single" w:sz="4" w:space="0" w:color="000000"/>
              <w:right w:val="single" w:sz="4" w:space="0" w:color="000000"/>
            </w:tcBorders>
            <w:noWrap/>
            <w:vAlign w:val="bottom"/>
          </w:tcPr>
          <w:p w14:paraId="1B9FFA04" w14:textId="056C6F6D" w:rsidR="00A251AB" w:rsidRPr="002A0B87" w:rsidRDefault="00A251AB" w:rsidP="00A251AB">
            <w:pPr>
              <w:spacing w:before="120"/>
              <w:ind w:left="302" w:hanging="360"/>
              <w:jc w:val="left"/>
              <w:rPr>
                <w:rFonts w:cs="Arial"/>
                <w:bCs/>
                <w:sz w:val="18"/>
                <w:szCs w:val="18"/>
              </w:rPr>
            </w:pPr>
            <w:r w:rsidRPr="002A0B87">
              <w:rPr>
                <w:rFonts w:cs="Arial"/>
                <w:b/>
                <w:bCs/>
                <w:sz w:val="18"/>
                <w:szCs w:val="18"/>
              </w:rPr>
              <w:t>III.</w:t>
            </w:r>
            <w:r w:rsidRPr="002A0B87">
              <w:rPr>
                <w:rFonts w:cs="Arial"/>
                <w:b/>
                <w:bCs/>
                <w:sz w:val="18"/>
                <w:szCs w:val="18"/>
              </w:rPr>
              <w:tab/>
            </w:r>
            <w:r w:rsidRPr="002A0B87">
              <w:rPr>
                <w:rFonts w:cs="Arial"/>
                <w:b/>
                <w:bCs/>
                <w:sz w:val="18"/>
                <w:szCs w:val="18"/>
              </w:rPr>
              <w:tab/>
            </w:r>
            <w:r w:rsidRPr="00213F23">
              <w:rPr>
                <w:rFonts w:cs="Arial"/>
                <w:b/>
                <w:bCs/>
                <w:sz w:val="18"/>
                <w:szCs w:val="18"/>
              </w:rPr>
              <w:t>Cash and cash equivalents of customers at the end of the year</w:t>
            </w:r>
          </w:p>
        </w:tc>
        <w:tc>
          <w:tcPr>
            <w:tcW w:w="648" w:type="dxa"/>
            <w:tcBorders>
              <w:left w:val="single" w:sz="4" w:space="0" w:color="000000"/>
              <w:right w:val="single" w:sz="4" w:space="0" w:color="000000"/>
            </w:tcBorders>
            <w:noWrap/>
            <w:vAlign w:val="bottom"/>
          </w:tcPr>
          <w:p w14:paraId="6347260C" w14:textId="77777777" w:rsidR="00A251AB" w:rsidRPr="003C222B" w:rsidRDefault="00A251AB" w:rsidP="00A251AB">
            <w:pPr>
              <w:spacing w:before="120"/>
              <w:ind w:left="-58" w:right="-58"/>
              <w:jc w:val="center"/>
              <w:rPr>
                <w:rFonts w:cs="Arial"/>
                <w:b/>
                <w:sz w:val="18"/>
                <w:szCs w:val="18"/>
                <w:lang w:val="vi-VN"/>
              </w:rPr>
            </w:pPr>
          </w:p>
        </w:tc>
        <w:tc>
          <w:tcPr>
            <w:tcW w:w="2142" w:type="dxa"/>
            <w:tcBorders>
              <w:left w:val="single" w:sz="4" w:space="0" w:color="000000"/>
              <w:right w:val="single" w:sz="4" w:space="0" w:color="000000"/>
            </w:tcBorders>
            <w:vAlign w:val="bottom"/>
          </w:tcPr>
          <w:p w14:paraId="3B8B75D9" w14:textId="5A0549B1" w:rsidR="00A251AB" w:rsidRPr="00803EA9" w:rsidRDefault="00A251AB" w:rsidP="00A251AB">
            <w:pPr>
              <w:spacing w:before="120"/>
              <w:jc w:val="right"/>
              <w:rPr>
                <w:rFonts w:cs="Arial"/>
                <w:b/>
                <w:bCs/>
                <w:sz w:val="18"/>
                <w:szCs w:val="18"/>
              </w:rPr>
            </w:pPr>
            <w:r w:rsidRPr="00803EA9">
              <w:rPr>
                <w:b/>
                <w:bCs/>
              </w:rPr>
              <w:t xml:space="preserve">118.908.742.569 </w:t>
            </w:r>
          </w:p>
        </w:tc>
        <w:tc>
          <w:tcPr>
            <w:tcW w:w="2172" w:type="dxa"/>
            <w:tcBorders>
              <w:left w:val="single" w:sz="4" w:space="0" w:color="000000"/>
            </w:tcBorders>
            <w:noWrap/>
            <w:vAlign w:val="bottom"/>
          </w:tcPr>
          <w:p w14:paraId="7034D75A" w14:textId="5ED62ECA" w:rsidR="00A251AB" w:rsidRPr="00803EA9" w:rsidRDefault="00A251AB" w:rsidP="00A251AB">
            <w:pPr>
              <w:spacing w:before="120"/>
              <w:jc w:val="right"/>
              <w:rPr>
                <w:rFonts w:cs="Arial"/>
                <w:b/>
                <w:bCs/>
                <w:sz w:val="18"/>
                <w:szCs w:val="18"/>
              </w:rPr>
            </w:pPr>
            <w:r w:rsidRPr="00803EA9">
              <w:rPr>
                <w:b/>
                <w:bCs/>
              </w:rPr>
              <w:t xml:space="preserve">183.339.389.419 </w:t>
            </w:r>
          </w:p>
        </w:tc>
      </w:tr>
      <w:tr w:rsidR="00A251AB" w:rsidRPr="002A0B87" w14:paraId="266E2A88" w14:textId="77777777" w:rsidTr="00A251AB">
        <w:tc>
          <w:tcPr>
            <w:tcW w:w="706" w:type="dxa"/>
            <w:tcBorders>
              <w:right w:val="single" w:sz="4" w:space="0" w:color="000000"/>
            </w:tcBorders>
            <w:noWrap/>
          </w:tcPr>
          <w:p w14:paraId="1D9DAC32" w14:textId="672CA75F" w:rsidR="00A251AB" w:rsidRPr="002A0B87" w:rsidRDefault="00A251AB" w:rsidP="00A251AB">
            <w:pPr>
              <w:spacing w:before="120"/>
              <w:ind w:left="-58" w:right="-58"/>
              <w:jc w:val="center"/>
              <w:rPr>
                <w:rFonts w:cs="Arial"/>
                <w:bCs/>
                <w:sz w:val="18"/>
                <w:szCs w:val="18"/>
              </w:rPr>
            </w:pPr>
            <w:r w:rsidRPr="002A0B87">
              <w:rPr>
                <w:rFonts w:cs="Arial"/>
                <w:bCs/>
                <w:sz w:val="18"/>
                <w:szCs w:val="18"/>
              </w:rPr>
              <w:t>41</w:t>
            </w:r>
          </w:p>
        </w:tc>
        <w:tc>
          <w:tcPr>
            <w:tcW w:w="3231" w:type="dxa"/>
            <w:tcBorders>
              <w:left w:val="single" w:sz="4" w:space="0" w:color="000000"/>
              <w:right w:val="single" w:sz="4" w:space="0" w:color="000000"/>
            </w:tcBorders>
            <w:noWrap/>
            <w:vAlign w:val="bottom"/>
          </w:tcPr>
          <w:p w14:paraId="44E3AFE3" w14:textId="1B8D2A6D" w:rsidR="00A251AB" w:rsidRPr="002A0B87" w:rsidRDefault="00A251AB" w:rsidP="00A251AB">
            <w:pPr>
              <w:ind w:left="302"/>
              <w:rPr>
                <w:rFonts w:cs="Arial"/>
                <w:bCs/>
                <w:sz w:val="18"/>
                <w:szCs w:val="18"/>
              </w:rPr>
            </w:pPr>
            <w:r w:rsidRPr="001862DD">
              <w:rPr>
                <w:rFonts w:cs="Arial"/>
                <w:bCs/>
                <w:sz w:val="18"/>
                <w:szCs w:val="18"/>
              </w:rPr>
              <w:t>Cash at banks at the end of the year</w:t>
            </w:r>
          </w:p>
        </w:tc>
        <w:tc>
          <w:tcPr>
            <w:tcW w:w="648" w:type="dxa"/>
            <w:tcBorders>
              <w:left w:val="single" w:sz="4" w:space="0" w:color="000000"/>
              <w:right w:val="single" w:sz="4" w:space="0" w:color="000000"/>
            </w:tcBorders>
            <w:noWrap/>
            <w:vAlign w:val="bottom"/>
          </w:tcPr>
          <w:p w14:paraId="6DDF7A5E" w14:textId="77777777" w:rsidR="00A251AB" w:rsidRPr="003C222B" w:rsidRDefault="00A251AB" w:rsidP="00A251AB">
            <w:pPr>
              <w:spacing w:before="120"/>
              <w:ind w:left="-58" w:right="-58"/>
              <w:jc w:val="center"/>
              <w:rPr>
                <w:rFonts w:cs="Arial"/>
                <w:sz w:val="18"/>
                <w:szCs w:val="18"/>
                <w:lang w:val="vi-VN"/>
              </w:rPr>
            </w:pPr>
          </w:p>
        </w:tc>
        <w:tc>
          <w:tcPr>
            <w:tcW w:w="2142" w:type="dxa"/>
            <w:tcBorders>
              <w:left w:val="single" w:sz="4" w:space="0" w:color="000000"/>
              <w:right w:val="single" w:sz="4" w:space="0" w:color="000000"/>
            </w:tcBorders>
            <w:vAlign w:val="bottom"/>
          </w:tcPr>
          <w:p w14:paraId="31665F5C" w14:textId="49F24C70" w:rsidR="00A251AB" w:rsidRPr="003C222B" w:rsidRDefault="00A251AB" w:rsidP="00A251AB">
            <w:pPr>
              <w:spacing w:before="120"/>
              <w:jc w:val="right"/>
              <w:rPr>
                <w:rFonts w:cs="Arial"/>
                <w:sz w:val="18"/>
                <w:szCs w:val="18"/>
              </w:rPr>
            </w:pPr>
            <w:r w:rsidRPr="00FD1550">
              <w:t>118.908.742.569</w:t>
            </w:r>
          </w:p>
        </w:tc>
        <w:tc>
          <w:tcPr>
            <w:tcW w:w="2172" w:type="dxa"/>
            <w:tcBorders>
              <w:left w:val="single" w:sz="4" w:space="0" w:color="000000"/>
            </w:tcBorders>
            <w:noWrap/>
            <w:vAlign w:val="bottom"/>
          </w:tcPr>
          <w:p w14:paraId="3F6525F6" w14:textId="7FCEF846" w:rsidR="00A251AB" w:rsidRPr="003C222B" w:rsidRDefault="00A251AB" w:rsidP="00A251AB">
            <w:pPr>
              <w:spacing w:before="120"/>
              <w:jc w:val="right"/>
              <w:rPr>
                <w:rFonts w:cs="Arial"/>
                <w:sz w:val="18"/>
                <w:szCs w:val="18"/>
              </w:rPr>
            </w:pPr>
            <w:r w:rsidRPr="00FD1550">
              <w:t xml:space="preserve">183.339.389.419 </w:t>
            </w:r>
          </w:p>
        </w:tc>
      </w:tr>
      <w:tr w:rsidR="00A251AB" w:rsidRPr="002A0B87" w14:paraId="744C4A35" w14:textId="77777777" w:rsidTr="00A251AB">
        <w:tblPrEx>
          <w:tblBorders>
            <w:insideV w:val="single" w:sz="6" w:space="0" w:color="auto"/>
          </w:tblBorders>
        </w:tblPrEx>
        <w:tc>
          <w:tcPr>
            <w:tcW w:w="706" w:type="dxa"/>
            <w:tcBorders>
              <w:bottom w:val="nil"/>
              <w:right w:val="single" w:sz="4" w:space="0" w:color="000000"/>
            </w:tcBorders>
            <w:noWrap/>
          </w:tcPr>
          <w:p w14:paraId="6B6266EA" w14:textId="36A42CAB" w:rsidR="00A251AB" w:rsidRPr="002A0B87" w:rsidRDefault="00A251AB" w:rsidP="00A251AB">
            <w:pPr>
              <w:ind w:left="-58" w:right="-58"/>
              <w:jc w:val="center"/>
              <w:rPr>
                <w:rFonts w:cs="Arial"/>
                <w:bCs/>
                <w:sz w:val="18"/>
                <w:szCs w:val="18"/>
              </w:rPr>
            </w:pPr>
            <w:r w:rsidRPr="002A0B87">
              <w:rPr>
                <w:rFonts w:cs="Arial"/>
                <w:bCs/>
                <w:sz w:val="18"/>
                <w:szCs w:val="18"/>
              </w:rPr>
              <w:t>42</w:t>
            </w:r>
          </w:p>
        </w:tc>
        <w:tc>
          <w:tcPr>
            <w:tcW w:w="3231" w:type="dxa"/>
            <w:tcBorders>
              <w:left w:val="single" w:sz="4" w:space="0" w:color="000000"/>
              <w:bottom w:val="nil"/>
              <w:right w:val="single" w:sz="4" w:space="0" w:color="000000"/>
            </w:tcBorders>
            <w:noWrap/>
            <w:vAlign w:val="bottom"/>
          </w:tcPr>
          <w:p w14:paraId="39131219" w14:textId="07E90355" w:rsidR="00A251AB" w:rsidRPr="002A0B87" w:rsidRDefault="00A251AB" w:rsidP="00A251AB">
            <w:pPr>
              <w:ind w:left="302"/>
              <w:jc w:val="left"/>
              <w:rPr>
                <w:rFonts w:cs="Arial"/>
                <w:bCs/>
                <w:sz w:val="18"/>
                <w:szCs w:val="18"/>
              </w:rPr>
            </w:pPr>
            <w:r w:rsidRPr="002571D5">
              <w:rPr>
                <w:rFonts w:cs="Arial"/>
                <w:bCs/>
                <w:sz w:val="18"/>
                <w:szCs w:val="18"/>
              </w:rPr>
              <w:t>Investors’ deposits managed by the Company for securities trading activities</w:t>
            </w:r>
          </w:p>
        </w:tc>
        <w:tc>
          <w:tcPr>
            <w:tcW w:w="648" w:type="dxa"/>
            <w:tcBorders>
              <w:left w:val="single" w:sz="4" w:space="0" w:color="000000"/>
              <w:bottom w:val="nil"/>
              <w:right w:val="single" w:sz="4" w:space="0" w:color="000000"/>
            </w:tcBorders>
            <w:noWrap/>
            <w:vAlign w:val="bottom"/>
          </w:tcPr>
          <w:p w14:paraId="2BAA22EC" w14:textId="77777777" w:rsidR="00A251AB" w:rsidRPr="003C222B" w:rsidRDefault="00A251AB" w:rsidP="00A251AB">
            <w:pPr>
              <w:ind w:left="-58" w:right="-58"/>
              <w:jc w:val="center"/>
              <w:rPr>
                <w:rFonts w:cs="Arial"/>
                <w:sz w:val="18"/>
                <w:szCs w:val="18"/>
                <w:lang w:val="vi-VN"/>
              </w:rPr>
            </w:pPr>
          </w:p>
        </w:tc>
        <w:tc>
          <w:tcPr>
            <w:tcW w:w="2142" w:type="dxa"/>
            <w:tcBorders>
              <w:left w:val="single" w:sz="4" w:space="0" w:color="000000"/>
              <w:bottom w:val="nil"/>
              <w:right w:val="single" w:sz="4" w:space="0" w:color="000000"/>
            </w:tcBorders>
            <w:vAlign w:val="bottom"/>
          </w:tcPr>
          <w:p w14:paraId="390A8968" w14:textId="1B955377" w:rsidR="00A251AB" w:rsidRPr="003C222B" w:rsidRDefault="00A251AB" w:rsidP="00A251AB">
            <w:pPr>
              <w:jc w:val="right"/>
              <w:rPr>
                <w:rFonts w:cs="Arial"/>
                <w:sz w:val="18"/>
                <w:szCs w:val="18"/>
              </w:rPr>
            </w:pPr>
            <w:r w:rsidRPr="00FD1550">
              <w:t>118.898.614.487</w:t>
            </w:r>
          </w:p>
        </w:tc>
        <w:tc>
          <w:tcPr>
            <w:tcW w:w="2172" w:type="dxa"/>
            <w:tcBorders>
              <w:left w:val="single" w:sz="4" w:space="0" w:color="000000"/>
              <w:bottom w:val="nil"/>
            </w:tcBorders>
            <w:noWrap/>
            <w:vAlign w:val="bottom"/>
          </w:tcPr>
          <w:p w14:paraId="6446342B" w14:textId="54B7791A" w:rsidR="00A251AB" w:rsidRPr="003C222B" w:rsidRDefault="00A251AB" w:rsidP="00A251AB">
            <w:pPr>
              <w:jc w:val="right"/>
              <w:rPr>
                <w:rFonts w:cs="Arial"/>
                <w:sz w:val="18"/>
                <w:szCs w:val="18"/>
              </w:rPr>
            </w:pPr>
            <w:r w:rsidRPr="00FD1550">
              <w:t xml:space="preserve">183.328.271.940 </w:t>
            </w:r>
          </w:p>
        </w:tc>
      </w:tr>
      <w:tr w:rsidR="00A251AB" w:rsidRPr="002A0B87" w14:paraId="1EE256EE" w14:textId="77777777" w:rsidTr="00A251AB">
        <w:tblPrEx>
          <w:tblBorders>
            <w:insideV w:val="single" w:sz="6" w:space="0" w:color="auto"/>
          </w:tblBorders>
        </w:tblPrEx>
        <w:tc>
          <w:tcPr>
            <w:tcW w:w="706" w:type="dxa"/>
            <w:tcBorders>
              <w:bottom w:val="nil"/>
              <w:right w:val="single" w:sz="4" w:space="0" w:color="000000"/>
            </w:tcBorders>
            <w:noWrap/>
          </w:tcPr>
          <w:p w14:paraId="15BC2726" w14:textId="1BB844BC" w:rsidR="00A251AB" w:rsidRPr="002A0B87" w:rsidRDefault="00A251AB" w:rsidP="00A251AB">
            <w:pPr>
              <w:ind w:left="-58" w:right="-58"/>
              <w:jc w:val="center"/>
              <w:rPr>
                <w:rFonts w:cs="Arial"/>
                <w:bCs/>
                <w:sz w:val="18"/>
                <w:szCs w:val="18"/>
              </w:rPr>
            </w:pPr>
            <w:r w:rsidRPr="002A0B87">
              <w:rPr>
                <w:rFonts w:cs="Arial"/>
                <w:bCs/>
                <w:sz w:val="18"/>
                <w:szCs w:val="18"/>
              </w:rPr>
              <w:t>43</w:t>
            </w:r>
          </w:p>
        </w:tc>
        <w:tc>
          <w:tcPr>
            <w:tcW w:w="3231" w:type="dxa"/>
            <w:tcBorders>
              <w:left w:val="single" w:sz="4" w:space="0" w:color="000000"/>
              <w:bottom w:val="nil"/>
              <w:right w:val="single" w:sz="4" w:space="0" w:color="000000"/>
            </w:tcBorders>
            <w:noWrap/>
            <w:vAlign w:val="bottom"/>
          </w:tcPr>
          <w:p w14:paraId="6E368E2E" w14:textId="1C59E00D" w:rsidR="00A251AB" w:rsidRPr="002A0B87" w:rsidRDefault="00A251AB" w:rsidP="00A251AB">
            <w:pPr>
              <w:ind w:left="302" w:right="-86"/>
              <w:jc w:val="left"/>
              <w:rPr>
                <w:rFonts w:cs="Arial"/>
                <w:bCs/>
                <w:sz w:val="18"/>
                <w:szCs w:val="18"/>
              </w:rPr>
            </w:pPr>
            <w:r w:rsidRPr="00AE55A1">
              <w:rPr>
                <w:rFonts w:cs="Arial"/>
                <w:bCs/>
                <w:spacing w:val="-2"/>
                <w:sz w:val="18"/>
                <w:szCs w:val="18"/>
              </w:rPr>
              <w:t>Investors’ deposits for securities trading activities</w:t>
            </w:r>
          </w:p>
        </w:tc>
        <w:tc>
          <w:tcPr>
            <w:tcW w:w="648" w:type="dxa"/>
            <w:tcBorders>
              <w:left w:val="single" w:sz="4" w:space="0" w:color="000000"/>
              <w:bottom w:val="nil"/>
              <w:right w:val="single" w:sz="4" w:space="0" w:color="000000"/>
            </w:tcBorders>
            <w:noWrap/>
            <w:vAlign w:val="bottom"/>
          </w:tcPr>
          <w:p w14:paraId="3DF96F73" w14:textId="77777777" w:rsidR="00A251AB" w:rsidRPr="003C222B" w:rsidRDefault="00A251AB" w:rsidP="00A251AB">
            <w:pPr>
              <w:ind w:left="-58" w:right="-58"/>
              <w:jc w:val="center"/>
              <w:rPr>
                <w:rFonts w:cs="Arial"/>
                <w:sz w:val="18"/>
                <w:szCs w:val="18"/>
                <w:lang w:val="vi-VN"/>
              </w:rPr>
            </w:pPr>
          </w:p>
        </w:tc>
        <w:tc>
          <w:tcPr>
            <w:tcW w:w="2142" w:type="dxa"/>
            <w:tcBorders>
              <w:left w:val="single" w:sz="4" w:space="0" w:color="000000"/>
              <w:bottom w:val="nil"/>
              <w:right w:val="single" w:sz="4" w:space="0" w:color="000000"/>
            </w:tcBorders>
            <w:vAlign w:val="bottom"/>
          </w:tcPr>
          <w:p w14:paraId="2535689E" w14:textId="2BED0610" w:rsidR="00A251AB" w:rsidRPr="003C222B" w:rsidRDefault="00A251AB" w:rsidP="00A251AB">
            <w:pPr>
              <w:jc w:val="right"/>
              <w:rPr>
                <w:rFonts w:cs="Arial"/>
                <w:sz w:val="18"/>
                <w:szCs w:val="18"/>
              </w:rPr>
            </w:pPr>
            <w:r w:rsidRPr="00FD1550">
              <w:t>7.753.284</w:t>
            </w:r>
          </w:p>
        </w:tc>
        <w:tc>
          <w:tcPr>
            <w:tcW w:w="2172" w:type="dxa"/>
            <w:tcBorders>
              <w:left w:val="single" w:sz="4" w:space="0" w:color="000000"/>
              <w:bottom w:val="nil"/>
            </w:tcBorders>
            <w:noWrap/>
            <w:vAlign w:val="bottom"/>
          </w:tcPr>
          <w:p w14:paraId="0CFB4713" w14:textId="26E2193B" w:rsidR="00A251AB" w:rsidRPr="003C222B" w:rsidRDefault="00A251AB" w:rsidP="00A251AB">
            <w:pPr>
              <w:jc w:val="right"/>
              <w:rPr>
                <w:rFonts w:cs="Arial"/>
                <w:sz w:val="18"/>
                <w:szCs w:val="18"/>
              </w:rPr>
            </w:pPr>
            <w:r w:rsidRPr="00FD1550">
              <w:t xml:space="preserve">8.220.832 </w:t>
            </w:r>
          </w:p>
        </w:tc>
      </w:tr>
      <w:tr w:rsidR="00A251AB" w:rsidRPr="002A0B87" w14:paraId="3EDC2F8A" w14:textId="77777777" w:rsidTr="00A251AB">
        <w:tblPrEx>
          <w:tblBorders>
            <w:insideV w:val="single" w:sz="6" w:space="0" w:color="auto"/>
          </w:tblBorders>
        </w:tblPrEx>
        <w:tc>
          <w:tcPr>
            <w:tcW w:w="706" w:type="dxa"/>
            <w:tcBorders>
              <w:top w:val="nil"/>
              <w:bottom w:val="double" w:sz="6" w:space="0" w:color="auto"/>
              <w:right w:val="single" w:sz="4" w:space="0" w:color="000000"/>
            </w:tcBorders>
            <w:noWrap/>
          </w:tcPr>
          <w:p w14:paraId="69213011" w14:textId="150198F7" w:rsidR="00A251AB" w:rsidRPr="002A0B87" w:rsidRDefault="00A251AB" w:rsidP="00A251AB">
            <w:pPr>
              <w:spacing w:after="120"/>
              <w:ind w:left="-58" w:right="-58"/>
              <w:jc w:val="center"/>
              <w:rPr>
                <w:rFonts w:cs="Arial"/>
                <w:bCs/>
                <w:sz w:val="18"/>
                <w:szCs w:val="18"/>
              </w:rPr>
            </w:pPr>
            <w:r w:rsidRPr="002A0B87">
              <w:rPr>
                <w:rFonts w:cs="Arial"/>
                <w:bCs/>
                <w:sz w:val="18"/>
                <w:szCs w:val="18"/>
              </w:rPr>
              <w:t>44</w:t>
            </w:r>
          </w:p>
        </w:tc>
        <w:tc>
          <w:tcPr>
            <w:tcW w:w="3231" w:type="dxa"/>
            <w:tcBorders>
              <w:top w:val="nil"/>
              <w:left w:val="single" w:sz="4" w:space="0" w:color="000000"/>
              <w:bottom w:val="double" w:sz="6" w:space="0" w:color="auto"/>
              <w:right w:val="single" w:sz="4" w:space="0" w:color="000000"/>
            </w:tcBorders>
            <w:noWrap/>
            <w:vAlign w:val="bottom"/>
          </w:tcPr>
          <w:p w14:paraId="393DF124" w14:textId="0F254FC1" w:rsidR="00A251AB" w:rsidRPr="002A0B87" w:rsidRDefault="00A251AB" w:rsidP="00A251AB">
            <w:pPr>
              <w:spacing w:after="120"/>
              <w:ind w:left="302"/>
              <w:jc w:val="left"/>
              <w:rPr>
                <w:rFonts w:cs="Arial"/>
                <w:bCs/>
                <w:sz w:val="18"/>
                <w:szCs w:val="18"/>
              </w:rPr>
            </w:pPr>
            <w:r w:rsidRPr="009F0BE5">
              <w:rPr>
                <w:rFonts w:cs="Arial"/>
                <w:bCs/>
                <w:sz w:val="18"/>
                <w:szCs w:val="18"/>
              </w:rPr>
              <w:t xml:space="preserve">Investors’ deposits for securities </w:t>
            </w:r>
            <w:r>
              <w:rPr>
                <w:rFonts w:cs="Arial"/>
                <w:bCs/>
                <w:sz w:val="18"/>
                <w:szCs w:val="18"/>
              </w:rPr>
              <w:t>clearing and settlement</w:t>
            </w:r>
          </w:p>
        </w:tc>
        <w:tc>
          <w:tcPr>
            <w:tcW w:w="648" w:type="dxa"/>
            <w:tcBorders>
              <w:top w:val="nil"/>
              <w:left w:val="single" w:sz="4" w:space="0" w:color="000000"/>
              <w:bottom w:val="double" w:sz="6" w:space="0" w:color="auto"/>
              <w:right w:val="single" w:sz="4" w:space="0" w:color="000000"/>
            </w:tcBorders>
            <w:noWrap/>
            <w:vAlign w:val="bottom"/>
          </w:tcPr>
          <w:p w14:paraId="1858BA50" w14:textId="77777777" w:rsidR="00A251AB" w:rsidRPr="003C222B" w:rsidRDefault="00A251AB" w:rsidP="00A251AB">
            <w:pPr>
              <w:spacing w:after="120"/>
              <w:ind w:left="-58" w:right="-58"/>
              <w:jc w:val="center"/>
              <w:rPr>
                <w:rFonts w:cs="Arial"/>
                <w:sz w:val="18"/>
                <w:szCs w:val="18"/>
                <w:lang w:val="vi-VN"/>
              </w:rPr>
            </w:pPr>
          </w:p>
        </w:tc>
        <w:tc>
          <w:tcPr>
            <w:tcW w:w="2142" w:type="dxa"/>
            <w:tcBorders>
              <w:top w:val="nil"/>
              <w:left w:val="single" w:sz="4" w:space="0" w:color="000000"/>
              <w:bottom w:val="double" w:sz="6" w:space="0" w:color="auto"/>
              <w:right w:val="single" w:sz="4" w:space="0" w:color="000000"/>
            </w:tcBorders>
            <w:vAlign w:val="bottom"/>
          </w:tcPr>
          <w:p w14:paraId="1EF04670" w14:textId="4295BB7E" w:rsidR="00A251AB" w:rsidRPr="003C222B" w:rsidRDefault="00A251AB" w:rsidP="00A251AB">
            <w:pPr>
              <w:spacing w:after="120"/>
              <w:jc w:val="right"/>
              <w:rPr>
                <w:rFonts w:cs="Arial"/>
                <w:sz w:val="18"/>
                <w:szCs w:val="18"/>
              </w:rPr>
            </w:pPr>
            <w:r w:rsidRPr="00FD1550">
              <w:t>2.374.798</w:t>
            </w:r>
          </w:p>
        </w:tc>
        <w:tc>
          <w:tcPr>
            <w:tcW w:w="2172" w:type="dxa"/>
            <w:tcBorders>
              <w:top w:val="nil"/>
              <w:left w:val="single" w:sz="4" w:space="0" w:color="000000"/>
              <w:bottom w:val="double" w:sz="6" w:space="0" w:color="auto"/>
            </w:tcBorders>
            <w:noWrap/>
            <w:vAlign w:val="bottom"/>
          </w:tcPr>
          <w:p w14:paraId="02CAF315" w14:textId="04622B52" w:rsidR="00A251AB" w:rsidRPr="000B1CC3" w:rsidRDefault="00A251AB" w:rsidP="00A251AB">
            <w:pPr>
              <w:spacing w:after="120"/>
              <w:jc w:val="right"/>
              <w:rPr>
                <w:rFonts w:cs="Arial"/>
                <w:bCs/>
                <w:sz w:val="18"/>
                <w:szCs w:val="18"/>
              </w:rPr>
            </w:pPr>
            <w:r w:rsidRPr="00FD1550">
              <w:t xml:space="preserve">2.896.647 </w:t>
            </w:r>
          </w:p>
        </w:tc>
      </w:tr>
    </w:tbl>
    <w:p w14:paraId="3A26AE58" w14:textId="77777777" w:rsidR="00584B9E" w:rsidRPr="002A0B87" w:rsidRDefault="00584B9E" w:rsidP="003867C2"/>
    <w:p w14:paraId="6CB6B0D0" w14:textId="77777777" w:rsidR="00986C88" w:rsidRPr="002A0B87" w:rsidRDefault="00986C88" w:rsidP="00B73CC1"/>
    <w:tbl>
      <w:tblPr>
        <w:tblW w:w="8903" w:type="dxa"/>
        <w:tblLook w:val="01E0" w:firstRow="1" w:lastRow="1" w:firstColumn="1" w:lastColumn="1" w:noHBand="0" w:noVBand="0"/>
      </w:tblPr>
      <w:tblGrid>
        <w:gridCol w:w="2967"/>
        <w:gridCol w:w="2968"/>
        <w:gridCol w:w="2968"/>
      </w:tblGrid>
      <w:tr w:rsidR="00986C88" w:rsidRPr="002A0B87" w14:paraId="5B188CEF" w14:textId="77777777" w:rsidTr="00E635EB">
        <w:tc>
          <w:tcPr>
            <w:tcW w:w="2967" w:type="dxa"/>
            <w:vAlign w:val="bottom"/>
          </w:tcPr>
          <w:p w14:paraId="37AA1EEA" w14:textId="1672C4CF" w:rsidR="00986C88" w:rsidRPr="002A0B87" w:rsidRDefault="002446C2" w:rsidP="00557104">
            <w:pPr>
              <w:widowControl w:val="0"/>
              <w:pBdr>
                <w:bottom w:val="single" w:sz="4" w:space="1" w:color="auto"/>
              </w:pBdr>
              <w:ind w:left="-115" w:right="58"/>
              <w:rPr>
                <w:rFonts w:cs="Arial"/>
              </w:rPr>
            </w:pPr>
            <w:r w:rsidRPr="002446C2">
              <w:rPr>
                <w:rFonts w:cs="Arial"/>
              </w:rPr>
              <w:t>Prepared by:</w:t>
            </w:r>
          </w:p>
          <w:p w14:paraId="1470BA85" w14:textId="77777777" w:rsidR="00986C88" w:rsidRPr="002A0B87" w:rsidRDefault="00986C88" w:rsidP="00557104">
            <w:pPr>
              <w:widowControl w:val="0"/>
              <w:pBdr>
                <w:bottom w:val="single" w:sz="4" w:space="1" w:color="auto"/>
              </w:pBdr>
              <w:ind w:left="-115" w:right="58"/>
              <w:rPr>
                <w:rFonts w:cs="Arial"/>
              </w:rPr>
            </w:pPr>
          </w:p>
          <w:p w14:paraId="43B04D0B" w14:textId="77777777" w:rsidR="00986C88" w:rsidRPr="002A0B87" w:rsidRDefault="00986C88" w:rsidP="00557104">
            <w:pPr>
              <w:widowControl w:val="0"/>
              <w:pBdr>
                <w:bottom w:val="single" w:sz="4" w:space="1" w:color="auto"/>
              </w:pBdr>
              <w:ind w:left="-115" w:right="58"/>
              <w:rPr>
                <w:rFonts w:cs="Arial"/>
              </w:rPr>
            </w:pPr>
          </w:p>
          <w:p w14:paraId="5D8878D5" w14:textId="0D701F35" w:rsidR="00986C88" w:rsidRPr="002A0B87" w:rsidRDefault="00986C88" w:rsidP="00557104">
            <w:pPr>
              <w:widowControl w:val="0"/>
              <w:pBdr>
                <w:bottom w:val="single" w:sz="4" w:space="1" w:color="auto"/>
              </w:pBdr>
              <w:ind w:left="-115" w:right="58"/>
              <w:rPr>
                <w:rFonts w:cs="Arial"/>
              </w:rPr>
            </w:pPr>
          </w:p>
          <w:p w14:paraId="2169E2B6" w14:textId="77777777" w:rsidR="00BC6DAA" w:rsidRPr="002A0B87" w:rsidRDefault="00BC6DAA" w:rsidP="00557104">
            <w:pPr>
              <w:widowControl w:val="0"/>
              <w:pBdr>
                <w:bottom w:val="single" w:sz="4" w:space="1" w:color="auto"/>
              </w:pBdr>
              <w:ind w:left="-115" w:right="58"/>
              <w:rPr>
                <w:rFonts w:cs="Arial"/>
              </w:rPr>
            </w:pPr>
          </w:p>
          <w:p w14:paraId="5CDB6AE5" w14:textId="77777777" w:rsidR="00986C88" w:rsidRPr="002A0B87" w:rsidRDefault="00986C88" w:rsidP="00557104">
            <w:pPr>
              <w:widowControl w:val="0"/>
              <w:pBdr>
                <w:bottom w:val="single" w:sz="4" w:space="1" w:color="auto"/>
              </w:pBdr>
              <w:ind w:left="-115" w:right="58"/>
              <w:rPr>
                <w:rFonts w:cs="Arial"/>
              </w:rPr>
            </w:pPr>
          </w:p>
          <w:p w14:paraId="68A0C7C7" w14:textId="77777777" w:rsidR="00986C88" w:rsidRPr="002A0B87" w:rsidRDefault="00986C88" w:rsidP="00557104">
            <w:pPr>
              <w:widowControl w:val="0"/>
              <w:pBdr>
                <w:bottom w:val="single" w:sz="4" w:space="1" w:color="auto"/>
              </w:pBdr>
              <w:ind w:left="-115" w:right="58"/>
              <w:rPr>
                <w:rFonts w:cs="Arial"/>
              </w:rPr>
            </w:pPr>
          </w:p>
        </w:tc>
        <w:tc>
          <w:tcPr>
            <w:tcW w:w="2968" w:type="dxa"/>
            <w:vAlign w:val="bottom"/>
          </w:tcPr>
          <w:p w14:paraId="7B1D0F68" w14:textId="4BF502C7" w:rsidR="00986C88" w:rsidRPr="002A0B87" w:rsidRDefault="00531116" w:rsidP="00557104">
            <w:pPr>
              <w:widowControl w:val="0"/>
              <w:pBdr>
                <w:bottom w:val="single" w:sz="4" w:space="1" w:color="auto"/>
              </w:pBdr>
              <w:ind w:left="-115" w:right="58"/>
              <w:rPr>
                <w:rFonts w:cs="Arial"/>
              </w:rPr>
            </w:pPr>
            <w:r w:rsidRPr="00531116">
              <w:rPr>
                <w:rFonts w:cs="Arial"/>
              </w:rPr>
              <w:t>Reviewed by:</w:t>
            </w:r>
          </w:p>
          <w:p w14:paraId="24E4FB20" w14:textId="77777777" w:rsidR="00986C88" w:rsidRPr="002A0B87" w:rsidRDefault="00986C88" w:rsidP="00557104">
            <w:pPr>
              <w:widowControl w:val="0"/>
              <w:pBdr>
                <w:bottom w:val="single" w:sz="4" w:space="1" w:color="auto"/>
              </w:pBdr>
              <w:ind w:left="-115" w:right="58"/>
              <w:rPr>
                <w:rFonts w:cs="Arial"/>
              </w:rPr>
            </w:pPr>
          </w:p>
          <w:p w14:paraId="7F82B54A" w14:textId="762B2B44" w:rsidR="00986C88" w:rsidRPr="002A0B87" w:rsidRDefault="00986C88" w:rsidP="00557104">
            <w:pPr>
              <w:widowControl w:val="0"/>
              <w:pBdr>
                <w:bottom w:val="single" w:sz="4" w:space="1" w:color="auto"/>
              </w:pBdr>
              <w:ind w:left="-115" w:right="58"/>
              <w:rPr>
                <w:rFonts w:cs="Arial"/>
              </w:rPr>
            </w:pPr>
          </w:p>
          <w:p w14:paraId="7127D705" w14:textId="77777777" w:rsidR="00BC6DAA" w:rsidRPr="002A0B87" w:rsidRDefault="00BC6DAA" w:rsidP="00557104">
            <w:pPr>
              <w:widowControl w:val="0"/>
              <w:pBdr>
                <w:bottom w:val="single" w:sz="4" w:space="1" w:color="auto"/>
              </w:pBdr>
              <w:ind w:left="-115" w:right="58"/>
              <w:rPr>
                <w:rFonts w:cs="Arial"/>
              </w:rPr>
            </w:pPr>
          </w:p>
          <w:p w14:paraId="2FC626F1" w14:textId="77777777" w:rsidR="00986C88" w:rsidRPr="002A0B87" w:rsidRDefault="00986C88" w:rsidP="00557104">
            <w:pPr>
              <w:widowControl w:val="0"/>
              <w:pBdr>
                <w:bottom w:val="single" w:sz="4" w:space="1" w:color="auto"/>
              </w:pBdr>
              <w:ind w:left="-115" w:right="58"/>
              <w:rPr>
                <w:rFonts w:cs="Arial"/>
              </w:rPr>
            </w:pPr>
          </w:p>
          <w:p w14:paraId="5FD0C550" w14:textId="77777777" w:rsidR="00986C88" w:rsidRPr="002A0B87" w:rsidRDefault="00986C88" w:rsidP="00557104">
            <w:pPr>
              <w:widowControl w:val="0"/>
              <w:pBdr>
                <w:bottom w:val="single" w:sz="4" w:space="1" w:color="auto"/>
              </w:pBdr>
              <w:ind w:left="-115" w:right="58"/>
              <w:rPr>
                <w:rFonts w:cs="Arial"/>
              </w:rPr>
            </w:pPr>
          </w:p>
          <w:p w14:paraId="672E7F21" w14:textId="77777777" w:rsidR="00986C88" w:rsidRPr="002A0B87" w:rsidRDefault="00986C88" w:rsidP="00557104">
            <w:pPr>
              <w:widowControl w:val="0"/>
              <w:pBdr>
                <w:bottom w:val="single" w:sz="4" w:space="1" w:color="auto"/>
              </w:pBdr>
              <w:ind w:left="-115" w:right="58"/>
              <w:rPr>
                <w:rFonts w:cs="Arial"/>
              </w:rPr>
            </w:pPr>
          </w:p>
        </w:tc>
        <w:tc>
          <w:tcPr>
            <w:tcW w:w="2968" w:type="dxa"/>
            <w:vAlign w:val="bottom"/>
          </w:tcPr>
          <w:p w14:paraId="7DCFF27F" w14:textId="1178745F" w:rsidR="00986C88" w:rsidRPr="002A0B87" w:rsidRDefault="00EF7FFA" w:rsidP="00557104">
            <w:pPr>
              <w:widowControl w:val="0"/>
              <w:ind w:left="-115" w:right="58" w:firstLine="1"/>
              <w:rPr>
                <w:rFonts w:cs="Arial"/>
              </w:rPr>
            </w:pPr>
            <w:r w:rsidRPr="00EF7FFA">
              <w:rPr>
                <w:rFonts w:cs="Arial"/>
              </w:rPr>
              <w:t>Approved by:</w:t>
            </w:r>
          </w:p>
          <w:p w14:paraId="2D96E65A" w14:textId="77777777" w:rsidR="00986C88" w:rsidRPr="002A0B87" w:rsidRDefault="00986C88" w:rsidP="00557104">
            <w:pPr>
              <w:widowControl w:val="0"/>
              <w:ind w:left="-115" w:right="58"/>
              <w:rPr>
                <w:rFonts w:cs="Arial"/>
              </w:rPr>
            </w:pPr>
          </w:p>
          <w:p w14:paraId="110FDA0C" w14:textId="2070DCD2" w:rsidR="00986C88" w:rsidRPr="002A0B87" w:rsidRDefault="00986C88" w:rsidP="00557104">
            <w:pPr>
              <w:widowControl w:val="0"/>
              <w:ind w:left="-115" w:right="58"/>
              <w:rPr>
                <w:rFonts w:cs="Arial"/>
              </w:rPr>
            </w:pPr>
          </w:p>
          <w:p w14:paraId="24D41D76" w14:textId="77777777" w:rsidR="00BC6DAA" w:rsidRPr="002A0B87" w:rsidRDefault="00BC6DAA" w:rsidP="00557104">
            <w:pPr>
              <w:widowControl w:val="0"/>
              <w:ind w:left="-115" w:right="58"/>
              <w:rPr>
                <w:rFonts w:cs="Arial"/>
              </w:rPr>
            </w:pPr>
          </w:p>
          <w:p w14:paraId="57BD38BF" w14:textId="77777777" w:rsidR="00986C88" w:rsidRPr="002A0B87" w:rsidRDefault="00986C88" w:rsidP="00557104">
            <w:pPr>
              <w:widowControl w:val="0"/>
              <w:ind w:left="-115" w:right="58"/>
              <w:rPr>
                <w:rFonts w:cs="Arial"/>
              </w:rPr>
            </w:pPr>
          </w:p>
          <w:p w14:paraId="1136DDE4" w14:textId="77777777" w:rsidR="00986C88" w:rsidRPr="002A0B87" w:rsidRDefault="00986C88" w:rsidP="00557104">
            <w:pPr>
              <w:widowControl w:val="0"/>
              <w:ind w:left="-115" w:right="58"/>
              <w:rPr>
                <w:rFonts w:cs="Arial"/>
              </w:rPr>
            </w:pPr>
          </w:p>
          <w:p w14:paraId="00EB39E4" w14:textId="77777777" w:rsidR="00986C88" w:rsidRPr="002A0B87" w:rsidRDefault="00986C88" w:rsidP="00557104">
            <w:pPr>
              <w:widowControl w:val="0"/>
              <w:pBdr>
                <w:bottom w:val="single" w:sz="4" w:space="1" w:color="auto"/>
              </w:pBdr>
              <w:ind w:left="-115" w:right="58"/>
              <w:rPr>
                <w:rFonts w:cs="Arial"/>
              </w:rPr>
            </w:pPr>
          </w:p>
        </w:tc>
      </w:tr>
      <w:tr w:rsidR="00B84D3A" w:rsidRPr="002A0B87" w14:paraId="6658A6C4" w14:textId="77777777" w:rsidTr="00E635EB">
        <w:tc>
          <w:tcPr>
            <w:tcW w:w="2967" w:type="dxa"/>
          </w:tcPr>
          <w:p w14:paraId="7027CF45" w14:textId="6544FCF9" w:rsidR="00B84D3A" w:rsidRPr="002A0B87" w:rsidRDefault="000E7651" w:rsidP="00B84D3A">
            <w:pPr>
              <w:overflowPunct/>
              <w:autoSpaceDE/>
              <w:autoSpaceDN/>
              <w:adjustRightInd/>
              <w:ind w:left="-115" w:right="58"/>
              <w:textAlignment w:val="auto"/>
              <w:rPr>
                <w:rFonts w:eastAsia="Batang" w:cs="Arial"/>
              </w:rPr>
            </w:pPr>
            <w:r w:rsidRPr="000E7651">
              <w:rPr>
                <w:rFonts w:eastAsia="Batang" w:cs="Arial"/>
              </w:rPr>
              <w:t>Ms. Pham Thi Yen</w:t>
            </w:r>
          </w:p>
          <w:p w14:paraId="50B1ADDF" w14:textId="0A283463" w:rsidR="00B84D3A" w:rsidRPr="002A0B87" w:rsidRDefault="000E7651" w:rsidP="00B84D3A">
            <w:pPr>
              <w:widowControl w:val="0"/>
              <w:ind w:left="-115" w:right="58"/>
              <w:rPr>
                <w:rFonts w:cs="Arial"/>
              </w:rPr>
            </w:pPr>
            <w:r>
              <w:rPr>
                <w:rFonts w:eastAsia="Batang" w:cs="Arial"/>
              </w:rPr>
              <w:t>Accountant</w:t>
            </w:r>
          </w:p>
        </w:tc>
        <w:tc>
          <w:tcPr>
            <w:tcW w:w="2968" w:type="dxa"/>
          </w:tcPr>
          <w:p w14:paraId="7143506E" w14:textId="7D94A34A" w:rsidR="00B84D3A" w:rsidRPr="002A0B87" w:rsidRDefault="006B4252" w:rsidP="00B84D3A">
            <w:pPr>
              <w:widowControl w:val="0"/>
              <w:ind w:left="-115" w:right="58"/>
              <w:rPr>
                <w:rFonts w:cs="Arial"/>
              </w:rPr>
            </w:pPr>
            <w:r w:rsidRPr="006B4252">
              <w:rPr>
                <w:rFonts w:cs="Arial"/>
              </w:rPr>
              <w:t>Ms. Nguyen Thi Van</w:t>
            </w:r>
          </w:p>
          <w:p w14:paraId="7816BA48" w14:textId="4A494BB0" w:rsidR="00B84D3A" w:rsidRPr="002A0B87" w:rsidRDefault="006B4252" w:rsidP="00B84D3A">
            <w:pPr>
              <w:widowControl w:val="0"/>
              <w:ind w:left="-115" w:right="58"/>
              <w:rPr>
                <w:rFonts w:cs="Arial"/>
              </w:rPr>
            </w:pPr>
            <w:r>
              <w:rPr>
                <w:rFonts w:cs="Arial"/>
              </w:rPr>
              <w:t>Chief Accountant</w:t>
            </w:r>
          </w:p>
        </w:tc>
        <w:tc>
          <w:tcPr>
            <w:tcW w:w="2968" w:type="dxa"/>
          </w:tcPr>
          <w:p w14:paraId="12D7B415" w14:textId="78E977E0" w:rsidR="00B84D3A" w:rsidRPr="002A0B87" w:rsidRDefault="006B4252" w:rsidP="00B84D3A">
            <w:pPr>
              <w:widowControl w:val="0"/>
              <w:ind w:left="-115" w:right="58"/>
              <w:contextualSpacing/>
              <w:rPr>
                <w:rFonts w:cs="Arial"/>
              </w:rPr>
            </w:pPr>
            <w:r>
              <w:rPr>
                <w:rFonts w:cs="Arial"/>
              </w:rPr>
              <w:t>Mr.</w:t>
            </w:r>
            <w:r w:rsidR="00B84D3A">
              <w:rPr>
                <w:rFonts w:cs="Arial"/>
              </w:rPr>
              <w:t xml:space="preserve"> Lee </w:t>
            </w:r>
            <w:proofErr w:type="spellStart"/>
            <w:r w:rsidR="00B84D3A">
              <w:rPr>
                <w:rFonts w:cs="Arial"/>
              </w:rPr>
              <w:t>Jin</w:t>
            </w:r>
            <w:proofErr w:type="spellEnd"/>
            <w:r w:rsidR="00B84D3A">
              <w:rPr>
                <w:rFonts w:cs="Arial"/>
              </w:rPr>
              <w:t xml:space="preserve"> Hwan</w:t>
            </w:r>
          </w:p>
          <w:p w14:paraId="50ABB557" w14:textId="2FA8BD85" w:rsidR="00B84D3A" w:rsidRPr="002A0B87" w:rsidRDefault="006B4252" w:rsidP="00B84D3A">
            <w:pPr>
              <w:widowControl w:val="0"/>
              <w:ind w:left="-115" w:right="58"/>
              <w:rPr>
                <w:rFonts w:cs="Arial"/>
              </w:rPr>
            </w:pPr>
            <w:r>
              <w:rPr>
                <w:rFonts w:cs="Arial"/>
              </w:rPr>
              <w:t>General Director</w:t>
            </w:r>
          </w:p>
        </w:tc>
      </w:tr>
    </w:tbl>
    <w:p w14:paraId="72029713" w14:textId="75A00D8E" w:rsidR="00986C88" w:rsidRPr="002A0B87" w:rsidRDefault="00986C88" w:rsidP="003867C2"/>
    <w:p w14:paraId="1834E4EB" w14:textId="77777777" w:rsidR="00E15F6C" w:rsidRPr="002A0B87" w:rsidRDefault="00E15F6C" w:rsidP="00B73CC1"/>
    <w:p w14:paraId="5CAFD666" w14:textId="77EAB5AA" w:rsidR="00584B9E" w:rsidRPr="002A0B87" w:rsidRDefault="00584B9E" w:rsidP="001A088B">
      <w:r w:rsidRPr="002A0B87">
        <w:t>H</w:t>
      </w:r>
      <w:r w:rsidR="006B4252">
        <w:t>anoi</w:t>
      </w:r>
      <w:r w:rsidRPr="002A0B87">
        <w:t>, Vi</w:t>
      </w:r>
      <w:r w:rsidR="006B4252">
        <w:t>etnam</w:t>
      </w:r>
    </w:p>
    <w:p w14:paraId="0E813237" w14:textId="77777777" w:rsidR="00BC6DAA" w:rsidRPr="002A0B87" w:rsidRDefault="00BC6DAA" w:rsidP="00557104"/>
    <w:p w14:paraId="6421501C" w14:textId="327D4CA6" w:rsidR="00584B9E" w:rsidRPr="002A0B87" w:rsidRDefault="00436CA9" w:rsidP="00557104">
      <w:r w:rsidRPr="00254501">
        <w:t>07</w:t>
      </w:r>
      <w:r w:rsidR="00901BB4" w:rsidRPr="00254501">
        <w:t xml:space="preserve"> March 202</w:t>
      </w:r>
      <w:r w:rsidR="00803EA9">
        <w:t>3</w:t>
      </w:r>
    </w:p>
    <w:p w14:paraId="1B15E94E" w14:textId="51DAE003" w:rsidR="000F6856" w:rsidRPr="002A0B87" w:rsidRDefault="000F6856">
      <w:pPr>
        <w:tabs>
          <w:tab w:val="left" w:pos="1230"/>
        </w:tabs>
        <w:rPr>
          <w:rFonts w:cs="Arial"/>
          <w:lang w:val="en-GB"/>
        </w:rPr>
        <w:sectPr w:rsidR="000F6856" w:rsidRPr="002A0B87" w:rsidSect="0063755C">
          <w:pgSz w:w="11909" w:h="16834" w:code="9"/>
          <w:pgMar w:top="1440" w:right="1440" w:bottom="862" w:left="1582" w:header="720" w:footer="578" w:gutter="0"/>
          <w:cols w:space="720"/>
        </w:sectPr>
      </w:pPr>
    </w:p>
    <w:tbl>
      <w:tblPr>
        <w:tblStyle w:val="TableGrid"/>
        <w:tblW w:w="14181"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ayout w:type="fixed"/>
        <w:tblLook w:val="04A0" w:firstRow="1" w:lastRow="0" w:firstColumn="1" w:lastColumn="0" w:noHBand="0" w:noVBand="1"/>
      </w:tblPr>
      <w:tblGrid>
        <w:gridCol w:w="2145"/>
        <w:gridCol w:w="1676"/>
        <w:gridCol w:w="1744"/>
        <w:gridCol w:w="1440"/>
        <w:gridCol w:w="1170"/>
        <w:gridCol w:w="1530"/>
        <w:gridCol w:w="1080"/>
        <w:gridCol w:w="1710"/>
        <w:gridCol w:w="1686"/>
      </w:tblGrid>
      <w:tr w:rsidR="00D61C4D" w:rsidRPr="002A0B87" w14:paraId="66371A01" w14:textId="77777777" w:rsidTr="00114508">
        <w:tc>
          <w:tcPr>
            <w:tcW w:w="2145" w:type="dxa"/>
            <w:vMerge w:val="restart"/>
            <w:tcBorders>
              <w:top w:val="double" w:sz="4" w:space="0" w:color="auto"/>
              <w:right w:val="single" w:sz="4" w:space="0" w:color="auto"/>
            </w:tcBorders>
            <w:vAlign w:val="bottom"/>
          </w:tcPr>
          <w:p w14:paraId="2ADBE4B7" w14:textId="25608476" w:rsidR="00D61C4D" w:rsidRPr="002A0B87" w:rsidRDefault="00B47106" w:rsidP="008064F8">
            <w:pPr>
              <w:pStyle w:val="BodyText"/>
              <w:spacing w:after="120"/>
              <w:ind w:left="-58"/>
              <w:rPr>
                <w:rFonts w:ascii="Arial" w:hAnsi="Arial" w:cs="Arial"/>
                <w:i/>
                <w:sz w:val="16"/>
                <w:szCs w:val="16"/>
                <w:lang w:val="en-GB"/>
              </w:rPr>
            </w:pPr>
            <w:r>
              <w:rPr>
                <w:rFonts w:ascii="Arial" w:hAnsi="Arial" w:cs="Arial"/>
                <w:i/>
                <w:sz w:val="16"/>
                <w:szCs w:val="16"/>
                <w:lang w:val="en-GB"/>
              </w:rPr>
              <w:lastRenderedPageBreak/>
              <w:t>ITEMS</w:t>
            </w:r>
          </w:p>
        </w:tc>
        <w:tc>
          <w:tcPr>
            <w:tcW w:w="3420" w:type="dxa"/>
            <w:gridSpan w:val="2"/>
            <w:tcBorders>
              <w:top w:val="double" w:sz="4" w:space="0" w:color="auto"/>
              <w:left w:val="single" w:sz="4" w:space="0" w:color="auto"/>
              <w:bottom w:val="single" w:sz="4" w:space="0" w:color="auto"/>
              <w:right w:val="single" w:sz="4" w:space="0" w:color="auto"/>
            </w:tcBorders>
            <w:vAlign w:val="bottom"/>
          </w:tcPr>
          <w:p w14:paraId="07DFE99A" w14:textId="12690BEA" w:rsidR="00D61C4D" w:rsidRPr="002A0B87" w:rsidRDefault="00B47106" w:rsidP="008064F8">
            <w:pPr>
              <w:pStyle w:val="BodyText"/>
              <w:spacing w:before="60" w:after="60"/>
              <w:ind w:left="-58" w:right="-58"/>
              <w:jc w:val="center"/>
              <w:rPr>
                <w:rFonts w:ascii="Arial" w:hAnsi="Arial" w:cs="Arial"/>
                <w:i/>
                <w:sz w:val="16"/>
                <w:szCs w:val="16"/>
                <w:lang w:val="en-GB"/>
              </w:rPr>
            </w:pPr>
            <w:r>
              <w:rPr>
                <w:rFonts w:ascii="Arial" w:hAnsi="Arial" w:cs="Arial"/>
                <w:i/>
                <w:sz w:val="16"/>
                <w:szCs w:val="16"/>
                <w:lang w:val="en-GB"/>
              </w:rPr>
              <w:t>Opening balance</w:t>
            </w:r>
          </w:p>
        </w:tc>
        <w:tc>
          <w:tcPr>
            <w:tcW w:w="5220" w:type="dxa"/>
            <w:gridSpan w:val="4"/>
            <w:tcBorders>
              <w:top w:val="double" w:sz="4" w:space="0" w:color="auto"/>
              <w:left w:val="single" w:sz="4" w:space="0" w:color="auto"/>
              <w:bottom w:val="single" w:sz="4" w:space="0" w:color="auto"/>
              <w:right w:val="single" w:sz="4" w:space="0" w:color="auto"/>
            </w:tcBorders>
            <w:vAlign w:val="bottom"/>
          </w:tcPr>
          <w:p w14:paraId="7DFF036C" w14:textId="46C13070" w:rsidR="00D61C4D" w:rsidRPr="002A0B87" w:rsidRDefault="00B47106" w:rsidP="008064F8">
            <w:pPr>
              <w:pStyle w:val="BodyText"/>
              <w:spacing w:before="60" w:after="60"/>
              <w:ind w:left="-58" w:right="-58"/>
              <w:jc w:val="center"/>
              <w:rPr>
                <w:rFonts w:ascii="Arial" w:hAnsi="Arial" w:cs="Arial"/>
                <w:i/>
                <w:sz w:val="16"/>
                <w:szCs w:val="16"/>
                <w:lang w:val="en-GB"/>
              </w:rPr>
            </w:pPr>
            <w:r>
              <w:rPr>
                <w:rFonts w:ascii="Arial" w:hAnsi="Arial" w:cs="Arial"/>
                <w:i/>
                <w:sz w:val="16"/>
                <w:szCs w:val="16"/>
                <w:lang w:val="en-GB"/>
              </w:rPr>
              <w:t>Increase</w:t>
            </w:r>
            <w:r w:rsidR="00D61C4D" w:rsidRPr="002A0B87">
              <w:rPr>
                <w:rFonts w:ascii="Arial" w:hAnsi="Arial" w:cs="Arial"/>
                <w:i/>
                <w:sz w:val="16"/>
                <w:szCs w:val="16"/>
                <w:lang w:val="en-GB"/>
              </w:rPr>
              <w:t>/</w:t>
            </w:r>
            <w:r>
              <w:rPr>
                <w:rFonts w:ascii="Arial" w:hAnsi="Arial" w:cs="Arial"/>
                <w:i/>
                <w:sz w:val="16"/>
                <w:szCs w:val="16"/>
                <w:lang w:val="en-GB"/>
              </w:rPr>
              <w:t>Decrease</w:t>
            </w:r>
          </w:p>
        </w:tc>
        <w:tc>
          <w:tcPr>
            <w:tcW w:w="3396" w:type="dxa"/>
            <w:gridSpan w:val="2"/>
            <w:tcBorders>
              <w:top w:val="double" w:sz="4" w:space="0" w:color="auto"/>
              <w:left w:val="single" w:sz="4" w:space="0" w:color="auto"/>
              <w:bottom w:val="single" w:sz="4" w:space="0" w:color="auto"/>
            </w:tcBorders>
            <w:vAlign w:val="bottom"/>
          </w:tcPr>
          <w:p w14:paraId="36228AE4" w14:textId="580162DF" w:rsidR="00D61C4D" w:rsidRPr="002A0B87" w:rsidRDefault="00D234B8" w:rsidP="008064F8">
            <w:pPr>
              <w:pStyle w:val="BodyText"/>
              <w:spacing w:before="60" w:after="60"/>
              <w:ind w:left="-58" w:right="-58"/>
              <w:jc w:val="center"/>
              <w:rPr>
                <w:rFonts w:ascii="Arial" w:hAnsi="Arial" w:cs="Arial"/>
                <w:i/>
                <w:sz w:val="16"/>
                <w:szCs w:val="16"/>
                <w:lang w:val="en-GB"/>
              </w:rPr>
            </w:pPr>
            <w:r>
              <w:rPr>
                <w:rFonts w:ascii="Arial" w:hAnsi="Arial" w:cs="Arial"/>
                <w:i/>
                <w:sz w:val="16"/>
                <w:szCs w:val="16"/>
                <w:lang w:val="en-GB"/>
              </w:rPr>
              <w:t>Ending balance</w:t>
            </w:r>
          </w:p>
        </w:tc>
      </w:tr>
      <w:tr w:rsidR="00D61C4D" w:rsidRPr="002A0B87" w14:paraId="749E75AC" w14:textId="77777777" w:rsidTr="00114508">
        <w:trPr>
          <w:trHeight w:val="54"/>
        </w:trPr>
        <w:tc>
          <w:tcPr>
            <w:tcW w:w="2145" w:type="dxa"/>
            <w:vMerge/>
            <w:tcBorders>
              <w:right w:val="single" w:sz="4" w:space="0" w:color="auto"/>
            </w:tcBorders>
            <w:vAlign w:val="bottom"/>
          </w:tcPr>
          <w:p w14:paraId="6AED75A6" w14:textId="77777777" w:rsidR="00D61C4D" w:rsidRPr="002A0B87" w:rsidRDefault="00D61C4D" w:rsidP="008064F8">
            <w:pPr>
              <w:pStyle w:val="BodyText"/>
              <w:ind w:left="-58"/>
              <w:rPr>
                <w:rFonts w:ascii="Arial" w:hAnsi="Arial" w:cs="Arial"/>
                <w:sz w:val="16"/>
                <w:szCs w:val="16"/>
                <w:lang w:val="en-GB"/>
              </w:rPr>
            </w:pPr>
          </w:p>
        </w:tc>
        <w:tc>
          <w:tcPr>
            <w:tcW w:w="1676" w:type="dxa"/>
            <w:vMerge w:val="restart"/>
            <w:tcBorders>
              <w:top w:val="single" w:sz="4" w:space="0" w:color="auto"/>
              <w:left w:val="single" w:sz="4" w:space="0" w:color="auto"/>
              <w:bottom w:val="nil"/>
              <w:right w:val="single" w:sz="4" w:space="0" w:color="auto"/>
            </w:tcBorders>
            <w:vAlign w:val="bottom"/>
          </w:tcPr>
          <w:p w14:paraId="61DF47DC" w14:textId="38F5FD93" w:rsidR="00D61C4D" w:rsidRPr="002A0B87" w:rsidRDefault="00D61C4D" w:rsidP="008064F8">
            <w:pPr>
              <w:pStyle w:val="BodyText"/>
              <w:ind w:left="-58" w:right="-58"/>
              <w:jc w:val="right"/>
              <w:rPr>
                <w:rFonts w:ascii="Arial" w:hAnsi="Arial" w:cs="Arial"/>
                <w:i/>
                <w:sz w:val="16"/>
                <w:szCs w:val="16"/>
                <w:lang w:val="en-GB"/>
              </w:rPr>
            </w:pPr>
            <w:r w:rsidRPr="002A0B87">
              <w:rPr>
                <w:rFonts w:ascii="Arial" w:hAnsi="Arial" w:cs="Arial"/>
                <w:i/>
                <w:sz w:val="16"/>
                <w:szCs w:val="16"/>
                <w:lang w:val="en-GB"/>
              </w:rPr>
              <w:t>01/01/</w:t>
            </w:r>
            <w:r w:rsidR="00315454" w:rsidRPr="002A0B87">
              <w:rPr>
                <w:rFonts w:ascii="Arial" w:hAnsi="Arial" w:cs="Arial"/>
                <w:i/>
                <w:sz w:val="16"/>
                <w:szCs w:val="16"/>
                <w:lang w:val="en-GB"/>
              </w:rPr>
              <w:t>20</w:t>
            </w:r>
            <w:r w:rsidR="00315454">
              <w:rPr>
                <w:rFonts w:ascii="Arial" w:hAnsi="Arial" w:cs="Arial"/>
                <w:i/>
                <w:sz w:val="16"/>
                <w:szCs w:val="16"/>
                <w:lang w:val="en-GB"/>
              </w:rPr>
              <w:t>2</w:t>
            </w:r>
            <w:r w:rsidR="005E7CB6">
              <w:rPr>
                <w:rFonts w:ascii="Arial" w:hAnsi="Arial" w:cs="Arial"/>
                <w:i/>
                <w:sz w:val="16"/>
                <w:szCs w:val="16"/>
                <w:lang w:val="en-GB"/>
              </w:rPr>
              <w:t>1</w:t>
            </w:r>
          </w:p>
          <w:p w14:paraId="32C7409D" w14:textId="5C7BC642" w:rsidR="00D61C4D" w:rsidRPr="002A0B87" w:rsidRDefault="00D61C4D" w:rsidP="008064F8">
            <w:pPr>
              <w:pStyle w:val="BodyText"/>
              <w:spacing w:after="120"/>
              <w:ind w:left="-58" w:right="-58"/>
              <w:jc w:val="right"/>
              <w:rPr>
                <w:rFonts w:ascii="Arial" w:hAnsi="Arial" w:cs="Arial"/>
                <w:i/>
                <w:sz w:val="16"/>
                <w:szCs w:val="16"/>
                <w:lang w:val="en-GB"/>
              </w:rPr>
            </w:pPr>
            <w:r w:rsidRPr="002A0B87">
              <w:rPr>
                <w:rFonts w:ascii="Arial" w:hAnsi="Arial" w:cs="Arial"/>
                <w:i/>
                <w:sz w:val="16"/>
                <w:szCs w:val="16"/>
                <w:lang w:val="en-GB"/>
              </w:rPr>
              <w:t>VND</w:t>
            </w:r>
          </w:p>
        </w:tc>
        <w:tc>
          <w:tcPr>
            <w:tcW w:w="1744" w:type="dxa"/>
            <w:vMerge w:val="restart"/>
            <w:tcBorders>
              <w:top w:val="single" w:sz="4" w:space="0" w:color="auto"/>
              <w:left w:val="single" w:sz="4" w:space="0" w:color="auto"/>
              <w:bottom w:val="nil"/>
              <w:right w:val="single" w:sz="4" w:space="0" w:color="auto"/>
            </w:tcBorders>
            <w:vAlign w:val="bottom"/>
          </w:tcPr>
          <w:p w14:paraId="0ED89490" w14:textId="38518985" w:rsidR="00D61C4D" w:rsidRPr="002A0B87" w:rsidRDefault="00D61C4D" w:rsidP="008064F8">
            <w:pPr>
              <w:pStyle w:val="BodyText"/>
              <w:ind w:left="-58" w:right="-58"/>
              <w:jc w:val="right"/>
              <w:rPr>
                <w:rFonts w:ascii="Arial" w:hAnsi="Arial" w:cs="Arial"/>
                <w:i/>
                <w:sz w:val="16"/>
                <w:szCs w:val="16"/>
                <w:lang w:val="en-GB"/>
              </w:rPr>
            </w:pPr>
            <w:r w:rsidRPr="002A0B87">
              <w:rPr>
                <w:rFonts w:ascii="Arial" w:hAnsi="Arial" w:cs="Arial"/>
                <w:i/>
                <w:sz w:val="16"/>
                <w:szCs w:val="16"/>
                <w:lang w:val="en-GB"/>
              </w:rPr>
              <w:t>01/01/</w:t>
            </w:r>
            <w:r w:rsidR="00315454" w:rsidRPr="002A0B87">
              <w:rPr>
                <w:rFonts w:ascii="Arial" w:hAnsi="Arial" w:cs="Arial"/>
                <w:i/>
                <w:sz w:val="16"/>
                <w:szCs w:val="16"/>
                <w:lang w:val="en-GB"/>
              </w:rPr>
              <w:t>202</w:t>
            </w:r>
            <w:r w:rsidR="005E7CB6">
              <w:rPr>
                <w:rFonts w:ascii="Arial" w:hAnsi="Arial" w:cs="Arial"/>
                <w:i/>
                <w:sz w:val="16"/>
                <w:szCs w:val="16"/>
                <w:lang w:val="en-GB"/>
              </w:rPr>
              <w:t>2</w:t>
            </w:r>
          </w:p>
          <w:p w14:paraId="2106A2AD" w14:textId="6E8E2AB0" w:rsidR="00D61C4D" w:rsidRPr="002A0B87" w:rsidRDefault="00D61C4D" w:rsidP="008064F8">
            <w:pPr>
              <w:pStyle w:val="BodyText"/>
              <w:spacing w:after="120"/>
              <w:ind w:left="-58" w:right="-58"/>
              <w:jc w:val="right"/>
              <w:rPr>
                <w:rFonts w:ascii="Arial" w:hAnsi="Arial" w:cs="Arial"/>
                <w:i/>
                <w:sz w:val="16"/>
                <w:szCs w:val="16"/>
                <w:lang w:val="en-GB"/>
              </w:rPr>
            </w:pPr>
            <w:r w:rsidRPr="002A0B87">
              <w:rPr>
                <w:rFonts w:ascii="Arial" w:hAnsi="Arial" w:cs="Arial"/>
                <w:i/>
                <w:sz w:val="16"/>
                <w:szCs w:val="16"/>
                <w:lang w:val="en-GB"/>
              </w:rPr>
              <w:t>VND</w:t>
            </w:r>
          </w:p>
        </w:tc>
        <w:tc>
          <w:tcPr>
            <w:tcW w:w="2610" w:type="dxa"/>
            <w:gridSpan w:val="2"/>
            <w:tcBorders>
              <w:top w:val="single" w:sz="4" w:space="0" w:color="auto"/>
              <w:left w:val="single" w:sz="4" w:space="0" w:color="auto"/>
              <w:bottom w:val="single" w:sz="4" w:space="0" w:color="auto"/>
              <w:right w:val="single" w:sz="4" w:space="0" w:color="auto"/>
            </w:tcBorders>
            <w:vAlign w:val="bottom"/>
          </w:tcPr>
          <w:p w14:paraId="66882A1F" w14:textId="7D54AB39" w:rsidR="00D61C4D" w:rsidRPr="002A0B87" w:rsidRDefault="002B7922" w:rsidP="008064F8">
            <w:pPr>
              <w:pStyle w:val="BodyText"/>
              <w:spacing w:before="60" w:after="60"/>
              <w:ind w:left="-58" w:right="-58"/>
              <w:jc w:val="center"/>
              <w:rPr>
                <w:rFonts w:ascii="Arial" w:hAnsi="Arial" w:cs="Arial"/>
                <w:i/>
                <w:sz w:val="16"/>
                <w:szCs w:val="16"/>
                <w:lang w:val="en-GB"/>
              </w:rPr>
            </w:pPr>
            <w:r>
              <w:rPr>
                <w:rFonts w:ascii="Arial" w:hAnsi="Arial" w:cs="Arial"/>
                <w:i/>
                <w:sz w:val="16"/>
                <w:szCs w:val="16"/>
                <w:lang w:val="en-GB"/>
              </w:rPr>
              <w:t>Previous year</w:t>
            </w:r>
          </w:p>
        </w:tc>
        <w:tc>
          <w:tcPr>
            <w:tcW w:w="2610" w:type="dxa"/>
            <w:gridSpan w:val="2"/>
            <w:tcBorders>
              <w:top w:val="single" w:sz="4" w:space="0" w:color="auto"/>
              <w:left w:val="single" w:sz="4" w:space="0" w:color="auto"/>
              <w:bottom w:val="single" w:sz="4" w:space="0" w:color="auto"/>
              <w:right w:val="single" w:sz="4" w:space="0" w:color="auto"/>
            </w:tcBorders>
            <w:vAlign w:val="bottom"/>
          </w:tcPr>
          <w:p w14:paraId="6C8BF66D" w14:textId="23F2F8EA" w:rsidR="00D61C4D" w:rsidRPr="002A0B87" w:rsidRDefault="00B6149A" w:rsidP="008064F8">
            <w:pPr>
              <w:pStyle w:val="BodyText"/>
              <w:spacing w:before="60" w:after="60"/>
              <w:ind w:left="-58" w:right="-58"/>
              <w:jc w:val="center"/>
              <w:rPr>
                <w:rFonts w:ascii="Arial" w:hAnsi="Arial" w:cs="Arial"/>
                <w:i/>
                <w:sz w:val="16"/>
                <w:szCs w:val="16"/>
                <w:lang w:val="en-GB"/>
              </w:rPr>
            </w:pPr>
            <w:r>
              <w:rPr>
                <w:rFonts w:ascii="Arial" w:hAnsi="Arial" w:cs="Arial"/>
                <w:i/>
                <w:sz w:val="16"/>
                <w:szCs w:val="16"/>
                <w:lang w:val="en-GB"/>
              </w:rPr>
              <w:t>Current year</w:t>
            </w:r>
          </w:p>
        </w:tc>
        <w:tc>
          <w:tcPr>
            <w:tcW w:w="1710" w:type="dxa"/>
            <w:vMerge w:val="restart"/>
            <w:tcBorders>
              <w:top w:val="single" w:sz="4" w:space="0" w:color="auto"/>
              <w:left w:val="single" w:sz="4" w:space="0" w:color="auto"/>
              <w:bottom w:val="nil"/>
              <w:right w:val="single" w:sz="4" w:space="0" w:color="auto"/>
            </w:tcBorders>
            <w:vAlign w:val="bottom"/>
          </w:tcPr>
          <w:p w14:paraId="0CEE98B1" w14:textId="74AFAAE2" w:rsidR="00D61C4D" w:rsidRPr="002A0B87" w:rsidRDefault="00B32F9D" w:rsidP="008064F8">
            <w:pPr>
              <w:pStyle w:val="BodyText"/>
              <w:ind w:left="-58" w:right="-58"/>
              <w:jc w:val="right"/>
              <w:rPr>
                <w:rFonts w:ascii="Arial" w:hAnsi="Arial" w:cs="Arial"/>
                <w:i/>
                <w:sz w:val="16"/>
                <w:szCs w:val="16"/>
                <w:lang w:val="en-GB"/>
              </w:rPr>
            </w:pPr>
            <w:r>
              <w:rPr>
                <w:rFonts w:ascii="Arial" w:hAnsi="Arial" w:cs="Arial"/>
                <w:i/>
                <w:sz w:val="16"/>
                <w:szCs w:val="16"/>
                <w:lang w:val="en-GB"/>
              </w:rPr>
              <w:t>31</w:t>
            </w:r>
            <w:r w:rsidR="0049002E">
              <w:rPr>
                <w:rFonts w:ascii="Arial" w:hAnsi="Arial" w:cs="Arial"/>
                <w:i/>
                <w:sz w:val="16"/>
                <w:szCs w:val="16"/>
                <w:lang w:val="en-GB"/>
              </w:rPr>
              <w:t>/</w:t>
            </w:r>
            <w:r>
              <w:rPr>
                <w:rFonts w:ascii="Arial" w:hAnsi="Arial" w:cs="Arial"/>
                <w:i/>
                <w:sz w:val="16"/>
                <w:szCs w:val="16"/>
                <w:lang w:val="en-GB"/>
              </w:rPr>
              <w:t>12</w:t>
            </w:r>
            <w:r w:rsidR="00D61C4D" w:rsidRPr="002A0B87">
              <w:rPr>
                <w:rFonts w:ascii="Arial" w:hAnsi="Arial" w:cs="Arial"/>
                <w:i/>
                <w:sz w:val="16"/>
                <w:szCs w:val="16"/>
                <w:lang w:val="en-GB"/>
              </w:rPr>
              <w:t>/20</w:t>
            </w:r>
            <w:r w:rsidR="0049002E">
              <w:rPr>
                <w:rFonts w:ascii="Arial" w:hAnsi="Arial" w:cs="Arial"/>
                <w:i/>
                <w:sz w:val="16"/>
                <w:szCs w:val="16"/>
                <w:lang w:val="en-GB"/>
              </w:rPr>
              <w:t>2</w:t>
            </w:r>
            <w:r w:rsidR="005E7CB6">
              <w:rPr>
                <w:rFonts w:ascii="Arial" w:hAnsi="Arial" w:cs="Arial"/>
                <w:i/>
                <w:sz w:val="16"/>
                <w:szCs w:val="16"/>
                <w:lang w:val="en-GB"/>
              </w:rPr>
              <w:t>1</w:t>
            </w:r>
          </w:p>
          <w:p w14:paraId="5079AA22" w14:textId="3864644A" w:rsidR="00D61C4D" w:rsidRPr="002A0B87" w:rsidRDefault="00D61C4D" w:rsidP="008064F8">
            <w:pPr>
              <w:pStyle w:val="BodyText"/>
              <w:spacing w:after="120"/>
              <w:ind w:left="-58" w:right="-58"/>
              <w:jc w:val="right"/>
              <w:rPr>
                <w:rFonts w:ascii="Arial" w:hAnsi="Arial" w:cs="Arial"/>
                <w:i/>
                <w:sz w:val="16"/>
                <w:szCs w:val="16"/>
                <w:lang w:val="en-GB"/>
              </w:rPr>
            </w:pPr>
            <w:r w:rsidRPr="002A0B87">
              <w:rPr>
                <w:rFonts w:ascii="Arial" w:hAnsi="Arial" w:cs="Arial"/>
                <w:i/>
                <w:sz w:val="16"/>
                <w:szCs w:val="16"/>
                <w:lang w:val="en-GB"/>
              </w:rPr>
              <w:t>VND</w:t>
            </w:r>
          </w:p>
        </w:tc>
        <w:tc>
          <w:tcPr>
            <w:tcW w:w="1686" w:type="dxa"/>
            <w:vMerge w:val="restart"/>
            <w:tcBorders>
              <w:top w:val="single" w:sz="4" w:space="0" w:color="auto"/>
              <w:left w:val="single" w:sz="4" w:space="0" w:color="auto"/>
              <w:bottom w:val="nil"/>
            </w:tcBorders>
            <w:vAlign w:val="bottom"/>
          </w:tcPr>
          <w:p w14:paraId="7E68483D" w14:textId="10F82AC0" w:rsidR="00D61C4D" w:rsidRPr="002A0B87" w:rsidRDefault="00B32F9D" w:rsidP="008064F8">
            <w:pPr>
              <w:pStyle w:val="BodyText"/>
              <w:ind w:left="-58" w:right="-58"/>
              <w:jc w:val="right"/>
              <w:rPr>
                <w:rFonts w:ascii="Arial" w:hAnsi="Arial" w:cs="Arial"/>
                <w:i/>
                <w:sz w:val="16"/>
                <w:szCs w:val="16"/>
                <w:lang w:val="en-GB"/>
              </w:rPr>
            </w:pPr>
            <w:r>
              <w:rPr>
                <w:rFonts w:ascii="Arial" w:hAnsi="Arial" w:cs="Arial"/>
                <w:i/>
                <w:sz w:val="16"/>
                <w:szCs w:val="16"/>
                <w:lang w:val="en-GB"/>
              </w:rPr>
              <w:t>31</w:t>
            </w:r>
            <w:r w:rsidR="0003649B" w:rsidRPr="002A0B87">
              <w:rPr>
                <w:rFonts w:ascii="Arial" w:hAnsi="Arial" w:cs="Arial"/>
                <w:i/>
                <w:sz w:val="16"/>
                <w:szCs w:val="16"/>
                <w:lang w:val="en-GB"/>
              </w:rPr>
              <w:t>/</w:t>
            </w:r>
            <w:r>
              <w:rPr>
                <w:rFonts w:ascii="Arial" w:hAnsi="Arial" w:cs="Arial"/>
                <w:i/>
                <w:sz w:val="16"/>
                <w:szCs w:val="16"/>
                <w:lang w:val="en-GB"/>
              </w:rPr>
              <w:t>12</w:t>
            </w:r>
            <w:r w:rsidR="0003649B" w:rsidRPr="002A0B87">
              <w:rPr>
                <w:rFonts w:ascii="Arial" w:hAnsi="Arial" w:cs="Arial"/>
                <w:i/>
                <w:sz w:val="16"/>
                <w:szCs w:val="16"/>
                <w:lang w:val="en-GB"/>
              </w:rPr>
              <w:t>/</w:t>
            </w:r>
            <w:r w:rsidR="00315454" w:rsidRPr="002A0B87">
              <w:rPr>
                <w:rFonts w:ascii="Arial" w:hAnsi="Arial" w:cs="Arial"/>
                <w:i/>
                <w:sz w:val="16"/>
                <w:szCs w:val="16"/>
                <w:lang w:val="en-GB"/>
              </w:rPr>
              <w:t>202</w:t>
            </w:r>
            <w:r w:rsidR="005E7CB6">
              <w:rPr>
                <w:rFonts w:ascii="Arial" w:hAnsi="Arial" w:cs="Arial"/>
                <w:i/>
                <w:sz w:val="16"/>
                <w:szCs w:val="16"/>
                <w:lang w:val="en-GB"/>
              </w:rPr>
              <w:t>2</w:t>
            </w:r>
          </w:p>
          <w:p w14:paraId="6680C1FA" w14:textId="01A858CE" w:rsidR="00D61C4D" w:rsidRPr="002A0B87" w:rsidRDefault="00D61C4D" w:rsidP="008064F8">
            <w:pPr>
              <w:pStyle w:val="BodyText"/>
              <w:spacing w:after="120"/>
              <w:ind w:left="-58" w:right="-58"/>
              <w:jc w:val="right"/>
              <w:rPr>
                <w:rFonts w:ascii="Arial" w:hAnsi="Arial" w:cs="Arial"/>
                <w:i/>
                <w:sz w:val="16"/>
                <w:szCs w:val="16"/>
                <w:lang w:val="en-GB"/>
              </w:rPr>
            </w:pPr>
            <w:r w:rsidRPr="002A0B87">
              <w:rPr>
                <w:rFonts w:ascii="Arial" w:hAnsi="Arial" w:cs="Arial"/>
                <w:i/>
                <w:sz w:val="16"/>
                <w:szCs w:val="16"/>
                <w:lang w:val="en-GB"/>
              </w:rPr>
              <w:t>VND</w:t>
            </w:r>
          </w:p>
        </w:tc>
      </w:tr>
      <w:tr w:rsidR="00D61C4D" w:rsidRPr="002A0B87" w14:paraId="44F0769B" w14:textId="77777777" w:rsidTr="00114508">
        <w:tc>
          <w:tcPr>
            <w:tcW w:w="2145" w:type="dxa"/>
            <w:vMerge/>
            <w:tcBorders>
              <w:bottom w:val="single" w:sz="4" w:space="0" w:color="auto"/>
              <w:right w:val="single" w:sz="4" w:space="0" w:color="auto"/>
            </w:tcBorders>
            <w:vAlign w:val="bottom"/>
          </w:tcPr>
          <w:p w14:paraId="7E15503A" w14:textId="77777777" w:rsidR="00D61C4D" w:rsidRPr="002A0B87" w:rsidRDefault="00D61C4D" w:rsidP="008064F8">
            <w:pPr>
              <w:pStyle w:val="BodyText"/>
              <w:ind w:left="-58"/>
              <w:rPr>
                <w:rFonts w:ascii="Arial" w:hAnsi="Arial" w:cs="Arial"/>
                <w:sz w:val="16"/>
                <w:szCs w:val="16"/>
                <w:lang w:val="en-GB"/>
              </w:rPr>
            </w:pPr>
          </w:p>
        </w:tc>
        <w:tc>
          <w:tcPr>
            <w:tcW w:w="1676" w:type="dxa"/>
            <w:vMerge/>
            <w:tcBorders>
              <w:top w:val="nil"/>
              <w:left w:val="single" w:sz="4" w:space="0" w:color="auto"/>
              <w:bottom w:val="single" w:sz="4" w:space="0" w:color="auto"/>
              <w:right w:val="single" w:sz="4" w:space="0" w:color="auto"/>
            </w:tcBorders>
            <w:vAlign w:val="bottom"/>
          </w:tcPr>
          <w:p w14:paraId="12B3ADF2" w14:textId="77777777" w:rsidR="00D61C4D" w:rsidRPr="002A0B87" w:rsidRDefault="00D61C4D" w:rsidP="008064F8">
            <w:pPr>
              <w:pStyle w:val="BodyText"/>
              <w:ind w:left="-58" w:right="-58"/>
              <w:jc w:val="right"/>
              <w:rPr>
                <w:rFonts w:ascii="Arial" w:hAnsi="Arial" w:cs="Arial"/>
                <w:sz w:val="16"/>
                <w:szCs w:val="16"/>
                <w:lang w:val="en-GB"/>
              </w:rPr>
            </w:pPr>
          </w:p>
        </w:tc>
        <w:tc>
          <w:tcPr>
            <w:tcW w:w="1744" w:type="dxa"/>
            <w:vMerge/>
            <w:tcBorders>
              <w:top w:val="nil"/>
              <w:left w:val="single" w:sz="4" w:space="0" w:color="auto"/>
              <w:bottom w:val="single" w:sz="4" w:space="0" w:color="auto"/>
              <w:right w:val="single" w:sz="4" w:space="0" w:color="auto"/>
            </w:tcBorders>
            <w:vAlign w:val="bottom"/>
          </w:tcPr>
          <w:p w14:paraId="1224CD8C" w14:textId="77777777" w:rsidR="00D61C4D" w:rsidRPr="002A0B87" w:rsidRDefault="00D61C4D" w:rsidP="008064F8">
            <w:pPr>
              <w:pStyle w:val="BodyText"/>
              <w:ind w:left="-58" w:right="-58"/>
              <w:jc w:val="right"/>
              <w:rPr>
                <w:rFonts w:ascii="Arial" w:hAnsi="Arial" w:cs="Arial"/>
                <w:sz w:val="16"/>
                <w:szCs w:val="16"/>
                <w:lang w:val="en-GB"/>
              </w:rPr>
            </w:pPr>
          </w:p>
        </w:tc>
        <w:tc>
          <w:tcPr>
            <w:tcW w:w="1440" w:type="dxa"/>
            <w:tcBorders>
              <w:top w:val="single" w:sz="4" w:space="0" w:color="auto"/>
              <w:left w:val="single" w:sz="4" w:space="0" w:color="auto"/>
              <w:bottom w:val="single" w:sz="4" w:space="0" w:color="auto"/>
              <w:right w:val="single" w:sz="4" w:space="0" w:color="auto"/>
            </w:tcBorders>
            <w:vAlign w:val="bottom"/>
          </w:tcPr>
          <w:p w14:paraId="064AFC3C" w14:textId="3B43DCB5" w:rsidR="00D61C4D" w:rsidRPr="002A0B87" w:rsidRDefault="002B7922" w:rsidP="008064F8">
            <w:pPr>
              <w:pStyle w:val="BodyText"/>
              <w:spacing w:before="60"/>
              <w:ind w:left="-58" w:right="-58"/>
              <w:jc w:val="right"/>
              <w:rPr>
                <w:rFonts w:ascii="Arial" w:hAnsi="Arial" w:cs="Arial"/>
                <w:i/>
                <w:sz w:val="16"/>
                <w:szCs w:val="16"/>
                <w:lang w:val="en-GB"/>
              </w:rPr>
            </w:pPr>
            <w:r>
              <w:rPr>
                <w:rFonts w:ascii="Arial" w:hAnsi="Arial" w:cs="Arial"/>
                <w:i/>
                <w:sz w:val="16"/>
                <w:szCs w:val="16"/>
                <w:lang w:val="en-GB"/>
              </w:rPr>
              <w:t>Increase</w:t>
            </w:r>
          </w:p>
          <w:p w14:paraId="28EE22EB" w14:textId="05BB3196" w:rsidR="00D61C4D" w:rsidRPr="002A0B87" w:rsidRDefault="00D61C4D" w:rsidP="008064F8">
            <w:pPr>
              <w:pStyle w:val="BodyText"/>
              <w:spacing w:after="120"/>
              <w:ind w:left="-58" w:right="-58"/>
              <w:jc w:val="right"/>
              <w:rPr>
                <w:rFonts w:ascii="Arial" w:hAnsi="Arial" w:cs="Arial"/>
                <w:sz w:val="16"/>
                <w:szCs w:val="16"/>
                <w:lang w:val="en-GB"/>
              </w:rPr>
            </w:pPr>
            <w:r w:rsidRPr="002A0B87">
              <w:rPr>
                <w:rFonts w:ascii="Arial" w:hAnsi="Arial" w:cs="Arial"/>
                <w:i/>
                <w:sz w:val="16"/>
                <w:szCs w:val="16"/>
                <w:lang w:val="en-GB"/>
              </w:rPr>
              <w:t>VND</w:t>
            </w:r>
          </w:p>
        </w:tc>
        <w:tc>
          <w:tcPr>
            <w:tcW w:w="1170" w:type="dxa"/>
            <w:tcBorders>
              <w:top w:val="single" w:sz="4" w:space="0" w:color="auto"/>
              <w:left w:val="single" w:sz="4" w:space="0" w:color="auto"/>
              <w:bottom w:val="single" w:sz="4" w:space="0" w:color="auto"/>
              <w:right w:val="single" w:sz="4" w:space="0" w:color="auto"/>
            </w:tcBorders>
            <w:vAlign w:val="bottom"/>
          </w:tcPr>
          <w:p w14:paraId="796A0C46" w14:textId="3576F255" w:rsidR="00D61C4D" w:rsidRPr="002A0B87" w:rsidRDefault="002B7922" w:rsidP="008064F8">
            <w:pPr>
              <w:pStyle w:val="BodyText"/>
              <w:spacing w:before="60"/>
              <w:ind w:left="-58" w:right="-58"/>
              <w:jc w:val="right"/>
              <w:rPr>
                <w:rFonts w:ascii="Arial" w:hAnsi="Arial" w:cs="Arial"/>
                <w:i/>
                <w:sz w:val="16"/>
                <w:szCs w:val="16"/>
                <w:lang w:val="en-GB"/>
              </w:rPr>
            </w:pPr>
            <w:r>
              <w:rPr>
                <w:rFonts w:ascii="Arial" w:hAnsi="Arial" w:cs="Arial"/>
                <w:i/>
                <w:sz w:val="16"/>
                <w:szCs w:val="16"/>
                <w:lang w:val="en-GB"/>
              </w:rPr>
              <w:t>Decrease</w:t>
            </w:r>
          </w:p>
          <w:p w14:paraId="52BE478B" w14:textId="7465CFE3" w:rsidR="00D61C4D" w:rsidRPr="002A0B87" w:rsidRDefault="00D61C4D" w:rsidP="008064F8">
            <w:pPr>
              <w:pStyle w:val="BodyText"/>
              <w:spacing w:after="120"/>
              <w:ind w:left="-58" w:right="-58"/>
              <w:jc w:val="right"/>
              <w:rPr>
                <w:rFonts w:ascii="Arial" w:hAnsi="Arial" w:cs="Arial"/>
                <w:sz w:val="16"/>
                <w:szCs w:val="16"/>
                <w:lang w:val="en-GB"/>
              </w:rPr>
            </w:pPr>
            <w:r w:rsidRPr="002A0B87">
              <w:rPr>
                <w:rFonts w:ascii="Arial" w:hAnsi="Arial" w:cs="Arial"/>
                <w:i/>
                <w:sz w:val="16"/>
                <w:szCs w:val="16"/>
                <w:lang w:val="en-GB"/>
              </w:rPr>
              <w:t>VND</w:t>
            </w:r>
          </w:p>
        </w:tc>
        <w:tc>
          <w:tcPr>
            <w:tcW w:w="1530" w:type="dxa"/>
            <w:tcBorders>
              <w:top w:val="single" w:sz="4" w:space="0" w:color="auto"/>
              <w:left w:val="single" w:sz="4" w:space="0" w:color="auto"/>
              <w:bottom w:val="single" w:sz="4" w:space="0" w:color="auto"/>
              <w:right w:val="single" w:sz="4" w:space="0" w:color="auto"/>
            </w:tcBorders>
            <w:vAlign w:val="bottom"/>
          </w:tcPr>
          <w:p w14:paraId="00E53E6A" w14:textId="2F3B73E8" w:rsidR="00D61C4D" w:rsidRPr="002A0B87" w:rsidRDefault="00B6149A" w:rsidP="008064F8">
            <w:pPr>
              <w:pStyle w:val="BodyText"/>
              <w:spacing w:before="60"/>
              <w:ind w:left="-58" w:right="-58"/>
              <w:jc w:val="right"/>
              <w:rPr>
                <w:rFonts w:ascii="Arial" w:hAnsi="Arial" w:cs="Arial"/>
                <w:i/>
                <w:sz w:val="16"/>
                <w:szCs w:val="16"/>
                <w:lang w:val="en-GB"/>
              </w:rPr>
            </w:pPr>
            <w:r>
              <w:rPr>
                <w:rFonts w:ascii="Arial" w:hAnsi="Arial" w:cs="Arial"/>
                <w:i/>
                <w:sz w:val="16"/>
                <w:szCs w:val="16"/>
                <w:lang w:val="en-GB"/>
              </w:rPr>
              <w:t>Increase</w:t>
            </w:r>
          </w:p>
          <w:p w14:paraId="68CB85D9" w14:textId="7598213A" w:rsidR="00D61C4D" w:rsidRPr="002A0B87" w:rsidRDefault="00D61C4D" w:rsidP="008064F8">
            <w:pPr>
              <w:pStyle w:val="BodyText"/>
              <w:spacing w:after="120"/>
              <w:ind w:left="-58" w:right="-58"/>
              <w:jc w:val="right"/>
              <w:rPr>
                <w:rFonts w:ascii="Arial" w:hAnsi="Arial" w:cs="Arial"/>
                <w:sz w:val="16"/>
                <w:szCs w:val="16"/>
                <w:lang w:val="en-GB"/>
              </w:rPr>
            </w:pPr>
            <w:r w:rsidRPr="002A0B87">
              <w:rPr>
                <w:rFonts w:ascii="Arial" w:hAnsi="Arial" w:cs="Arial"/>
                <w:i/>
                <w:sz w:val="16"/>
                <w:szCs w:val="16"/>
                <w:lang w:val="en-GB"/>
              </w:rPr>
              <w:t>VND</w:t>
            </w:r>
          </w:p>
        </w:tc>
        <w:tc>
          <w:tcPr>
            <w:tcW w:w="1080" w:type="dxa"/>
            <w:tcBorders>
              <w:top w:val="single" w:sz="4" w:space="0" w:color="auto"/>
              <w:left w:val="single" w:sz="4" w:space="0" w:color="auto"/>
              <w:bottom w:val="single" w:sz="4" w:space="0" w:color="auto"/>
              <w:right w:val="single" w:sz="4" w:space="0" w:color="auto"/>
            </w:tcBorders>
            <w:vAlign w:val="bottom"/>
          </w:tcPr>
          <w:p w14:paraId="683F9B2A" w14:textId="16DA5AA2" w:rsidR="00D61C4D" w:rsidRPr="002A0B87" w:rsidRDefault="00B6149A" w:rsidP="008064F8">
            <w:pPr>
              <w:pStyle w:val="BodyText"/>
              <w:spacing w:before="60"/>
              <w:ind w:left="-58" w:right="-58"/>
              <w:jc w:val="right"/>
              <w:rPr>
                <w:rFonts w:ascii="Arial" w:hAnsi="Arial" w:cs="Arial"/>
                <w:i/>
                <w:sz w:val="16"/>
                <w:szCs w:val="16"/>
                <w:lang w:val="en-GB"/>
              </w:rPr>
            </w:pPr>
            <w:r>
              <w:rPr>
                <w:rFonts w:ascii="Arial" w:hAnsi="Arial" w:cs="Arial"/>
                <w:i/>
                <w:sz w:val="16"/>
                <w:szCs w:val="16"/>
                <w:lang w:val="en-GB"/>
              </w:rPr>
              <w:t>Decrease</w:t>
            </w:r>
          </w:p>
          <w:p w14:paraId="62DAB451" w14:textId="6B30919E" w:rsidR="00D61C4D" w:rsidRPr="002A0B87" w:rsidRDefault="00D61C4D" w:rsidP="008064F8">
            <w:pPr>
              <w:pStyle w:val="BodyText"/>
              <w:spacing w:after="120"/>
              <w:ind w:left="-58" w:right="-58"/>
              <w:jc w:val="right"/>
              <w:rPr>
                <w:rFonts w:ascii="Arial" w:hAnsi="Arial" w:cs="Arial"/>
                <w:sz w:val="16"/>
                <w:szCs w:val="16"/>
                <w:lang w:val="en-GB"/>
              </w:rPr>
            </w:pPr>
            <w:r w:rsidRPr="002A0B87">
              <w:rPr>
                <w:rFonts w:ascii="Arial" w:hAnsi="Arial" w:cs="Arial"/>
                <w:i/>
                <w:sz w:val="16"/>
                <w:szCs w:val="16"/>
                <w:lang w:val="en-GB"/>
              </w:rPr>
              <w:t>VND</w:t>
            </w:r>
          </w:p>
        </w:tc>
        <w:tc>
          <w:tcPr>
            <w:tcW w:w="1710" w:type="dxa"/>
            <w:vMerge/>
            <w:tcBorders>
              <w:top w:val="nil"/>
              <w:left w:val="single" w:sz="4" w:space="0" w:color="auto"/>
              <w:bottom w:val="single" w:sz="4" w:space="0" w:color="auto"/>
              <w:right w:val="single" w:sz="4" w:space="0" w:color="auto"/>
            </w:tcBorders>
            <w:vAlign w:val="bottom"/>
          </w:tcPr>
          <w:p w14:paraId="7B446322" w14:textId="77777777" w:rsidR="00D61C4D" w:rsidRPr="002A0B87" w:rsidRDefault="00D61C4D" w:rsidP="008064F8">
            <w:pPr>
              <w:pStyle w:val="BodyText"/>
              <w:ind w:left="-58" w:right="-58"/>
              <w:jc w:val="right"/>
              <w:rPr>
                <w:rFonts w:ascii="Arial" w:hAnsi="Arial" w:cs="Arial"/>
                <w:sz w:val="16"/>
                <w:szCs w:val="16"/>
                <w:lang w:val="en-GB"/>
              </w:rPr>
            </w:pPr>
          </w:p>
        </w:tc>
        <w:tc>
          <w:tcPr>
            <w:tcW w:w="1686" w:type="dxa"/>
            <w:vMerge/>
            <w:tcBorders>
              <w:top w:val="nil"/>
              <w:left w:val="single" w:sz="4" w:space="0" w:color="auto"/>
              <w:bottom w:val="single" w:sz="4" w:space="0" w:color="auto"/>
            </w:tcBorders>
            <w:vAlign w:val="bottom"/>
          </w:tcPr>
          <w:p w14:paraId="099C1C25" w14:textId="77777777" w:rsidR="00D61C4D" w:rsidRPr="002A0B87" w:rsidRDefault="00D61C4D" w:rsidP="008064F8">
            <w:pPr>
              <w:pStyle w:val="BodyText"/>
              <w:ind w:left="-58" w:right="-58"/>
              <w:jc w:val="right"/>
              <w:rPr>
                <w:rFonts w:ascii="Arial" w:hAnsi="Arial" w:cs="Arial"/>
                <w:sz w:val="16"/>
                <w:szCs w:val="16"/>
                <w:lang w:val="en-GB"/>
              </w:rPr>
            </w:pPr>
          </w:p>
        </w:tc>
      </w:tr>
      <w:tr w:rsidR="003101EA" w:rsidRPr="002A0B87" w14:paraId="348E732F" w14:textId="77777777" w:rsidTr="00114508">
        <w:tc>
          <w:tcPr>
            <w:tcW w:w="2145" w:type="dxa"/>
            <w:tcBorders>
              <w:top w:val="single" w:sz="4" w:space="0" w:color="auto"/>
              <w:right w:val="single" w:sz="4" w:space="0" w:color="auto"/>
            </w:tcBorders>
            <w:vAlign w:val="bottom"/>
          </w:tcPr>
          <w:p w14:paraId="5802F6DE" w14:textId="664290D1" w:rsidR="003101EA" w:rsidRPr="002A0B87" w:rsidRDefault="003101EA" w:rsidP="003101EA">
            <w:pPr>
              <w:pStyle w:val="BodyText"/>
              <w:spacing w:before="120"/>
              <w:ind w:left="230" w:hanging="288"/>
              <w:rPr>
                <w:rFonts w:ascii="Arial" w:hAnsi="Arial" w:cs="Arial"/>
                <w:b/>
                <w:sz w:val="16"/>
                <w:szCs w:val="16"/>
                <w:lang w:val="en-GB"/>
              </w:rPr>
            </w:pPr>
            <w:r w:rsidRPr="002A0B87">
              <w:rPr>
                <w:rFonts w:ascii="Arial" w:hAnsi="Arial" w:cs="Arial"/>
                <w:b/>
                <w:sz w:val="16"/>
                <w:szCs w:val="16"/>
                <w:lang w:val="en-GB"/>
              </w:rPr>
              <w:t>I.</w:t>
            </w:r>
            <w:r w:rsidRPr="002A0B87">
              <w:rPr>
                <w:rFonts w:ascii="Arial" w:hAnsi="Arial" w:cs="Arial"/>
                <w:b/>
                <w:sz w:val="16"/>
                <w:szCs w:val="16"/>
                <w:lang w:val="en-GB"/>
              </w:rPr>
              <w:tab/>
            </w:r>
            <w:r w:rsidRPr="003E3D47">
              <w:rPr>
                <w:rFonts w:ascii="Arial" w:hAnsi="Arial" w:cs="Arial"/>
                <w:b/>
                <w:sz w:val="16"/>
                <w:szCs w:val="16"/>
                <w:lang w:val="en-GB"/>
              </w:rPr>
              <w:t>CHANGES IN OWNERS’ EQUITY</w:t>
            </w:r>
          </w:p>
        </w:tc>
        <w:tc>
          <w:tcPr>
            <w:tcW w:w="1676" w:type="dxa"/>
            <w:tcBorders>
              <w:top w:val="single" w:sz="4" w:space="0" w:color="auto"/>
              <w:left w:val="single" w:sz="4" w:space="0" w:color="auto"/>
              <w:right w:val="single" w:sz="4" w:space="0" w:color="auto"/>
            </w:tcBorders>
          </w:tcPr>
          <w:p w14:paraId="04C58555" w14:textId="07DE9710" w:rsidR="003101EA" w:rsidRPr="002A0B87" w:rsidRDefault="003101EA" w:rsidP="003101EA">
            <w:pPr>
              <w:pStyle w:val="BodyText"/>
              <w:spacing w:before="120"/>
              <w:ind w:left="-58" w:right="-58"/>
              <w:jc w:val="right"/>
              <w:rPr>
                <w:rFonts w:ascii="Arial" w:hAnsi="Arial" w:cs="Arial"/>
                <w:b/>
                <w:sz w:val="16"/>
                <w:szCs w:val="16"/>
                <w:lang w:val="en-GB"/>
              </w:rPr>
            </w:pPr>
          </w:p>
        </w:tc>
        <w:tc>
          <w:tcPr>
            <w:tcW w:w="1744" w:type="dxa"/>
            <w:tcBorders>
              <w:top w:val="single" w:sz="4" w:space="0" w:color="auto"/>
              <w:left w:val="single" w:sz="4" w:space="0" w:color="auto"/>
              <w:right w:val="single" w:sz="4" w:space="0" w:color="auto"/>
            </w:tcBorders>
          </w:tcPr>
          <w:p w14:paraId="2898C9D3" w14:textId="77777777" w:rsidR="003101EA" w:rsidRPr="002A0B87" w:rsidRDefault="003101EA" w:rsidP="003101EA">
            <w:pPr>
              <w:pStyle w:val="BodyText"/>
              <w:spacing w:before="120"/>
              <w:ind w:left="-58" w:right="-58"/>
              <w:jc w:val="right"/>
              <w:rPr>
                <w:rFonts w:ascii="Arial" w:hAnsi="Arial" w:cs="Arial"/>
                <w:b/>
                <w:sz w:val="16"/>
                <w:szCs w:val="16"/>
                <w:lang w:val="en-GB"/>
              </w:rPr>
            </w:pPr>
          </w:p>
        </w:tc>
        <w:tc>
          <w:tcPr>
            <w:tcW w:w="1440" w:type="dxa"/>
            <w:tcBorders>
              <w:top w:val="single" w:sz="4" w:space="0" w:color="auto"/>
              <w:left w:val="single" w:sz="4" w:space="0" w:color="auto"/>
              <w:right w:val="single" w:sz="4" w:space="0" w:color="auto"/>
            </w:tcBorders>
          </w:tcPr>
          <w:p w14:paraId="0883631F" w14:textId="77777777" w:rsidR="003101EA" w:rsidRPr="002A0B87" w:rsidRDefault="003101EA" w:rsidP="003101EA">
            <w:pPr>
              <w:pStyle w:val="BodyText"/>
              <w:spacing w:before="120"/>
              <w:ind w:left="-58" w:right="-58"/>
              <w:jc w:val="right"/>
              <w:rPr>
                <w:rFonts w:ascii="Arial" w:hAnsi="Arial" w:cs="Arial"/>
                <w:b/>
                <w:sz w:val="16"/>
                <w:szCs w:val="16"/>
                <w:lang w:val="en-GB"/>
              </w:rPr>
            </w:pPr>
          </w:p>
        </w:tc>
        <w:tc>
          <w:tcPr>
            <w:tcW w:w="1170" w:type="dxa"/>
            <w:tcBorders>
              <w:top w:val="single" w:sz="4" w:space="0" w:color="auto"/>
              <w:left w:val="single" w:sz="4" w:space="0" w:color="auto"/>
              <w:right w:val="single" w:sz="4" w:space="0" w:color="auto"/>
            </w:tcBorders>
          </w:tcPr>
          <w:p w14:paraId="337E49F8" w14:textId="77777777" w:rsidR="003101EA" w:rsidRPr="002A0B87" w:rsidRDefault="003101EA" w:rsidP="003101EA">
            <w:pPr>
              <w:pStyle w:val="BodyText"/>
              <w:spacing w:before="120"/>
              <w:ind w:left="-58" w:right="-58"/>
              <w:jc w:val="right"/>
              <w:rPr>
                <w:rFonts w:ascii="Arial" w:hAnsi="Arial" w:cs="Arial"/>
                <w:b/>
                <w:sz w:val="16"/>
                <w:szCs w:val="16"/>
                <w:lang w:val="en-GB"/>
              </w:rPr>
            </w:pPr>
          </w:p>
        </w:tc>
        <w:tc>
          <w:tcPr>
            <w:tcW w:w="1530" w:type="dxa"/>
            <w:tcBorders>
              <w:top w:val="single" w:sz="4" w:space="0" w:color="auto"/>
              <w:left w:val="single" w:sz="4" w:space="0" w:color="auto"/>
              <w:right w:val="single" w:sz="4" w:space="0" w:color="auto"/>
            </w:tcBorders>
          </w:tcPr>
          <w:p w14:paraId="0EE8814B" w14:textId="77777777" w:rsidR="003101EA" w:rsidRPr="002A0B87" w:rsidRDefault="003101EA" w:rsidP="003101EA">
            <w:pPr>
              <w:pStyle w:val="BodyText"/>
              <w:spacing w:before="120"/>
              <w:ind w:left="-58" w:right="-58"/>
              <w:jc w:val="right"/>
              <w:rPr>
                <w:rFonts w:ascii="Arial" w:hAnsi="Arial" w:cs="Arial"/>
                <w:b/>
                <w:sz w:val="16"/>
                <w:szCs w:val="16"/>
                <w:lang w:val="en-GB"/>
              </w:rPr>
            </w:pPr>
          </w:p>
        </w:tc>
        <w:tc>
          <w:tcPr>
            <w:tcW w:w="1080" w:type="dxa"/>
            <w:tcBorders>
              <w:top w:val="single" w:sz="4" w:space="0" w:color="auto"/>
              <w:left w:val="single" w:sz="4" w:space="0" w:color="auto"/>
              <w:right w:val="single" w:sz="4" w:space="0" w:color="auto"/>
            </w:tcBorders>
          </w:tcPr>
          <w:p w14:paraId="08B4D7B1" w14:textId="77777777" w:rsidR="003101EA" w:rsidRPr="002A0B87" w:rsidRDefault="003101EA" w:rsidP="003101EA">
            <w:pPr>
              <w:pStyle w:val="BodyText"/>
              <w:spacing w:before="120"/>
              <w:ind w:left="-58" w:right="-58"/>
              <w:jc w:val="right"/>
              <w:rPr>
                <w:rFonts w:ascii="Arial" w:hAnsi="Arial" w:cs="Arial"/>
                <w:b/>
                <w:sz w:val="16"/>
                <w:szCs w:val="16"/>
                <w:lang w:val="en-GB"/>
              </w:rPr>
            </w:pPr>
          </w:p>
        </w:tc>
        <w:tc>
          <w:tcPr>
            <w:tcW w:w="1710" w:type="dxa"/>
            <w:tcBorders>
              <w:top w:val="single" w:sz="4" w:space="0" w:color="auto"/>
              <w:left w:val="single" w:sz="4" w:space="0" w:color="auto"/>
              <w:right w:val="single" w:sz="4" w:space="0" w:color="auto"/>
            </w:tcBorders>
          </w:tcPr>
          <w:p w14:paraId="1CC352AE" w14:textId="77777777" w:rsidR="003101EA" w:rsidRPr="002A0B87" w:rsidRDefault="003101EA" w:rsidP="003101EA">
            <w:pPr>
              <w:pStyle w:val="BodyText"/>
              <w:spacing w:before="120"/>
              <w:ind w:left="-58" w:right="-58"/>
              <w:jc w:val="right"/>
              <w:rPr>
                <w:rFonts w:ascii="Arial" w:hAnsi="Arial" w:cs="Arial"/>
                <w:b/>
                <w:sz w:val="16"/>
                <w:szCs w:val="16"/>
                <w:lang w:val="en-GB"/>
              </w:rPr>
            </w:pPr>
          </w:p>
        </w:tc>
        <w:tc>
          <w:tcPr>
            <w:tcW w:w="1686" w:type="dxa"/>
            <w:tcBorders>
              <w:top w:val="single" w:sz="4" w:space="0" w:color="auto"/>
              <w:left w:val="single" w:sz="4" w:space="0" w:color="auto"/>
            </w:tcBorders>
          </w:tcPr>
          <w:p w14:paraId="0C47AB97" w14:textId="77777777" w:rsidR="003101EA" w:rsidRPr="002A0B87" w:rsidRDefault="003101EA" w:rsidP="003101EA">
            <w:pPr>
              <w:pStyle w:val="BodyText"/>
              <w:spacing w:before="120"/>
              <w:ind w:left="-58" w:right="-58"/>
              <w:jc w:val="right"/>
              <w:rPr>
                <w:rFonts w:ascii="Arial" w:hAnsi="Arial" w:cs="Arial"/>
                <w:b/>
                <w:sz w:val="16"/>
                <w:szCs w:val="16"/>
                <w:lang w:val="en-GB"/>
              </w:rPr>
            </w:pPr>
          </w:p>
        </w:tc>
      </w:tr>
      <w:tr w:rsidR="003101EA" w:rsidRPr="002A0B87" w14:paraId="119B95B1" w14:textId="77777777" w:rsidTr="00114508">
        <w:tc>
          <w:tcPr>
            <w:tcW w:w="2145" w:type="dxa"/>
            <w:tcBorders>
              <w:right w:val="single" w:sz="4" w:space="0" w:color="auto"/>
            </w:tcBorders>
            <w:vAlign w:val="bottom"/>
          </w:tcPr>
          <w:p w14:paraId="57E595CF" w14:textId="22BA8E59" w:rsidR="003101EA" w:rsidRPr="00E01045" w:rsidRDefault="003101EA" w:rsidP="003101EA">
            <w:pPr>
              <w:pStyle w:val="BodyText"/>
              <w:spacing w:before="120"/>
              <w:ind w:left="230" w:hanging="288"/>
              <w:rPr>
                <w:rFonts w:ascii="Arial" w:hAnsi="Arial" w:cs="Arial"/>
                <w:sz w:val="16"/>
                <w:szCs w:val="16"/>
                <w:lang w:val="en-GB"/>
              </w:rPr>
            </w:pPr>
            <w:r w:rsidRPr="005C55A7">
              <w:rPr>
                <w:rFonts w:ascii="Arial" w:hAnsi="Arial" w:cs="Arial"/>
                <w:sz w:val="16"/>
                <w:szCs w:val="16"/>
                <w:lang w:val="en-GB"/>
              </w:rPr>
              <w:t>1.</w:t>
            </w:r>
            <w:r w:rsidRPr="005C55A7">
              <w:rPr>
                <w:rFonts w:ascii="Arial" w:hAnsi="Arial" w:cs="Arial"/>
                <w:sz w:val="16"/>
                <w:szCs w:val="16"/>
                <w:lang w:val="en-GB"/>
              </w:rPr>
              <w:tab/>
              <w:t>Share capital</w:t>
            </w:r>
          </w:p>
        </w:tc>
        <w:tc>
          <w:tcPr>
            <w:tcW w:w="1676" w:type="dxa"/>
            <w:tcBorders>
              <w:left w:val="single" w:sz="4" w:space="0" w:color="auto"/>
              <w:right w:val="single" w:sz="4" w:space="0" w:color="auto"/>
            </w:tcBorders>
          </w:tcPr>
          <w:p w14:paraId="1DB107D5" w14:textId="041CDCD2" w:rsidR="003101EA" w:rsidRPr="000C4C5E" w:rsidRDefault="003101EA" w:rsidP="003101EA">
            <w:pPr>
              <w:pStyle w:val="BodyText"/>
              <w:spacing w:before="120"/>
              <w:ind w:left="-58" w:right="-58"/>
              <w:jc w:val="right"/>
              <w:rPr>
                <w:rFonts w:ascii="Arial" w:hAnsi="Arial" w:cs="Arial"/>
                <w:sz w:val="16"/>
                <w:szCs w:val="16"/>
                <w:lang w:val="en-GB"/>
              </w:rPr>
            </w:pPr>
            <w:r w:rsidRPr="000C4C5E">
              <w:rPr>
                <w:rFonts w:ascii="Arial" w:hAnsi="Arial" w:cs="Arial"/>
                <w:sz w:val="16"/>
                <w:szCs w:val="16"/>
              </w:rPr>
              <w:t>1</w:t>
            </w:r>
            <w:r w:rsidR="0066748A">
              <w:rPr>
                <w:rFonts w:ascii="Arial" w:hAnsi="Arial" w:cs="Arial"/>
                <w:sz w:val="16"/>
                <w:szCs w:val="16"/>
              </w:rPr>
              <w:t>,</w:t>
            </w:r>
            <w:r w:rsidRPr="000C4C5E">
              <w:rPr>
                <w:rFonts w:ascii="Arial" w:hAnsi="Arial" w:cs="Arial"/>
                <w:sz w:val="16"/>
                <w:szCs w:val="16"/>
              </w:rPr>
              <w:t>239</w:t>
            </w:r>
            <w:r w:rsidR="0066748A">
              <w:rPr>
                <w:rFonts w:ascii="Arial" w:hAnsi="Arial" w:cs="Arial"/>
                <w:sz w:val="16"/>
                <w:szCs w:val="16"/>
              </w:rPr>
              <w:t>,</w:t>
            </w:r>
            <w:r w:rsidRPr="000C4C5E">
              <w:rPr>
                <w:rFonts w:ascii="Arial" w:hAnsi="Arial" w:cs="Arial"/>
                <w:sz w:val="16"/>
                <w:szCs w:val="16"/>
              </w:rPr>
              <w:t>000</w:t>
            </w:r>
            <w:r w:rsidR="0066748A">
              <w:rPr>
                <w:rFonts w:ascii="Arial" w:hAnsi="Arial" w:cs="Arial"/>
                <w:sz w:val="16"/>
                <w:szCs w:val="16"/>
              </w:rPr>
              <w:t>,</w:t>
            </w:r>
            <w:r w:rsidRPr="000C4C5E">
              <w:rPr>
                <w:rFonts w:ascii="Arial" w:hAnsi="Arial" w:cs="Arial"/>
                <w:sz w:val="16"/>
                <w:szCs w:val="16"/>
              </w:rPr>
              <w:t>000</w:t>
            </w:r>
            <w:r w:rsidR="0066748A">
              <w:rPr>
                <w:rFonts w:ascii="Arial" w:hAnsi="Arial" w:cs="Arial"/>
                <w:sz w:val="16"/>
                <w:szCs w:val="16"/>
              </w:rPr>
              <w:t>,</w:t>
            </w:r>
            <w:r w:rsidRPr="000C4C5E">
              <w:rPr>
                <w:rFonts w:ascii="Arial" w:hAnsi="Arial" w:cs="Arial"/>
                <w:sz w:val="16"/>
                <w:szCs w:val="16"/>
              </w:rPr>
              <w:t xml:space="preserve">000 </w:t>
            </w:r>
          </w:p>
        </w:tc>
        <w:tc>
          <w:tcPr>
            <w:tcW w:w="1744" w:type="dxa"/>
            <w:tcBorders>
              <w:left w:val="single" w:sz="4" w:space="0" w:color="auto"/>
              <w:right w:val="single" w:sz="4" w:space="0" w:color="auto"/>
            </w:tcBorders>
          </w:tcPr>
          <w:p w14:paraId="2B8643DB" w14:textId="33994DCC" w:rsidR="003101EA" w:rsidRPr="000C4C5E" w:rsidRDefault="003101EA" w:rsidP="003101EA">
            <w:pPr>
              <w:pStyle w:val="BodyText"/>
              <w:spacing w:before="120"/>
              <w:ind w:left="-58" w:right="-58"/>
              <w:jc w:val="right"/>
              <w:rPr>
                <w:rFonts w:ascii="Arial" w:hAnsi="Arial" w:cs="Arial"/>
                <w:sz w:val="16"/>
                <w:szCs w:val="16"/>
                <w:lang w:val="en-GB"/>
              </w:rPr>
            </w:pPr>
            <w:r w:rsidRPr="000C4C5E">
              <w:rPr>
                <w:rFonts w:ascii="Arial" w:hAnsi="Arial" w:cs="Arial"/>
                <w:sz w:val="16"/>
                <w:szCs w:val="16"/>
              </w:rPr>
              <w:t>1</w:t>
            </w:r>
            <w:r w:rsidR="0066748A">
              <w:rPr>
                <w:rFonts w:ascii="Arial" w:hAnsi="Arial" w:cs="Arial"/>
                <w:sz w:val="16"/>
                <w:szCs w:val="16"/>
              </w:rPr>
              <w:t>,</w:t>
            </w:r>
            <w:r w:rsidRPr="000C4C5E">
              <w:rPr>
                <w:rFonts w:ascii="Arial" w:hAnsi="Arial" w:cs="Arial"/>
                <w:sz w:val="16"/>
                <w:szCs w:val="16"/>
              </w:rPr>
              <w:t>239</w:t>
            </w:r>
            <w:r w:rsidR="0066748A">
              <w:rPr>
                <w:rFonts w:ascii="Arial" w:hAnsi="Arial" w:cs="Arial"/>
                <w:sz w:val="16"/>
                <w:szCs w:val="16"/>
              </w:rPr>
              <w:t>,</w:t>
            </w:r>
            <w:r w:rsidRPr="000C4C5E">
              <w:rPr>
                <w:rFonts w:ascii="Arial" w:hAnsi="Arial" w:cs="Arial"/>
                <w:sz w:val="16"/>
                <w:szCs w:val="16"/>
              </w:rPr>
              <w:t>000</w:t>
            </w:r>
            <w:r w:rsidR="0066748A">
              <w:rPr>
                <w:rFonts w:ascii="Arial" w:hAnsi="Arial" w:cs="Arial"/>
                <w:sz w:val="16"/>
                <w:szCs w:val="16"/>
              </w:rPr>
              <w:t>,</w:t>
            </w:r>
            <w:r w:rsidRPr="000C4C5E">
              <w:rPr>
                <w:rFonts w:ascii="Arial" w:hAnsi="Arial" w:cs="Arial"/>
                <w:sz w:val="16"/>
                <w:szCs w:val="16"/>
              </w:rPr>
              <w:t>000</w:t>
            </w:r>
            <w:r w:rsidR="0066748A">
              <w:rPr>
                <w:rFonts w:ascii="Arial" w:hAnsi="Arial" w:cs="Arial"/>
                <w:sz w:val="16"/>
                <w:szCs w:val="16"/>
              </w:rPr>
              <w:t>,</w:t>
            </w:r>
            <w:r w:rsidRPr="000C4C5E">
              <w:rPr>
                <w:rFonts w:ascii="Arial" w:hAnsi="Arial" w:cs="Arial"/>
                <w:sz w:val="16"/>
                <w:szCs w:val="16"/>
              </w:rPr>
              <w:t xml:space="preserve">000 </w:t>
            </w:r>
          </w:p>
        </w:tc>
        <w:tc>
          <w:tcPr>
            <w:tcW w:w="1440" w:type="dxa"/>
            <w:tcBorders>
              <w:left w:val="single" w:sz="4" w:space="0" w:color="auto"/>
              <w:right w:val="single" w:sz="4" w:space="0" w:color="auto"/>
            </w:tcBorders>
          </w:tcPr>
          <w:p w14:paraId="58E5FB5A" w14:textId="3659F45E" w:rsidR="003101EA" w:rsidRPr="000C4C5E" w:rsidRDefault="003101EA" w:rsidP="003101EA">
            <w:pPr>
              <w:pStyle w:val="BodyText"/>
              <w:spacing w:before="120"/>
              <w:ind w:left="-58" w:right="-58"/>
              <w:jc w:val="right"/>
              <w:rPr>
                <w:rFonts w:ascii="Arial" w:hAnsi="Arial" w:cs="Arial"/>
                <w:sz w:val="16"/>
                <w:szCs w:val="16"/>
                <w:lang w:val="en-GB"/>
              </w:rPr>
            </w:pPr>
            <w:r w:rsidRPr="000C4C5E">
              <w:rPr>
                <w:rFonts w:ascii="Arial" w:hAnsi="Arial" w:cs="Arial"/>
                <w:sz w:val="16"/>
                <w:szCs w:val="16"/>
              </w:rPr>
              <w:t>-</w:t>
            </w:r>
          </w:p>
        </w:tc>
        <w:tc>
          <w:tcPr>
            <w:tcW w:w="1170" w:type="dxa"/>
            <w:tcBorders>
              <w:left w:val="single" w:sz="4" w:space="0" w:color="auto"/>
              <w:right w:val="single" w:sz="4" w:space="0" w:color="auto"/>
            </w:tcBorders>
          </w:tcPr>
          <w:p w14:paraId="09E8A0E3" w14:textId="16931311" w:rsidR="003101EA" w:rsidRPr="000C4C5E" w:rsidRDefault="003101EA" w:rsidP="003101EA">
            <w:pPr>
              <w:pStyle w:val="BodyText"/>
              <w:spacing w:before="120"/>
              <w:ind w:left="-58" w:right="-58"/>
              <w:jc w:val="right"/>
              <w:rPr>
                <w:rFonts w:ascii="Arial" w:hAnsi="Arial" w:cs="Arial"/>
                <w:sz w:val="16"/>
                <w:szCs w:val="16"/>
                <w:lang w:val="en-GB"/>
              </w:rPr>
            </w:pPr>
            <w:r w:rsidRPr="000C4C5E">
              <w:rPr>
                <w:rFonts w:ascii="Arial" w:hAnsi="Arial" w:cs="Arial"/>
                <w:sz w:val="16"/>
                <w:szCs w:val="16"/>
              </w:rPr>
              <w:t>-</w:t>
            </w:r>
          </w:p>
        </w:tc>
        <w:tc>
          <w:tcPr>
            <w:tcW w:w="1530" w:type="dxa"/>
            <w:tcBorders>
              <w:left w:val="single" w:sz="4" w:space="0" w:color="auto"/>
              <w:right w:val="single" w:sz="4" w:space="0" w:color="auto"/>
            </w:tcBorders>
          </w:tcPr>
          <w:p w14:paraId="3C70DB3D" w14:textId="2F1A5FE0" w:rsidR="003101EA" w:rsidRPr="000C4C5E" w:rsidRDefault="003101EA" w:rsidP="003101EA">
            <w:pPr>
              <w:pStyle w:val="BodyText"/>
              <w:spacing w:before="120"/>
              <w:ind w:left="-58" w:right="-58"/>
              <w:jc w:val="right"/>
              <w:rPr>
                <w:rFonts w:ascii="Arial" w:hAnsi="Arial" w:cs="Arial"/>
                <w:sz w:val="16"/>
                <w:szCs w:val="16"/>
                <w:lang w:val="en-GB"/>
              </w:rPr>
            </w:pPr>
            <w:r w:rsidRPr="000C4C5E">
              <w:rPr>
                <w:rFonts w:ascii="Arial" w:hAnsi="Arial" w:cs="Arial"/>
                <w:sz w:val="16"/>
                <w:szCs w:val="16"/>
              </w:rPr>
              <w:t>-</w:t>
            </w:r>
          </w:p>
        </w:tc>
        <w:tc>
          <w:tcPr>
            <w:tcW w:w="1080" w:type="dxa"/>
            <w:tcBorders>
              <w:left w:val="single" w:sz="4" w:space="0" w:color="auto"/>
              <w:right w:val="single" w:sz="4" w:space="0" w:color="auto"/>
            </w:tcBorders>
          </w:tcPr>
          <w:p w14:paraId="50978488" w14:textId="31781F00" w:rsidR="003101EA" w:rsidRPr="000C4C5E" w:rsidRDefault="003101EA" w:rsidP="003101EA">
            <w:pPr>
              <w:pStyle w:val="BodyText"/>
              <w:spacing w:before="120"/>
              <w:ind w:left="-58" w:right="-58"/>
              <w:jc w:val="right"/>
              <w:rPr>
                <w:rFonts w:ascii="Arial" w:hAnsi="Arial" w:cs="Arial"/>
                <w:sz w:val="16"/>
                <w:szCs w:val="16"/>
                <w:lang w:val="en-GB"/>
              </w:rPr>
            </w:pPr>
            <w:r w:rsidRPr="000C4C5E">
              <w:rPr>
                <w:rFonts w:ascii="Arial" w:hAnsi="Arial" w:cs="Arial"/>
                <w:sz w:val="16"/>
                <w:szCs w:val="16"/>
              </w:rPr>
              <w:t>-</w:t>
            </w:r>
          </w:p>
        </w:tc>
        <w:tc>
          <w:tcPr>
            <w:tcW w:w="1710" w:type="dxa"/>
            <w:tcBorders>
              <w:left w:val="single" w:sz="4" w:space="0" w:color="auto"/>
              <w:right w:val="single" w:sz="4" w:space="0" w:color="auto"/>
            </w:tcBorders>
          </w:tcPr>
          <w:p w14:paraId="5FC43949" w14:textId="765D4919" w:rsidR="003101EA" w:rsidRPr="000C4C5E" w:rsidRDefault="003101EA" w:rsidP="003101EA">
            <w:pPr>
              <w:pStyle w:val="BodyText"/>
              <w:spacing w:before="120"/>
              <w:ind w:left="-58" w:right="-58"/>
              <w:jc w:val="right"/>
              <w:rPr>
                <w:rFonts w:ascii="Arial" w:hAnsi="Arial" w:cs="Arial"/>
                <w:sz w:val="16"/>
                <w:szCs w:val="16"/>
                <w:lang w:val="en-GB"/>
              </w:rPr>
            </w:pPr>
            <w:r w:rsidRPr="000C4C5E">
              <w:rPr>
                <w:rFonts w:ascii="Arial" w:hAnsi="Arial" w:cs="Arial"/>
                <w:sz w:val="16"/>
                <w:szCs w:val="16"/>
              </w:rPr>
              <w:t>1</w:t>
            </w:r>
            <w:r w:rsidR="0066748A">
              <w:rPr>
                <w:rFonts w:ascii="Arial" w:hAnsi="Arial" w:cs="Arial"/>
                <w:sz w:val="16"/>
                <w:szCs w:val="16"/>
              </w:rPr>
              <w:t>,</w:t>
            </w:r>
            <w:r w:rsidRPr="000C4C5E">
              <w:rPr>
                <w:rFonts w:ascii="Arial" w:hAnsi="Arial" w:cs="Arial"/>
                <w:sz w:val="16"/>
                <w:szCs w:val="16"/>
              </w:rPr>
              <w:t>239</w:t>
            </w:r>
            <w:r w:rsidR="0066748A">
              <w:rPr>
                <w:rFonts w:ascii="Arial" w:hAnsi="Arial" w:cs="Arial"/>
                <w:sz w:val="16"/>
                <w:szCs w:val="16"/>
              </w:rPr>
              <w:t>,</w:t>
            </w:r>
            <w:r w:rsidRPr="000C4C5E">
              <w:rPr>
                <w:rFonts w:ascii="Arial" w:hAnsi="Arial" w:cs="Arial"/>
                <w:sz w:val="16"/>
                <w:szCs w:val="16"/>
              </w:rPr>
              <w:t>000</w:t>
            </w:r>
            <w:r w:rsidR="0066748A">
              <w:rPr>
                <w:rFonts w:ascii="Arial" w:hAnsi="Arial" w:cs="Arial"/>
                <w:sz w:val="16"/>
                <w:szCs w:val="16"/>
              </w:rPr>
              <w:t>,</w:t>
            </w:r>
            <w:r w:rsidRPr="000C4C5E">
              <w:rPr>
                <w:rFonts w:ascii="Arial" w:hAnsi="Arial" w:cs="Arial"/>
                <w:sz w:val="16"/>
                <w:szCs w:val="16"/>
              </w:rPr>
              <w:t>000</w:t>
            </w:r>
            <w:r w:rsidR="0066748A">
              <w:rPr>
                <w:rFonts w:ascii="Arial" w:hAnsi="Arial" w:cs="Arial"/>
                <w:sz w:val="16"/>
                <w:szCs w:val="16"/>
              </w:rPr>
              <w:t>,</w:t>
            </w:r>
            <w:r w:rsidRPr="000C4C5E">
              <w:rPr>
                <w:rFonts w:ascii="Arial" w:hAnsi="Arial" w:cs="Arial"/>
                <w:sz w:val="16"/>
                <w:szCs w:val="16"/>
              </w:rPr>
              <w:t xml:space="preserve">000 </w:t>
            </w:r>
          </w:p>
        </w:tc>
        <w:tc>
          <w:tcPr>
            <w:tcW w:w="1686" w:type="dxa"/>
            <w:tcBorders>
              <w:left w:val="single" w:sz="4" w:space="0" w:color="auto"/>
            </w:tcBorders>
          </w:tcPr>
          <w:p w14:paraId="05D6843C" w14:textId="74F9BEA0" w:rsidR="003101EA" w:rsidRPr="000C4C5E" w:rsidRDefault="003101EA" w:rsidP="003101EA">
            <w:pPr>
              <w:pStyle w:val="BodyText"/>
              <w:spacing w:before="120"/>
              <w:ind w:left="-58" w:right="-58"/>
              <w:jc w:val="right"/>
              <w:rPr>
                <w:rFonts w:ascii="Arial" w:hAnsi="Arial" w:cs="Arial"/>
                <w:sz w:val="16"/>
                <w:szCs w:val="16"/>
                <w:highlight w:val="yellow"/>
                <w:lang w:val="en-GB"/>
              </w:rPr>
            </w:pPr>
            <w:r w:rsidRPr="000C4C5E">
              <w:rPr>
                <w:rFonts w:ascii="Arial" w:hAnsi="Arial" w:cs="Arial"/>
                <w:sz w:val="16"/>
                <w:szCs w:val="16"/>
              </w:rPr>
              <w:t>1</w:t>
            </w:r>
            <w:r w:rsidR="0066748A">
              <w:rPr>
                <w:rFonts w:ascii="Arial" w:hAnsi="Arial" w:cs="Arial"/>
                <w:sz w:val="16"/>
                <w:szCs w:val="16"/>
              </w:rPr>
              <w:t>,</w:t>
            </w:r>
            <w:r w:rsidRPr="000C4C5E">
              <w:rPr>
                <w:rFonts w:ascii="Arial" w:hAnsi="Arial" w:cs="Arial"/>
                <w:sz w:val="16"/>
                <w:szCs w:val="16"/>
              </w:rPr>
              <w:t>239</w:t>
            </w:r>
            <w:r w:rsidR="0066748A">
              <w:rPr>
                <w:rFonts w:ascii="Arial" w:hAnsi="Arial" w:cs="Arial"/>
                <w:sz w:val="16"/>
                <w:szCs w:val="16"/>
              </w:rPr>
              <w:t>,</w:t>
            </w:r>
            <w:r w:rsidRPr="000C4C5E">
              <w:rPr>
                <w:rFonts w:ascii="Arial" w:hAnsi="Arial" w:cs="Arial"/>
                <w:sz w:val="16"/>
                <w:szCs w:val="16"/>
              </w:rPr>
              <w:t>000</w:t>
            </w:r>
            <w:r w:rsidR="0066748A">
              <w:rPr>
                <w:rFonts w:ascii="Arial" w:hAnsi="Arial" w:cs="Arial"/>
                <w:sz w:val="16"/>
                <w:szCs w:val="16"/>
              </w:rPr>
              <w:t>,</w:t>
            </w:r>
            <w:r w:rsidRPr="000C4C5E">
              <w:rPr>
                <w:rFonts w:ascii="Arial" w:hAnsi="Arial" w:cs="Arial"/>
                <w:sz w:val="16"/>
                <w:szCs w:val="16"/>
              </w:rPr>
              <w:t>000</w:t>
            </w:r>
            <w:r w:rsidR="0066748A">
              <w:rPr>
                <w:rFonts w:ascii="Arial" w:hAnsi="Arial" w:cs="Arial"/>
                <w:sz w:val="16"/>
                <w:szCs w:val="16"/>
              </w:rPr>
              <w:t>,</w:t>
            </w:r>
            <w:r w:rsidRPr="000C4C5E">
              <w:rPr>
                <w:rFonts w:ascii="Arial" w:hAnsi="Arial" w:cs="Arial"/>
                <w:sz w:val="16"/>
                <w:szCs w:val="16"/>
              </w:rPr>
              <w:t xml:space="preserve">000 </w:t>
            </w:r>
          </w:p>
        </w:tc>
      </w:tr>
      <w:tr w:rsidR="003101EA" w:rsidRPr="002A0B87" w14:paraId="242D47DE" w14:textId="77777777" w:rsidTr="00114508">
        <w:tc>
          <w:tcPr>
            <w:tcW w:w="2145" w:type="dxa"/>
            <w:tcBorders>
              <w:right w:val="single" w:sz="4" w:space="0" w:color="auto"/>
            </w:tcBorders>
            <w:vAlign w:val="bottom"/>
          </w:tcPr>
          <w:p w14:paraId="2C877857" w14:textId="0E543EC9" w:rsidR="003101EA" w:rsidRPr="00FA28E4" w:rsidRDefault="003101EA" w:rsidP="003101EA">
            <w:pPr>
              <w:pStyle w:val="BodyText"/>
              <w:ind w:left="230" w:hanging="288"/>
              <w:jc w:val="left"/>
              <w:rPr>
                <w:rFonts w:ascii="Arial" w:hAnsi="Arial" w:cs="Arial"/>
                <w:sz w:val="16"/>
                <w:szCs w:val="16"/>
                <w:lang w:val="en-GB"/>
              </w:rPr>
            </w:pPr>
            <w:r w:rsidRPr="00FA28E4">
              <w:rPr>
                <w:rFonts w:ascii="Arial" w:hAnsi="Arial" w:cs="Arial"/>
                <w:sz w:val="16"/>
                <w:szCs w:val="16"/>
                <w:lang w:val="en-GB"/>
              </w:rPr>
              <w:t>2.</w:t>
            </w:r>
            <w:r w:rsidRPr="00FA28E4">
              <w:rPr>
                <w:rFonts w:ascii="Arial" w:hAnsi="Arial" w:cs="Arial"/>
                <w:sz w:val="16"/>
                <w:szCs w:val="16"/>
                <w:lang w:val="en-GB"/>
              </w:rPr>
              <w:tab/>
            </w:r>
            <w:r w:rsidRPr="005C55A7">
              <w:rPr>
                <w:rFonts w:ascii="Arial" w:hAnsi="Arial" w:cs="Arial"/>
                <w:sz w:val="16"/>
                <w:szCs w:val="16"/>
                <w:lang w:val="en-GB"/>
              </w:rPr>
              <w:tab/>
              <w:t>Charter capital supplementary reserve</w:t>
            </w:r>
          </w:p>
        </w:tc>
        <w:tc>
          <w:tcPr>
            <w:tcW w:w="1676" w:type="dxa"/>
            <w:tcBorders>
              <w:left w:val="single" w:sz="4" w:space="0" w:color="auto"/>
              <w:right w:val="single" w:sz="4" w:space="0" w:color="auto"/>
            </w:tcBorders>
          </w:tcPr>
          <w:p w14:paraId="642068A3" w14:textId="53632A15"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113</w:t>
            </w:r>
            <w:r w:rsidR="0066748A">
              <w:rPr>
                <w:rFonts w:ascii="Arial" w:hAnsi="Arial" w:cs="Arial"/>
                <w:sz w:val="16"/>
                <w:szCs w:val="16"/>
              </w:rPr>
              <w:t>,</w:t>
            </w:r>
            <w:r w:rsidRPr="000C4C5E">
              <w:rPr>
                <w:rFonts w:ascii="Arial" w:hAnsi="Arial" w:cs="Arial"/>
                <w:sz w:val="16"/>
                <w:szCs w:val="16"/>
              </w:rPr>
              <w:t>649</w:t>
            </w:r>
            <w:r w:rsidR="0066748A">
              <w:rPr>
                <w:rFonts w:ascii="Arial" w:hAnsi="Arial" w:cs="Arial"/>
                <w:sz w:val="16"/>
                <w:szCs w:val="16"/>
              </w:rPr>
              <w:t>,</w:t>
            </w:r>
            <w:r w:rsidRPr="000C4C5E">
              <w:rPr>
                <w:rFonts w:ascii="Arial" w:hAnsi="Arial" w:cs="Arial"/>
                <w:sz w:val="16"/>
                <w:szCs w:val="16"/>
              </w:rPr>
              <w:t xml:space="preserve">448 </w:t>
            </w:r>
          </w:p>
        </w:tc>
        <w:tc>
          <w:tcPr>
            <w:tcW w:w="1744" w:type="dxa"/>
            <w:tcBorders>
              <w:left w:val="single" w:sz="4" w:space="0" w:color="auto"/>
              <w:right w:val="single" w:sz="4" w:space="0" w:color="auto"/>
            </w:tcBorders>
          </w:tcPr>
          <w:p w14:paraId="4A5B168C" w14:textId="421E4A43"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113</w:t>
            </w:r>
            <w:r w:rsidR="0066748A">
              <w:rPr>
                <w:rFonts w:ascii="Arial" w:hAnsi="Arial" w:cs="Arial"/>
                <w:sz w:val="16"/>
                <w:szCs w:val="16"/>
              </w:rPr>
              <w:t>,</w:t>
            </w:r>
            <w:r w:rsidRPr="000C4C5E">
              <w:rPr>
                <w:rFonts w:ascii="Arial" w:hAnsi="Arial" w:cs="Arial"/>
                <w:sz w:val="16"/>
                <w:szCs w:val="16"/>
              </w:rPr>
              <w:t>649</w:t>
            </w:r>
            <w:r w:rsidR="0066748A">
              <w:rPr>
                <w:rFonts w:ascii="Arial" w:hAnsi="Arial" w:cs="Arial"/>
                <w:sz w:val="16"/>
                <w:szCs w:val="16"/>
              </w:rPr>
              <w:t>,</w:t>
            </w:r>
            <w:r w:rsidRPr="000C4C5E">
              <w:rPr>
                <w:rFonts w:ascii="Arial" w:hAnsi="Arial" w:cs="Arial"/>
                <w:sz w:val="16"/>
                <w:szCs w:val="16"/>
              </w:rPr>
              <w:t xml:space="preserve">448 </w:t>
            </w:r>
          </w:p>
        </w:tc>
        <w:tc>
          <w:tcPr>
            <w:tcW w:w="1440" w:type="dxa"/>
            <w:tcBorders>
              <w:left w:val="single" w:sz="4" w:space="0" w:color="auto"/>
              <w:right w:val="single" w:sz="4" w:space="0" w:color="auto"/>
            </w:tcBorders>
          </w:tcPr>
          <w:p w14:paraId="237CD0D4" w14:textId="68E64423"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w:t>
            </w:r>
          </w:p>
        </w:tc>
        <w:tc>
          <w:tcPr>
            <w:tcW w:w="1170" w:type="dxa"/>
            <w:tcBorders>
              <w:left w:val="single" w:sz="4" w:space="0" w:color="auto"/>
              <w:right w:val="single" w:sz="4" w:space="0" w:color="auto"/>
            </w:tcBorders>
          </w:tcPr>
          <w:p w14:paraId="066411F0" w14:textId="3EBEF626"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w:t>
            </w:r>
          </w:p>
        </w:tc>
        <w:tc>
          <w:tcPr>
            <w:tcW w:w="1530" w:type="dxa"/>
            <w:tcBorders>
              <w:left w:val="single" w:sz="4" w:space="0" w:color="auto"/>
              <w:right w:val="single" w:sz="4" w:space="0" w:color="auto"/>
            </w:tcBorders>
          </w:tcPr>
          <w:p w14:paraId="4810CB26" w14:textId="78930D52"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w:t>
            </w:r>
          </w:p>
        </w:tc>
        <w:tc>
          <w:tcPr>
            <w:tcW w:w="1080" w:type="dxa"/>
            <w:tcBorders>
              <w:left w:val="single" w:sz="4" w:space="0" w:color="auto"/>
              <w:right w:val="single" w:sz="4" w:space="0" w:color="auto"/>
            </w:tcBorders>
          </w:tcPr>
          <w:p w14:paraId="474E5C07" w14:textId="225526E3"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w:t>
            </w:r>
          </w:p>
        </w:tc>
        <w:tc>
          <w:tcPr>
            <w:tcW w:w="1710" w:type="dxa"/>
            <w:tcBorders>
              <w:left w:val="single" w:sz="4" w:space="0" w:color="auto"/>
              <w:right w:val="single" w:sz="4" w:space="0" w:color="auto"/>
            </w:tcBorders>
          </w:tcPr>
          <w:p w14:paraId="242D4F9D" w14:textId="64EE4268"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113</w:t>
            </w:r>
            <w:r w:rsidR="0066748A">
              <w:rPr>
                <w:rFonts w:ascii="Arial" w:hAnsi="Arial" w:cs="Arial"/>
                <w:sz w:val="16"/>
                <w:szCs w:val="16"/>
              </w:rPr>
              <w:t>,</w:t>
            </w:r>
            <w:r w:rsidRPr="000C4C5E">
              <w:rPr>
                <w:rFonts w:ascii="Arial" w:hAnsi="Arial" w:cs="Arial"/>
                <w:sz w:val="16"/>
                <w:szCs w:val="16"/>
              </w:rPr>
              <w:t>649</w:t>
            </w:r>
            <w:r w:rsidR="0066748A">
              <w:rPr>
                <w:rFonts w:ascii="Arial" w:hAnsi="Arial" w:cs="Arial"/>
                <w:sz w:val="16"/>
                <w:szCs w:val="16"/>
              </w:rPr>
              <w:t>,</w:t>
            </w:r>
            <w:r w:rsidRPr="000C4C5E">
              <w:rPr>
                <w:rFonts w:ascii="Arial" w:hAnsi="Arial" w:cs="Arial"/>
                <w:sz w:val="16"/>
                <w:szCs w:val="16"/>
              </w:rPr>
              <w:t xml:space="preserve">448 </w:t>
            </w:r>
          </w:p>
        </w:tc>
        <w:tc>
          <w:tcPr>
            <w:tcW w:w="1686" w:type="dxa"/>
            <w:tcBorders>
              <w:left w:val="single" w:sz="4" w:space="0" w:color="auto"/>
            </w:tcBorders>
          </w:tcPr>
          <w:p w14:paraId="7953F00E" w14:textId="651AF92E" w:rsidR="003101EA" w:rsidRPr="000C4C5E" w:rsidRDefault="003101EA" w:rsidP="003101EA">
            <w:pPr>
              <w:pStyle w:val="BodyText"/>
              <w:ind w:left="-58" w:right="-58"/>
              <w:jc w:val="right"/>
              <w:rPr>
                <w:rFonts w:ascii="Arial" w:hAnsi="Arial" w:cs="Arial"/>
                <w:sz w:val="16"/>
                <w:szCs w:val="16"/>
                <w:highlight w:val="yellow"/>
                <w:lang w:val="en-GB"/>
              </w:rPr>
            </w:pPr>
            <w:r w:rsidRPr="000C4C5E">
              <w:rPr>
                <w:rFonts w:ascii="Arial" w:hAnsi="Arial" w:cs="Arial"/>
                <w:sz w:val="16"/>
                <w:szCs w:val="16"/>
              </w:rPr>
              <w:t>113</w:t>
            </w:r>
            <w:r w:rsidR="0066748A">
              <w:rPr>
                <w:rFonts w:ascii="Arial" w:hAnsi="Arial" w:cs="Arial"/>
                <w:sz w:val="16"/>
                <w:szCs w:val="16"/>
              </w:rPr>
              <w:t>,</w:t>
            </w:r>
            <w:r w:rsidRPr="000C4C5E">
              <w:rPr>
                <w:rFonts w:ascii="Arial" w:hAnsi="Arial" w:cs="Arial"/>
                <w:sz w:val="16"/>
                <w:szCs w:val="16"/>
              </w:rPr>
              <w:t>649</w:t>
            </w:r>
            <w:r w:rsidR="0066748A">
              <w:rPr>
                <w:rFonts w:ascii="Arial" w:hAnsi="Arial" w:cs="Arial"/>
                <w:sz w:val="16"/>
                <w:szCs w:val="16"/>
              </w:rPr>
              <w:t>,</w:t>
            </w:r>
            <w:r w:rsidRPr="000C4C5E">
              <w:rPr>
                <w:rFonts w:ascii="Arial" w:hAnsi="Arial" w:cs="Arial"/>
                <w:sz w:val="16"/>
                <w:szCs w:val="16"/>
              </w:rPr>
              <w:t xml:space="preserve">448 </w:t>
            </w:r>
          </w:p>
        </w:tc>
      </w:tr>
      <w:tr w:rsidR="003101EA" w:rsidRPr="002A0B87" w14:paraId="14EF60F4" w14:textId="77777777" w:rsidTr="00114508">
        <w:tc>
          <w:tcPr>
            <w:tcW w:w="2145" w:type="dxa"/>
            <w:tcBorders>
              <w:right w:val="single" w:sz="4" w:space="0" w:color="auto"/>
            </w:tcBorders>
            <w:vAlign w:val="bottom"/>
          </w:tcPr>
          <w:p w14:paraId="38953638" w14:textId="5DC69A40" w:rsidR="003101EA" w:rsidRPr="00FA28E4" w:rsidRDefault="003101EA" w:rsidP="003101EA">
            <w:pPr>
              <w:pStyle w:val="BodyText"/>
              <w:ind w:left="230" w:hanging="288"/>
              <w:jc w:val="left"/>
              <w:rPr>
                <w:rFonts w:ascii="Arial" w:hAnsi="Arial" w:cs="Arial"/>
                <w:sz w:val="16"/>
                <w:szCs w:val="16"/>
                <w:lang w:val="en-GB"/>
              </w:rPr>
            </w:pPr>
            <w:r w:rsidRPr="00FA28E4">
              <w:rPr>
                <w:rFonts w:ascii="Arial" w:hAnsi="Arial" w:cs="Arial"/>
                <w:sz w:val="16"/>
                <w:szCs w:val="16"/>
                <w:lang w:val="en-GB"/>
              </w:rPr>
              <w:t>3.</w:t>
            </w:r>
            <w:r w:rsidRPr="00FA28E4">
              <w:rPr>
                <w:rFonts w:ascii="Arial" w:hAnsi="Arial" w:cs="Arial"/>
                <w:sz w:val="16"/>
                <w:szCs w:val="16"/>
                <w:lang w:val="en-GB"/>
              </w:rPr>
              <w:tab/>
            </w:r>
            <w:r w:rsidRPr="005C55A7">
              <w:rPr>
                <w:rFonts w:ascii="Arial" w:hAnsi="Arial" w:cs="Arial"/>
                <w:sz w:val="16"/>
                <w:szCs w:val="16"/>
                <w:lang w:val="en-GB"/>
              </w:rPr>
              <w:t>Operational risk and financial reserve</w:t>
            </w:r>
          </w:p>
        </w:tc>
        <w:tc>
          <w:tcPr>
            <w:tcW w:w="1676" w:type="dxa"/>
            <w:tcBorders>
              <w:left w:val="single" w:sz="4" w:space="0" w:color="auto"/>
              <w:right w:val="single" w:sz="4" w:space="0" w:color="auto"/>
            </w:tcBorders>
          </w:tcPr>
          <w:p w14:paraId="4F4DCED8" w14:textId="7E66255E"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113</w:t>
            </w:r>
            <w:r w:rsidR="0066748A">
              <w:rPr>
                <w:rFonts w:ascii="Arial" w:hAnsi="Arial" w:cs="Arial"/>
                <w:sz w:val="16"/>
                <w:szCs w:val="16"/>
              </w:rPr>
              <w:t>,</w:t>
            </w:r>
            <w:r w:rsidRPr="000C4C5E">
              <w:rPr>
                <w:rFonts w:ascii="Arial" w:hAnsi="Arial" w:cs="Arial"/>
                <w:sz w:val="16"/>
                <w:szCs w:val="16"/>
              </w:rPr>
              <w:t>649</w:t>
            </w:r>
            <w:r w:rsidR="0066748A">
              <w:rPr>
                <w:rFonts w:ascii="Arial" w:hAnsi="Arial" w:cs="Arial"/>
                <w:sz w:val="16"/>
                <w:szCs w:val="16"/>
              </w:rPr>
              <w:t>,</w:t>
            </w:r>
            <w:r w:rsidRPr="000C4C5E">
              <w:rPr>
                <w:rFonts w:ascii="Arial" w:hAnsi="Arial" w:cs="Arial"/>
                <w:sz w:val="16"/>
                <w:szCs w:val="16"/>
              </w:rPr>
              <w:t xml:space="preserve">448 </w:t>
            </w:r>
          </w:p>
        </w:tc>
        <w:tc>
          <w:tcPr>
            <w:tcW w:w="1744" w:type="dxa"/>
            <w:tcBorders>
              <w:left w:val="single" w:sz="4" w:space="0" w:color="auto"/>
              <w:right w:val="single" w:sz="4" w:space="0" w:color="auto"/>
            </w:tcBorders>
          </w:tcPr>
          <w:p w14:paraId="77051FC3" w14:textId="754E1BAD"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113</w:t>
            </w:r>
            <w:r w:rsidR="0066748A">
              <w:rPr>
                <w:rFonts w:ascii="Arial" w:hAnsi="Arial" w:cs="Arial"/>
                <w:sz w:val="16"/>
                <w:szCs w:val="16"/>
              </w:rPr>
              <w:t>,</w:t>
            </w:r>
            <w:r w:rsidRPr="000C4C5E">
              <w:rPr>
                <w:rFonts w:ascii="Arial" w:hAnsi="Arial" w:cs="Arial"/>
                <w:sz w:val="16"/>
                <w:szCs w:val="16"/>
              </w:rPr>
              <w:t>649</w:t>
            </w:r>
            <w:r w:rsidR="0066748A">
              <w:rPr>
                <w:rFonts w:ascii="Arial" w:hAnsi="Arial" w:cs="Arial"/>
                <w:sz w:val="16"/>
                <w:szCs w:val="16"/>
              </w:rPr>
              <w:t>,</w:t>
            </w:r>
            <w:r w:rsidRPr="000C4C5E">
              <w:rPr>
                <w:rFonts w:ascii="Arial" w:hAnsi="Arial" w:cs="Arial"/>
                <w:sz w:val="16"/>
                <w:szCs w:val="16"/>
              </w:rPr>
              <w:t xml:space="preserve">448 </w:t>
            </w:r>
          </w:p>
        </w:tc>
        <w:tc>
          <w:tcPr>
            <w:tcW w:w="1440" w:type="dxa"/>
            <w:tcBorders>
              <w:left w:val="single" w:sz="4" w:space="0" w:color="auto"/>
              <w:right w:val="single" w:sz="4" w:space="0" w:color="auto"/>
            </w:tcBorders>
          </w:tcPr>
          <w:p w14:paraId="1AA0803E" w14:textId="0C3EE66C"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w:t>
            </w:r>
          </w:p>
        </w:tc>
        <w:tc>
          <w:tcPr>
            <w:tcW w:w="1170" w:type="dxa"/>
            <w:tcBorders>
              <w:left w:val="single" w:sz="4" w:space="0" w:color="auto"/>
              <w:right w:val="single" w:sz="4" w:space="0" w:color="auto"/>
            </w:tcBorders>
          </w:tcPr>
          <w:p w14:paraId="1A647C81" w14:textId="64491476"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w:t>
            </w:r>
          </w:p>
        </w:tc>
        <w:tc>
          <w:tcPr>
            <w:tcW w:w="1530" w:type="dxa"/>
            <w:tcBorders>
              <w:left w:val="single" w:sz="4" w:space="0" w:color="auto"/>
              <w:right w:val="single" w:sz="4" w:space="0" w:color="auto"/>
            </w:tcBorders>
          </w:tcPr>
          <w:p w14:paraId="1C091A43" w14:textId="1D8AEB49"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w:t>
            </w:r>
          </w:p>
        </w:tc>
        <w:tc>
          <w:tcPr>
            <w:tcW w:w="1080" w:type="dxa"/>
            <w:tcBorders>
              <w:left w:val="single" w:sz="4" w:space="0" w:color="auto"/>
              <w:right w:val="single" w:sz="4" w:space="0" w:color="auto"/>
            </w:tcBorders>
          </w:tcPr>
          <w:p w14:paraId="24413510" w14:textId="0F2A58AB"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w:t>
            </w:r>
          </w:p>
        </w:tc>
        <w:tc>
          <w:tcPr>
            <w:tcW w:w="1710" w:type="dxa"/>
            <w:tcBorders>
              <w:left w:val="single" w:sz="4" w:space="0" w:color="auto"/>
              <w:right w:val="single" w:sz="4" w:space="0" w:color="auto"/>
            </w:tcBorders>
          </w:tcPr>
          <w:p w14:paraId="749D6D8B" w14:textId="339E461B"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113</w:t>
            </w:r>
            <w:r w:rsidR="0066748A">
              <w:rPr>
                <w:rFonts w:ascii="Arial" w:hAnsi="Arial" w:cs="Arial"/>
                <w:sz w:val="16"/>
                <w:szCs w:val="16"/>
              </w:rPr>
              <w:t>,</w:t>
            </w:r>
            <w:r w:rsidRPr="000C4C5E">
              <w:rPr>
                <w:rFonts w:ascii="Arial" w:hAnsi="Arial" w:cs="Arial"/>
                <w:sz w:val="16"/>
                <w:szCs w:val="16"/>
              </w:rPr>
              <w:t>649</w:t>
            </w:r>
            <w:r w:rsidR="0066748A">
              <w:rPr>
                <w:rFonts w:ascii="Arial" w:hAnsi="Arial" w:cs="Arial"/>
                <w:sz w:val="16"/>
                <w:szCs w:val="16"/>
              </w:rPr>
              <w:t>,</w:t>
            </w:r>
            <w:r w:rsidRPr="000C4C5E">
              <w:rPr>
                <w:rFonts w:ascii="Arial" w:hAnsi="Arial" w:cs="Arial"/>
                <w:sz w:val="16"/>
                <w:szCs w:val="16"/>
              </w:rPr>
              <w:t xml:space="preserve">448 </w:t>
            </w:r>
          </w:p>
        </w:tc>
        <w:tc>
          <w:tcPr>
            <w:tcW w:w="1686" w:type="dxa"/>
            <w:tcBorders>
              <w:left w:val="single" w:sz="4" w:space="0" w:color="auto"/>
            </w:tcBorders>
          </w:tcPr>
          <w:p w14:paraId="56805951" w14:textId="05E8D43E" w:rsidR="003101EA" w:rsidRPr="000C4C5E" w:rsidRDefault="003101EA" w:rsidP="003101EA">
            <w:pPr>
              <w:pStyle w:val="BodyText"/>
              <w:ind w:left="-58" w:right="-58"/>
              <w:jc w:val="right"/>
              <w:rPr>
                <w:rFonts w:ascii="Arial" w:hAnsi="Arial" w:cs="Arial"/>
                <w:sz w:val="16"/>
                <w:szCs w:val="16"/>
                <w:highlight w:val="yellow"/>
                <w:lang w:val="en-GB"/>
              </w:rPr>
            </w:pPr>
            <w:r w:rsidRPr="000C4C5E">
              <w:rPr>
                <w:rFonts w:ascii="Arial" w:hAnsi="Arial" w:cs="Arial"/>
                <w:sz w:val="16"/>
                <w:szCs w:val="16"/>
              </w:rPr>
              <w:t>113</w:t>
            </w:r>
            <w:r w:rsidR="0066748A">
              <w:rPr>
                <w:rFonts w:ascii="Arial" w:hAnsi="Arial" w:cs="Arial"/>
                <w:sz w:val="16"/>
                <w:szCs w:val="16"/>
              </w:rPr>
              <w:t>,</w:t>
            </w:r>
            <w:r w:rsidRPr="000C4C5E">
              <w:rPr>
                <w:rFonts w:ascii="Arial" w:hAnsi="Arial" w:cs="Arial"/>
                <w:sz w:val="16"/>
                <w:szCs w:val="16"/>
              </w:rPr>
              <w:t>649</w:t>
            </w:r>
            <w:r w:rsidR="0066748A">
              <w:rPr>
                <w:rFonts w:ascii="Arial" w:hAnsi="Arial" w:cs="Arial"/>
                <w:sz w:val="16"/>
                <w:szCs w:val="16"/>
              </w:rPr>
              <w:t>,</w:t>
            </w:r>
            <w:r w:rsidRPr="000C4C5E">
              <w:rPr>
                <w:rFonts w:ascii="Arial" w:hAnsi="Arial" w:cs="Arial"/>
                <w:sz w:val="16"/>
                <w:szCs w:val="16"/>
              </w:rPr>
              <w:t xml:space="preserve">448 </w:t>
            </w:r>
          </w:p>
        </w:tc>
      </w:tr>
      <w:tr w:rsidR="003101EA" w:rsidRPr="002A0B87" w14:paraId="1592B9F0" w14:textId="77777777" w:rsidTr="00114508">
        <w:tc>
          <w:tcPr>
            <w:tcW w:w="2145" w:type="dxa"/>
            <w:tcBorders>
              <w:right w:val="single" w:sz="4" w:space="0" w:color="auto"/>
            </w:tcBorders>
            <w:vAlign w:val="bottom"/>
          </w:tcPr>
          <w:p w14:paraId="3E673307" w14:textId="0C373C52" w:rsidR="003101EA" w:rsidRPr="00E01045" w:rsidRDefault="003101EA" w:rsidP="003101EA">
            <w:pPr>
              <w:pStyle w:val="BodyText"/>
              <w:ind w:left="230" w:right="-86" w:hanging="288"/>
              <w:rPr>
                <w:rFonts w:ascii="Arial" w:hAnsi="Arial" w:cs="Arial"/>
                <w:sz w:val="16"/>
                <w:szCs w:val="16"/>
                <w:lang w:val="en-GB"/>
              </w:rPr>
            </w:pPr>
            <w:r w:rsidRPr="005C55A7">
              <w:rPr>
                <w:rFonts w:ascii="Arial" w:hAnsi="Arial" w:cs="Arial"/>
                <w:sz w:val="16"/>
                <w:szCs w:val="16"/>
                <w:lang w:val="en-GB"/>
              </w:rPr>
              <w:t>4.</w:t>
            </w:r>
            <w:r w:rsidRPr="005C55A7">
              <w:rPr>
                <w:rFonts w:ascii="Arial" w:hAnsi="Arial" w:cs="Arial"/>
                <w:sz w:val="16"/>
                <w:szCs w:val="16"/>
                <w:lang w:val="en-GB"/>
              </w:rPr>
              <w:tab/>
              <w:t>Undistributed profit</w:t>
            </w:r>
          </w:p>
        </w:tc>
        <w:tc>
          <w:tcPr>
            <w:tcW w:w="1676" w:type="dxa"/>
            <w:tcBorders>
              <w:left w:val="single" w:sz="4" w:space="0" w:color="auto"/>
              <w:right w:val="single" w:sz="4" w:space="0" w:color="auto"/>
            </w:tcBorders>
          </w:tcPr>
          <w:p w14:paraId="181D6AD6" w14:textId="1E0CCC29"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(17</w:t>
            </w:r>
            <w:r w:rsidR="0066748A">
              <w:rPr>
                <w:rFonts w:ascii="Arial" w:hAnsi="Arial" w:cs="Arial"/>
                <w:sz w:val="16"/>
                <w:szCs w:val="16"/>
              </w:rPr>
              <w:t>,</w:t>
            </w:r>
            <w:r w:rsidRPr="000C4C5E">
              <w:rPr>
                <w:rFonts w:ascii="Arial" w:hAnsi="Arial" w:cs="Arial"/>
                <w:sz w:val="16"/>
                <w:szCs w:val="16"/>
              </w:rPr>
              <w:t>313</w:t>
            </w:r>
            <w:r w:rsidR="0066748A">
              <w:rPr>
                <w:rFonts w:ascii="Arial" w:hAnsi="Arial" w:cs="Arial"/>
                <w:sz w:val="16"/>
                <w:szCs w:val="16"/>
              </w:rPr>
              <w:t>,</w:t>
            </w:r>
            <w:r w:rsidRPr="000C4C5E">
              <w:rPr>
                <w:rFonts w:ascii="Arial" w:hAnsi="Arial" w:cs="Arial"/>
                <w:sz w:val="16"/>
                <w:szCs w:val="16"/>
              </w:rPr>
              <w:t>840</w:t>
            </w:r>
            <w:r w:rsidR="0066748A">
              <w:rPr>
                <w:rFonts w:ascii="Arial" w:hAnsi="Arial" w:cs="Arial"/>
                <w:sz w:val="16"/>
                <w:szCs w:val="16"/>
              </w:rPr>
              <w:t>,</w:t>
            </w:r>
            <w:r w:rsidRPr="000C4C5E">
              <w:rPr>
                <w:rFonts w:ascii="Arial" w:hAnsi="Arial" w:cs="Arial"/>
                <w:sz w:val="16"/>
                <w:szCs w:val="16"/>
              </w:rPr>
              <w:t xml:space="preserve">580) </w:t>
            </w:r>
          </w:p>
        </w:tc>
        <w:tc>
          <w:tcPr>
            <w:tcW w:w="1744" w:type="dxa"/>
            <w:tcBorders>
              <w:left w:val="single" w:sz="4" w:space="0" w:color="auto"/>
              <w:right w:val="single" w:sz="4" w:space="0" w:color="auto"/>
            </w:tcBorders>
          </w:tcPr>
          <w:p w14:paraId="3B985EAC" w14:textId="7B3AC925"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39</w:t>
            </w:r>
            <w:r w:rsidR="0066748A">
              <w:rPr>
                <w:rFonts w:ascii="Arial" w:hAnsi="Arial" w:cs="Arial"/>
                <w:sz w:val="16"/>
                <w:szCs w:val="16"/>
              </w:rPr>
              <w:t>,</w:t>
            </w:r>
            <w:r w:rsidRPr="000C4C5E">
              <w:rPr>
                <w:rFonts w:ascii="Arial" w:hAnsi="Arial" w:cs="Arial"/>
                <w:sz w:val="16"/>
                <w:szCs w:val="16"/>
              </w:rPr>
              <w:t>203</w:t>
            </w:r>
            <w:r w:rsidR="0066748A">
              <w:rPr>
                <w:rFonts w:ascii="Arial" w:hAnsi="Arial" w:cs="Arial"/>
                <w:sz w:val="16"/>
                <w:szCs w:val="16"/>
              </w:rPr>
              <w:t>,</w:t>
            </w:r>
            <w:r w:rsidRPr="000C4C5E">
              <w:rPr>
                <w:rFonts w:ascii="Arial" w:hAnsi="Arial" w:cs="Arial"/>
                <w:sz w:val="16"/>
                <w:szCs w:val="16"/>
              </w:rPr>
              <w:t>511</w:t>
            </w:r>
            <w:r w:rsidR="0066748A">
              <w:rPr>
                <w:rFonts w:ascii="Arial" w:hAnsi="Arial" w:cs="Arial"/>
                <w:sz w:val="16"/>
                <w:szCs w:val="16"/>
              </w:rPr>
              <w:t>,</w:t>
            </w:r>
            <w:r w:rsidRPr="000C4C5E">
              <w:rPr>
                <w:rFonts w:ascii="Arial" w:hAnsi="Arial" w:cs="Arial"/>
                <w:sz w:val="16"/>
                <w:szCs w:val="16"/>
              </w:rPr>
              <w:t xml:space="preserve">148 </w:t>
            </w:r>
          </w:p>
        </w:tc>
        <w:tc>
          <w:tcPr>
            <w:tcW w:w="1440" w:type="dxa"/>
            <w:tcBorders>
              <w:left w:val="single" w:sz="4" w:space="0" w:color="auto"/>
              <w:right w:val="single" w:sz="4" w:space="0" w:color="auto"/>
            </w:tcBorders>
          </w:tcPr>
          <w:p w14:paraId="5F74B889" w14:textId="6AD83BED"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56</w:t>
            </w:r>
            <w:r w:rsidR="0066748A">
              <w:rPr>
                <w:rFonts w:ascii="Arial" w:hAnsi="Arial" w:cs="Arial"/>
                <w:sz w:val="16"/>
                <w:szCs w:val="16"/>
              </w:rPr>
              <w:t>,</w:t>
            </w:r>
            <w:r w:rsidRPr="000C4C5E">
              <w:rPr>
                <w:rFonts w:ascii="Arial" w:hAnsi="Arial" w:cs="Arial"/>
                <w:sz w:val="16"/>
                <w:szCs w:val="16"/>
              </w:rPr>
              <w:t>517</w:t>
            </w:r>
            <w:r w:rsidR="0066748A">
              <w:rPr>
                <w:rFonts w:ascii="Arial" w:hAnsi="Arial" w:cs="Arial"/>
                <w:sz w:val="16"/>
                <w:szCs w:val="16"/>
              </w:rPr>
              <w:t>,</w:t>
            </w:r>
            <w:r w:rsidRPr="000C4C5E">
              <w:rPr>
                <w:rFonts w:ascii="Arial" w:hAnsi="Arial" w:cs="Arial"/>
                <w:sz w:val="16"/>
                <w:szCs w:val="16"/>
              </w:rPr>
              <w:t>351</w:t>
            </w:r>
            <w:r w:rsidR="0066748A">
              <w:rPr>
                <w:rFonts w:ascii="Arial" w:hAnsi="Arial" w:cs="Arial"/>
                <w:sz w:val="16"/>
                <w:szCs w:val="16"/>
              </w:rPr>
              <w:t>,</w:t>
            </w:r>
            <w:r w:rsidRPr="000C4C5E">
              <w:rPr>
                <w:rFonts w:ascii="Arial" w:hAnsi="Arial" w:cs="Arial"/>
                <w:sz w:val="16"/>
                <w:szCs w:val="16"/>
              </w:rPr>
              <w:t xml:space="preserve">728 </w:t>
            </w:r>
          </w:p>
        </w:tc>
        <w:tc>
          <w:tcPr>
            <w:tcW w:w="1170" w:type="dxa"/>
            <w:tcBorders>
              <w:left w:val="single" w:sz="4" w:space="0" w:color="auto"/>
              <w:right w:val="single" w:sz="4" w:space="0" w:color="auto"/>
            </w:tcBorders>
          </w:tcPr>
          <w:p w14:paraId="1BD8479F" w14:textId="3BB21DDB"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w:t>
            </w:r>
          </w:p>
        </w:tc>
        <w:tc>
          <w:tcPr>
            <w:tcW w:w="1530" w:type="dxa"/>
            <w:tcBorders>
              <w:left w:val="single" w:sz="4" w:space="0" w:color="auto"/>
              <w:right w:val="single" w:sz="4" w:space="0" w:color="auto"/>
            </w:tcBorders>
          </w:tcPr>
          <w:p w14:paraId="53406F29" w14:textId="26D51752"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30</w:t>
            </w:r>
            <w:r w:rsidR="0066748A">
              <w:rPr>
                <w:rFonts w:ascii="Arial" w:hAnsi="Arial" w:cs="Arial"/>
                <w:sz w:val="16"/>
                <w:szCs w:val="16"/>
              </w:rPr>
              <w:t>,</w:t>
            </w:r>
            <w:r w:rsidRPr="000C4C5E">
              <w:rPr>
                <w:rFonts w:ascii="Arial" w:hAnsi="Arial" w:cs="Arial"/>
                <w:sz w:val="16"/>
                <w:szCs w:val="16"/>
              </w:rPr>
              <w:t>563</w:t>
            </w:r>
            <w:r w:rsidR="0066748A">
              <w:rPr>
                <w:rFonts w:ascii="Arial" w:hAnsi="Arial" w:cs="Arial"/>
                <w:sz w:val="16"/>
                <w:szCs w:val="16"/>
              </w:rPr>
              <w:t>,</w:t>
            </w:r>
            <w:r w:rsidRPr="000C4C5E">
              <w:rPr>
                <w:rFonts w:ascii="Arial" w:hAnsi="Arial" w:cs="Arial"/>
                <w:sz w:val="16"/>
                <w:szCs w:val="16"/>
              </w:rPr>
              <w:t>714</w:t>
            </w:r>
            <w:r w:rsidR="0066748A">
              <w:rPr>
                <w:rFonts w:ascii="Arial" w:hAnsi="Arial" w:cs="Arial"/>
                <w:sz w:val="16"/>
                <w:szCs w:val="16"/>
              </w:rPr>
              <w:t>,</w:t>
            </w:r>
            <w:r w:rsidRPr="000C4C5E">
              <w:rPr>
                <w:rFonts w:ascii="Arial" w:hAnsi="Arial" w:cs="Arial"/>
                <w:sz w:val="16"/>
                <w:szCs w:val="16"/>
              </w:rPr>
              <w:t xml:space="preserve">452 </w:t>
            </w:r>
          </w:p>
        </w:tc>
        <w:tc>
          <w:tcPr>
            <w:tcW w:w="1080" w:type="dxa"/>
            <w:tcBorders>
              <w:left w:val="single" w:sz="4" w:space="0" w:color="auto"/>
              <w:right w:val="single" w:sz="4" w:space="0" w:color="auto"/>
            </w:tcBorders>
          </w:tcPr>
          <w:p w14:paraId="69F54DE9" w14:textId="2EFD4AB3"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w:t>
            </w:r>
          </w:p>
        </w:tc>
        <w:tc>
          <w:tcPr>
            <w:tcW w:w="1710" w:type="dxa"/>
            <w:tcBorders>
              <w:left w:val="single" w:sz="4" w:space="0" w:color="auto"/>
              <w:right w:val="single" w:sz="4" w:space="0" w:color="auto"/>
            </w:tcBorders>
          </w:tcPr>
          <w:p w14:paraId="02BAD192" w14:textId="6AEE1B9B" w:rsidR="003101EA" w:rsidRPr="000C4C5E" w:rsidRDefault="003101EA" w:rsidP="003101EA">
            <w:pPr>
              <w:pStyle w:val="BodyText"/>
              <w:ind w:left="-58" w:right="-58"/>
              <w:jc w:val="right"/>
              <w:rPr>
                <w:rFonts w:ascii="Arial" w:hAnsi="Arial" w:cs="Arial"/>
                <w:sz w:val="16"/>
                <w:szCs w:val="16"/>
                <w:lang w:val="en-GB"/>
              </w:rPr>
            </w:pPr>
            <w:r w:rsidRPr="000C4C5E">
              <w:rPr>
                <w:rFonts w:ascii="Arial" w:hAnsi="Arial" w:cs="Arial"/>
                <w:sz w:val="16"/>
                <w:szCs w:val="16"/>
              </w:rPr>
              <w:t>39</w:t>
            </w:r>
            <w:r w:rsidR="0066748A">
              <w:rPr>
                <w:rFonts w:ascii="Arial" w:hAnsi="Arial" w:cs="Arial"/>
                <w:sz w:val="16"/>
                <w:szCs w:val="16"/>
              </w:rPr>
              <w:t>,</w:t>
            </w:r>
            <w:r w:rsidRPr="000C4C5E">
              <w:rPr>
                <w:rFonts w:ascii="Arial" w:hAnsi="Arial" w:cs="Arial"/>
                <w:sz w:val="16"/>
                <w:szCs w:val="16"/>
              </w:rPr>
              <w:t>203</w:t>
            </w:r>
            <w:r w:rsidR="0066748A">
              <w:rPr>
                <w:rFonts w:ascii="Arial" w:hAnsi="Arial" w:cs="Arial"/>
                <w:sz w:val="16"/>
                <w:szCs w:val="16"/>
              </w:rPr>
              <w:t>,</w:t>
            </w:r>
            <w:r w:rsidRPr="000C4C5E">
              <w:rPr>
                <w:rFonts w:ascii="Arial" w:hAnsi="Arial" w:cs="Arial"/>
                <w:sz w:val="16"/>
                <w:szCs w:val="16"/>
              </w:rPr>
              <w:t>511</w:t>
            </w:r>
            <w:r w:rsidR="0066748A">
              <w:rPr>
                <w:rFonts w:ascii="Arial" w:hAnsi="Arial" w:cs="Arial"/>
                <w:sz w:val="16"/>
                <w:szCs w:val="16"/>
              </w:rPr>
              <w:t>,</w:t>
            </w:r>
            <w:r w:rsidRPr="000C4C5E">
              <w:rPr>
                <w:rFonts w:ascii="Arial" w:hAnsi="Arial" w:cs="Arial"/>
                <w:sz w:val="16"/>
                <w:szCs w:val="16"/>
              </w:rPr>
              <w:t xml:space="preserve">148 </w:t>
            </w:r>
          </w:p>
        </w:tc>
        <w:tc>
          <w:tcPr>
            <w:tcW w:w="1686" w:type="dxa"/>
            <w:tcBorders>
              <w:left w:val="single" w:sz="4" w:space="0" w:color="auto"/>
            </w:tcBorders>
          </w:tcPr>
          <w:p w14:paraId="54066D0F" w14:textId="6AA38C1C" w:rsidR="003101EA" w:rsidRPr="000C4C5E" w:rsidRDefault="003101EA" w:rsidP="003101EA">
            <w:pPr>
              <w:pStyle w:val="BodyText"/>
              <w:ind w:left="-58" w:right="-58"/>
              <w:jc w:val="right"/>
              <w:rPr>
                <w:rFonts w:ascii="Arial" w:hAnsi="Arial" w:cs="Arial"/>
                <w:sz w:val="16"/>
                <w:szCs w:val="16"/>
                <w:highlight w:val="yellow"/>
                <w:lang w:val="en-GB"/>
              </w:rPr>
            </w:pPr>
            <w:r w:rsidRPr="000C4C5E">
              <w:rPr>
                <w:rFonts w:ascii="Arial" w:hAnsi="Arial" w:cs="Arial"/>
                <w:sz w:val="16"/>
                <w:szCs w:val="16"/>
              </w:rPr>
              <w:t>69</w:t>
            </w:r>
            <w:r w:rsidR="0066748A">
              <w:rPr>
                <w:rFonts w:ascii="Arial" w:hAnsi="Arial" w:cs="Arial"/>
                <w:sz w:val="16"/>
                <w:szCs w:val="16"/>
              </w:rPr>
              <w:t>,</w:t>
            </w:r>
            <w:r w:rsidRPr="000C4C5E">
              <w:rPr>
                <w:rFonts w:ascii="Arial" w:hAnsi="Arial" w:cs="Arial"/>
                <w:sz w:val="16"/>
                <w:szCs w:val="16"/>
              </w:rPr>
              <w:t>767</w:t>
            </w:r>
            <w:r w:rsidR="0066748A">
              <w:rPr>
                <w:rFonts w:ascii="Arial" w:hAnsi="Arial" w:cs="Arial"/>
                <w:sz w:val="16"/>
                <w:szCs w:val="16"/>
              </w:rPr>
              <w:t>,</w:t>
            </w:r>
            <w:r w:rsidRPr="000C4C5E">
              <w:rPr>
                <w:rFonts w:ascii="Arial" w:hAnsi="Arial" w:cs="Arial"/>
                <w:sz w:val="16"/>
                <w:szCs w:val="16"/>
              </w:rPr>
              <w:t>225</w:t>
            </w:r>
            <w:r w:rsidR="0066748A">
              <w:rPr>
                <w:rFonts w:ascii="Arial" w:hAnsi="Arial" w:cs="Arial"/>
                <w:sz w:val="16"/>
                <w:szCs w:val="16"/>
              </w:rPr>
              <w:t>,</w:t>
            </w:r>
            <w:r w:rsidRPr="000C4C5E">
              <w:rPr>
                <w:rFonts w:ascii="Arial" w:hAnsi="Arial" w:cs="Arial"/>
                <w:sz w:val="16"/>
                <w:szCs w:val="16"/>
              </w:rPr>
              <w:t xml:space="preserve">600 </w:t>
            </w:r>
          </w:p>
        </w:tc>
      </w:tr>
      <w:tr w:rsidR="003101EA" w:rsidRPr="002A0B87" w14:paraId="511B15EB" w14:textId="77777777" w:rsidTr="00114508">
        <w:tc>
          <w:tcPr>
            <w:tcW w:w="2145" w:type="dxa"/>
            <w:tcBorders>
              <w:bottom w:val="nil"/>
              <w:right w:val="single" w:sz="4" w:space="0" w:color="auto"/>
            </w:tcBorders>
            <w:vAlign w:val="bottom"/>
          </w:tcPr>
          <w:p w14:paraId="38F3DC5E" w14:textId="541EEEC7" w:rsidR="003101EA" w:rsidRPr="00E01045" w:rsidRDefault="003101EA" w:rsidP="003101EA">
            <w:pPr>
              <w:pStyle w:val="BodyText"/>
              <w:ind w:left="518" w:right="-86" w:hanging="288"/>
              <w:rPr>
                <w:rFonts w:ascii="Arial" w:hAnsi="Arial" w:cs="Arial"/>
                <w:i/>
                <w:sz w:val="16"/>
                <w:szCs w:val="16"/>
                <w:lang w:val="en-GB"/>
              </w:rPr>
            </w:pPr>
            <w:r w:rsidRPr="005C55A7">
              <w:rPr>
                <w:rFonts w:ascii="Arial" w:hAnsi="Arial" w:cs="Arial"/>
                <w:i/>
                <w:sz w:val="16"/>
                <w:szCs w:val="16"/>
                <w:lang w:val="en-GB"/>
              </w:rPr>
              <w:t>4.1</w:t>
            </w:r>
            <w:r w:rsidRPr="005C55A7">
              <w:rPr>
                <w:rFonts w:ascii="Arial" w:hAnsi="Arial" w:cs="Arial"/>
                <w:i/>
                <w:sz w:val="16"/>
                <w:szCs w:val="16"/>
                <w:lang w:val="en-GB"/>
              </w:rPr>
              <w:tab/>
              <w:t>Realized profit</w:t>
            </w:r>
          </w:p>
        </w:tc>
        <w:tc>
          <w:tcPr>
            <w:tcW w:w="1676" w:type="dxa"/>
            <w:tcBorders>
              <w:left w:val="single" w:sz="4" w:space="0" w:color="auto"/>
              <w:bottom w:val="nil"/>
              <w:right w:val="single" w:sz="4" w:space="0" w:color="auto"/>
            </w:tcBorders>
          </w:tcPr>
          <w:p w14:paraId="7E59D41E" w14:textId="6F390AA4" w:rsidR="003101EA" w:rsidRPr="000C4C5E" w:rsidRDefault="003101EA" w:rsidP="003101EA">
            <w:pPr>
              <w:pStyle w:val="BodyText"/>
              <w:ind w:left="-58" w:right="-58"/>
              <w:jc w:val="right"/>
              <w:rPr>
                <w:rFonts w:ascii="Arial" w:hAnsi="Arial" w:cs="Arial"/>
                <w:i/>
                <w:sz w:val="16"/>
                <w:szCs w:val="16"/>
                <w:lang w:val="en-GB"/>
              </w:rPr>
            </w:pPr>
            <w:r w:rsidRPr="000C4C5E">
              <w:rPr>
                <w:rFonts w:ascii="Arial" w:hAnsi="Arial" w:cs="Arial"/>
                <w:sz w:val="16"/>
                <w:szCs w:val="16"/>
              </w:rPr>
              <w:t>(17</w:t>
            </w:r>
            <w:r w:rsidR="0066748A">
              <w:rPr>
                <w:rFonts w:ascii="Arial" w:hAnsi="Arial" w:cs="Arial"/>
                <w:sz w:val="16"/>
                <w:szCs w:val="16"/>
              </w:rPr>
              <w:t>,</w:t>
            </w:r>
            <w:r w:rsidRPr="000C4C5E">
              <w:rPr>
                <w:rFonts w:ascii="Arial" w:hAnsi="Arial" w:cs="Arial"/>
                <w:sz w:val="16"/>
                <w:szCs w:val="16"/>
              </w:rPr>
              <w:t>244</w:t>
            </w:r>
            <w:r w:rsidR="0066748A">
              <w:rPr>
                <w:rFonts w:ascii="Arial" w:hAnsi="Arial" w:cs="Arial"/>
                <w:sz w:val="16"/>
                <w:szCs w:val="16"/>
              </w:rPr>
              <w:t>,</w:t>
            </w:r>
            <w:r w:rsidRPr="000C4C5E">
              <w:rPr>
                <w:rFonts w:ascii="Arial" w:hAnsi="Arial" w:cs="Arial"/>
                <w:sz w:val="16"/>
                <w:szCs w:val="16"/>
              </w:rPr>
              <w:t>370</w:t>
            </w:r>
            <w:r w:rsidR="0066748A">
              <w:rPr>
                <w:rFonts w:ascii="Arial" w:hAnsi="Arial" w:cs="Arial"/>
                <w:sz w:val="16"/>
                <w:szCs w:val="16"/>
              </w:rPr>
              <w:t>,</w:t>
            </w:r>
            <w:r w:rsidRPr="000C4C5E">
              <w:rPr>
                <w:rFonts w:ascii="Arial" w:hAnsi="Arial" w:cs="Arial"/>
                <w:sz w:val="16"/>
                <w:szCs w:val="16"/>
              </w:rPr>
              <w:t xml:space="preserve">735) </w:t>
            </w:r>
          </w:p>
        </w:tc>
        <w:tc>
          <w:tcPr>
            <w:tcW w:w="1744" w:type="dxa"/>
            <w:tcBorders>
              <w:left w:val="single" w:sz="4" w:space="0" w:color="auto"/>
              <w:bottom w:val="nil"/>
              <w:right w:val="single" w:sz="4" w:space="0" w:color="auto"/>
            </w:tcBorders>
          </w:tcPr>
          <w:p w14:paraId="572B7829" w14:textId="0A1E004D" w:rsidR="003101EA" w:rsidRPr="000C4C5E" w:rsidRDefault="003101EA" w:rsidP="003101EA">
            <w:pPr>
              <w:pStyle w:val="BodyText"/>
              <w:ind w:left="-58" w:right="-58"/>
              <w:jc w:val="right"/>
              <w:rPr>
                <w:rFonts w:ascii="Arial" w:hAnsi="Arial" w:cs="Arial"/>
                <w:i/>
                <w:sz w:val="16"/>
                <w:szCs w:val="16"/>
                <w:lang w:val="en-GB"/>
              </w:rPr>
            </w:pPr>
            <w:r w:rsidRPr="000C4C5E">
              <w:rPr>
                <w:rFonts w:ascii="Arial" w:hAnsi="Arial" w:cs="Arial"/>
                <w:sz w:val="16"/>
                <w:szCs w:val="16"/>
              </w:rPr>
              <w:t>39</w:t>
            </w:r>
            <w:r w:rsidR="0066748A">
              <w:rPr>
                <w:rFonts w:ascii="Arial" w:hAnsi="Arial" w:cs="Arial"/>
                <w:sz w:val="16"/>
                <w:szCs w:val="16"/>
              </w:rPr>
              <w:t>,</w:t>
            </w:r>
            <w:r w:rsidRPr="000C4C5E">
              <w:rPr>
                <w:rFonts w:ascii="Arial" w:hAnsi="Arial" w:cs="Arial"/>
                <w:sz w:val="16"/>
                <w:szCs w:val="16"/>
              </w:rPr>
              <w:t>175</w:t>
            </w:r>
            <w:r w:rsidR="0066748A">
              <w:rPr>
                <w:rFonts w:ascii="Arial" w:hAnsi="Arial" w:cs="Arial"/>
                <w:sz w:val="16"/>
                <w:szCs w:val="16"/>
              </w:rPr>
              <w:t>,</w:t>
            </w:r>
            <w:r w:rsidRPr="000C4C5E">
              <w:rPr>
                <w:rFonts w:ascii="Arial" w:hAnsi="Arial" w:cs="Arial"/>
                <w:sz w:val="16"/>
                <w:szCs w:val="16"/>
              </w:rPr>
              <w:t>415</w:t>
            </w:r>
            <w:r w:rsidR="0066748A">
              <w:rPr>
                <w:rFonts w:ascii="Arial" w:hAnsi="Arial" w:cs="Arial"/>
                <w:sz w:val="16"/>
                <w:szCs w:val="16"/>
              </w:rPr>
              <w:t>,</w:t>
            </w:r>
            <w:r w:rsidRPr="000C4C5E">
              <w:rPr>
                <w:rFonts w:ascii="Arial" w:hAnsi="Arial" w:cs="Arial"/>
                <w:sz w:val="16"/>
                <w:szCs w:val="16"/>
              </w:rPr>
              <w:t xml:space="preserve">791 </w:t>
            </w:r>
          </w:p>
        </w:tc>
        <w:tc>
          <w:tcPr>
            <w:tcW w:w="1440" w:type="dxa"/>
            <w:tcBorders>
              <w:left w:val="single" w:sz="4" w:space="0" w:color="auto"/>
              <w:bottom w:val="nil"/>
              <w:right w:val="single" w:sz="4" w:space="0" w:color="auto"/>
            </w:tcBorders>
          </w:tcPr>
          <w:p w14:paraId="39ADA113" w14:textId="279A5C7D" w:rsidR="003101EA" w:rsidRPr="000C4C5E" w:rsidRDefault="003101EA" w:rsidP="003101EA">
            <w:pPr>
              <w:pStyle w:val="BodyText"/>
              <w:ind w:left="-58" w:right="-58"/>
              <w:jc w:val="right"/>
              <w:rPr>
                <w:rFonts w:ascii="Arial" w:hAnsi="Arial" w:cs="Arial"/>
                <w:i/>
                <w:sz w:val="16"/>
                <w:szCs w:val="16"/>
                <w:lang w:val="en-GB"/>
              </w:rPr>
            </w:pPr>
            <w:r w:rsidRPr="000C4C5E">
              <w:rPr>
                <w:rFonts w:ascii="Arial" w:hAnsi="Arial" w:cs="Arial"/>
                <w:sz w:val="16"/>
                <w:szCs w:val="16"/>
              </w:rPr>
              <w:t>56</w:t>
            </w:r>
            <w:r w:rsidR="0066748A">
              <w:rPr>
                <w:rFonts w:ascii="Arial" w:hAnsi="Arial" w:cs="Arial"/>
                <w:sz w:val="16"/>
                <w:szCs w:val="16"/>
              </w:rPr>
              <w:t>,</w:t>
            </w:r>
            <w:r w:rsidRPr="000C4C5E">
              <w:rPr>
                <w:rFonts w:ascii="Arial" w:hAnsi="Arial" w:cs="Arial"/>
                <w:sz w:val="16"/>
                <w:szCs w:val="16"/>
              </w:rPr>
              <w:t>419</w:t>
            </w:r>
            <w:r w:rsidR="0066748A">
              <w:rPr>
                <w:rFonts w:ascii="Arial" w:hAnsi="Arial" w:cs="Arial"/>
                <w:sz w:val="16"/>
                <w:szCs w:val="16"/>
              </w:rPr>
              <w:t>,</w:t>
            </w:r>
            <w:r w:rsidRPr="000C4C5E">
              <w:rPr>
                <w:rFonts w:ascii="Arial" w:hAnsi="Arial" w:cs="Arial"/>
                <w:sz w:val="16"/>
                <w:szCs w:val="16"/>
              </w:rPr>
              <w:t>786</w:t>
            </w:r>
            <w:r w:rsidR="0066748A">
              <w:rPr>
                <w:rFonts w:ascii="Arial" w:hAnsi="Arial" w:cs="Arial"/>
                <w:sz w:val="16"/>
                <w:szCs w:val="16"/>
              </w:rPr>
              <w:t>,</w:t>
            </w:r>
            <w:r w:rsidRPr="000C4C5E">
              <w:rPr>
                <w:rFonts w:ascii="Arial" w:hAnsi="Arial" w:cs="Arial"/>
                <w:sz w:val="16"/>
                <w:szCs w:val="16"/>
              </w:rPr>
              <w:t>526</w:t>
            </w:r>
          </w:p>
        </w:tc>
        <w:tc>
          <w:tcPr>
            <w:tcW w:w="1170" w:type="dxa"/>
            <w:tcBorders>
              <w:left w:val="single" w:sz="4" w:space="0" w:color="auto"/>
              <w:bottom w:val="nil"/>
              <w:right w:val="single" w:sz="4" w:space="0" w:color="auto"/>
            </w:tcBorders>
          </w:tcPr>
          <w:p w14:paraId="55092A1F" w14:textId="478A7342" w:rsidR="003101EA" w:rsidRPr="000C4C5E" w:rsidRDefault="003101EA" w:rsidP="003101EA">
            <w:pPr>
              <w:pStyle w:val="BodyText"/>
              <w:ind w:left="-58" w:right="-58"/>
              <w:jc w:val="right"/>
              <w:rPr>
                <w:rFonts w:ascii="Arial" w:hAnsi="Arial" w:cs="Arial"/>
                <w:i/>
                <w:sz w:val="16"/>
                <w:szCs w:val="16"/>
                <w:lang w:val="en-GB"/>
              </w:rPr>
            </w:pPr>
            <w:r w:rsidRPr="000C4C5E">
              <w:rPr>
                <w:rFonts w:ascii="Arial" w:hAnsi="Arial" w:cs="Arial"/>
                <w:sz w:val="16"/>
                <w:szCs w:val="16"/>
              </w:rPr>
              <w:t>-</w:t>
            </w:r>
          </w:p>
        </w:tc>
        <w:tc>
          <w:tcPr>
            <w:tcW w:w="1530" w:type="dxa"/>
            <w:tcBorders>
              <w:left w:val="single" w:sz="4" w:space="0" w:color="auto"/>
              <w:bottom w:val="nil"/>
              <w:right w:val="single" w:sz="4" w:space="0" w:color="auto"/>
            </w:tcBorders>
          </w:tcPr>
          <w:p w14:paraId="5BA1C765" w14:textId="001FFB50" w:rsidR="003101EA" w:rsidRPr="000C4C5E" w:rsidRDefault="003101EA" w:rsidP="003101EA">
            <w:pPr>
              <w:pStyle w:val="BodyText"/>
              <w:ind w:left="-58" w:right="-58"/>
              <w:jc w:val="right"/>
              <w:rPr>
                <w:rFonts w:ascii="Arial" w:hAnsi="Arial" w:cs="Arial"/>
                <w:i/>
                <w:sz w:val="16"/>
                <w:szCs w:val="16"/>
                <w:lang w:val="en-GB"/>
              </w:rPr>
            </w:pPr>
            <w:r w:rsidRPr="000C4C5E">
              <w:rPr>
                <w:rFonts w:ascii="Arial" w:hAnsi="Arial" w:cs="Arial"/>
                <w:sz w:val="16"/>
                <w:szCs w:val="16"/>
              </w:rPr>
              <w:t>29</w:t>
            </w:r>
            <w:r w:rsidR="0066748A">
              <w:rPr>
                <w:rFonts w:ascii="Arial" w:hAnsi="Arial" w:cs="Arial"/>
                <w:sz w:val="16"/>
                <w:szCs w:val="16"/>
              </w:rPr>
              <w:t>,</w:t>
            </w:r>
            <w:r w:rsidRPr="000C4C5E">
              <w:rPr>
                <w:rFonts w:ascii="Arial" w:hAnsi="Arial" w:cs="Arial"/>
                <w:sz w:val="16"/>
                <w:szCs w:val="16"/>
              </w:rPr>
              <w:t>377</w:t>
            </w:r>
            <w:r w:rsidR="0066748A">
              <w:rPr>
                <w:rFonts w:ascii="Arial" w:hAnsi="Arial" w:cs="Arial"/>
                <w:sz w:val="16"/>
                <w:szCs w:val="16"/>
              </w:rPr>
              <w:t>,</w:t>
            </w:r>
            <w:r w:rsidRPr="000C4C5E">
              <w:rPr>
                <w:rFonts w:ascii="Arial" w:hAnsi="Arial" w:cs="Arial"/>
                <w:sz w:val="16"/>
                <w:szCs w:val="16"/>
              </w:rPr>
              <w:t>709</w:t>
            </w:r>
            <w:r w:rsidR="0066748A">
              <w:rPr>
                <w:rFonts w:ascii="Arial" w:hAnsi="Arial" w:cs="Arial"/>
                <w:sz w:val="16"/>
                <w:szCs w:val="16"/>
              </w:rPr>
              <w:t>,</w:t>
            </w:r>
            <w:r w:rsidRPr="000C4C5E">
              <w:rPr>
                <w:rFonts w:ascii="Arial" w:hAnsi="Arial" w:cs="Arial"/>
                <w:sz w:val="16"/>
                <w:szCs w:val="16"/>
              </w:rPr>
              <w:t>414</w:t>
            </w:r>
          </w:p>
        </w:tc>
        <w:tc>
          <w:tcPr>
            <w:tcW w:w="1080" w:type="dxa"/>
            <w:tcBorders>
              <w:left w:val="single" w:sz="4" w:space="0" w:color="auto"/>
              <w:bottom w:val="nil"/>
              <w:right w:val="single" w:sz="4" w:space="0" w:color="auto"/>
            </w:tcBorders>
          </w:tcPr>
          <w:p w14:paraId="686B4940" w14:textId="3E5FA162" w:rsidR="003101EA" w:rsidRPr="000C4C5E" w:rsidRDefault="003101EA" w:rsidP="003101EA">
            <w:pPr>
              <w:pStyle w:val="BodyText"/>
              <w:ind w:left="-58" w:right="-58"/>
              <w:jc w:val="right"/>
              <w:rPr>
                <w:rFonts w:ascii="Arial" w:hAnsi="Arial" w:cs="Arial"/>
                <w:i/>
                <w:sz w:val="16"/>
                <w:szCs w:val="16"/>
                <w:lang w:val="en-GB"/>
              </w:rPr>
            </w:pPr>
            <w:r w:rsidRPr="000C4C5E">
              <w:rPr>
                <w:rFonts w:ascii="Arial" w:hAnsi="Arial" w:cs="Arial"/>
                <w:sz w:val="16"/>
                <w:szCs w:val="16"/>
              </w:rPr>
              <w:t>-</w:t>
            </w:r>
          </w:p>
        </w:tc>
        <w:tc>
          <w:tcPr>
            <w:tcW w:w="1710" w:type="dxa"/>
            <w:tcBorders>
              <w:left w:val="single" w:sz="4" w:space="0" w:color="auto"/>
              <w:bottom w:val="nil"/>
              <w:right w:val="single" w:sz="4" w:space="0" w:color="auto"/>
            </w:tcBorders>
          </w:tcPr>
          <w:p w14:paraId="76E61B1A" w14:textId="5FD7490B" w:rsidR="003101EA" w:rsidRPr="000C4C5E" w:rsidRDefault="003101EA" w:rsidP="003101EA">
            <w:pPr>
              <w:pStyle w:val="BodyText"/>
              <w:ind w:left="-58" w:right="-58"/>
              <w:jc w:val="right"/>
              <w:rPr>
                <w:rFonts w:ascii="Arial" w:hAnsi="Arial" w:cs="Arial"/>
                <w:i/>
                <w:sz w:val="16"/>
                <w:szCs w:val="16"/>
                <w:lang w:val="en-GB"/>
              </w:rPr>
            </w:pPr>
            <w:r w:rsidRPr="000C4C5E">
              <w:rPr>
                <w:rFonts w:ascii="Arial" w:hAnsi="Arial" w:cs="Arial"/>
                <w:sz w:val="16"/>
                <w:szCs w:val="16"/>
              </w:rPr>
              <w:t>39</w:t>
            </w:r>
            <w:r w:rsidR="0066748A">
              <w:rPr>
                <w:rFonts w:ascii="Arial" w:hAnsi="Arial" w:cs="Arial"/>
                <w:sz w:val="16"/>
                <w:szCs w:val="16"/>
              </w:rPr>
              <w:t>,</w:t>
            </w:r>
            <w:r w:rsidRPr="000C4C5E">
              <w:rPr>
                <w:rFonts w:ascii="Arial" w:hAnsi="Arial" w:cs="Arial"/>
                <w:sz w:val="16"/>
                <w:szCs w:val="16"/>
              </w:rPr>
              <w:t>175</w:t>
            </w:r>
            <w:r w:rsidR="0066748A">
              <w:rPr>
                <w:rFonts w:ascii="Arial" w:hAnsi="Arial" w:cs="Arial"/>
                <w:sz w:val="16"/>
                <w:szCs w:val="16"/>
              </w:rPr>
              <w:t>,</w:t>
            </w:r>
            <w:r w:rsidRPr="000C4C5E">
              <w:rPr>
                <w:rFonts w:ascii="Arial" w:hAnsi="Arial" w:cs="Arial"/>
                <w:sz w:val="16"/>
                <w:szCs w:val="16"/>
              </w:rPr>
              <w:t>415</w:t>
            </w:r>
            <w:r w:rsidR="0066748A">
              <w:rPr>
                <w:rFonts w:ascii="Arial" w:hAnsi="Arial" w:cs="Arial"/>
                <w:sz w:val="16"/>
                <w:szCs w:val="16"/>
              </w:rPr>
              <w:t>,</w:t>
            </w:r>
            <w:r w:rsidRPr="000C4C5E">
              <w:rPr>
                <w:rFonts w:ascii="Arial" w:hAnsi="Arial" w:cs="Arial"/>
                <w:sz w:val="16"/>
                <w:szCs w:val="16"/>
              </w:rPr>
              <w:t>791</w:t>
            </w:r>
          </w:p>
        </w:tc>
        <w:tc>
          <w:tcPr>
            <w:tcW w:w="1686" w:type="dxa"/>
            <w:tcBorders>
              <w:left w:val="single" w:sz="4" w:space="0" w:color="auto"/>
              <w:bottom w:val="nil"/>
            </w:tcBorders>
          </w:tcPr>
          <w:p w14:paraId="74AAA223" w14:textId="23A05047" w:rsidR="003101EA" w:rsidRPr="000C4C5E" w:rsidRDefault="003101EA" w:rsidP="003101EA">
            <w:pPr>
              <w:pStyle w:val="BodyText"/>
              <w:ind w:left="-58" w:right="-58"/>
              <w:jc w:val="right"/>
              <w:rPr>
                <w:rFonts w:ascii="Arial" w:hAnsi="Arial" w:cs="Arial"/>
                <w:i/>
                <w:sz w:val="16"/>
                <w:szCs w:val="16"/>
                <w:highlight w:val="yellow"/>
                <w:lang w:val="en-GB"/>
              </w:rPr>
            </w:pPr>
            <w:r w:rsidRPr="000C4C5E">
              <w:rPr>
                <w:rFonts w:ascii="Arial" w:hAnsi="Arial" w:cs="Arial"/>
                <w:sz w:val="16"/>
                <w:szCs w:val="16"/>
              </w:rPr>
              <w:t>68</w:t>
            </w:r>
            <w:r w:rsidR="0066748A">
              <w:rPr>
                <w:rFonts w:ascii="Arial" w:hAnsi="Arial" w:cs="Arial"/>
                <w:sz w:val="16"/>
                <w:szCs w:val="16"/>
              </w:rPr>
              <w:t>,</w:t>
            </w:r>
            <w:r w:rsidRPr="000C4C5E">
              <w:rPr>
                <w:rFonts w:ascii="Arial" w:hAnsi="Arial" w:cs="Arial"/>
                <w:sz w:val="16"/>
                <w:szCs w:val="16"/>
              </w:rPr>
              <w:t>553</w:t>
            </w:r>
            <w:r w:rsidR="0066748A">
              <w:rPr>
                <w:rFonts w:ascii="Arial" w:hAnsi="Arial" w:cs="Arial"/>
                <w:sz w:val="16"/>
                <w:szCs w:val="16"/>
              </w:rPr>
              <w:t>,</w:t>
            </w:r>
            <w:r w:rsidRPr="000C4C5E">
              <w:rPr>
                <w:rFonts w:ascii="Arial" w:hAnsi="Arial" w:cs="Arial"/>
                <w:sz w:val="16"/>
                <w:szCs w:val="16"/>
              </w:rPr>
              <w:t>125</w:t>
            </w:r>
            <w:r w:rsidR="0066748A">
              <w:rPr>
                <w:rFonts w:ascii="Arial" w:hAnsi="Arial" w:cs="Arial"/>
                <w:sz w:val="16"/>
                <w:szCs w:val="16"/>
              </w:rPr>
              <w:t>,</w:t>
            </w:r>
            <w:r w:rsidRPr="000C4C5E">
              <w:rPr>
                <w:rFonts w:ascii="Arial" w:hAnsi="Arial" w:cs="Arial"/>
                <w:sz w:val="16"/>
                <w:szCs w:val="16"/>
              </w:rPr>
              <w:t>205</w:t>
            </w:r>
          </w:p>
        </w:tc>
      </w:tr>
      <w:tr w:rsidR="003101EA" w:rsidRPr="002A0B87" w14:paraId="20DA389C" w14:textId="77777777" w:rsidTr="00114508">
        <w:tc>
          <w:tcPr>
            <w:tcW w:w="2145" w:type="dxa"/>
            <w:tcBorders>
              <w:top w:val="nil"/>
              <w:bottom w:val="single" w:sz="4" w:space="0" w:color="auto"/>
              <w:right w:val="single" w:sz="4" w:space="0" w:color="auto"/>
            </w:tcBorders>
            <w:vAlign w:val="bottom"/>
          </w:tcPr>
          <w:p w14:paraId="1724C64B" w14:textId="035F1BB2" w:rsidR="003101EA" w:rsidRPr="00E01045" w:rsidRDefault="003101EA" w:rsidP="003101EA">
            <w:pPr>
              <w:pStyle w:val="BodyText"/>
              <w:spacing w:after="60"/>
              <w:ind w:left="518" w:right="-86" w:hanging="288"/>
              <w:rPr>
                <w:rFonts w:ascii="Arial" w:hAnsi="Arial" w:cs="Arial"/>
                <w:i/>
                <w:sz w:val="16"/>
                <w:szCs w:val="16"/>
                <w:lang w:val="en-GB"/>
              </w:rPr>
            </w:pPr>
            <w:r w:rsidRPr="005C55A7">
              <w:rPr>
                <w:rFonts w:ascii="Arial" w:hAnsi="Arial" w:cs="Arial"/>
                <w:i/>
                <w:sz w:val="16"/>
                <w:szCs w:val="16"/>
                <w:lang w:val="en-GB"/>
              </w:rPr>
              <w:t>4.2</w:t>
            </w:r>
            <w:r w:rsidRPr="005C55A7">
              <w:rPr>
                <w:rFonts w:ascii="Arial" w:hAnsi="Arial" w:cs="Arial"/>
                <w:i/>
                <w:sz w:val="16"/>
                <w:szCs w:val="16"/>
                <w:lang w:val="en-GB"/>
              </w:rPr>
              <w:tab/>
            </w:r>
            <w:r w:rsidRPr="005C55A7">
              <w:rPr>
                <w:rFonts w:ascii="Arial" w:hAnsi="Arial" w:cs="Arial"/>
                <w:i/>
                <w:spacing w:val="-2"/>
                <w:sz w:val="16"/>
                <w:szCs w:val="16"/>
                <w:lang w:val="en-GB"/>
              </w:rPr>
              <w:t>Unrealized profit</w:t>
            </w:r>
          </w:p>
        </w:tc>
        <w:tc>
          <w:tcPr>
            <w:tcW w:w="1676" w:type="dxa"/>
            <w:tcBorders>
              <w:top w:val="nil"/>
              <w:left w:val="single" w:sz="4" w:space="0" w:color="auto"/>
              <w:bottom w:val="single" w:sz="4" w:space="0" w:color="auto"/>
              <w:right w:val="single" w:sz="4" w:space="0" w:color="auto"/>
            </w:tcBorders>
          </w:tcPr>
          <w:p w14:paraId="78D7F0A0" w14:textId="5230DE4F" w:rsidR="003101EA" w:rsidRPr="000C4C5E" w:rsidRDefault="003101EA" w:rsidP="003101EA">
            <w:pPr>
              <w:pStyle w:val="BodyText"/>
              <w:spacing w:after="60"/>
              <w:ind w:left="-58" w:right="-58"/>
              <w:jc w:val="right"/>
              <w:rPr>
                <w:rFonts w:ascii="Arial" w:hAnsi="Arial" w:cs="Arial"/>
                <w:i/>
                <w:sz w:val="16"/>
                <w:szCs w:val="16"/>
                <w:lang w:val="en-GB"/>
              </w:rPr>
            </w:pPr>
            <w:r w:rsidRPr="000C4C5E">
              <w:rPr>
                <w:rFonts w:ascii="Arial" w:hAnsi="Arial" w:cs="Arial"/>
                <w:sz w:val="16"/>
                <w:szCs w:val="16"/>
              </w:rPr>
              <w:t>(69</w:t>
            </w:r>
            <w:r w:rsidR="0066748A">
              <w:rPr>
                <w:rFonts w:ascii="Arial" w:hAnsi="Arial" w:cs="Arial"/>
                <w:sz w:val="16"/>
                <w:szCs w:val="16"/>
              </w:rPr>
              <w:t>,</w:t>
            </w:r>
            <w:r w:rsidRPr="000C4C5E">
              <w:rPr>
                <w:rFonts w:ascii="Arial" w:hAnsi="Arial" w:cs="Arial"/>
                <w:sz w:val="16"/>
                <w:szCs w:val="16"/>
              </w:rPr>
              <w:t>469</w:t>
            </w:r>
            <w:r w:rsidR="0066748A">
              <w:rPr>
                <w:rFonts w:ascii="Arial" w:hAnsi="Arial" w:cs="Arial"/>
                <w:sz w:val="16"/>
                <w:szCs w:val="16"/>
              </w:rPr>
              <w:t>,</w:t>
            </w:r>
            <w:r w:rsidRPr="000C4C5E">
              <w:rPr>
                <w:rFonts w:ascii="Arial" w:hAnsi="Arial" w:cs="Arial"/>
                <w:sz w:val="16"/>
                <w:szCs w:val="16"/>
              </w:rPr>
              <w:t xml:space="preserve">845) </w:t>
            </w:r>
          </w:p>
        </w:tc>
        <w:tc>
          <w:tcPr>
            <w:tcW w:w="1744" w:type="dxa"/>
            <w:tcBorders>
              <w:top w:val="nil"/>
              <w:left w:val="single" w:sz="4" w:space="0" w:color="auto"/>
              <w:bottom w:val="single" w:sz="4" w:space="0" w:color="auto"/>
              <w:right w:val="single" w:sz="4" w:space="0" w:color="auto"/>
            </w:tcBorders>
          </w:tcPr>
          <w:p w14:paraId="0F3731F9" w14:textId="2FDA5562" w:rsidR="003101EA" w:rsidRPr="000C4C5E" w:rsidRDefault="003101EA" w:rsidP="003101EA">
            <w:pPr>
              <w:pStyle w:val="BodyText"/>
              <w:spacing w:after="60"/>
              <w:ind w:left="-58" w:right="-58"/>
              <w:jc w:val="right"/>
              <w:rPr>
                <w:rFonts w:ascii="Arial" w:hAnsi="Arial" w:cs="Arial"/>
                <w:i/>
                <w:sz w:val="16"/>
                <w:szCs w:val="16"/>
                <w:lang w:val="en-GB"/>
              </w:rPr>
            </w:pPr>
            <w:r w:rsidRPr="000C4C5E">
              <w:rPr>
                <w:rFonts w:ascii="Arial" w:hAnsi="Arial" w:cs="Arial"/>
                <w:sz w:val="16"/>
                <w:szCs w:val="16"/>
              </w:rPr>
              <w:t>28</w:t>
            </w:r>
            <w:r w:rsidR="0066748A">
              <w:rPr>
                <w:rFonts w:ascii="Arial" w:hAnsi="Arial" w:cs="Arial"/>
                <w:sz w:val="16"/>
                <w:szCs w:val="16"/>
              </w:rPr>
              <w:t>,</w:t>
            </w:r>
            <w:r w:rsidRPr="000C4C5E">
              <w:rPr>
                <w:rFonts w:ascii="Arial" w:hAnsi="Arial" w:cs="Arial"/>
                <w:sz w:val="16"/>
                <w:szCs w:val="16"/>
              </w:rPr>
              <w:t>095</w:t>
            </w:r>
            <w:r w:rsidR="0066748A">
              <w:rPr>
                <w:rFonts w:ascii="Arial" w:hAnsi="Arial" w:cs="Arial"/>
                <w:sz w:val="16"/>
                <w:szCs w:val="16"/>
              </w:rPr>
              <w:t>,</w:t>
            </w:r>
            <w:r w:rsidRPr="000C4C5E">
              <w:rPr>
                <w:rFonts w:ascii="Arial" w:hAnsi="Arial" w:cs="Arial"/>
                <w:sz w:val="16"/>
                <w:szCs w:val="16"/>
              </w:rPr>
              <w:t xml:space="preserve">357 </w:t>
            </w:r>
          </w:p>
        </w:tc>
        <w:tc>
          <w:tcPr>
            <w:tcW w:w="1440" w:type="dxa"/>
            <w:tcBorders>
              <w:top w:val="nil"/>
              <w:left w:val="single" w:sz="4" w:space="0" w:color="auto"/>
              <w:bottom w:val="single" w:sz="4" w:space="0" w:color="auto"/>
              <w:right w:val="single" w:sz="4" w:space="0" w:color="auto"/>
            </w:tcBorders>
          </w:tcPr>
          <w:p w14:paraId="5384DD12" w14:textId="0891886B" w:rsidR="003101EA" w:rsidRPr="000C4C5E" w:rsidRDefault="003101EA" w:rsidP="003101EA">
            <w:pPr>
              <w:pStyle w:val="BodyText"/>
              <w:spacing w:after="60"/>
              <w:ind w:left="-58" w:right="-58"/>
              <w:jc w:val="right"/>
              <w:rPr>
                <w:rFonts w:ascii="Arial" w:hAnsi="Arial" w:cs="Arial"/>
                <w:i/>
                <w:sz w:val="16"/>
                <w:szCs w:val="16"/>
                <w:lang w:val="en-GB"/>
              </w:rPr>
            </w:pPr>
            <w:r w:rsidRPr="000C4C5E">
              <w:rPr>
                <w:rFonts w:ascii="Arial" w:hAnsi="Arial" w:cs="Arial"/>
                <w:sz w:val="16"/>
                <w:szCs w:val="16"/>
              </w:rPr>
              <w:t>97</w:t>
            </w:r>
            <w:r w:rsidR="0066748A">
              <w:rPr>
                <w:rFonts w:ascii="Arial" w:hAnsi="Arial" w:cs="Arial"/>
                <w:sz w:val="16"/>
                <w:szCs w:val="16"/>
              </w:rPr>
              <w:t>,</w:t>
            </w:r>
            <w:r w:rsidRPr="000C4C5E">
              <w:rPr>
                <w:rFonts w:ascii="Arial" w:hAnsi="Arial" w:cs="Arial"/>
                <w:sz w:val="16"/>
                <w:szCs w:val="16"/>
              </w:rPr>
              <w:t>565</w:t>
            </w:r>
            <w:r w:rsidR="0066748A">
              <w:rPr>
                <w:rFonts w:ascii="Arial" w:hAnsi="Arial" w:cs="Arial"/>
                <w:sz w:val="16"/>
                <w:szCs w:val="16"/>
              </w:rPr>
              <w:t>,</w:t>
            </w:r>
            <w:r w:rsidRPr="000C4C5E">
              <w:rPr>
                <w:rFonts w:ascii="Arial" w:hAnsi="Arial" w:cs="Arial"/>
                <w:sz w:val="16"/>
                <w:szCs w:val="16"/>
              </w:rPr>
              <w:t>202</w:t>
            </w:r>
          </w:p>
        </w:tc>
        <w:tc>
          <w:tcPr>
            <w:tcW w:w="1170" w:type="dxa"/>
            <w:tcBorders>
              <w:top w:val="nil"/>
              <w:left w:val="single" w:sz="4" w:space="0" w:color="auto"/>
              <w:bottom w:val="single" w:sz="4" w:space="0" w:color="auto"/>
              <w:right w:val="single" w:sz="4" w:space="0" w:color="auto"/>
            </w:tcBorders>
          </w:tcPr>
          <w:p w14:paraId="2B21DD8C" w14:textId="2A0BB354" w:rsidR="003101EA" w:rsidRPr="000C4C5E" w:rsidRDefault="003101EA" w:rsidP="003101EA">
            <w:pPr>
              <w:pStyle w:val="BodyText"/>
              <w:spacing w:after="60"/>
              <w:ind w:left="-58" w:right="-58"/>
              <w:jc w:val="right"/>
              <w:rPr>
                <w:rFonts w:ascii="Arial" w:hAnsi="Arial" w:cs="Arial"/>
                <w:i/>
                <w:iCs/>
                <w:sz w:val="16"/>
                <w:szCs w:val="16"/>
                <w:lang w:val="en-GB"/>
              </w:rPr>
            </w:pPr>
            <w:r w:rsidRPr="000C4C5E">
              <w:rPr>
                <w:rFonts w:ascii="Arial" w:hAnsi="Arial" w:cs="Arial"/>
                <w:sz w:val="16"/>
                <w:szCs w:val="16"/>
              </w:rPr>
              <w:t>-</w:t>
            </w:r>
          </w:p>
        </w:tc>
        <w:tc>
          <w:tcPr>
            <w:tcW w:w="1530" w:type="dxa"/>
            <w:tcBorders>
              <w:top w:val="nil"/>
              <w:left w:val="single" w:sz="4" w:space="0" w:color="auto"/>
              <w:bottom w:val="single" w:sz="4" w:space="0" w:color="auto"/>
              <w:right w:val="single" w:sz="4" w:space="0" w:color="auto"/>
            </w:tcBorders>
          </w:tcPr>
          <w:p w14:paraId="4D3D0DD0" w14:textId="2C95CB48" w:rsidR="003101EA" w:rsidRPr="000C4C5E" w:rsidRDefault="003101EA" w:rsidP="003101EA">
            <w:pPr>
              <w:pStyle w:val="BodyText"/>
              <w:spacing w:after="60"/>
              <w:ind w:left="-58" w:right="-58"/>
              <w:jc w:val="right"/>
              <w:rPr>
                <w:rFonts w:ascii="Arial" w:hAnsi="Arial" w:cs="Arial"/>
                <w:i/>
                <w:sz w:val="16"/>
                <w:szCs w:val="16"/>
                <w:lang w:val="en-GB"/>
              </w:rPr>
            </w:pPr>
            <w:r w:rsidRPr="000C4C5E">
              <w:rPr>
                <w:rFonts w:ascii="Arial" w:hAnsi="Arial" w:cs="Arial"/>
                <w:sz w:val="16"/>
                <w:szCs w:val="16"/>
              </w:rPr>
              <w:t>1</w:t>
            </w:r>
            <w:r w:rsidR="0066748A">
              <w:rPr>
                <w:rFonts w:ascii="Arial" w:hAnsi="Arial" w:cs="Arial"/>
                <w:sz w:val="16"/>
                <w:szCs w:val="16"/>
              </w:rPr>
              <w:t>,</w:t>
            </w:r>
            <w:r w:rsidRPr="000C4C5E">
              <w:rPr>
                <w:rFonts w:ascii="Arial" w:hAnsi="Arial" w:cs="Arial"/>
                <w:sz w:val="16"/>
                <w:szCs w:val="16"/>
              </w:rPr>
              <w:t>186</w:t>
            </w:r>
            <w:r w:rsidR="0066748A">
              <w:rPr>
                <w:rFonts w:ascii="Arial" w:hAnsi="Arial" w:cs="Arial"/>
                <w:sz w:val="16"/>
                <w:szCs w:val="16"/>
              </w:rPr>
              <w:t>,</w:t>
            </w:r>
            <w:r w:rsidRPr="000C4C5E">
              <w:rPr>
                <w:rFonts w:ascii="Arial" w:hAnsi="Arial" w:cs="Arial"/>
                <w:sz w:val="16"/>
                <w:szCs w:val="16"/>
              </w:rPr>
              <w:t>005</w:t>
            </w:r>
            <w:r w:rsidR="0066748A">
              <w:rPr>
                <w:rFonts w:ascii="Arial" w:hAnsi="Arial" w:cs="Arial"/>
                <w:sz w:val="16"/>
                <w:szCs w:val="16"/>
              </w:rPr>
              <w:t>,</w:t>
            </w:r>
            <w:r w:rsidRPr="000C4C5E">
              <w:rPr>
                <w:rFonts w:ascii="Arial" w:hAnsi="Arial" w:cs="Arial"/>
                <w:sz w:val="16"/>
                <w:szCs w:val="16"/>
              </w:rPr>
              <w:t>038</w:t>
            </w:r>
          </w:p>
        </w:tc>
        <w:tc>
          <w:tcPr>
            <w:tcW w:w="1080" w:type="dxa"/>
            <w:tcBorders>
              <w:top w:val="nil"/>
              <w:left w:val="single" w:sz="4" w:space="0" w:color="auto"/>
              <w:bottom w:val="single" w:sz="4" w:space="0" w:color="auto"/>
              <w:right w:val="single" w:sz="4" w:space="0" w:color="auto"/>
            </w:tcBorders>
          </w:tcPr>
          <w:p w14:paraId="3A47C91E" w14:textId="6C3B07E5" w:rsidR="003101EA" w:rsidRPr="000C4C5E" w:rsidRDefault="003101EA" w:rsidP="003101EA">
            <w:pPr>
              <w:pStyle w:val="BodyText"/>
              <w:spacing w:after="60"/>
              <w:ind w:left="-58" w:right="-58"/>
              <w:jc w:val="right"/>
              <w:rPr>
                <w:rFonts w:ascii="Arial" w:hAnsi="Arial" w:cs="Arial"/>
                <w:i/>
                <w:sz w:val="16"/>
                <w:szCs w:val="16"/>
                <w:lang w:val="en-GB"/>
              </w:rPr>
            </w:pPr>
            <w:r w:rsidRPr="000C4C5E">
              <w:rPr>
                <w:rFonts w:ascii="Arial" w:hAnsi="Arial" w:cs="Arial"/>
                <w:sz w:val="16"/>
                <w:szCs w:val="16"/>
              </w:rPr>
              <w:t>-</w:t>
            </w:r>
          </w:p>
        </w:tc>
        <w:tc>
          <w:tcPr>
            <w:tcW w:w="1710" w:type="dxa"/>
            <w:tcBorders>
              <w:top w:val="nil"/>
              <w:left w:val="single" w:sz="4" w:space="0" w:color="auto"/>
              <w:bottom w:val="single" w:sz="4" w:space="0" w:color="auto"/>
              <w:right w:val="single" w:sz="4" w:space="0" w:color="auto"/>
            </w:tcBorders>
          </w:tcPr>
          <w:p w14:paraId="6EFB5498" w14:textId="30761749" w:rsidR="003101EA" w:rsidRPr="000C4C5E" w:rsidRDefault="003101EA" w:rsidP="003101EA">
            <w:pPr>
              <w:pStyle w:val="BodyText"/>
              <w:spacing w:after="60"/>
              <w:ind w:left="-58" w:right="-58"/>
              <w:jc w:val="right"/>
              <w:rPr>
                <w:rFonts w:ascii="Arial" w:hAnsi="Arial" w:cs="Arial"/>
                <w:i/>
                <w:sz w:val="16"/>
                <w:szCs w:val="16"/>
                <w:lang w:val="en-GB"/>
              </w:rPr>
            </w:pPr>
            <w:r w:rsidRPr="000C4C5E">
              <w:rPr>
                <w:rFonts w:ascii="Arial" w:hAnsi="Arial" w:cs="Arial"/>
                <w:sz w:val="16"/>
                <w:szCs w:val="16"/>
              </w:rPr>
              <w:t>28</w:t>
            </w:r>
            <w:r w:rsidR="0066748A">
              <w:rPr>
                <w:rFonts w:ascii="Arial" w:hAnsi="Arial" w:cs="Arial"/>
                <w:sz w:val="16"/>
                <w:szCs w:val="16"/>
              </w:rPr>
              <w:t>,</w:t>
            </w:r>
            <w:r w:rsidRPr="000C4C5E">
              <w:rPr>
                <w:rFonts w:ascii="Arial" w:hAnsi="Arial" w:cs="Arial"/>
                <w:sz w:val="16"/>
                <w:szCs w:val="16"/>
              </w:rPr>
              <w:t>095</w:t>
            </w:r>
            <w:r w:rsidR="0066748A">
              <w:rPr>
                <w:rFonts w:ascii="Arial" w:hAnsi="Arial" w:cs="Arial"/>
                <w:sz w:val="16"/>
                <w:szCs w:val="16"/>
              </w:rPr>
              <w:t>,</w:t>
            </w:r>
            <w:r w:rsidRPr="000C4C5E">
              <w:rPr>
                <w:rFonts w:ascii="Arial" w:hAnsi="Arial" w:cs="Arial"/>
                <w:sz w:val="16"/>
                <w:szCs w:val="16"/>
              </w:rPr>
              <w:t>357</w:t>
            </w:r>
          </w:p>
        </w:tc>
        <w:tc>
          <w:tcPr>
            <w:tcW w:w="1686" w:type="dxa"/>
            <w:tcBorders>
              <w:top w:val="nil"/>
              <w:left w:val="single" w:sz="4" w:space="0" w:color="auto"/>
              <w:bottom w:val="single" w:sz="4" w:space="0" w:color="auto"/>
            </w:tcBorders>
          </w:tcPr>
          <w:p w14:paraId="3AE93D1C" w14:textId="0F4F6496" w:rsidR="003101EA" w:rsidRPr="000C4C5E" w:rsidRDefault="003101EA" w:rsidP="003101EA">
            <w:pPr>
              <w:pStyle w:val="BodyText"/>
              <w:spacing w:after="60"/>
              <w:ind w:left="-58" w:right="-58"/>
              <w:jc w:val="right"/>
              <w:rPr>
                <w:rFonts w:ascii="Arial" w:hAnsi="Arial" w:cs="Arial"/>
                <w:i/>
                <w:sz w:val="16"/>
                <w:szCs w:val="16"/>
                <w:highlight w:val="yellow"/>
                <w:lang w:val="en-GB"/>
              </w:rPr>
            </w:pPr>
            <w:r w:rsidRPr="000C4C5E">
              <w:rPr>
                <w:rFonts w:ascii="Arial" w:hAnsi="Arial" w:cs="Arial"/>
                <w:sz w:val="16"/>
                <w:szCs w:val="16"/>
              </w:rPr>
              <w:t>1</w:t>
            </w:r>
            <w:r w:rsidR="0066748A">
              <w:rPr>
                <w:rFonts w:ascii="Arial" w:hAnsi="Arial" w:cs="Arial"/>
                <w:sz w:val="16"/>
                <w:szCs w:val="16"/>
              </w:rPr>
              <w:t>,</w:t>
            </w:r>
            <w:r w:rsidRPr="000C4C5E">
              <w:rPr>
                <w:rFonts w:ascii="Arial" w:hAnsi="Arial" w:cs="Arial"/>
                <w:sz w:val="16"/>
                <w:szCs w:val="16"/>
              </w:rPr>
              <w:t>214</w:t>
            </w:r>
            <w:r w:rsidR="0066748A">
              <w:rPr>
                <w:rFonts w:ascii="Arial" w:hAnsi="Arial" w:cs="Arial"/>
                <w:sz w:val="16"/>
                <w:szCs w:val="16"/>
              </w:rPr>
              <w:t>,</w:t>
            </w:r>
            <w:r w:rsidRPr="000C4C5E">
              <w:rPr>
                <w:rFonts w:ascii="Arial" w:hAnsi="Arial" w:cs="Arial"/>
                <w:sz w:val="16"/>
                <w:szCs w:val="16"/>
              </w:rPr>
              <w:t>100</w:t>
            </w:r>
            <w:r w:rsidR="0066748A">
              <w:rPr>
                <w:rFonts w:ascii="Arial" w:hAnsi="Arial" w:cs="Arial"/>
                <w:sz w:val="16"/>
                <w:szCs w:val="16"/>
              </w:rPr>
              <w:t>,</w:t>
            </w:r>
            <w:r w:rsidRPr="000C4C5E">
              <w:rPr>
                <w:rFonts w:ascii="Arial" w:hAnsi="Arial" w:cs="Arial"/>
                <w:sz w:val="16"/>
                <w:szCs w:val="16"/>
              </w:rPr>
              <w:t>395</w:t>
            </w:r>
          </w:p>
        </w:tc>
      </w:tr>
      <w:tr w:rsidR="003101EA" w:rsidRPr="002A0B87" w14:paraId="23E3D8D6" w14:textId="77777777" w:rsidTr="00114508">
        <w:tc>
          <w:tcPr>
            <w:tcW w:w="2145" w:type="dxa"/>
            <w:tcBorders>
              <w:top w:val="single" w:sz="4" w:space="0" w:color="auto"/>
              <w:bottom w:val="double" w:sz="4" w:space="0" w:color="auto"/>
              <w:right w:val="single" w:sz="4" w:space="0" w:color="auto"/>
            </w:tcBorders>
            <w:vAlign w:val="bottom"/>
          </w:tcPr>
          <w:p w14:paraId="49CC9735" w14:textId="1DD7FC2A" w:rsidR="003101EA" w:rsidRPr="00E01045" w:rsidRDefault="003101EA" w:rsidP="003101EA">
            <w:pPr>
              <w:pStyle w:val="BodyText"/>
              <w:spacing w:before="120" w:after="120"/>
              <w:ind w:left="-58"/>
              <w:rPr>
                <w:rFonts w:ascii="Arial" w:hAnsi="Arial" w:cs="Arial"/>
                <w:b/>
                <w:sz w:val="16"/>
                <w:szCs w:val="16"/>
                <w:lang w:val="en-GB"/>
              </w:rPr>
            </w:pPr>
            <w:r w:rsidRPr="005C55A7">
              <w:rPr>
                <w:rFonts w:ascii="Arial" w:hAnsi="Arial" w:cs="Arial"/>
                <w:b/>
                <w:sz w:val="16"/>
                <w:szCs w:val="16"/>
                <w:lang w:val="en-GB"/>
              </w:rPr>
              <w:t>TOTAL</w:t>
            </w:r>
          </w:p>
        </w:tc>
        <w:tc>
          <w:tcPr>
            <w:tcW w:w="1676" w:type="dxa"/>
            <w:tcBorders>
              <w:top w:val="single" w:sz="4" w:space="0" w:color="auto"/>
              <w:left w:val="single" w:sz="4" w:space="0" w:color="auto"/>
              <w:bottom w:val="double" w:sz="4" w:space="0" w:color="auto"/>
              <w:right w:val="single" w:sz="4" w:space="0" w:color="auto"/>
            </w:tcBorders>
          </w:tcPr>
          <w:p w14:paraId="48D1977B" w14:textId="7FC45C2B" w:rsidR="003101EA" w:rsidRPr="000C4C5E" w:rsidRDefault="003101EA" w:rsidP="003101EA">
            <w:pPr>
              <w:pStyle w:val="BodyText"/>
              <w:spacing w:before="120" w:after="120"/>
              <w:ind w:left="-58" w:right="-58"/>
              <w:jc w:val="right"/>
              <w:rPr>
                <w:rFonts w:ascii="Arial" w:hAnsi="Arial" w:cs="Arial"/>
                <w:b/>
                <w:sz w:val="16"/>
                <w:szCs w:val="16"/>
                <w:lang w:val="en-GB"/>
              </w:rPr>
            </w:pPr>
            <w:r w:rsidRPr="000C4C5E">
              <w:rPr>
                <w:rFonts w:ascii="Arial" w:hAnsi="Arial" w:cs="Arial"/>
                <w:sz w:val="16"/>
                <w:szCs w:val="16"/>
              </w:rPr>
              <w:t>1</w:t>
            </w:r>
            <w:r w:rsidR="0066748A">
              <w:rPr>
                <w:rFonts w:ascii="Arial" w:hAnsi="Arial" w:cs="Arial"/>
                <w:sz w:val="16"/>
                <w:szCs w:val="16"/>
              </w:rPr>
              <w:t>,</w:t>
            </w:r>
            <w:r w:rsidRPr="000C4C5E">
              <w:rPr>
                <w:rFonts w:ascii="Arial" w:hAnsi="Arial" w:cs="Arial"/>
                <w:sz w:val="16"/>
                <w:szCs w:val="16"/>
              </w:rPr>
              <w:t>221</w:t>
            </w:r>
            <w:r w:rsidR="0066748A">
              <w:rPr>
                <w:rFonts w:ascii="Arial" w:hAnsi="Arial" w:cs="Arial"/>
                <w:sz w:val="16"/>
                <w:szCs w:val="16"/>
              </w:rPr>
              <w:t>,</w:t>
            </w:r>
            <w:r w:rsidRPr="000C4C5E">
              <w:rPr>
                <w:rFonts w:ascii="Arial" w:hAnsi="Arial" w:cs="Arial"/>
                <w:sz w:val="16"/>
                <w:szCs w:val="16"/>
              </w:rPr>
              <w:t>913</w:t>
            </w:r>
            <w:r w:rsidR="0066748A">
              <w:rPr>
                <w:rFonts w:ascii="Arial" w:hAnsi="Arial" w:cs="Arial"/>
                <w:sz w:val="16"/>
                <w:szCs w:val="16"/>
              </w:rPr>
              <w:t>,</w:t>
            </w:r>
            <w:r w:rsidRPr="000C4C5E">
              <w:rPr>
                <w:rFonts w:ascii="Arial" w:hAnsi="Arial" w:cs="Arial"/>
                <w:sz w:val="16"/>
                <w:szCs w:val="16"/>
              </w:rPr>
              <w:t>458</w:t>
            </w:r>
            <w:r w:rsidR="0066748A">
              <w:rPr>
                <w:rFonts w:ascii="Arial" w:hAnsi="Arial" w:cs="Arial"/>
                <w:sz w:val="16"/>
                <w:szCs w:val="16"/>
              </w:rPr>
              <w:t>,</w:t>
            </w:r>
            <w:r w:rsidRPr="000C4C5E">
              <w:rPr>
                <w:rFonts w:ascii="Arial" w:hAnsi="Arial" w:cs="Arial"/>
                <w:sz w:val="16"/>
                <w:szCs w:val="16"/>
              </w:rPr>
              <w:t xml:space="preserve">316 </w:t>
            </w:r>
          </w:p>
        </w:tc>
        <w:tc>
          <w:tcPr>
            <w:tcW w:w="1744" w:type="dxa"/>
            <w:tcBorders>
              <w:top w:val="single" w:sz="4" w:space="0" w:color="auto"/>
              <w:left w:val="single" w:sz="4" w:space="0" w:color="auto"/>
              <w:bottom w:val="double" w:sz="4" w:space="0" w:color="auto"/>
              <w:right w:val="single" w:sz="4" w:space="0" w:color="auto"/>
            </w:tcBorders>
          </w:tcPr>
          <w:p w14:paraId="2BAD319C" w14:textId="292ED3FE" w:rsidR="003101EA" w:rsidRPr="000C4C5E" w:rsidRDefault="003101EA" w:rsidP="003101EA">
            <w:pPr>
              <w:pStyle w:val="BodyText"/>
              <w:spacing w:before="120" w:after="120"/>
              <w:ind w:left="-58" w:right="-58"/>
              <w:jc w:val="right"/>
              <w:rPr>
                <w:rFonts w:ascii="Arial" w:hAnsi="Arial" w:cs="Arial"/>
                <w:b/>
                <w:sz w:val="16"/>
                <w:szCs w:val="16"/>
                <w:lang w:val="en-GB"/>
              </w:rPr>
            </w:pPr>
            <w:r w:rsidRPr="000C4C5E">
              <w:rPr>
                <w:rFonts w:ascii="Arial" w:hAnsi="Arial" w:cs="Arial"/>
                <w:sz w:val="16"/>
                <w:szCs w:val="16"/>
              </w:rPr>
              <w:t>1</w:t>
            </w:r>
            <w:r w:rsidR="0066748A">
              <w:rPr>
                <w:rFonts w:ascii="Arial" w:hAnsi="Arial" w:cs="Arial"/>
                <w:sz w:val="16"/>
                <w:szCs w:val="16"/>
              </w:rPr>
              <w:t>,</w:t>
            </w:r>
            <w:r w:rsidRPr="000C4C5E">
              <w:rPr>
                <w:rFonts w:ascii="Arial" w:hAnsi="Arial" w:cs="Arial"/>
                <w:sz w:val="16"/>
                <w:szCs w:val="16"/>
              </w:rPr>
              <w:t>278</w:t>
            </w:r>
            <w:r w:rsidR="0066748A">
              <w:rPr>
                <w:rFonts w:ascii="Arial" w:hAnsi="Arial" w:cs="Arial"/>
                <w:sz w:val="16"/>
                <w:szCs w:val="16"/>
              </w:rPr>
              <w:t>,</w:t>
            </w:r>
            <w:r w:rsidRPr="000C4C5E">
              <w:rPr>
                <w:rFonts w:ascii="Arial" w:hAnsi="Arial" w:cs="Arial"/>
                <w:sz w:val="16"/>
                <w:szCs w:val="16"/>
              </w:rPr>
              <w:t>430</w:t>
            </w:r>
            <w:r w:rsidR="0066748A">
              <w:rPr>
                <w:rFonts w:ascii="Arial" w:hAnsi="Arial" w:cs="Arial"/>
                <w:sz w:val="16"/>
                <w:szCs w:val="16"/>
              </w:rPr>
              <w:t>,</w:t>
            </w:r>
            <w:r w:rsidRPr="000C4C5E">
              <w:rPr>
                <w:rFonts w:ascii="Arial" w:hAnsi="Arial" w:cs="Arial"/>
                <w:sz w:val="16"/>
                <w:szCs w:val="16"/>
              </w:rPr>
              <w:t>810</w:t>
            </w:r>
            <w:r w:rsidR="0066748A">
              <w:rPr>
                <w:rFonts w:ascii="Arial" w:hAnsi="Arial" w:cs="Arial"/>
                <w:sz w:val="16"/>
                <w:szCs w:val="16"/>
              </w:rPr>
              <w:t>,</w:t>
            </w:r>
            <w:r w:rsidRPr="000C4C5E">
              <w:rPr>
                <w:rFonts w:ascii="Arial" w:hAnsi="Arial" w:cs="Arial"/>
                <w:sz w:val="16"/>
                <w:szCs w:val="16"/>
              </w:rPr>
              <w:t xml:space="preserve">044 </w:t>
            </w:r>
          </w:p>
        </w:tc>
        <w:tc>
          <w:tcPr>
            <w:tcW w:w="1440" w:type="dxa"/>
            <w:tcBorders>
              <w:top w:val="single" w:sz="4" w:space="0" w:color="auto"/>
              <w:left w:val="single" w:sz="4" w:space="0" w:color="auto"/>
              <w:bottom w:val="double" w:sz="4" w:space="0" w:color="auto"/>
              <w:right w:val="single" w:sz="4" w:space="0" w:color="auto"/>
            </w:tcBorders>
          </w:tcPr>
          <w:p w14:paraId="2E55050A" w14:textId="5520768C" w:rsidR="003101EA" w:rsidRPr="000C4C5E" w:rsidRDefault="003101EA" w:rsidP="003101EA">
            <w:pPr>
              <w:pStyle w:val="BodyText"/>
              <w:spacing w:before="120" w:after="120"/>
              <w:ind w:left="-58" w:right="-58"/>
              <w:jc w:val="right"/>
              <w:rPr>
                <w:rFonts w:ascii="Arial" w:hAnsi="Arial" w:cs="Arial"/>
                <w:b/>
                <w:sz w:val="16"/>
                <w:szCs w:val="16"/>
                <w:lang w:val="en-GB"/>
              </w:rPr>
            </w:pPr>
            <w:r w:rsidRPr="000C4C5E">
              <w:rPr>
                <w:rFonts w:ascii="Arial" w:hAnsi="Arial" w:cs="Arial"/>
                <w:sz w:val="16"/>
                <w:szCs w:val="16"/>
              </w:rPr>
              <w:t>56</w:t>
            </w:r>
            <w:r w:rsidR="0066748A">
              <w:rPr>
                <w:rFonts w:ascii="Arial" w:hAnsi="Arial" w:cs="Arial"/>
                <w:sz w:val="16"/>
                <w:szCs w:val="16"/>
              </w:rPr>
              <w:t>,</w:t>
            </w:r>
            <w:r w:rsidRPr="000C4C5E">
              <w:rPr>
                <w:rFonts w:ascii="Arial" w:hAnsi="Arial" w:cs="Arial"/>
                <w:sz w:val="16"/>
                <w:szCs w:val="16"/>
              </w:rPr>
              <w:t>517</w:t>
            </w:r>
            <w:r w:rsidR="0066748A">
              <w:rPr>
                <w:rFonts w:ascii="Arial" w:hAnsi="Arial" w:cs="Arial"/>
                <w:sz w:val="16"/>
                <w:szCs w:val="16"/>
              </w:rPr>
              <w:t>,</w:t>
            </w:r>
            <w:r w:rsidRPr="000C4C5E">
              <w:rPr>
                <w:rFonts w:ascii="Arial" w:hAnsi="Arial" w:cs="Arial"/>
                <w:sz w:val="16"/>
                <w:szCs w:val="16"/>
              </w:rPr>
              <w:t>351</w:t>
            </w:r>
            <w:r w:rsidR="0066748A">
              <w:rPr>
                <w:rFonts w:ascii="Arial" w:hAnsi="Arial" w:cs="Arial"/>
                <w:sz w:val="16"/>
                <w:szCs w:val="16"/>
              </w:rPr>
              <w:t>,</w:t>
            </w:r>
            <w:r w:rsidRPr="000C4C5E">
              <w:rPr>
                <w:rFonts w:ascii="Arial" w:hAnsi="Arial" w:cs="Arial"/>
                <w:sz w:val="16"/>
                <w:szCs w:val="16"/>
              </w:rPr>
              <w:t xml:space="preserve">728 </w:t>
            </w:r>
          </w:p>
        </w:tc>
        <w:tc>
          <w:tcPr>
            <w:tcW w:w="1170" w:type="dxa"/>
            <w:tcBorders>
              <w:top w:val="single" w:sz="4" w:space="0" w:color="auto"/>
              <w:left w:val="single" w:sz="4" w:space="0" w:color="auto"/>
              <w:bottom w:val="double" w:sz="4" w:space="0" w:color="auto"/>
              <w:right w:val="single" w:sz="4" w:space="0" w:color="auto"/>
            </w:tcBorders>
          </w:tcPr>
          <w:p w14:paraId="0EAF2288" w14:textId="3CAA8348" w:rsidR="003101EA" w:rsidRPr="000C4C5E" w:rsidRDefault="003101EA" w:rsidP="003101EA">
            <w:pPr>
              <w:pStyle w:val="BodyText"/>
              <w:spacing w:before="120" w:after="120"/>
              <w:ind w:left="-58" w:right="-58"/>
              <w:jc w:val="right"/>
              <w:rPr>
                <w:rFonts w:ascii="Arial" w:hAnsi="Arial" w:cs="Arial"/>
                <w:b/>
                <w:sz w:val="16"/>
                <w:szCs w:val="16"/>
                <w:lang w:val="en-GB"/>
              </w:rPr>
            </w:pPr>
            <w:r w:rsidRPr="000C4C5E">
              <w:rPr>
                <w:rFonts w:ascii="Arial" w:hAnsi="Arial" w:cs="Arial"/>
                <w:sz w:val="16"/>
                <w:szCs w:val="16"/>
              </w:rPr>
              <w:t xml:space="preserve">- </w:t>
            </w:r>
          </w:p>
        </w:tc>
        <w:tc>
          <w:tcPr>
            <w:tcW w:w="1530" w:type="dxa"/>
            <w:tcBorders>
              <w:top w:val="single" w:sz="4" w:space="0" w:color="auto"/>
              <w:left w:val="single" w:sz="4" w:space="0" w:color="auto"/>
              <w:bottom w:val="double" w:sz="4" w:space="0" w:color="auto"/>
              <w:right w:val="single" w:sz="4" w:space="0" w:color="auto"/>
            </w:tcBorders>
          </w:tcPr>
          <w:p w14:paraId="6FCC8356" w14:textId="29391500" w:rsidR="003101EA" w:rsidRPr="000C4C5E" w:rsidRDefault="003101EA" w:rsidP="003101EA">
            <w:pPr>
              <w:pStyle w:val="BodyText"/>
              <w:spacing w:before="120" w:after="120"/>
              <w:ind w:left="-58" w:right="-58"/>
              <w:jc w:val="right"/>
              <w:rPr>
                <w:rFonts w:ascii="Arial" w:hAnsi="Arial" w:cs="Arial"/>
                <w:b/>
                <w:sz w:val="16"/>
                <w:szCs w:val="16"/>
                <w:lang w:val="en-GB"/>
              </w:rPr>
            </w:pPr>
            <w:r w:rsidRPr="000C4C5E">
              <w:rPr>
                <w:rFonts w:ascii="Arial" w:hAnsi="Arial" w:cs="Arial"/>
                <w:sz w:val="16"/>
                <w:szCs w:val="16"/>
              </w:rPr>
              <w:t>30</w:t>
            </w:r>
            <w:r w:rsidR="0066748A">
              <w:rPr>
                <w:rFonts w:ascii="Arial" w:hAnsi="Arial" w:cs="Arial"/>
                <w:sz w:val="16"/>
                <w:szCs w:val="16"/>
              </w:rPr>
              <w:t>,</w:t>
            </w:r>
            <w:r w:rsidRPr="000C4C5E">
              <w:rPr>
                <w:rFonts w:ascii="Arial" w:hAnsi="Arial" w:cs="Arial"/>
                <w:sz w:val="16"/>
                <w:szCs w:val="16"/>
              </w:rPr>
              <w:t>563</w:t>
            </w:r>
            <w:r w:rsidR="0066748A">
              <w:rPr>
                <w:rFonts w:ascii="Arial" w:hAnsi="Arial" w:cs="Arial"/>
                <w:sz w:val="16"/>
                <w:szCs w:val="16"/>
              </w:rPr>
              <w:t>,</w:t>
            </w:r>
            <w:r w:rsidRPr="000C4C5E">
              <w:rPr>
                <w:rFonts w:ascii="Arial" w:hAnsi="Arial" w:cs="Arial"/>
                <w:sz w:val="16"/>
                <w:szCs w:val="16"/>
              </w:rPr>
              <w:t>714</w:t>
            </w:r>
            <w:r w:rsidR="0066748A">
              <w:rPr>
                <w:rFonts w:ascii="Arial" w:hAnsi="Arial" w:cs="Arial"/>
                <w:sz w:val="16"/>
                <w:szCs w:val="16"/>
              </w:rPr>
              <w:t>,</w:t>
            </w:r>
            <w:r w:rsidRPr="000C4C5E">
              <w:rPr>
                <w:rFonts w:ascii="Arial" w:hAnsi="Arial" w:cs="Arial"/>
                <w:sz w:val="16"/>
                <w:szCs w:val="16"/>
              </w:rPr>
              <w:t xml:space="preserve">452 </w:t>
            </w:r>
          </w:p>
        </w:tc>
        <w:tc>
          <w:tcPr>
            <w:tcW w:w="1080" w:type="dxa"/>
            <w:tcBorders>
              <w:top w:val="single" w:sz="4" w:space="0" w:color="auto"/>
              <w:left w:val="single" w:sz="4" w:space="0" w:color="auto"/>
              <w:bottom w:val="double" w:sz="4" w:space="0" w:color="auto"/>
              <w:right w:val="single" w:sz="4" w:space="0" w:color="auto"/>
            </w:tcBorders>
          </w:tcPr>
          <w:p w14:paraId="13D76278" w14:textId="4C27A07A" w:rsidR="003101EA" w:rsidRPr="000C4C5E" w:rsidRDefault="003101EA" w:rsidP="003101EA">
            <w:pPr>
              <w:pStyle w:val="BodyText"/>
              <w:spacing w:before="120" w:after="120"/>
              <w:ind w:left="-58" w:right="-58"/>
              <w:jc w:val="right"/>
              <w:rPr>
                <w:rFonts w:ascii="Arial" w:hAnsi="Arial" w:cs="Arial"/>
                <w:b/>
                <w:sz w:val="16"/>
                <w:szCs w:val="16"/>
                <w:lang w:val="en-GB"/>
              </w:rPr>
            </w:pPr>
            <w:r w:rsidRPr="000C4C5E">
              <w:rPr>
                <w:rFonts w:ascii="Arial" w:hAnsi="Arial" w:cs="Arial"/>
                <w:sz w:val="16"/>
                <w:szCs w:val="16"/>
              </w:rPr>
              <w:t xml:space="preserve">- </w:t>
            </w:r>
          </w:p>
        </w:tc>
        <w:tc>
          <w:tcPr>
            <w:tcW w:w="1710" w:type="dxa"/>
            <w:tcBorders>
              <w:top w:val="single" w:sz="4" w:space="0" w:color="auto"/>
              <w:left w:val="single" w:sz="4" w:space="0" w:color="auto"/>
              <w:bottom w:val="double" w:sz="4" w:space="0" w:color="auto"/>
              <w:right w:val="single" w:sz="4" w:space="0" w:color="auto"/>
            </w:tcBorders>
          </w:tcPr>
          <w:p w14:paraId="48E9628B" w14:textId="4DB08E4F" w:rsidR="003101EA" w:rsidRPr="000C4C5E" w:rsidRDefault="003101EA" w:rsidP="003101EA">
            <w:pPr>
              <w:pStyle w:val="BodyText"/>
              <w:spacing w:before="120" w:after="120"/>
              <w:ind w:left="-58" w:right="-58"/>
              <w:jc w:val="right"/>
              <w:rPr>
                <w:rFonts w:ascii="Arial" w:hAnsi="Arial" w:cs="Arial"/>
                <w:b/>
                <w:sz w:val="16"/>
                <w:szCs w:val="16"/>
                <w:lang w:val="en-GB"/>
              </w:rPr>
            </w:pPr>
            <w:r w:rsidRPr="000C4C5E">
              <w:rPr>
                <w:rFonts w:ascii="Arial" w:hAnsi="Arial" w:cs="Arial"/>
                <w:sz w:val="16"/>
                <w:szCs w:val="16"/>
              </w:rPr>
              <w:t>1</w:t>
            </w:r>
            <w:r w:rsidR="0066748A">
              <w:rPr>
                <w:rFonts w:ascii="Arial" w:hAnsi="Arial" w:cs="Arial"/>
                <w:sz w:val="16"/>
                <w:szCs w:val="16"/>
              </w:rPr>
              <w:t>,</w:t>
            </w:r>
            <w:r w:rsidRPr="000C4C5E">
              <w:rPr>
                <w:rFonts w:ascii="Arial" w:hAnsi="Arial" w:cs="Arial"/>
                <w:sz w:val="16"/>
                <w:szCs w:val="16"/>
              </w:rPr>
              <w:t>278</w:t>
            </w:r>
            <w:r w:rsidR="0066748A">
              <w:rPr>
                <w:rFonts w:ascii="Arial" w:hAnsi="Arial" w:cs="Arial"/>
                <w:sz w:val="16"/>
                <w:szCs w:val="16"/>
              </w:rPr>
              <w:t>,</w:t>
            </w:r>
            <w:r w:rsidRPr="000C4C5E">
              <w:rPr>
                <w:rFonts w:ascii="Arial" w:hAnsi="Arial" w:cs="Arial"/>
                <w:sz w:val="16"/>
                <w:szCs w:val="16"/>
              </w:rPr>
              <w:t>430</w:t>
            </w:r>
            <w:r w:rsidR="0066748A">
              <w:rPr>
                <w:rFonts w:ascii="Arial" w:hAnsi="Arial" w:cs="Arial"/>
                <w:sz w:val="16"/>
                <w:szCs w:val="16"/>
              </w:rPr>
              <w:t>,</w:t>
            </w:r>
            <w:r w:rsidRPr="000C4C5E">
              <w:rPr>
                <w:rFonts w:ascii="Arial" w:hAnsi="Arial" w:cs="Arial"/>
                <w:sz w:val="16"/>
                <w:szCs w:val="16"/>
              </w:rPr>
              <w:t>810</w:t>
            </w:r>
            <w:r w:rsidR="0066748A">
              <w:rPr>
                <w:rFonts w:ascii="Arial" w:hAnsi="Arial" w:cs="Arial"/>
                <w:sz w:val="16"/>
                <w:szCs w:val="16"/>
              </w:rPr>
              <w:t>,</w:t>
            </w:r>
            <w:r w:rsidRPr="000C4C5E">
              <w:rPr>
                <w:rFonts w:ascii="Arial" w:hAnsi="Arial" w:cs="Arial"/>
                <w:sz w:val="16"/>
                <w:szCs w:val="16"/>
              </w:rPr>
              <w:t xml:space="preserve">044 </w:t>
            </w:r>
          </w:p>
        </w:tc>
        <w:tc>
          <w:tcPr>
            <w:tcW w:w="1686" w:type="dxa"/>
            <w:tcBorders>
              <w:top w:val="single" w:sz="4" w:space="0" w:color="auto"/>
              <w:left w:val="single" w:sz="4" w:space="0" w:color="auto"/>
              <w:bottom w:val="double" w:sz="4" w:space="0" w:color="auto"/>
            </w:tcBorders>
          </w:tcPr>
          <w:p w14:paraId="3C765D3E" w14:textId="251E335E" w:rsidR="003101EA" w:rsidRPr="000C4C5E" w:rsidRDefault="003101EA" w:rsidP="003101EA">
            <w:pPr>
              <w:pStyle w:val="BodyText"/>
              <w:spacing w:before="120" w:after="120"/>
              <w:ind w:left="-58" w:right="-58"/>
              <w:jc w:val="right"/>
              <w:rPr>
                <w:rFonts w:ascii="Arial" w:hAnsi="Arial" w:cs="Arial"/>
                <w:b/>
                <w:sz w:val="16"/>
                <w:szCs w:val="16"/>
                <w:highlight w:val="yellow"/>
                <w:lang w:val="en-GB"/>
              </w:rPr>
            </w:pPr>
            <w:r w:rsidRPr="000C4C5E">
              <w:rPr>
                <w:rFonts w:ascii="Arial" w:hAnsi="Arial" w:cs="Arial"/>
                <w:sz w:val="16"/>
                <w:szCs w:val="16"/>
              </w:rPr>
              <w:t>1</w:t>
            </w:r>
            <w:r w:rsidR="0066748A">
              <w:rPr>
                <w:rFonts w:ascii="Arial" w:hAnsi="Arial" w:cs="Arial"/>
                <w:sz w:val="16"/>
                <w:szCs w:val="16"/>
              </w:rPr>
              <w:t>,</w:t>
            </w:r>
            <w:r w:rsidRPr="000C4C5E">
              <w:rPr>
                <w:rFonts w:ascii="Arial" w:hAnsi="Arial" w:cs="Arial"/>
                <w:sz w:val="16"/>
                <w:szCs w:val="16"/>
              </w:rPr>
              <w:t>308</w:t>
            </w:r>
            <w:r w:rsidR="0066748A">
              <w:rPr>
                <w:rFonts w:ascii="Arial" w:hAnsi="Arial" w:cs="Arial"/>
                <w:sz w:val="16"/>
                <w:szCs w:val="16"/>
              </w:rPr>
              <w:t>,</w:t>
            </w:r>
            <w:r w:rsidRPr="000C4C5E">
              <w:rPr>
                <w:rFonts w:ascii="Arial" w:hAnsi="Arial" w:cs="Arial"/>
                <w:sz w:val="16"/>
                <w:szCs w:val="16"/>
              </w:rPr>
              <w:t>994</w:t>
            </w:r>
            <w:r w:rsidR="0066748A">
              <w:rPr>
                <w:rFonts w:ascii="Arial" w:hAnsi="Arial" w:cs="Arial"/>
                <w:sz w:val="16"/>
                <w:szCs w:val="16"/>
              </w:rPr>
              <w:t>,</w:t>
            </w:r>
            <w:r w:rsidRPr="000C4C5E">
              <w:rPr>
                <w:rFonts w:ascii="Arial" w:hAnsi="Arial" w:cs="Arial"/>
                <w:sz w:val="16"/>
                <w:szCs w:val="16"/>
              </w:rPr>
              <w:t>524</w:t>
            </w:r>
            <w:r w:rsidR="0066748A">
              <w:rPr>
                <w:rFonts w:ascii="Arial" w:hAnsi="Arial" w:cs="Arial"/>
                <w:sz w:val="16"/>
                <w:szCs w:val="16"/>
              </w:rPr>
              <w:t>,</w:t>
            </w:r>
            <w:r w:rsidRPr="000C4C5E">
              <w:rPr>
                <w:rFonts w:ascii="Arial" w:hAnsi="Arial" w:cs="Arial"/>
                <w:sz w:val="16"/>
                <w:szCs w:val="16"/>
              </w:rPr>
              <w:t xml:space="preserve">496 </w:t>
            </w:r>
          </w:p>
        </w:tc>
      </w:tr>
    </w:tbl>
    <w:p w14:paraId="58864F83" w14:textId="77777777" w:rsidR="00C3475D" w:rsidRPr="002A0B87" w:rsidRDefault="00C3475D">
      <w:pPr>
        <w:rPr>
          <w:rFonts w:cs="Arial"/>
        </w:rPr>
      </w:pPr>
    </w:p>
    <w:p w14:paraId="6F5E90E6" w14:textId="77777777" w:rsidR="00383956" w:rsidRPr="002A0B87" w:rsidRDefault="00383956" w:rsidP="00557104">
      <w:pPr>
        <w:rPr>
          <w:rFonts w:cs="Arial"/>
        </w:rPr>
      </w:pPr>
    </w:p>
    <w:tbl>
      <w:tblPr>
        <w:tblW w:w="0" w:type="auto"/>
        <w:tblLayout w:type="fixed"/>
        <w:tblLook w:val="01E0" w:firstRow="1" w:lastRow="1" w:firstColumn="1" w:lastColumn="1" w:noHBand="0" w:noVBand="0"/>
      </w:tblPr>
      <w:tblGrid>
        <w:gridCol w:w="4651"/>
        <w:gridCol w:w="4651"/>
        <w:gridCol w:w="4652"/>
      </w:tblGrid>
      <w:tr w:rsidR="00762A03" w:rsidRPr="002A0B87" w14:paraId="65784C18" w14:textId="77777777" w:rsidTr="00557104">
        <w:tc>
          <w:tcPr>
            <w:tcW w:w="4651" w:type="dxa"/>
            <w:vAlign w:val="bottom"/>
          </w:tcPr>
          <w:p w14:paraId="3A178B87" w14:textId="5DC5F2A8" w:rsidR="00762A03" w:rsidRPr="002A0B87" w:rsidRDefault="002400B4" w:rsidP="00557104">
            <w:pPr>
              <w:widowControl w:val="0"/>
              <w:pBdr>
                <w:bottom w:val="single" w:sz="4" w:space="1" w:color="auto"/>
              </w:pBdr>
              <w:ind w:left="-113" w:right="1134"/>
              <w:rPr>
                <w:rFonts w:cs="Arial"/>
              </w:rPr>
            </w:pPr>
            <w:r w:rsidRPr="002400B4">
              <w:rPr>
                <w:rFonts w:cs="Arial"/>
              </w:rPr>
              <w:t>Prepared by:</w:t>
            </w:r>
          </w:p>
          <w:p w14:paraId="34508D97" w14:textId="77777777" w:rsidR="00762A03" w:rsidRPr="002A0B87" w:rsidRDefault="00762A03" w:rsidP="00557104">
            <w:pPr>
              <w:widowControl w:val="0"/>
              <w:pBdr>
                <w:bottom w:val="single" w:sz="4" w:space="1" w:color="auto"/>
              </w:pBdr>
              <w:ind w:left="-113" w:right="1134"/>
              <w:rPr>
                <w:rFonts w:cs="Arial"/>
              </w:rPr>
            </w:pPr>
          </w:p>
          <w:p w14:paraId="1154A1A4" w14:textId="77777777" w:rsidR="00762A03" w:rsidRPr="002A0B87" w:rsidRDefault="00762A03" w:rsidP="00557104">
            <w:pPr>
              <w:widowControl w:val="0"/>
              <w:pBdr>
                <w:bottom w:val="single" w:sz="4" w:space="1" w:color="auto"/>
              </w:pBdr>
              <w:ind w:left="-113" w:right="1134"/>
              <w:rPr>
                <w:rFonts w:cs="Arial"/>
              </w:rPr>
            </w:pPr>
          </w:p>
          <w:p w14:paraId="76C9C480" w14:textId="77777777" w:rsidR="00762A03" w:rsidRPr="002A0B87" w:rsidRDefault="00762A03" w:rsidP="00557104">
            <w:pPr>
              <w:widowControl w:val="0"/>
              <w:pBdr>
                <w:bottom w:val="single" w:sz="4" w:space="1" w:color="auto"/>
              </w:pBdr>
              <w:ind w:left="-113" w:right="1134"/>
              <w:rPr>
                <w:rFonts w:cs="Arial"/>
              </w:rPr>
            </w:pPr>
          </w:p>
          <w:p w14:paraId="35845DFC" w14:textId="77777777" w:rsidR="00762A03" w:rsidRPr="002A0B87" w:rsidRDefault="00762A03" w:rsidP="00557104">
            <w:pPr>
              <w:widowControl w:val="0"/>
              <w:pBdr>
                <w:bottom w:val="single" w:sz="4" w:space="1" w:color="auto"/>
              </w:pBdr>
              <w:ind w:left="-113" w:right="1134"/>
              <w:rPr>
                <w:rFonts w:cs="Arial"/>
              </w:rPr>
            </w:pPr>
          </w:p>
          <w:p w14:paraId="32164D36" w14:textId="77777777" w:rsidR="00762A03" w:rsidRPr="002A0B87" w:rsidRDefault="00762A03" w:rsidP="00557104">
            <w:pPr>
              <w:widowControl w:val="0"/>
              <w:pBdr>
                <w:bottom w:val="single" w:sz="4" w:space="1" w:color="auto"/>
              </w:pBdr>
              <w:ind w:left="-113" w:right="1134"/>
              <w:rPr>
                <w:rFonts w:cs="Arial"/>
              </w:rPr>
            </w:pPr>
          </w:p>
          <w:p w14:paraId="1C9CE118" w14:textId="77777777" w:rsidR="00762A03" w:rsidRPr="002A0B87" w:rsidRDefault="00762A03" w:rsidP="00557104">
            <w:pPr>
              <w:widowControl w:val="0"/>
              <w:pBdr>
                <w:bottom w:val="single" w:sz="4" w:space="1" w:color="auto"/>
              </w:pBdr>
              <w:ind w:left="-113" w:right="1134"/>
              <w:rPr>
                <w:rFonts w:cs="Arial"/>
              </w:rPr>
            </w:pPr>
          </w:p>
        </w:tc>
        <w:tc>
          <w:tcPr>
            <w:tcW w:w="4651" w:type="dxa"/>
            <w:vAlign w:val="bottom"/>
          </w:tcPr>
          <w:p w14:paraId="49740C57" w14:textId="0DFB0627" w:rsidR="00762A03" w:rsidRPr="002A0B87" w:rsidRDefault="00C85CD1" w:rsidP="00557104">
            <w:pPr>
              <w:widowControl w:val="0"/>
              <w:pBdr>
                <w:bottom w:val="single" w:sz="4" w:space="1" w:color="auto"/>
              </w:pBdr>
              <w:ind w:left="-113" w:right="1134"/>
              <w:rPr>
                <w:rFonts w:cs="Arial"/>
              </w:rPr>
            </w:pPr>
            <w:r w:rsidRPr="00C85CD1">
              <w:rPr>
                <w:rFonts w:cs="Arial"/>
              </w:rPr>
              <w:t>Reviewed by:</w:t>
            </w:r>
          </w:p>
          <w:p w14:paraId="040A4F68" w14:textId="77777777" w:rsidR="00762A03" w:rsidRPr="002A0B87" w:rsidRDefault="00762A03" w:rsidP="00557104">
            <w:pPr>
              <w:widowControl w:val="0"/>
              <w:pBdr>
                <w:bottom w:val="single" w:sz="4" w:space="1" w:color="auto"/>
              </w:pBdr>
              <w:ind w:left="-113" w:right="1134"/>
              <w:rPr>
                <w:rFonts w:cs="Arial"/>
              </w:rPr>
            </w:pPr>
          </w:p>
          <w:p w14:paraId="1A950E8B" w14:textId="77777777" w:rsidR="00762A03" w:rsidRPr="002A0B87" w:rsidRDefault="00762A03" w:rsidP="00557104">
            <w:pPr>
              <w:widowControl w:val="0"/>
              <w:pBdr>
                <w:bottom w:val="single" w:sz="4" w:space="1" w:color="auto"/>
              </w:pBdr>
              <w:ind w:left="-113" w:right="1134"/>
              <w:rPr>
                <w:rFonts w:cs="Arial"/>
              </w:rPr>
            </w:pPr>
          </w:p>
          <w:p w14:paraId="635BA217" w14:textId="77777777" w:rsidR="00762A03" w:rsidRPr="002A0B87" w:rsidRDefault="00762A03" w:rsidP="00557104">
            <w:pPr>
              <w:widowControl w:val="0"/>
              <w:pBdr>
                <w:bottom w:val="single" w:sz="4" w:space="1" w:color="auto"/>
              </w:pBdr>
              <w:ind w:left="-113" w:right="1134"/>
              <w:rPr>
                <w:rFonts w:cs="Arial"/>
              </w:rPr>
            </w:pPr>
          </w:p>
          <w:p w14:paraId="4D664404" w14:textId="77777777" w:rsidR="00762A03" w:rsidRPr="002A0B87" w:rsidRDefault="00762A03" w:rsidP="00557104">
            <w:pPr>
              <w:widowControl w:val="0"/>
              <w:pBdr>
                <w:bottom w:val="single" w:sz="4" w:space="1" w:color="auto"/>
              </w:pBdr>
              <w:ind w:left="-113" w:right="1134"/>
              <w:rPr>
                <w:rFonts w:cs="Arial"/>
              </w:rPr>
            </w:pPr>
          </w:p>
          <w:p w14:paraId="674C2A5D" w14:textId="77777777" w:rsidR="00762A03" w:rsidRPr="002A0B87" w:rsidRDefault="00762A03" w:rsidP="00557104">
            <w:pPr>
              <w:widowControl w:val="0"/>
              <w:pBdr>
                <w:bottom w:val="single" w:sz="4" w:space="1" w:color="auto"/>
              </w:pBdr>
              <w:ind w:left="-113" w:right="1134"/>
              <w:rPr>
                <w:rFonts w:cs="Arial"/>
              </w:rPr>
            </w:pPr>
          </w:p>
          <w:p w14:paraId="7002149D" w14:textId="77777777" w:rsidR="00762A03" w:rsidRPr="002A0B87" w:rsidRDefault="00762A03" w:rsidP="00557104">
            <w:pPr>
              <w:widowControl w:val="0"/>
              <w:pBdr>
                <w:bottom w:val="single" w:sz="4" w:space="1" w:color="auto"/>
              </w:pBdr>
              <w:ind w:left="-113" w:right="1134"/>
              <w:rPr>
                <w:rFonts w:cs="Arial"/>
              </w:rPr>
            </w:pPr>
          </w:p>
        </w:tc>
        <w:tc>
          <w:tcPr>
            <w:tcW w:w="4652" w:type="dxa"/>
            <w:vAlign w:val="bottom"/>
          </w:tcPr>
          <w:p w14:paraId="1ADDBB48" w14:textId="7227C7F4" w:rsidR="00762A03" w:rsidRPr="002A0B87" w:rsidRDefault="0028219C" w:rsidP="00557104">
            <w:pPr>
              <w:widowControl w:val="0"/>
              <w:ind w:left="-113" w:right="1134"/>
              <w:rPr>
                <w:rFonts w:cs="Arial"/>
              </w:rPr>
            </w:pPr>
            <w:r w:rsidRPr="0028219C">
              <w:rPr>
                <w:rFonts w:cs="Arial"/>
              </w:rPr>
              <w:t>Approved by:</w:t>
            </w:r>
          </w:p>
          <w:p w14:paraId="47667087" w14:textId="77777777" w:rsidR="00762A03" w:rsidRPr="002A0B87" w:rsidRDefault="00762A03" w:rsidP="00557104">
            <w:pPr>
              <w:widowControl w:val="0"/>
              <w:ind w:left="-113" w:right="1134"/>
              <w:rPr>
                <w:rFonts w:cs="Arial"/>
              </w:rPr>
            </w:pPr>
          </w:p>
          <w:p w14:paraId="3FF7CDCC" w14:textId="77777777" w:rsidR="00762A03" w:rsidRPr="002A0B87" w:rsidRDefault="00762A03" w:rsidP="00557104">
            <w:pPr>
              <w:widowControl w:val="0"/>
              <w:ind w:left="-113" w:right="1134"/>
              <w:rPr>
                <w:rFonts w:cs="Arial"/>
              </w:rPr>
            </w:pPr>
          </w:p>
          <w:p w14:paraId="209EF463" w14:textId="77777777" w:rsidR="00762A03" w:rsidRPr="002A0B87" w:rsidRDefault="00762A03" w:rsidP="00557104">
            <w:pPr>
              <w:widowControl w:val="0"/>
              <w:ind w:left="-113" w:right="1134"/>
              <w:rPr>
                <w:rFonts w:cs="Arial"/>
              </w:rPr>
            </w:pPr>
          </w:p>
          <w:p w14:paraId="0D123550" w14:textId="77777777" w:rsidR="00762A03" w:rsidRPr="002A0B87" w:rsidRDefault="00762A03" w:rsidP="00557104">
            <w:pPr>
              <w:widowControl w:val="0"/>
              <w:ind w:left="-113" w:right="1134"/>
              <w:rPr>
                <w:rFonts w:cs="Arial"/>
              </w:rPr>
            </w:pPr>
          </w:p>
          <w:p w14:paraId="0E93EC26" w14:textId="77777777" w:rsidR="00762A03" w:rsidRPr="002A0B87" w:rsidRDefault="00762A03" w:rsidP="00557104">
            <w:pPr>
              <w:widowControl w:val="0"/>
              <w:ind w:left="-113" w:right="1134"/>
              <w:rPr>
                <w:rFonts w:cs="Arial"/>
              </w:rPr>
            </w:pPr>
          </w:p>
          <w:p w14:paraId="5BD7161D" w14:textId="77777777" w:rsidR="00762A03" w:rsidRPr="002A0B87" w:rsidRDefault="00762A03" w:rsidP="00557104">
            <w:pPr>
              <w:widowControl w:val="0"/>
              <w:pBdr>
                <w:bottom w:val="single" w:sz="4" w:space="1" w:color="auto"/>
              </w:pBdr>
              <w:ind w:left="-113" w:right="1134"/>
              <w:rPr>
                <w:rFonts w:cs="Arial"/>
              </w:rPr>
            </w:pPr>
          </w:p>
        </w:tc>
      </w:tr>
      <w:tr w:rsidR="00B84D3A" w:rsidRPr="002A0B87" w14:paraId="5061B2E7" w14:textId="77777777" w:rsidTr="00557104">
        <w:tc>
          <w:tcPr>
            <w:tcW w:w="4651" w:type="dxa"/>
          </w:tcPr>
          <w:p w14:paraId="746366C6" w14:textId="7BB6EE1F" w:rsidR="00B84D3A" w:rsidRPr="002A0B87" w:rsidRDefault="00293EBF" w:rsidP="00B84D3A">
            <w:pPr>
              <w:overflowPunct/>
              <w:autoSpaceDE/>
              <w:autoSpaceDN/>
              <w:adjustRightInd/>
              <w:ind w:left="-115" w:right="58"/>
              <w:textAlignment w:val="auto"/>
              <w:rPr>
                <w:rFonts w:eastAsia="Batang" w:cs="Arial"/>
              </w:rPr>
            </w:pPr>
            <w:r w:rsidRPr="00293EBF">
              <w:rPr>
                <w:rFonts w:eastAsia="Batang" w:cs="Arial"/>
              </w:rPr>
              <w:t>Ms. Pham Thi Yen</w:t>
            </w:r>
          </w:p>
          <w:p w14:paraId="164E73CC" w14:textId="12E00867" w:rsidR="00B84D3A" w:rsidRPr="002A0B87" w:rsidRDefault="00293EBF" w:rsidP="00B84D3A">
            <w:pPr>
              <w:widowControl w:val="0"/>
              <w:ind w:left="-113" w:right="58"/>
              <w:rPr>
                <w:rFonts w:cs="Arial"/>
              </w:rPr>
            </w:pPr>
            <w:r>
              <w:rPr>
                <w:rFonts w:eastAsia="Batang" w:cs="Arial"/>
              </w:rPr>
              <w:t>Accountant</w:t>
            </w:r>
          </w:p>
        </w:tc>
        <w:tc>
          <w:tcPr>
            <w:tcW w:w="4651" w:type="dxa"/>
          </w:tcPr>
          <w:p w14:paraId="7389A81C" w14:textId="51FF7C54" w:rsidR="00B84D3A" w:rsidRPr="002A0B87" w:rsidRDefault="00304F34" w:rsidP="00B84D3A">
            <w:pPr>
              <w:widowControl w:val="0"/>
              <w:ind w:left="-115" w:right="58"/>
              <w:rPr>
                <w:rFonts w:cs="Arial"/>
              </w:rPr>
            </w:pPr>
            <w:r w:rsidRPr="00304F34">
              <w:rPr>
                <w:rFonts w:cs="Arial"/>
              </w:rPr>
              <w:t>Ms. Nguyen Thi Van</w:t>
            </w:r>
          </w:p>
          <w:p w14:paraId="2361B39A" w14:textId="51517875" w:rsidR="00B84D3A" w:rsidRPr="002A0B87" w:rsidRDefault="00304F34" w:rsidP="00B84D3A">
            <w:pPr>
              <w:widowControl w:val="0"/>
              <w:ind w:left="-113" w:right="58"/>
              <w:rPr>
                <w:rFonts w:cs="Arial"/>
              </w:rPr>
            </w:pPr>
            <w:r>
              <w:rPr>
                <w:rFonts w:cs="Arial"/>
              </w:rPr>
              <w:t>Chief Accountant</w:t>
            </w:r>
          </w:p>
        </w:tc>
        <w:tc>
          <w:tcPr>
            <w:tcW w:w="4652" w:type="dxa"/>
          </w:tcPr>
          <w:p w14:paraId="68E19C26" w14:textId="3D870775" w:rsidR="00B84D3A" w:rsidRPr="002A0B87" w:rsidRDefault="0028219C" w:rsidP="00B84D3A">
            <w:pPr>
              <w:widowControl w:val="0"/>
              <w:ind w:left="-115" w:right="58"/>
              <w:contextualSpacing/>
              <w:rPr>
                <w:rFonts w:cs="Arial"/>
              </w:rPr>
            </w:pPr>
            <w:r>
              <w:rPr>
                <w:rFonts w:cs="Arial"/>
              </w:rPr>
              <w:t>Mr.</w:t>
            </w:r>
            <w:r w:rsidR="00B84D3A">
              <w:rPr>
                <w:rFonts w:cs="Arial"/>
              </w:rPr>
              <w:t xml:space="preserve"> Lee </w:t>
            </w:r>
            <w:proofErr w:type="spellStart"/>
            <w:r w:rsidR="00B84D3A">
              <w:rPr>
                <w:rFonts w:cs="Arial"/>
              </w:rPr>
              <w:t>Jin</w:t>
            </w:r>
            <w:proofErr w:type="spellEnd"/>
            <w:r w:rsidR="00B84D3A">
              <w:rPr>
                <w:rFonts w:cs="Arial"/>
              </w:rPr>
              <w:t xml:space="preserve"> Hwan</w:t>
            </w:r>
          </w:p>
          <w:p w14:paraId="41BB7AC5" w14:textId="0035DD03" w:rsidR="00B84D3A" w:rsidRPr="002A0B87" w:rsidRDefault="0028219C" w:rsidP="00B84D3A">
            <w:pPr>
              <w:widowControl w:val="0"/>
              <w:ind w:left="-113" w:right="58"/>
              <w:rPr>
                <w:rFonts w:cs="Arial"/>
                <w:highlight w:val="yellow"/>
              </w:rPr>
            </w:pPr>
            <w:r>
              <w:rPr>
                <w:rFonts w:cs="Arial"/>
              </w:rPr>
              <w:t>General Director</w:t>
            </w:r>
          </w:p>
        </w:tc>
      </w:tr>
    </w:tbl>
    <w:p w14:paraId="69FF6BC5" w14:textId="0CD10C28" w:rsidR="00D97636" w:rsidRPr="002A0B87" w:rsidRDefault="00D97636" w:rsidP="00557104">
      <w:pPr>
        <w:rPr>
          <w:rFonts w:cs="Arial"/>
        </w:rPr>
      </w:pPr>
    </w:p>
    <w:p w14:paraId="4ACC20E3" w14:textId="77777777" w:rsidR="00383956" w:rsidRPr="002A0B87" w:rsidRDefault="00383956" w:rsidP="00557104">
      <w:pPr>
        <w:rPr>
          <w:rFonts w:cs="Arial"/>
        </w:rPr>
      </w:pPr>
    </w:p>
    <w:p w14:paraId="06D65D5B" w14:textId="3517B2CE" w:rsidR="00D97636" w:rsidRPr="002A0B87" w:rsidRDefault="00D97636" w:rsidP="00557104">
      <w:pPr>
        <w:overflowPunct/>
        <w:autoSpaceDE/>
        <w:autoSpaceDN/>
        <w:adjustRightInd/>
        <w:textAlignment w:val="auto"/>
        <w:rPr>
          <w:rFonts w:cs="Arial"/>
        </w:rPr>
      </w:pPr>
      <w:r w:rsidRPr="002A0B87">
        <w:rPr>
          <w:rFonts w:cs="Arial"/>
        </w:rPr>
        <w:t>H</w:t>
      </w:r>
      <w:r w:rsidR="00293EBF">
        <w:rPr>
          <w:rFonts w:cs="Arial"/>
        </w:rPr>
        <w:t>anoi</w:t>
      </w:r>
      <w:r w:rsidRPr="002A0B87">
        <w:rPr>
          <w:rFonts w:cs="Arial"/>
        </w:rPr>
        <w:t>, Vi</w:t>
      </w:r>
      <w:r w:rsidR="00293EBF">
        <w:rPr>
          <w:rFonts w:cs="Arial"/>
        </w:rPr>
        <w:t>etnam</w:t>
      </w:r>
    </w:p>
    <w:p w14:paraId="68C8180A" w14:textId="77777777" w:rsidR="00D97636" w:rsidRPr="002A0B87" w:rsidRDefault="00D97636" w:rsidP="00557104">
      <w:pPr>
        <w:overflowPunct/>
        <w:autoSpaceDE/>
        <w:autoSpaceDN/>
        <w:adjustRightInd/>
        <w:textAlignment w:val="auto"/>
        <w:rPr>
          <w:rFonts w:cs="Arial"/>
        </w:rPr>
      </w:pPr>
    </w:p>
    <w:p w14:paraId="5F32B225" w14:textId="7F3AA24E" w:rsidR="000F6856" w:rsidRPr="002A0B87" w:rsidRDefault="008D748E">
      <w:pPr>
        <w:pStyle w:val="BodyText"/>
        <w:rPr>
          <w:rFonts w:ascii="Arial" w:hAnsi="Arial" w:cs="Arial"/>
          <w:lang w:val="en-GB"/>
        </w:rPr>
      </w:pPr>
      <w:r w:rsidRPr="00254501">
        <w:rPr>
          <w:rFonts w:ascii="Arial" w:hAnsi="Arial" w:cs="Arial"/>
        </w:rPr>
        <w:t>07</w:t>
      </w:r>
      <w:r w:rsidR="00AF613C" w:rsidRPr="00254501">
        <w:rPr>
          <w:rFonts w:ascii="Arial" w:hAnsi="Arial" w:cs="Arial"/>
        </w:rPr>
        <w:t xml:space="preserve"> March 202</w:t>
      </w:r>
      <w:r w:rsidR="00AF613C">
        <w:rPr>
          <w:rFonts w:ascii="Arial" w:hAnsi="Arial" w:cs="Arial"/>
        </w:rPr>
        <w:t>2</w:t>
      </w:r>
    </w:p>
    <w:p w14:paraId="14DD8CBB" w14:textId="77777777" w:rsidR="00C3475D" w:rsidRPr="002A0B87" w:rsidRDefault="00C3475D">
      <w:pPr>
        <w:pStyle w:val="BodyText"/>
        <w:rPr>
          <w:rFonts w:ascii="Arial" w:hAnsi="Arial" w:cs="Arial"/>
          <w:lang w:val="en-GB"/>
        </w:rPr>
      </w:pPr>
    </w:p>
    <w:p w14:paraId="647646A4" w14:textId="77777777" w:rsidR="00EB40F0" w:rsidRPr="002A0B87" w:rsidRDefault="00EB40F0">
      <w:pPr>
        <w:pStyle w:val="BodyText"/>
        <w:rPr>
          <w:rFonts w:ascii="Arial" w:hAnsi="Arial" w:cs="Arial"/>
          <w:lang w:val="en-GB"/>
        </w:rPr>
        <w:sectPr w:rsidR="00EB40F0" w:rsidRPr="002A0B87" w:rsidSect="00557104">
          <w:headerReference w:type="default" r:id="rId42"/>
          <w:pgSz w:w="16834" w:h="11909" w:orient="landscape" w:code="9"/>
          <w:pgMar w:top="1440" w:right="1440" w:bottom="864" w:left="1440" w:header="720" w:footer="576" w:gutter="0"/>
          <w:cols w:space="720"/>
          <w:docGrid w:linePitch="272"/>
        </w:sectPr>
      </w:pPr>
    </w:p>
    <w:p w14:paraId="766FDD30" w14:textId="4965C6E1" w:rsidR="00C72A97" w:rsidRPr="002A0B87" w:rsidRDefault="008D4D35" w:rsidP="008064F8">
      <w:pPr>
        <w:pStyle w:val="Heading1"/>
        <w:rPr>
          <w:rFonts w:cs="Arial"/>
          <w:b w:val="0"/>
          <w:lang w:val="en-GB"/>
        </w:rPr>
      </w:pPr>
      <w:r w:rsidRPr="002A0B87">
        <w:rPr>
          <w:rFonts w:cs="Arial"/>
          <w:lang w:val="en-GB"/>
        </w:rPr>
        <w:lastRenderedPageBreak/>
        <w:t>1.</w:t>
      </w:r>
      <w:r w:rsidRPr="002A0B87">
        <w:rPr>
          <w:rFonts w:cs="Arial"/>
          <w:lang w:val="en-GB"/>
        </w:rPr>
        <w:tab/>
      </w:r>
      <w:r w:rsidR="00A5087A" w:rsidRPr="00A5087A">
        <w:rPr>
          <w:rFonts w:cs="Arial"/>
          <w:lang w:val="en-GB"/>
        </w:rPr>
        <w:t>CORPORATE INFORMATION</w:t>
      </w:r>
      <w:r w:rsidR="00A5087A" w:rsidRPr="00A5087A" w:rsidDel="00A5087A">
        <w:rPr>
          <w:rFonts w:cs="Arial"/>
          <w:lang w:val="en-GB"/>
        </w:rPr>
        <w:t xml:space="preserve"> </w:t>
      </w:r>
    </w:p>
    <w:p w14:paraId="6D2DBBD0" w14:textId="77777777" w:rsidR="008700FA" w:rsidRPr="002A0B87" w:rsidRDefault="008700FA" w:rsidP="00BC736B">
      <w:pPr>
        <w:pStyle w:val="NoSpacing"/>
        <w:rPr>
          <w:lang w:val="en-GB"/>
        </w:rPr>
      </w:pPr>
    </w:p>
    <w:p w14:paraId="0E8B00D8" w14:textId="0F74B531" w:rsidR="008700FA" w:rsidRPr="002A0B87" w:rsidRDefault="00041406" w:rsidP="00BC736B">
      <w:pPr>
        <w:pStyle w:val="NoSpacing"/>
        <w:rPr>
          <w:lang w:val="en-GB"/>
        </w:rPr>
      </w:pPr>
      <w:r w:rsidRPr="00041406">
        <w:rPr>
          <w:lang w:val="en-GB"/>
        </w:rPr>
        <w:t>NH Securities Vietnam Co., Ltd (“the Company”), previously known as Woori CBV Securities JSC (transformed from Bien Viet Securities JSC), was established and operates in accordance with the Establishment and Operating License No. 124/GP-UBCK dated 13 April 2018 with initial charter capital at VND 735,000,000,000. The Company’s charter capital was approved to increase to VND 1,239,000,000,000 in accordance with the latest amended License No. 02/GPDC-UBCK dated 26 January 2021 granted by the State Securities Commission.</w:t>
      </w:r>
    </w:p>
    <w:p w14:paraId="047BE52A" w14:textId="77777777" w:rsidR="008700FA" w:rsidRPr="002A0B87" w:rsidRDefault="008700FA" w:rsidP="00BC736B">
      <w:pPr>
        <w:pStyle w:val="NoSpacing"/>
        <w:rPr>
          <w:lang w:val="vi-VN"/>
        </w:rPr>
      </w:pPr>
    </w:p>
    <w:p w14:paraId="20133F3F" w14:textId="712C3DC4" w:rsidR="008700FA" w:rsidRPr="002A0B87" w:rsidRDefault="00F45ABC" w:rsidP="00BC736B">
      <w:pPr>
        <w:pStyle w:val="NoSpacing"/>
        <w:rPr>
          <w:lang w:val="vi-VN"/>
        </w:rPr>
      </w:pPr>
      <w:r w:rsidRPr="00F45ABC">
        <w:rPr>
          <w:lang w:val="vi-VN"/>
        </w:rPr>
        <w:t>The Company’s head office is located at Floor 9th, East Tower, Lotte Center Hanoi, 54 Lieu Giai street, Cong Vi ward, Ba Dinh district, Hanoi.</w:t>
      </w:r>
    </w:p>
    <w:p w14:paraId="1D6E1633" w14:textId="77777777" w:rsidR="008700FA" w:rsidRPr="002A0B87" w:rsidRDefault="008700FA" w:rsidP="00BC736B">
      <w:pPr>
        <w:pStyle w:val="NoSpacing"/>
        <w:rPr>
          <w:lang w:val="vi-VN"/>
        </w:rPr>
      </w:pPr>
    </w:p>
    <w:p w14:paraId="6C01A9C9" w14:textId="328D0A08" w:rsidR="008B17B0" w:rsidRPr="002A0B87" w:rsidRDefault="00BB6753">
      <w:pPr>
        <w:pStyle w:val="NoSpacing"/>
        <w:rPr>
          <w:lang w:val="vi-VN"/>
        </w:rPr>
      </w:pPr>
      <w:r w:rsidRPr="00BB6753">
        <w:rPr>
          <w:bCs/>
          <w:iCs/>
          <w:lang w:val="vi-VN"/>
        </w:rPr>
        <w:t>The total number of employees of the Company as at 31 December 202</w:t>
      </w:r>
      <w:r w:rsidR="00F30665">
        <w:rPr>
          <w:bCs/>
          <w:iCs/>
        </w:rPr>
        <w:t>2</w:t>
      </w:r>
      <w:r w:rsidRPr="00BB6753">
        <w:rPr>
          <w:bCs/>
          <w:iCs/>
          <w:lang w:val="vi-VN"/>
        </w:rPr>
        <w:t xml:space="preserve"> was</w:t>
      </w:r>
      <w:r w:rsidR="00E24F18" w:rsidRPr="002A0B87">
        <w:rPr>
          <w:bCs/>
          <w:iCs/>
          <w:lang w:val="vi-VN"/>
        </w:rPr>
        <w:t xml:space="preserve"> </w:t>
      </w:r>
      <w:r w:rsidR="003E3B7A" w:rsidRPr="00254501">
        <w:t>7</w:t>
      </w:r>
      <w:r w:rsidR="00F30665">
        <w:t>9</w:t>
      </w:r>
      <w:r w:rsidR="002F545B" w:rsidRPr="00254501">
        <w:rPr>
          <w:lang w:val="vi-VN"/>
        </w:rPr>
        <w:t xml:space="preserve"> </w:t>
      </w:r>
      <w:r w:rsidR="004D5936">
        <w:rPr>
          <w:bCs/>
          <w:iCs/>
        </w:rPr>
        <w:t>persons</w:t>
      </w:r>
      <w:r w:rsidR="004D5936" w:rsidRPr="002A0B87">
        <w:rPr>
          <w:bCs/>
          <w:iCs/>
          <w:lang w:val="vi-VN"/>
        </w:rPr>
        <w:t xml:space="preserve"> </w:t>
      </w:r>
      <w:r w:rsidR="00E24F18" w:rsidRPr="002A0B87">
        <w:rPr>
          <w:bCs/>
          <w:iCs/>
          <w:lang w:val="vi-VN"/>
        </w:rPr>
        <w:t>(</w:t>
      </w:r>
      <w:r w:rsidR="003F444A" w:rsidRPr="003F444A">
        <w:rPr>
          <w:bCs/>
          <w:iCs/>
          <w:lang w:val="vi-VN"/>
        </w:rPr>
        <w:t>as at 31 December 202</w:t>
      </w:r>
      <w:r w:rsidR="00F30665">
        <w:rPr>
          <w:bCs/>
          <w:iCs/>
        </w:rPr>
        <w:t>1</w:t>
      </w:r>
      <w:r w:rsidR="003F444A" w:rsidRPr="003F444A">
        <w:rPr>
          <w:bCs/>
          <w:iCs/>
          <w:lang w:val="vi-VN"/>
        </w:rPr>
        <w:t xml:space="preserve">: </w:t>
      </w:r>
      <w:r w:rsidR="00F30665">
        <w:rPr>
          <w:bCs/>
          <w:iCs/>
        </w:rPr>
        <w:t>75</w:t>
      </w:r>
      <w:r w:rsidR="003F444A" w:rsidRPr="003F444A">
        <w:rPr>
          <w:bCs/>
          <w:iCs/>
          <w:lang w:val="vi-VN"/>
        </w:rPr>
        <w:t xml:space="preserve"> persons</w:t>
      </w:r>
      <w:r w:rsidR="00E24F18" w:rsidRPr="002A0B87">
        <w:rPr>
          <w:bCs/>
          <w:iCs/>
          <w:lang w:val="vi-VN"/>
        </w:rPr>
        <w:t>).</w:t>
      </w:r>
    </w:p>
    <w:p w14:paraId="581748AF" w14:textId="77777777" w:rsidR="00092DB1" w:rsidRPr="002A0B87" w:rsidRDefault="00092DB1">
      <w:pPr>
        <w:pStyle w:val="NoSpacing"/>
        <w:rPr>
          <w:bCs/>
          <w:lang w:val="vi-VN"/>
        </w:rPr>
      </w:pPr>
    </w:p>
    <w:p w14:paraId="5018E734" w14:textId="61875E9D" w:rsidR="00AA08D2" w:rsidRPr="002A0B87" w:rsidRDefault="00092DB1" w:rsidP="005E3FAF">
      <w:pPr>
        <w:pStyle w:val="NoSpacing"/>
        <w:rPr>
          <w:b/>
          <w:bCs/>
        </w:rPr>
      </w:pPr>
      <w:r w:rsidRPr="002A0B87">
        <w:rPr>
          <w:bCs/>
          <w:lang w:val="vi-VN"/>
        </w:rPr>
        <w:tab/>
      </w:r>
      <w:r w:rsidR="001A7ED5">
        <w:rPr>
          <w:b/>
          <w:bCs/>
        </w:rPr>
        <w:t xml:space="preserve">Operations </w:t>
      </w:r>
      <w:r w:rsidR="0095645F">
        <w:rPr>
          <w:b/>
          <w:bCs/>
        </w:rPr>
        <w:t>of the Company</w:t>
      </w:r>
    </w:p>
    <w:p w14:paraId="666A871C" w14:textId="77777777" w:rsidR="00AA08D2" w:rsidRPr="002A0B87" w:rsidRDefault="00AA08D2" w:rsidP="005E3FAF">
      <w:pPr>
        <w:pStyle w:val="NoSpacing"/>
        <w:rPr>
          <w:bCs/>
          <w:lang w:val="vi-VN"/>
        </w:rPr>
      </w:pPr>
    </w:p>
    <w:p w14:paraId="1FCE397B" w14:textId="40A37593" w:rsidR="00AA08D2" w:rsidRPr="002A0B87" w:rsidRDefault="00DD4D39" w:rsidP="005E3FAF">
      <w:pPr>
        <w:pStyle w:val="NoSpacing"/>
        <w:rPr>
          <w:bCs/>
          <w:i/>
        </w:rPr>
      </w:pPr>
      <w:r w:rsidRPr="00DD4D39">
        <w:rPr>
          <w:bCs/>
          <w:i/>
        </w:rPr>
        <w:t>Charter capital</w:t>
      </w:r>
      <w:r w:rsidRPr="00DD4D39" w:rsidDel="00DD4D39">
        <w:rPr>
          <w:bCs/>
          <w:i/>
        </w:rPr>
        <w:t xml:space="preserve"> </w:t>
      </w:r>
    </w:p>
    <w:p w14:paraId="48F43104" w14:textId="77777777" w:rsidR="00BB0AFA" w:rsidRPr="002A0B87" w:rsidRDefault="00BB0AFA" w:rsidP="00BB0AFA">
      <w:pPr>
        <w:pStyle w:val="NoSpacing"/>
        <w:rPr>
          <w:lang w:val="en-GB"/>
        </w:rPr>
      </w:pPr>
    </w:p>
    <w:p w14:paraId="5B095319" w14:textId="1F728DF6" w:rsidR="00BB0AFA" w:rsidRPr="002A0B87" w:rsidRDefault="00482C40" w:rsidP="00BB0AFA">
      <w:pPr>
        <w:pStyle w:val="NoSpacing"/>
      </w:pPr>
      <w:r w:rsidRPr="00482C40">
        <w:rPr>
          <w:lang w:val="vi-VN"/>
        </w:rPr>
        <w:t>As at 31 December 202</w:t>
      </w:r>
      <w:r w:rsidR="00F30665">
        <w:t>2</w:t>
      </w:r>
      <w:r w:rsidRPr="00482C40">
        <w:rPr>
          <w:lang w:val="vi-VN"/>
        </w:rPr>
        <w:t>, total charter capital of the Company was VND 1,239,000,000,000 (as at 31 December 202</w:t>
      </w:r>
      <w:r w:rsidR="00F30665">
        <w:t>1</w:t>
      </w:r>
      <w:r w:rsidRPr="00482C40">
        <w:rPr>
          <w:lang w:val="vi-VN"/>
        </w:rPr>
        <w:t>: VND 1,239,000,000,000).</w:t>
      </w:r>
    </w:p>
    <w:p w14:paraId="0FC5CE76" w14:textId="77777777" w:rsidR="00BB0AFA" w:rsidRPr="002A0B87" w:rsidRDefault="00BB0AFA" w:rsidP="00BB0AFA">
      <w:pPr>
        <w:pStyle w:val="NoSpacing"/>
        <w:rPr>
          <w:lang w:val="vi-VN"/>
        </w:rPr>
      </w:pPr>
    </w:p>
    <w:p w14:paraId="15BA4AE3" w14:textId="54DD5C70" w:rsidR="00AA08D2" w:rsidRPr="002A0B87" w:rsidRDefault="00D67F66" w:rsidP="005E3FAF">
      <w:pPr>
        <w:pStyle w:val="NoSpacing"/>
        <w:rPr>
          <w:bCs/>
          <w:i/>
        </w:rPr>
      </w:pPr>
      <w:r w:rsidRPr="00D67F66">
        <w:rPr>
          <w:bCs/>
          <w:i/>
        </w:rPr>
        <w:t>Investment objectives</w:t>
      </w:r>
      <w:r w:rsidRPr="00D67F66" w:rsidDel="00D67F66">
        <w:rPr>
          <w:bCs/>
          <w:i/>
        </w:rPr>
        <w:t xml:space="preserve"> </w:t>
      </w:r>
    </w:p>
    <w:p w14:paraId="26D7AFD2" w14:textId="1DF88CDD" w:rsidR="00AA08D2" w:rsidRPr="002A0B87" w:rsidRDefault="00A573A4" w:rsidP="005E3FAF">
      <w:pPr>
        <w:pStyle w:val="NoSpacing"/>
        <w:rPr>
          <w:bCs/>
          <w:lang w:val="vi-VN"/>
        </w:rPr>
      </w:pPr>
      <w:r>
        <w:rPr>
          <w:bCs/>
          <w:lang w:val="vi-VN"/>
        </w:rPr>
        <w:tab/>
      </w:r>
    </w:p>
    <w:p w14:paraId="3B80DE76" w14:textId="63DC7EA0" w:rsidR="00AA08D2" w:rsidRPr="002A0B87" w:rsidRDefault="009D23D8" w:rsidP="005E3FAF">
      <w:pPr>
        <w:pStyle w:val="NoSpacing"/>
        <w:rPr>
          <w:bCs/>
        </w:rPr>
      </w:pPr>
      <w:r w:rsidRPr="009D23D8">
        <w:rPr>
          <w:bCs/>
        </w:rPr>
        <w:t xml:space="preserve">The Company is a securities company with current principal activities are to provide brokerage services; financial and investment advisory services; proprietary trading; underwriting securities; securities depository services and other services in accordance with legal regulations applicable to securities companies. The Company’s objective is contributing to the development of the Vietnamese stock market and bringing core benefits to customers, </w:t>
      </w:r>
      <w:proofErr w:type="gramStart"/>
      <w:r w:rsidRPr="009D23D8">
        <w:rPr>
          <w:bCs/>
        </w:rPr>
        <w:t>investors</w:t>
      </w:r>
      <w:proofErr w:type="gramEnd"/>
      <w:r w:rsidRPr="009D23D8">
        <w:rPr>
          <w:bCs/>
        </w:rPr>
        <w:t xml:space="preserve"> and shareholders of the Company.</w:t>
      </w:r>
    </w:p>
    <w:p w14:paraId="413855C9" w14:textId="77777777" w:rsidR="00AA08D2" w:rsidRPr="002A0B87" w:rsidRDefault="00AA08D2" w:rsidP="005E3FAF">
      <w:pPr>
        <w:pStyle w:val="NoSpacing"/>
        <w:rPr>
          <w:bCs/>
          <w:lang w:val="vi-VN"/>
        </w:rPr>
      </w:pPr>
    </w:p>
    <w:p w14:paraId="104C52CB" w14:textId="34D80B82" w:rsidR="00092DB1" w:rsidRPr="002A0B87" w:rsidRDefault="00C03738" w:rsidP="005E3FAF">
      <w:pPr>
        <w:pStyle w:val="NoSpacing"/>
        <w:rPr>
          <w:bCs/>
          <w:i/>
          <w:lang w:val="vi-VN"/>
        </w:rPr>
      </w:pPr>
      <w:r w:rsidRPr="00C03738">
        <w:rPr>
          <w:bCs/>
          <w:i/>
          <w:lang w:val="vi-VN"/>
        </w:rPr>
        <w:t>Investment restrictions</w:t>
      </w:r>
      <w:r w:rsidRPr="00C03738" w:rsidDel="00C03738">
        <w:rPr>
          <w:bCs/>
          <w:i/>
          <w:lang w:val="vi-VN"/>
        </w:rPr>
        <w:t xml:space="preserve"> </w:t>
      </w:r>
    </w:p>
    <w:p w14:paraId="5B10FAD4" w14:textId="77777777" w:rsidR="00092DB1" w:rsidRPr="002A0B87" w:rsidRDefault="00092DB1" w:rsidP="005E3FAF">
      <w:pPr>
        <w:pStyle w:val="NoSpacing"/>
        <w:rPr>
          <w:bCs/>
          <w:szCs w:val="16"/>
          <w:lang w:val="vi-VN"/>
        </w:rPr>
      </w:pPr>
    </w:p>
    <w:p w14:paraId="357382FD" w14:textId="54428EFB" w:rsidR="00092DB1" w:rsidRPr="002A0B87" w:rsidRDefault="00641E5C" w:rsidP="005E3FAF">
      <w:pPr>
        <w:pStyle w:val="NoSpacing"/>
        <w:rPr>
          <w:bCs/>
          <w:lang w:val="vi-VN"/>
        </w:rPr>
      </w:pPr>
      <w:r w:rsidRPr="00641E5C">
        <w:rPr>
          <w:bCs/>
          <w:lang w:val="vi-VN"/>
        </w:rPr>
        <w:t>The Company complies with Article 28 of Circular No. 121/2020/TT-BTC dated 31 December 2020 prescribing operation of securities companies and other applicable regulations on investment restrictions. The current applicable practices on investment restrictions are as follows:</w:t>
      </w:r>
    </w:p>
    <w:p w14:paraId="2B74F3EF" w14:textId="7869BA69" w:rsidR="00092DB1" w:rsidRPr="002A0B87" w:rsidRDefault="003C34E9" w:rsidP="00FD742F">
      <w:pPr>
        <w:pStyle w:val="BodyText"/>
        <w:numPr>
          <w:ilvl w:val="0"/>
          <w:numId w:val="17"/>
        </w:numPr>
        <w:spacing w:before="120"/>
        <w:ind w:left="1080"/>
        <w:textAlignment w:val="auto"/>
        <w:rPr>
          <w:rFonts w:ascii="Arial" w:hAnsi="Arial" w:cs="Arial"/>
          <w:bCs/>
          <w:lang w:val="vi-VN"/>
        </w:rPr>
      </w:pPr>
      <w:r w:rsidRPr="003C34E9">
        <w:rPr>
          <w:rFonts w:ascii="Arial" w:hAnsi="Arial" w:cs="Arial"/>
          <w:bCs/>
          <w:lang w:val="vi-VN"/>
        </w:rPr>
        <w:t>A securities company is not allowed to purchase, contribute capital to invest in properties except for the use of head office, branches, and transaction offices directly serving operating activities of the securities company;</w:t>
      </w:r>
    </w:p>
    <w:p w14:paraId="40BEF15D" w14:textId="64A1C4CA" w:rsidR="00AA08D2" w:rsidRPr="002A0B87" w:rsidRDefault="005E620A" w:rsidP="00FD742F">
      <w:pPr>
        <w:pStyle w:val="BodyText"/>
        <w:numPr>
          <w:ilvl w:val="0"/>
          <w:numId w:val="17"/>
        </w:numPr>
        <w:spacing w:before="120"/>
        <w:ind w:left="1080"/>
        <w:textAlignment w:val="auto"/>
        <w:rPr>
          <w:rFonts w:ascii="Arial" w:hAnsi="Arial" w:cs="Arial"/>
          <w:bCs/>
          <w:lang w:val="vi-VN"/>
        </w:rPr>
      </w:pPr>
      <w:r w:rsidRPr="005E620A">
        <w:rPr>
          <w:rFonts w:ascii="Arial" w:hAnsi="Arial" w:cs="Arial"/>
          <w:bCs/>
          <w:lang w:val="vi-VN"/>
        </w:rPr>
        <w:tab/>
        <w:t>A securities company may purchase, contribute capital to invest in properties and fixed assets on the principle that the carrying value of fixed assets and investment properties should not exceed fifty percent (50%) of the total assets of the securities company;</w:t>
      </w:r>
    </w:p>
    <w:p w14:paraId="20548AE0" w14:textId="3360D068" w:rsidR="008064F8" w:rsidRPr="002A0B87" w:rsidRDefault="004F5EC4" w:rsidP="00FD742F">
      <w:pPr>
        <w:pStyle w:val="BodyText"/>
        <w:numPr>
          <w:ilvl w:val="0"/>
          <w:numId w:val="17"/>
        </w:numPr>
        <w:spacing w:before="120"/>
        <w:ind w:left="1080"/>
        <w:textAlignment w:val="auto"/>
        <w:rPr>
          <w:rFonts w:ascii="Arial" w:hAnsi="Arial" w:cs="Arial"/>
          <w:bCs/>
        </w:rPr>
        <w:sectPr w:rsidR="008064F8" w:rsidRPr="002A0B87" w:rsidSect="008F7564">
          <w:headerReference w:type="default" r:id="rId43"/>
          <w:pgSz w:w="11909" w:h="16834" w:code="9"/>
          <w:pgMar w:top="1440" w:right="1440" w:bottom="862" w:left="1582" w:header="720" w:footer="578" w:gutter="0"/>
          <w:cols w:space="720"/>
          <w:docGrid w:linePitch="272"/>
        </w:sectPr>
      </w:pPr>
      <w:r w:rsidRPr="004F5EC4">
        <w:rPr>
          <w:rFonts w:ascii="Arial" w:hAnsi="Arial" w:cs="Arial"/>
          <w:bCs/>
          <w:lang w:val="vi-VN"/>
        </w:rPr>
        <w:tab/>
        <w:t>A securities company is not allowed to use more than seventy percent (70%) of its owners’ equity to invest in corporate bonds. A securities company, licensed to engage in propriety trading, is allowed to repurchase listed bonds in accordance with relevant regulations on securities repurchase agreement;</w:t>
      </w:r>
      <w:r w:rsidR="006828EE" w:rsidRPr="002A0B87">
        <w:rPr>
          <w:rFonts w:ascii="Arial" w:hAnsi="Arial" w:cs="Arial"/>
          <w:bCs/>
        </w:rPr>
        <w:t xml:space="preserve"> </w:t>
      </w:r>
    </w:p>
    <w:p w14:paraId="068AB453" w14:textId="42CF7FA3" w:rsidR="006828EE" w:rsidRPr="002A0B87" w:rsidRDefault="006828EE" w:rsidP="008064F8">
      <w:pPr>
        <w:ind w:left="720" w:hanging="720"/>
        <w:rPr>
          <w:rFonts w:cs="Arial"/>
          <w:bCs/>
        </w:rPr>
      </w:pPr>
      <w:r w:rsidRPr="002A0B87">
        <w:rPr>
          <w:rFonts w:cs="Arial"/>
          <w:b/>
          <w:bCs/>
        </w:rPr>
        <w:lastRenderedPageBreak/>
        <w:t>1.</w:t>
      </w:r>
      <w:r w:rsidRPr="002A0B87">
        <w:rPr>
          <w:rFonts w:cs="Arial"/>
          <w:b/>
          <w:bCs/>
        </w:rPr>
        <w:tab/>
      </w:r>
      <w:r w:rsidR="00F72137" w:rsidRPr="00F72137">
        <w:rPr>
          <w:rFonts w:cs="Arial"/>
          <w:b/>
          <w:bCs/>
        </w:rPr>
        <w:t xml:space="preserve">CORPORATE INFORMATION </w:t>
      </w:r>
      <w:r w:rsidR="00F72137" w:rsidRPr="00FA28E4">
        <w:rPr>
          <w:rFonts w:cs="Arial"/>
        </w:rPr>
        <w:t>(continued)</w:t>
      </w:r>
    </w:p>
    <w:p w14:paraId="1A91ADFF" w14:textId="77777777" w:rsidR="0068481A" w:rsidRPr="002A0B87" w:rsidRDefault="0068481A" w:rsidP="005E3FAF">
      <w:pPr>
        <w:pStyle w:val="NoSpacing"/>
        <w:rPr>
          <w:lang w:val="vi-VN"/>
        </w:rPr>
      </w:pPr>
    </w:p>
    <w:p w14:paraId="61CCC6DB" w14:textId="31252338" w:rsidR="0068481A" w:rsidRPr="002A0B87" w:rsidRDefault="00165CD8" w:rsidP="005E3FAF">
      <w:pPr>
        <w:pStyle w:val="NoSpacing"/>
        <w:rPr>
          <w:b/>
        </w:rPr>
      </w:pPr>
      <w:r w:rsidRPr="00FA28E4">
        <w:rPr>
          <w:b/>
          <w:bCs/>
          <w:lang w:val="vi-VN"/>
        </w:rPr>
        <w:t>Operations of the Company</w:t>
      </w:r>
      <w:r w:rsidRPr="00165CD8">
        <w:rPr>
          <w:lang w:val="vi-VN"/>
        </w:rPr>
        <w:t xml:space="preserve"> (continued)</w:t>
      </w:r>
    </w:p>
    <w:p w14:paraId="731A8858" w14:textId="77777777" w:rsidR="0068481A" w:rsidRPr="002A0B87" w:rsidRDefault="0068481A" w:rsidP="005E3FAF">
      <w:pPr>
        <w:pStyle w:val="NoSpacing"/>
        <w:rPr>
          <w:lang w:val="vi-VN"/>
        </w:rPr>
      </w:pPr>
    </w:p>
    <w:p w14:paraId="5BED824A" w14:textId="459C6BAC" w:rsidR="0068481A" w:rsidRPr="002A0B87" w:rsidRDefault="009A0BAF" w:rsidP="005E3FAF">
      <w:pPr>
        <w:pStyle w:val="NoSpacing"/>
      </w:pPr>
      <w:r w:rsidRPr="009A0BAF">
        <w:rPr>
          <w:i/>
          <w:lang w:val="vi-VN"/>
        </w:rPr>
        <w:t xml:space="preserve">Investment restrictions </w:t>
      </w:r>
      <w:r w:rsidRPr="00FA28E4">
        <w:rPr>
          <w:iCs/>
          <w:lang w:val="vi-VN"/>
        </w:rPr>
        <w:t>(continued)</w:t>
      </w:r>
    </w:p>
    <w:p w14:paraId="07F5BABF" w14:textId="1C0E4153" w:rsidR="0068481A" w:rsidRPr="002A0B87" w:rsidRDefault="0068481A" w:rsidP="005E3FAF">
      <w:pPr>
        <w:pStyle w:val="NoSpacing"/>
        <w:rPr>
          <w:lang w:val="vi-VN"/>
        </w:rPr>
      </w:pPr>
    </w:p>
    <w:p w14:paraId="3C222117" w14:textId="1CDB80E6" w:rsidR="00410CB8" w:rsidRPr="002A0B87" w:rsidRDefault="002B7766" w:rsidP="00FD742F">
      <w:pPr>
        <w:pStyle w:val="BodyText"/>
        <w:numPr>
          <w:ilvl w:val="0"/>
          <w:numId w:val="10"/>
        </w:numPr>
        <w:ind w:left="1080"/>
        <w:textAlignment w:val="auto"/>
        <w:rPr>
          <w:rFonts w:ascii="Arial" w:hAnsi="Arial" w:cs="Arial"/>
          <w:bCs/>
          <w:lang w:val="vi-VN"/>
        </w:rPr>
      </w:pPr>
      <w:r w:rsidRPr="002B7766">
        <w:rPr>
          <w:rFonts w:ascii="Arial" w:hAnsi="Arial" w:cs="Arial"/>
          <w:bCs/>
          <w:lang w:val="vi-VN"/>
        </w:rPr>
        <w:tab/>
        <w:t>A securities company must not by itself, or authorize another organizations or individuals to:</w:t>
      </w:r>
    </w:p>
    <w:p w14:paraId="045C41DB" w14:textId="34DF7BBF" w:rsidR="00410CB8" w:rsidRPr="002A0B87" w:rsidRDefault="00663117" w:rsidP="00FD742F">
      <w:pPr>
        <w:pStyle w:val="BodyText"/>
        <w:numPr>
          <w:ilvl w:val="0"/>
          <w:numId w:val="14"/>
        </w:numPr>
        <w:spacing w:before="120"/>
        <w:textAlignment w:val="auto"/>
        <w:rPr>
          <w:rFonts w:ascii="Arial" w:hAnsi="Arial" w:cs="Arial"/>
          <w:bCs/>
          <w:lang w:val="vi-VN"/>
        </w:rPr>
      </w:pPr>
      <w:r>
        <w:rPr>
          <w:rFonts w:ascii="Arial" w:hAnsi="Arial" w:cs="Arial"/>
          <w:bCs/>
        </w:rPr>
        <w:t xml:space="preserve">Invest in shares or contribute </w:t>
      </w:r>
      <w:r w:rsidR="00713272">
        <w:rPr>
          <w:rFonts w:ascii="Arial" w:hAnsi="Arial" w:cs="Arial"/>
          <w:bCs/>
        </w:rPr>
        <w:t xml:space="preserve">capital to companies that owned </w:t>
      </w:r>
      <w:r w:rsidR="00F91D9A">
        <w:rPr>
          <w:rFonts w:ascii="Arial" w:hAnsi="Arial" w:cs="Arial"/>
          <w:bCs/>
        </w:rPr>
        <w:t xml:space="preserve">more than fifty percent </w:t>
      </w:r>
      <w:r w:rsidR="004C4145">
        <w:rPr>
          <w:rFonts w:ascii="Arial" w:hAnsi="Arial" w:cs="Arial"/>
          <w:bCs/>
        </w:rPr>
        <w:t xml:space="preserve">(50%) of the charter capital of the securities company, except for purchasing of odd </w:t>
      </w:r>
      <w:r w:rsidR="007D7221">
        <w:rPr>
          <w:rFonts w:ascii="Arial" w:hAnsi="Arial" w:cs="Arial"/>
          <w:bCs/>
        </w:rPr>
        <w:t xml:space="preserve">shares per request of </w:t>
      </w:r>
      <w:proofErr w:type="gramStart"/>
      <w:r w:rsidR="007D7221">
        <w:rPr>
          <w:rFonts w:ascii="Arial" w:hAnsi="Arial" w:cs="Arial"/>
          <w:bCs/>
        </w:rPr>
        <w:t>customers;</w:t>
      </w:r>
      <w:proofErr w:type="gramEnd"/>
    </w:p>
    <w:p w14:paraId="62572182" w14:textId="66D35135" w:rsidR="00410CB8" w:rsidRPr="002A0B87" w:rsidRDefault="007D7221" w:rsidP="00FD742F">
      <w:pPr>
        <w:pStyle w:val="BodyText"/>
        <w:numPr>
          <w:ilvl w:val="0"/>
          <w:numId w:val="14"/>
        </w:numPr>
        <w:spacing w:before="120"/>
        <w:textAlignment w:val="auto"/>
        <w:rPr>
          <w:rFonts w:ascii="Arial" w:hAnsi="Arial" w:cs="Arial"/>
          <w:bCs/>
          <w:lang w:val="vi-VN"/>
        </w:rPr>
      </w:pPr>
      <w:r>
        <w:rPr>
          <w:rFonts w:ascii="Arial" w:hAnsi="Arial" w:cs="Arial"/>
          <w:bCs/>
        </w:rPr>
        <w:t>Make joint investments</w:t>
      </w:r>
      <w:r w:rsidR="00A511DE">
        <w:rPr>
          <w:rFonts w:ascii="Arial" w:hAnsi="Arial" w:cs="Arial"/>
          <w:bCs/>
        </w:rPr>
        <w:t xml:space="preserve"> with a related party in five percent (5%) or more of the </w:t>
      </w:r>
      <w:r w:rsidR="001628C5">
        <w:rPr>
          <w:rFonts w:ascii="Arial" w:hAnsi="Arial" w:cs="Arial"/>
          <w:bCs/>
        </w:rPr>
        <w:t xml:space="preserve">charter capital </w:t>
      </w:r>
      <w:r w:rsidR="00136018">
        <w:rPr>
          <w:rFonts w:ascii="Arial" w:hAnsi="Arial" w:cs="Arial"/>
          <w:bCs/>
        </w:rPr>
        <w:t xml:space="preserve">of another securities </w:t>
      </w:r>
      <w:proofErr w:type="gramStart"/>
      <w:r w:rsidR="00361A46">
        <w:rPr>
          <w:rFonts w:ascii="Arial" w:hAnsi="Arial" w:cs="Arial"/>
          <w:bCs/>
        </w:rPr>
        <w:t>company;</w:t>
      </w:r>
      <w:proofErr w:type="gramEnd"/>
    </w:p>
    <w:p w14:paraId="43AD65D9" w14:textId="3788AA98" w:rsidR="00410CB8" w:rsidRPr="002A0B87" w:rsidRDefault="00361A46" w:rsidP="00FD742F">
      <w:pPr>
        <w:pStyle w:val="BodyText"/>
        <w:numPr>
          <w:ilvl w:val="0"/>
          <w:numId w:val="14"/>
        </w:numPr>
        <w:spacing w:before="120"/>
        <w:textAlignment w:val="auto"/>
        <w:rPr>
          <w:rFonts w:ascii="Arial" w:hAnsi="Arial" w:cs="Arial"/>
          <w:bCs/>
          <w:lang w:val="vi-VN"/>
        </w:rPr>
      </w:pPr>
      <w:r>
        <w:rPr>
          <w:rFonts w:ascii="Arial" w:hAnsi="Arial" w:cs="Arial"/>
          <w:bCs/>
        </w:rPr>
        <w:t xml:space="preserve">Invest more than twenty percent (20%) </w:t>
      </w:r>
      <w:r w:rsidR="00D57637">
        <w:rPr>
          <w:rFonts w:ascii="Arial" w:hAnsi="Arial" w:cs="Arial"/>
          <w:bCs/>
        </w:rPr>
        <w:t xml:space="preserve">in the total circulating shares or fund certificates of a listed </w:t>
      </w:r>
      <w:proofErr w:type="gramStart"/>
      <w:r w:rsidR="00D57637">
        <w:rPr>
          <w:rFonts w:ascii="Arial" w:hAnsi="Arial" w:cs="Arial"/>
          <w:bCs/>
        </w:rPr>
        <w:t>entity;</w:t>
      </w:r>
      <w:proofErr w:type="gramEnd"/>
    </w:p>
    <w:p w14:paraId="6E2905B4" w14:textId="17FDB961" w:rsidR="00410CB8" w:rsidRPr="002A0B87" w:rsidRDefault="00D52DD1" w:rsidP="00FD742F">
      <w:pPr>
        <w:pStyle w:val="BodyText"/>
        <w:numPr>
          <w:ilvl w:val="0"/>
          <w:numId w:val="14"/>
        </w:numPr>
        <w:spacing w:before="120"/>
        <w:textAlignment w:val="auto"/>
        <w:rPr>
          <w:rFonts w:ascii="Arial" w:hAnsi="Arial" w:cs="Arial"/>
          <w:bCs/>
          <w:lang w:val="vi-VN"/>
        </w:rPr>
      </w:pPr>
      <w:r w:rsidRPr="00D52DD1">
        <w:rPr>
          <w:rFonts w:ascii="Arial" w:hAnsi="Arial" w:cs="Arial"/>
          <w:bCs/>
          <w:lang w:val="vi-VN"/>
        </w:rPr>
        <w:t>Invest more than fifteen percent (15%) in the total circulating shares or fund certificates of a non-listed entity, this provision shall not apply to member fund, exchange-traded fund and open-ended fund certificates;</w:t>
      </w:r>
    </w:p>
    <w:p w14:paraId="36CCBC5C" w14:textId="32049A02" w:rsidR="00410CB8" w:rsidRPr="002A0B87" w:rsidRDefault="00481003" w:rsidP="00FD742F">
      <w:pPr>
        <w:pStyle w:val="BodyText"/>
        <w:numPr>
          <w:ilvl w:val="0"/>
          <w:numId w:val="14"/>
        </w:numPr>
        <w:spacing w:before="120"/>
        <w:textAlignment w:val="auto"/>
        <w:rPr>
          <w:rFonts w:ascii="Arial" w:hAnsi="Arial" w:cs="Arial"/>
          <w:bCs/>
          <w:lang w:val="vi-VN"/>
        </w:rPr>
      </w:pPr>
      <w:r w:rsidRPr="00481003">
        <w:rPr>
          <w:rFonts w:ascii="Arial" w:hAnsi="Arial" w:cs="Arial"/>
          <w:bCs/>
          <w:lang w:val="vi-VN"/>
        </w:rPr>
        <w:t>Invest or contribute capital in more than ten percent (10%) of the total contributed capital of a limited liability company or a business project;</w:t>
      </w:r>
    </w:p>
    <w:p w14:paraId="6762D389" w14:textId="74D938F7" w:rsidR="00410CB8" w:rsidRPr="002A0B87" w:rsidRDefault="006772C1" w:rsidP="00FD742F">
      <w:pPr>
        <w:pStyle w:val="BodyText"/>
        <w:numPr>
          <w:ilvl w:val="0"/>
          <w:numId w:val="14"/>
        </w:numPr>
        <w:spacing w:before="120"/>
        <w:textAlignment w:val="auto"/>
        <w:rPr>
          <w:rFonts w:ascii="Arial" w:hAnsi="Arial" w:cs="Arial"/>
          <w:bCs/>
          <w:lang w:val="vi-VN"/>
        </w:rPr>
      </w:pPr>
      <w:r w:rsidRPr="006772C1">
        <w:rPr>
          <w:rFonts w:ascii="Arial" w:hAnsi="Arial" w:cs="Arial"/>
          <w:bCs/>
          <w:lang w:val="vi-VN"/>
        </w:rPr>
        <w:t>Invest or contribute capital more than fifteen percent (15%) of its owners’ equity in an entity or a business project;</w:t>
      </w:r>
    </w:p>
    <w:p w14:paraId="69ECCA84" w14:textId="32697034" w:rsidR="00410CB8" w:rsidRPr="002A0B87" w:rsidRDefault="00436802" w:rsidP="00FD742F">
      <w:pPr>
        <w:pStyle w:val="BodyText"/>
        <w:numPr>
          <w:ilvl w:val="0"/>
          <w:numId w:val="14"/>
        </w:numPr>
        <w:spacing w:before="120"/>
        <w:textAlignment w:val="auto"/>
        <w:rPr>
          <w:rFonts w:ascii="Arial" w:hAnsi="Arial" w:cs="Arial"/>
          <w:bCs/>
          <w:lang w:val="vi-VN"/>
        </w:rPr>
      </w:pPr>
      <w:r w:rsidRPr="00436802">
        <w:rPr>
          <w:rFonts w:ascii="Arial" w:hAnsi="Arial" w:cs="Arial"/>
          <w:bCs/>
          <w:lang w:val="vi-VN"/>
        </w:rPr>
        <w:t>Invest more than seventy percent (70%) of its owners’ equity in shares, capital contribution and business projects, specifically invest more than twenty percent (20%) of its owners’ equity in non-listed shares, capital contribution and business projects.</w:t>
      </w:r>
    </w:p>
    <w:p w14:paraId="7DC97094" w14:textId="475FC4F1" w:rsidR="006828EE" w:rsidRPr="002A0B87" w:rsidRDefault="006828EE" w:rsidP="005E3FAF">
      <w:pPr>
        <w:pStyle w:val="NoSpacing"/>
      </w:pPr>
    </w:p>
    <w:p w14:paraId="40133F65" w14:textId="3D73EA78" w:rsidR="0068481A" w:rsidRPr="002A0B87" w:rsidRDefault="0068481A" w:rsidP="005E3FAF">
      <w:pPr>
        <w:pStyle w:val="NoSpacing"/>
      </w:pPr>
    </w:p>
    <w:p w14:paraId="22F6E333" w14:textId="1202394F" w:rsidR="0068481A" w:rsidRPr="002A0B87" w:rsidRDefault="00DC154F" w:rsidP="008064F8">
      <w:pPr>
        <w:pStyle w:val="BodyText"/>
        <w:ind w:left="720" w:hanging="720"/>
        <w:textAlignment w:val="auto"/>
        <w:outlineLvl w:val="0"/>
        <w:rPr>
          <w:rFonts w:ascii="Arial" w:hAnsi="Arial" w:cs="Arial"/>
          <w:b/>
          <w:bCs/>
        </w:rPr>
      </w:pPr>
      <w:r w:rsidRPr="002A0B87">
        <w:rPr>
          <w:rFonts w:ascii="Arial" w:hAnsi="Arial" w:cs="Arial"/>
          <w:b/>
          <w:bCs/>
        </w:rPr>
        <w:t>2.</w:t>
      </w:r>
      <w:r w:rsidRPr="002A0B87">
        <w:rPr>
          <w:rFonts w:ascii="Arial" w:hAnsi="Arial" w:cs="Arial"/>
          <w:b/>
          <w:bCs/>
        </w:rPr>
        <w:tab/>
      </w:r>
      <w:r w:rsidR="00E432B8" w:rsidRPr="00E432B8">
        <w:rPr>
          <w:rFonts w:ascii="Arial" w:hAnsi="Arial" w:cs="Arial"/>
          <w:b/>
          <w:bCs/>
        </w:rPr>
        <w:t>BASIC OF PREPARATION</w:t>
      </w:r>
      <w:r w:rsidR="00E432B8" w:rsidRPr="00E432B8" w:rsidDel="00E432B8">
        <w:rPr>
          <w:rFonts w:ascii="Arial" w:hAnsi="Arial" w:cs="Arial"/>
          <w:b/>
          <w:bCs/>
        </w:rPr>
        <w:t xml:space="preserve"> </w:t>
      </w:r>
    </w:p>
    <w:p w14:paraId="34E8B752" w14:textId="77777777" w:rsidR="00DC154F" w:rsidRPr="002A0B87" w:rsidRDefault="00DC154F" w:rsidP="005E3FAF">
      <w:pPr>
        <w:pStyle w:val="NoSpacing"/>
        <w:rPr>
          <w:lang w:val="vi-VN"/>
        </w:rPr>
      </w:pPr>
    </w:p>
    <w:p w14:paraId="5ECD884C" w14:textId="7A5D4AEF" w:rsidR="00DC154F" w:rsidRPr="002A0B87" w:rsidRDefault="00DC154F" w:rsidP="005E3FAF">
      <w:pPr>
        <w:pStyle w:val="Heading2"/>
      </w:pPr>
      <w:r w:rsidRPr="002A0B87">
        <w:t>2.1</w:t>
      </w:r>
      <w:r w:rsidRPr="002A0B87">
        <w:tab/>
      </w:r>
      <w:r w:rsidR="009E5017" w:rsidRPr="009E5017">
        <w:t>Applied accounting standards and systems</w:t>
      </w:r>
      <w:r w:rsidR="009E5017" w:rsidRPr="009E5017" w:rsidDel="009E5017">
        <w:t xml:space="preserve"> </w:t>
      </w:r>
    </w:p>
    <w:p w14:paraId="0DF2BEB4" w14:textId="77777777" w:rsidR="00DC154F" w:rsidRPr="002A0B87" w:rsidRDefault="00DC154F" w:rsidP="005E3FAF">
      <w:pPr>
        <w:pStyle w:val="NoSpacing"/>
        <w:rPr>
          <w:lang w:val="vi-VN"/>
        </w:rPr>
      </w:pPr>
    </w:p>
    <w:p w14:paraId="348AB2DE" w14:textId="275F4679" w:rsidR="00DC154F" w:rsidRPr="002A0B87" w:rsidRDefault="00773C5D" w:rsidP="005E3FAF">
      <w:pPr>
        <w:pStyle w:val="NoSpacing"/>
        <w:rPr>
          <w:lang w:val="vi-VN"/>
        </w:rPr>
      </w:pPr>
      <w:r w:rsidRPr="00773C5D">
        <w:rPr>
          <w:lang w:val="vi-VN"/>
        </w:rPr>
        <w:t>The  financial statements of the Company expressed in Vietnam dong (“VND”) are prepared in accordance with Vietnamese Enterprise Accounting System, accounting guidance applicable to securities companies as set out in Circular No. 210/2014/TT-BTC dated 30 December 2014 (“Circular 210”), Circular No. 334/2016/TT-BTC dated 27 December 2016 amending, supplementing and replacing Appendix No. 02 and No. 04 of Circular 210, Circular No. 146/2014/TT-BTC dated 6 October 2014 providing guidance on financial regime applicable to securities companies and asset management companies, and other Vietnamese Accounting Standards promulgated by the Ministry of Finance as per:</w:t>
      </w:r>
    </w:p>
    <w:p w14:paraId="47FCC052" w14:textId="050E781E" w:rsidR="00DC154F" w:rsidRPr="002A0B87" w:rsidRDefault="00C13B0F" w:rsidP="00FD742F">
      <w:pPr>
        <w:pStyle w:val="listbulletindent0"/>
        <w:numPr>
          <w:ilvl w:val="0"/>
          <w:numId w:val="6"/>
        </w:numPr>
        <w:tabs>
          <w:tab w:val="clear" w:pos="420"/>
          <w:tab w:val="clear" w:pos="992"/>
          <w:tab w:val="num" w:pos="1092"/>
        </w:tabs>
        <w:spacing w:before="120" w:after="120"/>
        <w:ind w:left="1080" w:hanging="360"/>
        <w:rPr>
          <w:rFonts w:ascii="Arial" w:hAnsi="Arial" w:cs="Arial"/>
          <w:lang w:val="vi-VN"/>
        </w:rPr>
      </w:pPr>
      <w:r w:rsidRPr="00C13B0F">
        <w:rPr>
          <w:rFonts w:ascii="Arial" w:hAnsi="Arial" w:cs="Arial"/>
          <w:lang w:val="vi-VN"/>
        </w:rPr>
        <w:t>Decision No. 149/2001/QD-BTC dated 31 December 2001 on the Issuance and Promulgation of Four Vietnamese Standards on Accounting (Series 1);</w:t>
      </w:r>
    </w:p>
    <w:p w14:paraId="466AE32E" w14:textId="2E7B0260" w:rsidR="00DC154F" w:rsidRPr="002A0B87" w:rsidRDefault="00A463A7" w:rsidP="00FD742F">
      <w:pPr>
        <w:pStyle w:val="listbulletindent0"/>
        <w:numPr>
          <w:ilvl w:val="0"/>
          <w:numId w:val="6"/>
        </w:numPr>
        <w:tabs>
          <w:tab w:val="clear" w:pos="420"/>
          <w:tab w:val="clear" w:pos="992"/>
          <w:tab w:val="num" w:pos="1092"/>
        </w:tabs>
        <w:spacing w:before="120" w:after="120"/>
        <w:ind w:left="1080" w:hanging="360"/>
        <w:rPr>
          <w:rFonts w:ascii="Arial" w:hAnsi="Arial" w:cs="Arial"/>
          <w:lang w:val="vi-VN"/>
        </w:rPr>
      </w:pPr>
      <w:r w:rsidRPr="00A463A7">
        <w:rPr>
          <w:rFonts w:ascii="Arial" w:hAnsi="Arial" w:cs="Arial"/>
          <w:lang w:val="vi-VN"/>
        </w:rPr>
        <w:t>Decision No. 165/2002/QD-BTC dated 31 December 2002 on the Issuance and Promulgation of Six Vietnamese Standards on Accounting (Series 2);</w:t>
      </w:r>
      <w:r w:rsidR="00DC154F" w:rsidRPr="002A0B87">
        <w:rPr>
          <w:rFonts w:ascii="Arial" w:hAnsi="Arial" w:cs="Arial"/>
          <w:lang w:val="vi-VN"/>
        </w:rPr>
        <w:t xml:space="preserve"> </w:t>
      </w:r>
    </w:p>
    <w:p w14:paraId="0D9A29F1" w14:textId="47970F1B" w:rsidR="00DC154F" w:rsidRPr="002A0B87" w:rsidRDefault="009E01FA" w:rsidP="00FD742F">
      <w:pPr>
        <w:pStyle w:val="listbulletindent0"/>
        <w:numPr>
          <w:ilvl w:val="0"/>
          <w:numId w:val="6"/>
        </w:numPr>
        <w:tabs>
          <w:tab w:val="clear" w:pos="420"/>
          <w:tab w:val="clear" w:pos="992"/>
          <w:tab w:val="num" w:pos="1092"/>
        </w:tabs>
        <w:spacing w:before="120" w:after="120"/>
        <w:ind w:left="1080" w:hanging="360"/>
        <w:rPr>
          <w:rFonts w:ascii="Arial" w:hAnsi="Arial" w:cs="Arial"/>
          <w:lang w:val="vi-VN"/>
        </w:rPr>
      </w:pPr>
      <w:r w:rsidRPr="009E01FA">
        <w:rPr>
          <w:rFonts w:ascii="Arial" w:hAnsi="Arial" w:cs="Arial"/>
          <w:lang w:val="vi-VN"/>
        </w:rPr>
        <w:t>Decision No. 234/2003/QD-BTC dated 30 December 2003 on the Issuance and Promulgation of Six Vietnamese Standards on Accounting (Series 3);</w:t>
      </w:r>
    </w:p>
    <w:p w14:paraId="6E47A7F0" w14:textId="49CBC749" w:rsidR="00DC154F" w:rsidRPr="002A0B87" w:rsidRDefault="00DA61BA" w:rsidP="00FD742F">
      <w:pPr>
        <w:pStyle w:val="listbulletindent0"/>
        <w:numPr>
          <w:ilvl w:val="0"/>
          <w:numId w:val="6"/>
        </w:numPr>
        <w:tabs>
          <w:tab w:val="clear" w:pos="420"/>
          <w:tab w:val="clear" w:pos="992"/>
          <w:tab w:val="num" w:pos="1092"/>
        </w:tabs>
        <w:spacing w:before="120" w:after="120"/>
        <w:ind w:left="1080" w:hanging="360"/>
        <w:rPr>
          <w:rFonts w:ascii="Arial" w:hAnsi="Arial" w:cs="Arial"/>
          <w:lang w:val="vi-VN"/>
        </w:rPr>
      </w:pPr>
      <w:r w:rsidRPr="00DA61BA">
        <w:rPr>
          <w:rFonts w:ascii="Arial" w:hAnsi="Arial" w:cs="Arial"/>
          <w:lang w:val="vi-VN"/>
        </w:rPr>
        <w:t>Decision No. 12/2005/QD-BTC dated 15 February 2005 on the Issuance and Promulgation of Six Vietnamese Standards on Accounting (Series 4); and</w:t>
      </w:r>
      <w:r w:rsidRPr="00DA61BA" w:rsidDel="00DA61BA">
        <w:rPr>
          <w:rFonts w:ascii="Arial" w:hAnsi="Arial" w:cs="Arial"/>
          <w:lang w:val="vi-VN"/>
        </w:rPr>
        <w:t xml:space="preserve"> </w:t>
      </w:r>
    </w:p>
    <w:p w14:paraId="4E029487" w14:textId="07717DCE" w:rsidR="00DC154F" w:rsidRPr="002A0B87" w:rsidRDefault="003A477D" w:rsidP="00FD742F">
      <w:pPr>
        <w:pStyle w:val="listbulletindent0"/>
        <w:numPr>
          <w:ilvl w:val="0"/>
          <w:numId w:val="6"/>
        </w:numPr>
        <w:tabs>
          <w:tab w:val="clear" w:pos="420"/>
          <w:tab w:val="clear" w:pos="992"/>
          <w:tab w:val="num" w:pos="1092"/>
        </w:tabs>
        <w:spacing w:before="120"/>
        <w:ind w:left="1077" w:hanging="357"/>
        <w:rPr>
          <w:rFonts w:ascii="Arial" w:hAnsi="Arial" w:cs="Arial"/>
          <w:lang w:val="vi-VN"/>
        </w:rPr>
      </w:pPr>
      <w:r w:rsidRPr="003A477D">
        <w:rPr>
          <w:rFonts w:ascii="Arial" w:hAnsi="Arial" w:cs="Arial"/>
          <w:lang w:val="vi-VN"/>
        </w:rPr>
        <w:t>Decision No. 100/2005/QD-BTC dated 28 December 2005 on the Issuance and Promulgation of Four Vietnamese Standards on Accounting (Series 5).</w:t>
      </w:r>
    </w:p>
    <w:p w14:paraId="2BDC859D" w14:textId="77777777" w:rsidR="0056354C" w:rsidRDefault="0056354C" w:rsidP="0056354C">
      <w:pPr>
        <w:pStyle w:val="Heading2"/>
      </w:pPr>
    </w:p>
    <w:p w14:paraId="694FCFFF" w14:textId="5C51093E" w:rsidR="0056354C" w:rsidRPr="002A0B87" w:rsidRDefault="0056354C" w:rsidP="0056354C">
      <w:pPr>
        <w:pStyle w:val="Heading2"/>
      </w:pPr>
      <w:r w:rsidRPr="002A0B87">
        <w:t>2.2</w:t>
      </w:r>
      <w:r w:rsidRPr="002A0B87">
        <w:tab/>
      </w:r>
      <w:r w:rsidRPr="00660A16">
        <w:t>Applied accounting documentation system</w:t>
      </w:r>
      <w:r w:rsidRPr="00660A16" w:rsidDel="00660A16">
        <w:t xml:space="preserve"> </w:t>
      </w:r>
    </w:p>
    <w:p w14:paraId="35EB6A24" w14:textId="77777777" w:rsidR="0056354C" w:rsidRPr="002A0B87" w:rsidRDefault="0056354C" w:rsidP="0056354C">
      <w:pPr>
        <w:pStyle w:val="NoSpacing"/>
        <w:rPr>
          <w:lang w:val="vi-VN"/>
        </w:rPr>
      </w:pPr>
    </w:p>
    <w:p w14:paraId="2353AE43" w14:textId="77777777" w:rsidR="0056354C" w:rsidRDefault="0056354C" w:rsidP="0056354C">
      <w:pPr>
        <w:ind w:left="720"/>
      </w:pPr>
      <w:r w:rsidRPr="0031342A">
        <w:rPr>
          <w:lang w:val="de-DE"/>
        </w:rPr>
        <w:t>The Company’s applied accounting documentation system is the General Journal.</w:t>
      </w:r>
    </w:p>
    <w:p w14:paraId="33EF9EFC" w14:textId="77777777" w:rsidR="0019198F" w:rsidRPr="002A0B87" w:rsidRDefault="0019198F" w:rsidP="0019198F">
      <w:pPr>
        <w:pStyle w:val="BodyTextIndent"/>
        <w:ind w:left="0"/>
        <w:rPr>
          <w:rFonts w:ascii="Arial" w:hAnsi="Arial" w:cs="Arial"/>
          <w:bCs/>
        </w:rPr>
        <w:sectPr w:rsidR="0019198F" w:rsidRPr="002A0B87" w:rsidSect="008F7564">
          <w:headerReference w:type="default" r:id="rId44"/>
          <w:pgSz w:w="11909" w:h="16834" w:code="9"/>
          <w:pgMar w:top="1440" w:right="1440" w:bottom="862" w:left="1582" w:header="720" w:footer="578" w:gutter="0"/>
          <w:cols w:space="720"/>
          <w:docGrid w:linePitch="272"/>
        </w:sectPr>
      </w:pPr>
    </w:p>
    <w:p w14:paraId="16185A12" w14:textId="30BB4943" w:rsidR="00B3352E" w:rsidRPr="002A0B87" w:rsidRDefault="00B3352E" w:rsidP="00B3352E">
      <w:pPr>
        <w:ind w:left="720" w:hanging="720"/>
        <w:rPr>
          <w:rFonts w:cs="Arial"/>
          <w:bCs/>
        </w:rPr>
      </w:pPr>
      <w:r w:rsidRPr="002A0B87">
        <w:rPr>
          <w:rFonts w:cs="Arial"/>
          <w:b/>
          <w:bCs/>
        </w:rPr>
        <w:lastRenderedPageBreak/>
        <w:t>2.</w:t>
      </w:r>
      <w:r w:rsidRPr="002A0B87">
        <w:rPr>
          <w:rFonts w:cs="Arial"/>
          <w:b/>
          <w:bCs/>
        </w:rPr>
        <w:tab/>
      </w:r>
      <w:r w:rsidR="00A4315C" w:rsidRPr="00A4315C">
        <w:rPr>
          <w:rFonts w:cs="Arial"/>
          <w:b/>
          <w:bCs/>
        </w:rPr>
        <w:t xml:space="preserve">BASIC OF PREPARATION </w:t>
      </w:r>
      <w:r w:rsidR="00A4315C" w:rsidRPr="00FA28E4">
        <w:rPr>
          <w:rFonts w:cs="Arial"/>
        </w:rPr>
        <w:t>(continued)</w:t>
      </w:r>
    </w:p>
    <w:p w14:paraId="0E1907D0" w14:textId="61A87E82" w:rsidR="00A3234B" w:rsidRDefault="00A3234B" w:rsidP="005E3FAF">
      <w:pPr>
        <w:pStyle w:val="NoSpacing"/>
      </w:pPr>
    </w:p>
    <w:p w14:paraId="714D60D2" w14:textId="1BF66F2D" w:rsidR="00A3234B" w:rsidRPr="002A0B87" w:rsidRDefault="00A3234B" w:rsidP="005E3FAF">
      <w:pPr>
        <w:pStyle w:val="Heading2"/>
      </w:pPr>
      <w:r w:rsidRPr="002A0B87">
        <w:t>2.3</w:t>
      </w:r>
      <w:r w:rsidRPr="002A0B87">
        <w:tab/>
      </w:r>
      <w:r w:rsidR="00470227" w:rsidRPr="00470227">
        <w:t>Fiscal year</w:t>
      </w:r>
    </w:p>
    <w:p w14:paraId="40884EB7" w14:textId="77777777" w:rsidR="00A3234B" w:rsidRPr="002A0B87" w:rsidRDefault="00A3234B">
      <w:pPr>
        <w:pStyle w:val="NoSpacing"/>
        <w:rPr>
          <w:lang w:val="vi-VN"/>
        </w:rPr>
      </w:pPr>
    </w:p>
    <w:p w14:paraId="44945CB3" w14:textId="4A0EDAF2" w:rsidR="00487B44" w:rsidRPr="00836FC3" w:rsidRDefault="00525FFD">
      <w:pPr>
        <w:pStyle w:val="NoSpacing"/>
        <w:rPr>
          <w:lang w:val="de-DE"/>
        </w:rPr>
      </w:pPr>
      <w:r w:rsidRPr="00525FFD">
        <w:rPr>
          <w:lang w:val="de-DE"/>
        </w:rPr>
        <w:t>The Company’s fiscal year applicable for the preparation of its financial statements starts on 01 January and ends on 31 December.</w:t>
      </w:r>
      <w:r w:rsidR="003A76E1" w:rsidRPr="002A0B87">
        <w:t xml:space="preserve"> </w:t>
      </w:r>
    </w:p>
    <w:p w14:paraId="33EA74EC" w14:textId="77777777" w:rsidR="00487B44" w:rsidRPr="00CB46D3" w:rsidRDefault="00487B44">
      <w:pPr>
        <w:pStyle w:val="NoSpacing"/>
      </w:pPr>
    </w:p>
    <w:p w14:paraId="52E2D36B" w14:textId="0F2C5EB6" w:rsidR="00DD5351" w:rsidRPr="002A0B87" w:rsidRDefault="00DD5351" w:rsidP="005E3FAF">
      <w:pPr>
        <w:pStyle w:val="Heading2"/>
      </w:pPr>
      <w:r w:rsidRPr="002A0B87">
        <w:t>2.4</w:t>
      </w:r>
      <w:r w:rsidRPr="002A0B87">
        <w:tab/>
      </w:r>
      <w:r w:rsidR="00660F48" w:rsidRPr="00660F48">
        <w:t>Accounting currency</w:t>
      </w:r>
      <w:r w:rsidR="00660F48" w:rsidRPr="00660F48" w:rsidDel="00660F48">
        <w:t xml:space="preserve"> </w:t>
      </w:r>
    </w:p>
    <w:p w14:paraId="62D590E7" w14:textId="77777777" w:rsidR="00DD5351" w:rsidRPr="002A0B87" w:rsidRDefault="00DD5351" w:rsidP="005E3FAF">
      <w:pPr>
        <w:pStyle w:val="NoSpacing"/>
        <w:rPr>
          <w:lang w:val="vi-VN"/>
        </w:rPr>
      </w:pPr>
    </w:p>
    <w:p w14:paraId="3096FB77" w14:textId="637F991C" w:rsidR="00DD5351" w:rsidRPr="002A0B87" w:rsidRDefault="00174D85" w:rsidP="005E3FAF">
      <w:pPr>
        <w:pStyle w:val="NoSpacing"/>
      </w:pPr>
      <w:r w:rsidRPr="00174D85">
        <w:t>The financial statements are prepared in Vietnam Dong (“VND”), which is also the accounting currency of the Company.</w:t>
      </w:r>
    </w:p>
    <w:p w14:paraId="306CB933" w14:textId="5609B384" w:rsidR="00DD5351" w:rsidRPr="002A0B87" w:rsidRDefault="00DD5351" w:rsidP="005E3FAF">
      <w:pPr>
        <w:pStyle w:val="NoSpacing"/>
      </w:pPr>
    </w:p>
    <w:p w14:paraId="60D72886" w14:textId="56725380" w:rsidR="002D46CC" w:rsidRPr="002A0B87" w:rsidRDefault="002D46CC" w:rsidP="002D46CC">
      <w:pPr>
        <w:pStyle w:val="BodyText"/>
        <w:ind w:left="720" w:hanging="720"/>
        <w:textAlignment w:val="auto"/>
        <w:outlineLvl w:val="0"/>
        <w:rPr>
          <w:rFonts w:ascii="Arial" w:hAnsi="Arial" w:cs="Arial"/>
          <w:b/>
          <w:bCs/>
        </w:rPr>
      </w:pPr>
      <w:r w:rsidRPr="002A0B87">
        <w:rPr>
          <w:rFonts w:ascii="Arial" w:hAnsi="Arial" w:cs="Arial"/>
          <w:b/>
          <w:bCs/>
        </w:rPr>
        <w:t>3.</w:t>
      </w:r>
      <w:r w:rsidRPr="002A0B87">
        <w:rPr>
          <w:rFonts w:ascii="Arial" w:hAnsi="Arial" w:cs="Arial"/>
          <w:b/>
          <w:bCs/>
        </w:rPr>
        <w:tab/>
      </w:r>
      <w:r w:rsidR="00EB4F1C" w:rsidRPr="00EB4F1C">
        <w:rPr>
          <w:rFonts w:ascii="Arial" w:hAnsi="Arial" w:cs="Arial"/>
          <w:b/>
          <w:bCs/>
        </w:rPr>
        <w:t>STATEMENT OF COMPLIANCE WITH VIETNAMESE ACCOUNTING STANDARDS AND SYSTEMS</w:t>
      </w:r>
      <w:r w:rsidR="00EB4F1C" w:rsidRPr="00EB4F1C" w:rsidDel="00EB4F1C">
        <w:rPr>
          <w:rFonts w:ascii="Arial" w:hAnsi="Arial" w:cs="Arial"/>
          <w:b/>
          <w:bCs/>
        </w:rPr>
        <w:t xml:space="preserve"> </w:t>
      </w:r>
    </w:p>
    <w:p w14:paraId="393A8C8C" w14:textId="77777777" w:rsidR="002D46CC" w:rsidRPr="002A0B87" w:rsidRDefault="002D46CC" w:rsidP="005E3FAF">
      <w:pPr>
        <w:pStyle w:val="NoSpacing"/>
        <w:rPr>
          <w:lang w:val="vi-VN"/>
        </w:rPr>
      </w:pPr>
    </w:p>
    <w:p w14:paraId="0B0ABB7B" w14:textId="25F5625E" w:rsidR="002D46CC" w:rsidRPr="002A0B87" w:rsidRDefault="003E3A7F" w:rsidP="005E3FAF">
      <w:pPr>
        <w:pStyle w:val="NoSpacing"/>
      </w:pPr>
      <w:r w:rsidRPr="003E3A7F">
        <w:t>Management confirms that the Company has complied with Vietnamese Accounting Standards and Vietnamese Enterprise Accounting Systems, accounting regulations and guidance applicable to securities companies and the statutory requirements relevant to the preparation and presentation of the financial statements.</w:t>
      </w:r>
    </w:p>
    <w:p w14:paraId="35C70A1E" w14:textId="77777777" w:rsidR="002D46CC" w:rsidRPr="002A0B87" w:rsidRDefault="002D46CC" w:rsidP="005E3FAF">
      <w:pPr>
        <w:pStyle w:val="NoSpacing"/>
      </w:pPr>
    </w:p>
    <w:p w14:paraId="4D38AE90" w14:textId="462FAA85" w:rsidR="00DD5351" w:rsidRPr="002A0B87" w:rsidRDefault="005C2A5E" w:rsidP="005E3FAF">
      <w:pPr>
        <w:pStyle w:val="NoSpacing"/>
      </w:pPr>
      <w:r w:rsidRPr="005C2A5E">
        <w:t>Accordingly, the accompanying financial statements and their utilization are not designed for those who are not informed about Vietnam’s accounting principles, procedures and practices and furthermore are not intended to present the financial position, results of operation, cash flows and changes in equity in accordance with accounting principles and practices generally accepted in countries other than Vietnam.</w:t>
      </w:r>
    </w:p>
    <w:p w14:paraId="764E8781" w14:textId="77777777" w:rsidR="00345E81" w:rsidRPr="00836E1D" w:rsidRDefault="00345E81" w:rsidP="00254501"/>
    <w:p w14:paraId="5AF42864" w14:textId="77777777" w:rsidR="00CF471F" w:rsidRPr="002A0B87" w:rsidRDefault="00CF471F" w:rsidP="005E3FAF">
      <w:pPr>
        <w:pStyle w:val="NoSpacing"/>
        <w:rPr>
          <w:bCs/>
        </w:rPr>
      </w:pPr>
    </w:p>
    <w:p w14:paraId="63BE7DEF" w14:textId="7B622100" w:rsidR="00CF471F" w:rsidRPr="002A0B87" w:rsidRDefault="00C41E11" w:rsidP="00CF471F">
      <w:pPr>
        <w:pStyle w:val="BodyText"/>
        <w:ind w:left="720" w:hanging="720"/>
        <w:textAlignment w:val="auto"/>
        <w:outlineLvl w:val="0"/>
        <w:rPr>
          <w:rFonts w:ascii="Arial" w:hAnsi="Arial" w:cs="Arial"/>
          <w:b/>
          <w:bCs/>
        </w:rPr>
      </w:pPr>
      <w:r w:rsidRPr="002A0B87">
        <w:rPr>
          <w:rFonts w:ascii="Arial" w:hAnsi="Arial" w:cs="Arial"/>
          <w:b/>
          <w:bCs/>
        </w:rPr>
        <w:t>4</w:t>
      </w:r>
      <w:r w:rsidR="00CF471F" w:rsidRPr="002A0B87">
        <w:rPr>
          <w:rFonts w:ascii="Arial" w:hAnsi="Arial" w:cs="Arial"/>
          <w:b/>
          <w:bCs/>
        </w:rPr>
        <w:t>.</w:t>
      </w:r>
      <w:r w:rsidR="00CF471F" w:rsidRPr="002A0B87">
        <w:rPr>
          <w:rFonts w:ascii="Arial" w:hAnsi="Arial" w:cs="Arial"/>
          <w:b/>
          <w:bCs/>
        </w:rPr>
        <w:tab/>
      </w:r>
      <w:r w:rsidR="00E41935" w:rsidRPr="00E41935">
        <w:rPr>
          <w:rFonts w:ascii="Arial" w:hAnsi="Arial" w:cs="Arial"/>
          <w:b/>
          <w:bCs/>
        </w:rPr>
        <w:t>SUMMARY OF SIGNIFICANT ACCOUNTING POLICIES</w:t>
      </w:r>
      <w:r w:rsidR="00E41935" w:rsidRPr="00E41935" w:rsidDel="00E41935">
        <w:rPr>
          <w:rFonts w:ascii="Arial" w:hAnsi="Arial" w:cs="Arial"/>
          <w:b/>
          <w:bCs/>
        </w:rPr>
        <w:t xml:space="preserve"> </w:t>
      </w:r>
    </w:p>
    <w:p w14:paraId="4E818F4B" w14:textId="77777777" w:rsidR="00425555" w:rsidRPr="002A0B87" w:rsidRDefault="00425555" w:rsidP="005E3FAF">
      <w:pPr>
        <w:pStyle w:val="NoSpacing"/>
      </w:pPr>
    </w:p>
    <w:p w14:paraId="5B630164" w14:textId="7E990837" w:rsidR="00425555" w:rsidRPr="002A0B87" w:rsidRDefault="00425555" w:rsidP="005E3FAF">
      <w:pPr>
        <w:pStyle w:val="Heading2"/>
      </w:pPr>
      <w:r w:rsidRPr="002A0B87">
        <w:t>4.1</w:t>
      </w:r>
      <w:r w:rsidRPr="002A0B87">
        <w:tab/>
      </w:r>
      <w:r w:rsidR="00794F21" w:rsidRPr="00794F21">
        <w:t>Changes in accounting policies and disclosures</w:t>
      </w:r>
      <w:r w:rsidR="00794F21" w:rsidRPr="00794F21" w:rsidDel="00794F21">
        <w:t xml:space="preserve"> </w:t>
      </w:r>
    </w:p>
    <w:p w14:paraId="00394EAC" w14:textId="77777777" w:rsidR="00425555" w:rsidRPr="002A0B87" w:rsidRDefault="00425555" w:rsidP="005E3FAF">
      <w:pPr>
        <w:pStyle w:val="NoSpacing"/>
        <w:rPr>
          <w:lang w:val="vi-VN"/>
        </w:rPr>
      </w:pPr>
    </w:p>
    <w:p w14:paraId="68510D44" w14:textId="7D9B24DF" w:rsidR="007835E8" w:rsidRPr="002A0B87" w:rsidRDefault="0024722D" w:rsidP="005E3FAF">
      <w:pPr>
        <w:pStyle w:val="NoSpacing"/>
        <w:rPr>
          <w:lang w:val="vi-VN"/>
        </w:rPr>
      </w:pPr>
      <w:r w:rsidRPr="0024722D">
        <w:rPr>
          <w:lang w:val="vi-VN"/>
        </w:rPr>
        <w:t>The accounting policies adopted by the Company in the preparation and presentation of the financial statements are consistent with those used in the preparation and presentation of the financial statements for the year ended 31 December 2020.</w:t>
      </w:r>
    </w:p>
    <w:p w14:paraId="0351BBA0" w14:textId="77777777" w:rsidR="003D1052" w:rsidRDefault="003D1052" w:rsidP="003D1052">
      <w:pPr>
        <w:rPr>
          <w:lang w:val="vi-VN"/>
        </w:rPr>
      </w:pPr>
    </w:p>
    <w:p w14:paraId="62CF558E" w14:textId="3B34350B" w:rsidR="003D1052" w:rsidRPr="00254501" w:rsidRDefault="00044C4A" w:rsidP="00254501">
      <w:pPr>
        <w:ind w:left="720"/>
        <w:rPr>
          <w:i/>
          <w:iCs/>
          <w:lang w:val="vi-VN"/>
        </w:rPr>
      </w:pPr>
      <w:r w:rsidRPr="00254501">
        <w:rPr>
          <w:i/>
          <w:iCs/>
          <w:lang w:val="vi-VN"/>
        </w:rPr>
        <w:t>New regulations have been issued but not yet effective</w:t>
      </w:r>
    </w:p>
    <w:p w14:paraId="78C95932" w14:textId="77777777" w:rsidR="000736D5" w:rsidRPr="002A0B87" w:rsidRDefault="000736D5" w:rsidP="000736D5">
      <w:pPr>
        <w:pStyle w:val="NoSpacing"/>
        <w:rPr>
          <w:bCs/>
        </w:rPr>
      </w:pPr>
    </w:p>
    <w:p w14:paraId="75783CBF" w14:textId="43242346" w:rsidR="00E00136" w:rsidRDefault="00FA04C1" w:rsidP="00FA04C1">
      <w:pPr>
        <w:ind w:left="709"/>
      </w:pPr>
      <w:r>
        <w:tab/>
      </w:r>
      <w:r>
        <w:tab/>
      </w:r>
      <w:r w:rsidR="00007D95">
        <w:tab/>
      </w:r>
      <w:r w:rsidR="00007D95">
        <w:tab/>
      </w:r>
      <w:r w:rsidR="00007D95">
        <w:tab/>
      </w:r>
      <w:r w:rsidR="00007D95">
        <w:tab/>
      </w:r>
      <w:r w:rsidRPr="00FA04C1">
        <w:t>On</w:t>
      </w:r>
      <w:r w:rsidR="00892025">
        <w:t xml:space="preserve"> 17</w:t>
      </w:r>
      <w:r w:rsidRPr="00FA04C1">
        <w:t xml:space="preserve"> December 2021, the Ministry of Finance issued Circular No. 114/2021/TT-BTC</w:t>
      </w:r>
      <w:r w:rsidR="00742A15">
        <w:t xml:space="preserve">, </w:t>
      </w:r>
      <w:r w:rsidR="00742A15" w:rsidRPr="00742A15">
        <w:t xml:space="preserve">effective from </w:t>
      </w:r>
      <w:r w:rsidR="00742A15">
        <w:t>0</w:t>
      </w:r>
      <w:r w:rsidR="00742A15" w:rsidRPr="00742A15">
        <w:t>1 February 2022</w:t>
      </w:r>
      <w:r w:rsidR="00742A15">
        <w:t>,</w:t>
      </w:r>
      <w:r w:rsidRPr="00FA04C1">
        <w:t xml:space="preserve"> to annul Circular No. 146/2014/TT-BTC of the Minister of Finance guiding the financial regime for securities companies, fund management companies (“Circular 114”). The main changes of Circular 114 include:</w:t>
      </w:r>
    </w:p>
    <w:p w14:paraId="5C69FCBC" w14:textId="77777777" w:rsidR="000D7BFA" w:rsidRPr="00254501" w:rsidRDefault="000D7BFA" w:rsidP="00254501">
      <w:pPr>
        <w:rPr>
          <w:sz w:val="12"/>
          <w:szCs w:val="12"/>
        </w:rPr>
      </w:pPr>
    </w:p>
    <w:p w14:paraId="61C41C17" w14:textId="60435B87" w:rsidR="00C43E64" w:rsidRDefault="00E00136">
      <w:pPr>
        <w:pStyle w:val="ListParagraph"/>
        <w:numPr>
          <w:ilvl w:val="0"/>
          <w:numId w:val="31"/>
        </w:numPr>
        <w:ind w:left="1134"/>
      </w:pPr>
      <w:r w:rsidRPr="00E00136">
        <w:t>Regulations on determination of setting up and handling of provisions for devaluation of inventories, loss of investments, bad debts to be made by securities companies, fund management companies, branches of</w:t>
      </w:r>
      <w:r w:rsidR="00BE3DAD">
        <w:t xml:space="preserve"> foreign</w:t>
      </w:r>
      <w:r w:rsidR="006B6113">
        <w:t xml:space="preserve"> fund</w:t>
      </w:r>
      <w:r w:rsidRPr="00E00136">
        <w:t xml:space="preserve"> management</w:t>
      </w:r>
      <w:r w:rsidR="005F031C">
        <w:t xml:space="preserve"> companies</w:t>
      </w:r>
      <w:r w:rsidR="00CA21B9">
        <w:t xml:space="preserve"> </w:t>
      </w:r>
      <w:r w:rsidR="00CA21B9" w:rsidRPr="00CA21B9">
        <w:t>licensed to establish and operate in Vietnam shall comply with the provisions of Circular 48/2019/TT-BTC dated</w:t>
      </w:r>
      <w:r w:rsidR="004439B3">
        <w:t xml:space="preserve"> 8</w:t>
      </w:r>
      <w:r w:rsidR="00CA21B9" w:rsidRPr="00CA21B9">
        <w:t xml:space="preserve"> August 2019 of the Minister of Finance guiding the making and handling of provisions for devaluation of inventories, loss of investments, bad debts and warranties of products, goods, services, construction works at the enterprise </w:t>
      </w:r>
      <w:r w:rsidR="00FD19B8" w:rsidRPr="00FD19B8">
        <w:t>and amendments, supplements and replacement documents (if any);</w:t>
      </w:r>
    </w:p>
    <w:p w14:paraId="131B295B" w14:textId="77777777" w:rsidR="000D7BFA" w:rsidRPr="00254501" w:rsidRDefault="000D7BFA" w:rsidP="00254501">
      <w:pPr>
        <w:ind w:left="774"/>
        <w:rPr>
          <w:sz w:val="12"/>
          <w:szCs w:val="12"/>
        </w:rPr>
      </w:pPr>
    </w:p>
    <w:p w14:paraId="4C4D316B" w14:textId="012DC34A" w:rsidR="00C62156" w:rsidRDefault="00AC17E7">
      <w:pPr>
        <w:pStyle w:val="ListParagraph"/>
        <w:numPr>
          <w:ilvl w:val="0"/>
          <w:numId w:val="31"/>
        </w:numPr>
        <w:ind w:left="1134"/>
      </w:pPr>
      <w:r w:rsidRPr="00AC17E7">
        <w:t xml:space="preserve">For the balance of </w:t>
      </w:r>
      <w:r w:rsidR="0099036E">
        <w:t>charter capital supplementary reserve appropriated</w:t>
      </w:r>
      <w:r w:rsidRPr="00AC17E7">
        <w:t xml:space="preserve"> according to the Circular No. 146/2014/TT-BTC: used to supplement the charter capital according to current </w:t>
      </w:r>
      <w:proofErr w:type="gramStart"/>
      <w:r w:rsidRPr="00AC17E7">
        <w:t>regulations;</w:t>
      </w:r>
      <w:proofErr w:type="gramEnd"/>
    </w:p>
    <w:p w14:paraId="4A4153A5" w14:textId="77777777" w:rsidR="000D7BFA" w:rsidRPr="00254501" w:rsidRDefault="000D7BFA" w:rsidP="00254501">
      <w:pPr>
        <w:rPr>
          <w:sz w:val="12"/>
          <w:szCs w:val="12"/>
        </w:rPr>
      </w:pPr>
    </w:p>
    <w:p w14:paraId="44858E8B" w14:textId="2AA663B8" w:rsidR="00363BE6" w:rsidRDefault="00363BE6">
      <w:pPr>
        <w:pStyle w:val="ListParagraph"/>
        <w:numPr>
          <w:ilvl w:val="0"/>
          <w:numId w:val="31"/>
        </w:numPr>
        <w:ind w:left="1134"/>
      </w:pPr>
      <w:r w:rsidRPr="00A27B32">
        <w:t xml:space="preserve">For the balance of the </w:t>
      </w:r>
      <w:r w:rsidR="005A4BC5">
        <w:t>operational risk and financial reserve</w:t>
      </w:r>
      <w:r w:rsidRPr="00A27B32">
        <w:t xml:space="preserve"> </w:t>
      </w:r>
      <w:r w:rsidR="006C3341">
        <w:t>appropriated</w:t>
      </w:r>
      <w:r w:rsidRPr="00A27B32">
        <w:t xml:space="preserve"> according to the Circular No. 146/2014/TT-BTC: used to supplement charter capital or used under the decision of the General </w:t>
      </w:r>
      <w:r w:rsidR="005E546F">
        <w:t>Meeting of</w:t>
      </w:r>
      <w:r w:rsidRPr="00A27B32">
        <w:t xml:space="preserve"> shareholders, the Members' </w:t>
      </w:r>
      <w:proofErr w:type="gramStart"/>
      <w:r w:rsidRPr="00A27B32">
        <w:t>Council</w:t>
      </w:r>
      <w:proofErr w:type="gramEnd"/>
      <w:r w:rsidRPr="00A27B32">
        <w:t xml:space="preserve"> or the company's President in accordance with current regulations.</w:t>
      </w:r>
    </w:p>
    <w:p w14:paraId="6B3016C6" w14:textId="77777777" w:rsidR="000D7BFA" w:rsidRPr="00254501" w:rsidRDefault="000D7BFA" w:rsidP="00254501">
      <w:pPr>
        <w:rPr>
          <w:sz w:val="12"/>
          <w:szCs w:val="12"/>
        </w:rPr>
      </w:pPr>
    </w:p>
    <w:p w14:paraId="5283AB64" w14:textId="27B726AB" w:rsidR="00C563B6" w:rsidRDefault="000D7BFA" w:rsidP="00254501">
      <w:pPr>
        <w:overflowPunct/>
        <w:autoSpaceDE/>
        <w:autoSpaceDN/>
        <w:adjustRightInd/>
        <w:ind w:left="720"/>
        <w:jc w:val="left"/>
        <w:textAlignment w:val="auto"/>
      </w:pPr>
      <w:r w:rsidRPr="000D7BFA">
        <w:t xml:space="preserve">Circular 114 takes effect from </w:t>
      </w:r>
      <w:r>
        <w:t xml:space="preserve">01 </w:t>
      </w:r>
      <w:r w:rsidRPr="000D7BFA">
        <w:t>February 2022</w:t>
      </w:r>
      <w:r>
        <w:t>.</w:t>
      </w:r>
      <w:r w:rsidR="00C563B6">
        <w:br w:type="page"/>
      </w:r>
    </w:p>
    <w:p w14:paraId="587EB38A" w14:textId="77777777" w:rsidR="00C62156" w:rsidRDefault="00C62156" w:rsidP="00C62156">
      <w:pPr>
        <w:ind w:left="720" w:hanging="720"/>
        <w:rPr>
          <w:rFonts w:cs="Arial"/>
        </w:rPr>
      </w:pPr>
      <w:r w:rsidRPr="002A0B87">
        <w:rPr>
          <w:rFonts w:cs="Arial"/>
          <w:b/>
          <w:bCs/>
        </w:rPr>
        <w:lastRenderedPageBreak/>
        <w:t>4.</w:t>
      </w:r>
      <w:r w:rsidRPr="002A0B87">
        <w:rPr>
          <w:rFonts w:cs="Arial"/>
          <w:b/>
          <w:bCs/>
        </w:rPr>
        <w:tab/>
      </w:r>
      <w:r w:rsidRPr="001C130B">
        <w:rPr>
          <w:rFonts w:cs="Arial"/>
          <w:b/>
          <w:bCs/>
        </w:rPr>
        <w:t xml:space="preserve">SUMMARY OF SIGNIFICANT ACCOUNTING POLICIES </w:t>
      </w:r>
      <w:r w:rsidRPr="00FA28E4">
        <w:rPr>
          <w:rFonts w:cs="Arial"/>
        </w:rPr>
        <w:t>(continued)</w:t>
      </w:r>
    </w:p>
    <w:p w14:paraId="6647FA28" w14:textId="77777777" w:rsidR="003B1AF1" w:rsidRDefault="003B1AF1" w:rsidP="00C62156">
      <w:pPr>
        <w:ind w:left="720" w:hanging="720"/>
        <w:rPr>
          <w:rFonts w:cs="Arial"/>
          <w:bCs/>
        </w:rPr>
      </w:pPr>
    </w:p>
    <w:p w14:paraId="01832FCB" w14:textId="58AE5249" w:rsidR="003B1AF1" w:rsidRPr="002A0B87" w:rsidRDefault="003B1AF1" w:rsidP="003B1AF1">
      <w:pPr>
        <w:pStyle w:val="Heading2"/>
      </w:pPr>
      <w:r w:rsidRPr="002A0B87">
        <w:t>4.1</w:t>
      </w:r>
      <w:r w:rsidRPr="002A0B87">
        <w:tab/>
      </w:r>
      <w:r w:rsidRPr="00794F21">
        <w:t>Changes in accounting policies and disclosures</w:t>
      </w:r>
      <w:r w:rsidRPr="00794F21" w:rsidDel="00794F21">
        <w:t xml:space="preserve"> </w:t>
      </w:r>
      <w:r w:rsidRPr="003B1AF1">
        <w:rPr>
          <w:b w:val="0"/>
          <w:bCs/>
          <w:i w:val="0"/>
          <w:iCs/>
        </w:rPr>
        <w:t>(continued)</w:t>
      </w:r>
    </w:p>
    <w:p w14:paraId="334404ED" w14:textId="77777777" w:rsidR="00A06832" w:rsidRPr="00867109" w:rsidRDefault="00A06832" w:rsidP="00867109">
      <w:pPr>
        <w:pStyle w:val="NoSpacing"/>
        <w:spacing w:before="120"/>
        <w:rPr>
          <w:lang w:val="vi-VN"/>
        </w:rPr>
      </w:pPr>
      <w:r w:rsidRPr="00867109">
        <w:rPr>
          <w:lang w:val="vi-VN"/>
        </w:rPr>
        <w:t>Circular No. 24/2022/TT-BTC amending and supplementing a number of articles of Circular No. 48/2019/TT-BTC dated August 8, 2019 of the Minister of Finance guiding the setting up and handling of financial transactions. provision for devaluation of inventories, loss of investments, bad debts and warranties for products, goods, services and construction works at the enterprise (“Circular 24”).</w:t>
      </w:r>
    </w:p>
    <w:p w14:paraId="537DD7DB" w14:textId="77777777" w:rsidR="00A06832" w:rsidRPr="00867109" w:rsidRDefault="00A06832" w:rsidP="00867109">
      <w:pPr>
        <w:pStyle w:val="NoSpacing"/>
        <w:rPr>
          <w:lang w:val="vi-VN"/>
        </w:rPr>
      </w:pPr>
    </w:p>
    <w:p w14:paraId="1DCECBA5" w14:textId="77777777" w:rsidR="00A06832" w:rsidRPr="00867109" w:rsidRDefault="00A06832" w:rsidP="00867109">
      <w:pPr>
        <w:pStyle w:val="NoSpacing"/>
        <w:rPr>
          <w:lang w:val="vi-VN"/>
        </w:rPr>
      </w:pPr>
      <w:r w:rsidRPr="00867109">
        <w:rPr>
          <w:lang w:val="vi-VN"/>
        </w:rPr>
        <w:t>Circular No. 24 takes effect from May 25, 2022, amending and supplementing regulations on objects of provisioning, according to which, objects of provisioning are securities issued by domestic economic organizations. operated in accordance with the law, owned by an enterprise, is listed or registered for trading on the domestic stock market, is free to buy and sell on the market and the actual price of securities on the market in Vietnam. the time of making the annual financial statements is lower than the value of the securities investment being recorded in the accounting books.</w:t>
      </w:r>
    </w:p>
    <w:p w14:paraId="21673FAD" w14:textId="77777777" w:rsidR="00A06832" w:rsidRPr="00867109" w:rsidRDefault="00A06832" w:rsidP="00867109">
      <w:pPr>
        <w:pStyle w:val="NoSpacing"/>
        <w:rPr>
          <w:lang w:val="vi-VN"/>
        </w:rPr>
      </w:pPr>
    </w:p>
    <w:p w14:paraId="397CBD9E" w14:textId="1102954F" w:rsidR="003B1AF1" w:rsidRPr="00867109" w:rsidRDefault="00A06832" w:rsidP="00867109">
      <w:pPr>
        <w:pStyle w:val="NoSpacing"/>
        <w:rPr>
          <w:lang w:val="vi-VN"/>
        </w:rPr>
      </w:pPr>
      <w:r w:rsidRPr="00867109">
        <w:rPr>
          <w:lang w:val="vi-VN"/>
        </w:rPr>
        <w:t>Objects of provisioning do not include government bonds, government-guaranteed bonds and local government bonds.</w:t>
      </w:r>
    </w:p>
    <w:p w14:paraId="2815B711" w14:textId="77777777" w:rsidR="00C62156" w:rsidRDefault="00C62156" w:rsidP="000736D5">
      <w:pPr>
        <w:pStyle w:val="Heading2"/>
      </w:pPr>
    </w:p>
    <w:p w14:paraId="5F6FBCF6" w14:textId="07642615" w:rsidR="000736D5" w:rsidRPr="002A0B87" w:rsidRDefault="000736D5" w:rsidP="000736D5">
      <w:pPr>
        <w:pStyle w:val="Heading2"/>
      </w:pPr>
      <w:r w:rsidRPr="002A0B87">
        <w:t>4.2</w:t>
      </w:r>
      <w:r w:rsidRPr="002A0B87">
        <w:tab/>
      </w:r>
      <w:r w:rsidR="00C62925" w:rsidRPr="00C62925">
        <w:t>Cash and cash equivalents</w:t>
      </w:r>
      <w:r w:rsidR="00C62925" w:rsidRPr="00C62925" w:rsidDel="00C62925">
        <w:t xml:space="preserve"> </w:t>
      </w:r>
    </w:p>
    <w:p w14:paraId="5CB1157D" w14:textId="77777777" w:rsidR="000736D5" w:rsidRPr="002A0B87" w:rsidRDefault="000736D5" w:rsidP="000736D5">
      <w:pPr>
        <w:pStyle w:val="NoSpacing"/>
        <w:rPr>
          <w:lang w:val="vi-VN"/>
        </w:rPr>
      </w:pPr>
    </w:p>
    <w:p w14:paraId="10923A60" w14:textId="512743DA" w:rsidR="000736D5" w:rsidRPr="002A0B87" w:rsidRDefault="000736D5" w:rsidP="000736D5">
      <w:pPr>
        <w:pStyle w:val="NoSpacing"/>
        <w:rPr>
          <w:lang w:val="de-DE"/>
        </w:rPr>
      </w:pPr>
      <w:r w:rsidRPr="002A0B87">
        <w:rPr>
          <w:b/>
          <w:i/>
          <w:lang w:val="de-DE"/>
        </w:rPr>
        <w:tab/>
      </w:r>
      <w:r w:rsidR="00E30C37" w:rsidRPr="00E30C37">
        <w:rPr>
          <w:lang w:val="de-DE"/>
        </w:rPr>
        <w:t>Cash and cash equivalents comprise cash at banks, deposits for clearing and settlement of securities trading and short-term, highly liquid investments with an original terms of three months or less that are readily convertible into known amounts of cash and that are subject to an insignificant risk of change in value.</w:t>
      </w:r>
    </w:p>
    <w:p w14:paraId="54D61FCF" w14:textId="77777777" w:rsidR="000736D5" w:rsidRPr="002A0B87" w:rsidRDefault="000736D5" w:rsidP="000736D5">
      <w:pPr>
        <w:pStyle w:val="NoSpacing"/>
        <w:rPr>
          <w:lang w:val="de-DE"/>
        </w:rPr>
      </w:pPr>
    </w:p>
    <w:p w14:paraId="358F251C" w14:textId="47C7721E" w:rsidR="000736D5" w:rsidRDefault="00C058CD" w:rsidP="000736D5">
      <w:pPr>
        <w:pStyle w:val="NoSpacing"/>
        <w:rPr>
          <w:lang w:val="de-DE"/>
        </w:rPr>
      </w:pPr>
      <w:r w:rsidRPr="00C058CD">
        <w:rPr>
          <w:lang w:val="de-DE"/>
        </w:rPr>
        <w:t>Cash deposited by customers for securities trading and cash deposited by securities issuers are presented on the off-balance sheet.</w:t>
      </w:r>
    </w:p>
    <w:p w14:paraId="5949F38E" w14:textId="3F028413" w:rsidR="00E0567B" w:rsidRPr="002A0B87" w:rsidRDefault="00E0567B" w:rsidP="005E3FAF">
      <w:pPr>
        <w:pStyle w:val="NoSpacing"/>
        <w:rPr>
          <w:lang w:val="de-DE"/>
        </w:rPr>
      </w:pPr>
    </w:p>
    <w:p w14:paraId="6445EA75" w14:textId="456CFF26" w:rsidR="00580B2B" w:rsidRPr="002A0B87" w:rsidRDefault="00580B2B" w:rsidP="008D0B9A">
      <w:pPr>
        <w:pStyle w:val="Heading2"/>
      </w:pPr>
      <w:r w:rsidRPr="002A0B87">
        <w:t>4.3</w:t>
      </w:r>
      <w:r w:rsidRPr="002A0B87">
        <w:tab/>
      </w:r>
      <w:r w:rsidR="00791926" w:rsidRPr="00791926">
        <w:t>Financial assets at fair value through profit or loss (“FVTPL”)</w:t>
      </w:r>
    </w:p>
    <w:p w14:paraId="69406E4E" w14:textId="77777777" w:rsidR="00580B2B" w:rsidRPr="002A0B87" w:rsidRDefault="00580B2B" w:rsidP="008D0B9A">
      <w:pPr>
        <w:pStyle w:val="NoSpacing"/>
        <w:rPr>
          <w:lang w:val="vi-VN"/>
        </w:rPr>
      </w:pPr>
    </w:p>
    <w:p w14:paraId="4174E10D" w14:textId="1543EAD4" w:rsidR="00344DA2" w:rsidRPr="002A0B87" w:rsidRDefault="00804B7C" w:rsidP="008D0B9A">
      <w:pPr>
        <w:pStyle w:val="NoSpacing"/>
        <w:rPr>
          <w:lang w:val="nb-NO"/>
        </w:rPr>
      </w:pPr>
      <w:r w:rsidRPr="00804B7C">
        <w:rPr>
          <w:lang w:val="de-DE"/>
        </w:rPr>
        <w:t>Financial assets at FVTPL are financial assets that satisfy either of the following conditions:</w:t>
      </w:r>
    </w:p>
    <w:p w14:paraId="313E98E1" w14:textId="0100BBE1" w:rsidR="00344DA2" w:rsidRPr="002A0B87" w:rsidRDefault="00805E1F" w:rsidP="00FD742F">
      <w:pPr>
        <w:numPr>
          <w:ilvl w:val="0"/>
          <w:numId w:val="7"/>
        </w:numPr>
        <w:overflowPunct/>
        <w:autoSpaceDE/>
        <w:autoSpaceDN/>
        <w:adjustRightInd/>
        <w:spacing w:before="120"/>
        <w:ind w:left="1080"/>
        <w:textAlignment w:val="auto"/>
        <w:rPr>
          <w:rFonts w:cs="Arial"/>
          <w:lang w:val="nb-NO"/>
        </w:rPr>
      </w:pPr>
      <w:r w:rsidRPr="00805E1F">
        <w:rPr>
          <w:rFonts w:cs="Arial"/>
          <w:lang w:val="nb-NO"/>
        </w:rPr>
        <w:tab/>
        <w:t>It is classified as held for trading. A financial asset is classified as held for trading if:</w:t>
      </w:r>
    </w:p>
    <w:p w14:paraId="497BC7A1" w14:textId="14345BB7" w:rsidR="00344DA2" w:rsidRPr="002A0B87" w:rsidRDefault="00A654BE" w:rsidP="00FD742F">
      <w:pPr>
        <w:numPr>
          <w:ilvl w:val="0"/>
          <w:numId w:val="11"/>
        </w:numPr>
        <w:overflowPunct/>
        <w:autoSpaceDE/>
        <w:autoSpaceDN/>
        <w:adjustRightInd/>
        <w:spacing w:before="120"/>
        <w:ind w:left="1440"/>
        <w:textAlignment w:val="auto"/>
        <w:rPr>
          <w:rFonts w:cs="Arial"/>
          <w:lang w:val="nb-NO"/>
        </w:rPr>
      </w:pPr>
      <w:r>
        <w:rPr>
          <w:rFonts w:cs="Arial"/>
          <w:lang w:val="nb-NO"/>
        </w:rPr>
        <w:t xml:space="preserve">It is acquired or incurred principally </w:t>
      </w:r>
      <w:r w:rsidR="00555649">
        <w:rPr>
          <w:rFonts w:cs="Arial"/>
          <w:lang w:val="nb-NO"/>
        </w:rPr>
        <w:t>for the purpose of selling or repurchasing it in the ne</w:t>
      </w:r>
      <w:r w:rsidR="00D56ABF">
        <w:rPr>
          <w:rFonts w:cs="Arial"/>
          <w:lang w:val="nb-NO"/>
        </w:rPr>
        <w:t>ar term;</w:t>
      </w:r>
    </w:p>
    <w:p w14:paraId="2CA647CD" w14:textId="37AF3F11" w:rsidR="00344DA2" w:rsidRPr="002A0B87" w:rsidRDefault="00607D3E" w:rsidP="00FD742F">
      <w:pPr>
        <w:numPr>
          <w:ilvl w:val="0"/>
          <w:numId w:val="11"/>
        </w:numPr>
        <w:overflowPunct/>
        <w:autoSpaceDE/>
        <w:autoSpaceDN/>
        <w:adjustRightInd/>
        <w:spacing w:before="120"/>
        <w:ind w:left="1434" w:hanging="357"/>
        <w:textAlignment w:val="auto"/>
        <w:rPr>
          <w:rFonts w:cs="Arial"/>
          <w:lang w:val="nb-NO"/>
        </w:rPr>
      </w:pPr>
      <w:r w:rsidRPr="00607D3E">
        <w:rPr>
          <w:rFonts w:cs="Arial"/>
          <w:lang w:val="nb-NO"/>
        </w:rPr>
        <w:t>There is evidence of a recent actual pattern of short-term profit-taking; or</w:t>
      </w:r>
      <w:r w:rsidRPr="00607D3E" w:rsidDel="00607D3E">
        <w:rPr>
          <w:rFonts w:cs="Arial"/>
          <w:lang w:val="nb-NO"/>
        </w:rPr>
        <w:t xml:space="preserve"> </w:t>
      </w:r>
    </w:p>
    <w:p w14:paraId="021D54EC" w14:textId="59134E5F" w:rsidR="00344DA2" w:rsidRPr="002A0B87" w:rsidRDefault="007E7338" w:rsidP="00FD742F">
      <w:pPr>
        <w:numPr>
          <w:ilvl w:val="0"/>
          <w:numId w:val="11"/>
        </w:numPr>
        <w:overflowPunct/>
        <w:autoSpaceDE/>
        <w:autoSpaceDN/>
        <w:adjustRightInd/>
        <w:spacing w:before="120"/>
        <w:ind w:left="1434" w:hanging="357"/>
        <w:textAlignment w:val="auto"/>
        <w:rPr>
          <w:rFonts w:cs="Arial"/>
          <w:lang w:val="nb-NO"/>
        </w:rPr>
      </w:pPr>
      <w:r w:rsidRPr="007E7338">
        <w:rPr>
          <w:rFonts w:cs="Arial"/>
          <w:lang w:val="nb-NO"/>
        </w:rPr>
        <w:t>It is a derivative (except derivative that is a financial guarantee contract or effective hedging instrument).</w:t>
      </w:r>
    </w:p>
    <w:p w14:paraId="3A4FA638" w14:textId="5D88D821" w:rsidR="00344DA2" w:rsidRPr="002A0B87" w:rsidRDefault="005550F1" w:rsidP="00FD742F">
      <w:pPr>
        <w:numPr>
          <w:ilvl w:val="0"/>
          <w:numId w:val="7"/>
        </w:numPr>
        <w:overflowPunct/>
        <w:autoSpaceDE/>
        <w:autoSpaceDN/>
        <w:adjustRightInd/>
        <w:spacing w:before="120"/>
        <w:ind w:left="1080"/>
        <w:textAlignment w:val="auto"/>
        <w:rPr>
          <w:rFonts w:cs="Arial"/>
          <w:lang w:val="nb-NO"/>
        </w:rPr>
      </w:pPr>
      <w:r>
        <w:rPr>
          <w:rFonts w:cs="Arial"/>
          <w:lang w:val="nb-NO"/>
        </w:rPr>
        <w:t xml:space="preserve">Upon initial recognition, </w:t>
      </w:r>
      <w:r w:rsidR="00946990">
        <w:rPr>
          <w:rFonts w:cs="Arial"/>
          <w:lang w:val="nb-NO"/>
        </w:rPr>
        <w:t xml:space="preserve">the classification of the financial asset into financial asset at FVTPL </w:t>
      </w:r>
      <w:r w:rsidR="0039242B">
        <w:rPr>
          <w:rFonts w:cs="Arial"/>
          <w:lang w:val="nb-NO"/>
        </w:rPr>
        <w:t>is deemed reasonable if it meets one of the following criteria:</w:t>
      </w:r>
    </w:p>
    <w:p w14:paraId="1CA88CF0" w14:textId="3985D5F3" w:rsidR="00344DA2" w:rsidRPr="002A0B87" w:rsidRDefault="0039242B" w:rsidP="00FD742F">
      <w:pPr>
        <w:pStyle w:val="ListParagraph"/>
        <w:numPr>
          <w:ilvl w:val="0"/>
          <w:numId w:val="12"/>
        </w:numPr>
        <w:overflowPunct/>
        <w:autoSpaceDE/>
        <w:autoSpaceDN/>
        <w:adjustRightInd/>
        <w:spacing w:before="120"/>
        <w:ind w:left="1434" w:hanging="357"/>
        <w:contextualSpacing w:val="0"/>
        <w:textAlignment w:val="auto"/>
        <w:rPr>
          <w:rFonts w:cs="Arial"/>
          <w:lang w:val="nb-NO"/>
        </w:rPr>
      </w:pPr>
      <w:r>
        <w:rPr>
          <w:rFonts w:cs="Arial"/>
          <w:lang w:val="nb-NO"/>
        </w:rPr>
        <w:t xml:space="preserve">The classification </w:t>
      </w:r>
      <w:r w:rsidR="00A23DF5">
        <w:rPr>
          <w:rFonts w:cs="Arial"/>
          <w:lang w:val="nb-NO"/>
        </w:rPr>
        <w:t xml:space="preserve">eliminates or significantly reduces the inconsistent </w:t>
      </w:r>
      <w:r w:rsidR="00BC4092">
        <w:rPr>
          <w:rFonts w:cs="Arial"/>
          <w:lang w:val="nb-NO"/>
        </w:rPr>
        <w:t xml:space="preserve">treatments that would otherwise arise from measuring the asset or recognising </w:t>
      </w:r>
      <w:r w:rsidR="00C4799E">
        <w:rPr>
          <w:rFonts w:cs="Arial"/>
          <w:lang w:val="nb-NO"/>
        </w:rPr>
        <w:t xml:space="preserve">gains or losses on a different </w:t>
      </w:r>
      <w:r w:rsidR="005C0742">
        <w:rPr>
          <w:rFonts w:cs="Arial"/>
          <w:lang w:val="nb-NO"/>
        </w:rPr>
        <w:t>basis;</w:t>
      </w:r>
    </w:p>
    <w:p w14:paraId="09338E76" w14:textId="2D9B3622" w:rsidR="00344DA2" w:rsidRPr="002A0B87" w:rsidRDefault="00F21471" w:rsidP="00FD742F">
      <w:pPr>
        <w:pStyle w:val="ListParagraph"/>
        <w:numPr>
          <w:ilvl w:val="0"/>
          <w:numId w:val="12"/>
        </w:numPr>
        <w:overflowPunct/>
        <w:autoSpaceDE/>
        <w:autoSpaceDN/>
        <w:adjustRightInd/>
        <w:spacing w:before="120"/>
        <w:ind w:left="1434" w:hanging="357"/>
        <w:contextualSpacing w:val="0"/>
        <w:textAlignment w:val="auto"/>
        <w:rPr>
          <w:rFonts w:cs="Arial"/>
          <w:lang w:val="nb-NO"/>
        </w:rPr>
      </w:pPr>
      <w:r w:rsidRPr="00F21471">
        <w:rPr>
          <w:rFonts w:cs="Arial"/>
          <w:lang w:val="nb-NO"/>
        </w:rPr>
        <w:t>The financial asset is part of a group of financial assets which are managed and their performance is evaluated on a fair value basis, in accordance with the Company’s risk management or investment strategy.</w:t>
      </w:r>
    </w:p>
    <w:p w14:paraId="6CF7F066" w14:textId="77777777" w:rsidR="00580B2B" w:rsidRPr="002A0B87" w:rsidRDefault="00580B2B" w:rsidP="008D0B9A">
      <w:pPr>
        <w:pStyle w:val="NoSpacing"/>
        <w:rPr>
          <w:lang w:val="nb-NO"/>
        </w:rPr>
      </w:pPr>
    </w:p>
    <w:p w14:paraId="20678860" w14:textId="3ACEA4E2" w:rsidR="009F35CA" w:rsidRPr="002A0B87" w:rsidRDefault="00416B9D" w:rsidP="008D0B9A">
      <w:pPr>
        <w:pStyle w:val="NoSpacing"/>
        <w:rPr>
          <w:lang w:val="nb-NO"/>
        </w:rPr>
      </w:pPr>
      <w:r w:rsidRPr="00416B9D">
        <w:rPr>
          <w:lang w:val="nb-NO"/>
        </w:rPr>
        <w:t>Financial assets at FVTPL are initially recognized at cost (excluding transaction cost arising from the purchase) and subsequently recognized at fair value.</w:t>
      </w:r>
    </w:p>
    <w:p w14:paraId="47CF3FE5" w14:textId="20F05C12" w:rsidR="00EB40F0" w:rsidRPr="002A0B87" w:rsidRDefault="00EB40F0" w:rsidP="008D0B9A">
      <w:pPr>
        <w:pStyle w:val="NoSpacing"/>
        <w:rPr>
          <w:lang w:val="nb-NO"/>
        </w:rPr>
      </w:pPr>
    </w:p>
    <w:p w14:paraId="40EDEAA2" w14:textId="77777777" w:rsidR="0071307A" w:rsidRDefault="0071307A">
      <w:pPr>
        <w:overflowPunct/>
        <w:autoSpaceDE/>
        <w:autoSpaceDN/>
        <w:adjustRightInd/>
        <w:jc w:val="left"/>
        <w:textAlignment w:val="auto"/>
        <w:rPr>
          <w:rFonts w:eastAsia="Calibri"/>
          <w:szCs w:val="22"/>
          <w:lang w:val="nb-NO"/>
        </w:rPr>
      </w:pPr>
      <w:r>
        <w:rPr>
          <w:lang w:val="nb-NO"/>
        </w:rPr>
        <w:br w:type="page"/>
      </w:r>
    </w:p>
    <w:p w14:paraId="0B8C1654" w14:textId="77777777" w:rsidR="0071307A" w:rsidRDefault="0071307A" w:rsidP="0071307A">
      <w:pPr>
        <w:ind w:left="720" w:hanging="720"/>
        <w:rPr>
          <w:rFonts w:cs="Arial"/>
        </w:rPr>
      </w:pPr>
      <w:r w:rsidRPr="002A0B87">
        <w:rPr>
          <w:rFonts w:cs="Arial"/>
          <w:b/>
          <w:bCs/>
        </w:rPr>
        <w:lastRenderedPageBreak/>
        <w:t>4.</w:t>
      </w:r>
      <w:r w:rsidRPr="002A0B87">
        <w:rPr>
          <w:rFonts w:cs="Arial"/>
          <w:b/>
          <w:bCs/>
        </w:rPr>
        <w:tab/>
      </w:r>
      <w:r w:rsidRPr="001C130B">
        <w:rPr>
          <w:rFonts w:cs="Arial"/>
          <w:b/>
          <w:bCs/>
        </w:rPr>
        <w:t xml:space="preserve">SUMMARY OF SIGNIFICANT ACCOUNTING POLICIES </w:t>
      </w:r>
      <w:r w:rsidRPr="00FA28E4">
        <w:rPr>
          <w:rFonts w:cs="Arial"/>
        </w:rPr>
        <w:t>(continued)</w:t>
      </w:r>
    </w:p>
    <w:p w14:paraId="325385CB" w14:textId="77777777" w:rsidR="0071307A" w:rsidRDefault="0071307A" w:rsidP="0071307A">
      <w:pPr>
        <w:ind w:left="720" w:hanging="720"/>
        <w:rPr>
          <w:rFonts w:cs="Arial"/>
        </w:rPr>
      </w:pPr>
    </w:p>
    <w:p w14:paraId="1BD21BA4" w14:textId="436ADA59" w:rsidR="0071307A" w:rsidRPr="002A0B87" w:rsidRDefault="0071307A" w:rsidP="0071307A">
      <w:pPr>
        <w:pStyle w:val="Heading2"/>
      </w:pPr>
      <w:r w:rsidRPr="002A0B87">
        <w:t>4.3</w:t>
      </w:r>
      <w:r w:rsidRPr="002A0B87">
        <w:tab/>
      </w:r>
      <w:r w:rsidRPr="00791926">
        <w:t>Financial assets at fair value through profit or loss (“FVTPL”)</w:t>
      </w:r>
      <w:r>
        <w:t xml:space="preserve"> </w:t>
      </w:r>
      <w:r w:rsidRPr="0071307A">
        <w:rPr>
          <w:rFonts w:cs="Arial"/>
          <w:b w:val="0"/>
          <w:bCs/>
        </w:rPr>
        <w:t>(continued)</w:t>
      </w:r>
    </w:p>
    <w:p w14:paraId="665890E0" w14:textId="024F113D" w:rsidR="00EB40F0" w:rsidRPr="002A0B87" w:rsidRDefault="004366E1" w:rsidP="0071307A">
      <w:pPr>
        <w:pStyle w:val="NoSpacing"/>
        <w:spacing w:before="120"/>
        <w:rPr>
          <w:lang w:val="nb-NO"/>
        </w:rPr>
      </w:pPr>
      <w:r w:rsidRPr="004366E1">
        <w:rPr>
          <w:lang w:val="nb-NO"/>
        </w:rPr>
        <w:t>Increase in the difference arising from revaluation of financial assets at FVTPL in comparison with the previous year is recognized into the  income statement under “Gain from revaluation of financial assets at FVTPL”. Decrease in the difference arising from revaluation of financial assets at FVTPL in comparison with the previous year is recognized into the  income statement under “</w:t>
      </w:r>
      <w:r w:rsidRPr="00254501">
        <w:rPr>
          <w:i/>
          <w:lang w:val="nb-NO"/>
        </w:rPr>
        <w:t>Loss from revaluation of financial assets at FVTPL</w:t>
      </w:r>
      <w:r w:rsidRPr="004366E1">
        <w:rPr>
          <w:lang w:val="nb-NO"/>
        </w:rPr>
        <w:t>”.</w:t>
      </w:r>
    </w:p>
    <w:p w14:paraId="6EBACC25" w14:textId="77777777" w:rsidR="00EB40F0" w:rsidRPr="002A0B87" w:rsidRDefault="00EB40F0" w:rsidP="008D0B9A">
      <w:pPr>
        <w:pStyle w:val="NoSpacing"/>
        <w:rPr>
          <w:lang w:val="nb-NO"/>
        </w:rPr>
      </w:pPr>
    </w:p>
    <w:p w14:paraId="6C174A65" w14:textId="31238155" w:rsidR="00485B22" w:rsidRPr="002A0B87" w:rsidRDefault="008D14A7" w:rsidP="008D0B9A">
      <w:pPr>
        <w:pStyle w:val="NoSpacing"/>
        <w:rPr>
          <w:lang w:val="nb-NO"/>
        </w:rPr>
      </w:pPr>
      <w:r w:rsidRPr="008D14A7">
        <w:rPr>
          <w:lang w:val="nb-NO"/>
        </w:rPr>
        <w:t>Transaction costs relating to the purchase of the financial assets at FVTPL are recognized when incurred as expenses in the  income statement.</w:t>
      </w:r>
    </w:p>
    <w:p w14:paraId="53A10BDB" w14:textId="77777777" w:rsidR="000736D5" w:rsidRPr="002A0B87" w:rsidRDefault="000736D5" w:rsidP="000736D5">
      <w:pPr>
        <w:pStyle w:val="NoSpacing"/>
        <w:rPr>
          <w:bCs/>
        </w:rPr>
      </w:pPr>
    </w:p>
    <w:p w14:paraId="6450B449" w14:textId="3A2578AA" w:rsidR="000736D5" w:rsidRPr="002A0B87" w:rsidRDefault="000736D5" w:rsidP="000736D5">
      <w:pPr>
        <w:pStyle w:val="Heading2"/>
      </w:pPr>
      <w:r w:rsidRPr="002A0B87">
        <w:t>4.4</w:t>
      </w:r>
      <w:r w:rsidRPr="002A0B87">
        <w:tab/>
      </w:r>
      <w:r w:rsidR="00922799" w:rsidRPr="00922799">
        <w:t>Loans</w:t>
      </w:r>
      <w:r w:rsidR="00922799" w:rsidRPr="00922799" w:rsidDel="00922799">
        <w:t xml:space="preserve"> </w:t>
      </w:r>
    </w:p>
    <w:p w14:paraId="07214BA9" w14:textId="77777777" w:rsidR="000736D5" w:rsidRPr="002A0B87" w:rsidRDefault="000736D5" w:rsidP="000736D5">
      <w:pPr>
        <w:pStyle w:val="NoSpacing"/>
        <w:rPr>
          <w:lang w:val="vi-VN"/>
        </w:rPr>
      </w:pPr>
    </w:p>
    <w:p w14:paraId="23603E88" w14:textId="19348E17" w:rsidR="000736D5" w:rsidRPr="002A0B87" w:rsidRDefault="00600874" w:rsidP="000736D5">
      <w:pPr>
        <w:pStyle w:val="NoSpacing"/>
        <w:rPr>
          <w:lang w:val="nb-NO"/>
        </w:rPr>
      </w:pPr>
      <w:r w:rsidRPr="00600874">
        <w:rPr>
          <w:lang w:val="nb-NO"/>
        </w:rPr>
        <w:t>Loans are non-derivative financial assets with fixed or identifiable payments and are non-listed in the market, with the exceptions of:</w:t>
      </w:r>
    </w:p>
    <w:p w14:paraId="3E4B9A5C" w14:textId="5DD2B55C" w:rsidR="000736D5" w:rsidRPr="002A0B87" w:rsidRDefault="009026C5" w:rsidP="00FD742F">
      <w:pPr>
        <w:numPr>
          <w:ilvl w:val="0"/>
          <w:numId w:val="18"/>
        </w:numPr>
        <w:overflowPunct/>
        <w:autoSpaceDE/>
        <w:autoSpaceDN/>
        <w:adjustRightInd/>
        <w:spacing w:before="120"/>
        <w:ind w:left="1080"/>
        <w:textAlignment w:val="auto"/>
        <w:rPr>
          <w:rFonts w:cs="Arial"/>
          <w:lang w:val="nb-NO"/>
        </w:rPr>
      </w:pPr>
      <w:r>
        <w:rPr>
          <w:rFonts w:cs="Arial"/>
          <w:lang w:val="nb-NO"/>
        </w:rPr>
        <w:t xml:space="preserve">The items that the Company intends to sell immediately </w:t>
      </w:r>
      <w:r w:rsidR="007E4797">
        <w:rPr>
          <w:rFonts w:cs="Arial"/>
          <w:lang w:val="nb-NO"/>
        </w:rPr>
        <w:t xml:space="preserve">or in a near </w:t>
      </w:r>
      <w:r w:rsidR="00FB1F8E">
        <w:rPr>
          <w:rFonts w:cs="Arial"/>
          <w:lang w:val="nb-NO"/>
        </w:rPr>
        <w:t xml:space="preserve">future </w:t>
      </w:r>
      <w:r w:rsidR="00A028D0">
        <w:rPr>
          <w:rFonts w:cs="Arial"/>
          <w:lang w:val="nb-NO"/>
        </w:rPr>
        <w:t xml:space="preserve">which are </w:t>
      </w:r>
      <w:r w:rsidR="00DD2009">
        <w:rPr>
          <w:rFonts w:cs="Arial"/>
          <w:lang w:val="nb-NO"/>
        </w:rPr>
        <w:t xml:space="preserve">classified as assets held </w:t>
      </w:r>
      <w:r w:rsidR="00464F56">
        <w:rPr>
          <w:rFonts w:cs="Arial"/>
          <w:lang w:val="nb-NO"/>
        </w:rPr>
        <w:t xml:space="preserve">for trading, and those which, upon initial recognition, classified as financial assets at fair value through profit or loss </w:t>
      </w:r>
      <w:r w:rsidR="00561B51">
        <w:rPr>
          <w:rFonts w:cs="Arial"/>
          <w:lang w:val="nb-NO"/>
        </w:rPr>
        <w:t>by the Company;</w:t>
      </w:r>
    </w:p>
    <w:p w14:paraId="2B2E373A" w14:textId="77777777" w:rsidR="000D7BFA" w:rsidRDefault="000D7BFA" w:rsidP="00254501">
      <w:pPr>
        <w:numPr>
          <w:ilvl w:val="0"/>
          <w:numId w:val="18"/>
        </w:numPr>
        <w:overflowPunct/>
        <w:autoSpaceDE/>
        <w:autoSpaceDN/>
        <w:adjustRightInd/>
        <w:spacing w:before="120"/>
        <w:ind w:left="1080"/>
        <w:textAlignment w:val="auto"/>
        <w:rPr>
          <w:rFonts w:cs="Arial"/>
          <w:spacing w:val="-4"/>
          <w:lang w:val="nb-NO"/>
        </w:rPr>
      </w:pPr>
      <w:r w:rsidRPr="00512768">
        <w:rPr>
          <w:rFonts w:cs="Arial"/>
          <w:lang w:val="nb-NO"/>
        </w:rPr>
        <w:t>The items classified as available-for-sale upon initial recognition by the Company; or</w:t>
      </w:r>
    </w:p>
    <w:p w14:paraId="27098024" w14:textId="77777777" w:rsidR="000D7BFA" w:rsidRPr="00254501" w:rsidRDefault="000D7BFA" w:rsidP="000D7BFA">
      <w:pPr>
        <w:numPr>
          <w:ilvl w:val="0"/>
          <w:numId w:val="18"/>
        </w:numPr>
        <w:overflowPunct/>
        <w:autoSpaceDE/>
        <w:autoSpaceDN/>
        <w:adjustRightInd/>
        <w:spacing w:before="120"/>
        <w:ind w:left="1080"/>
        <w:textAlignment w:val="auto"/>
        <w:rPr>
          <w:rFonts w:cs="Arial"/>
          <w:lang w:val="nb-NO"/>
        </w:rPr>
      </w:pPr>
      <w:r w:rsidRPr="00254501">
        <w:rPr>
          <w:rFonts w:cs="Arial"/>
          <w:lang w:val="nb-NO"/>
        </w:rPr>
        <w:t>The items whose holders cannot recover the majority of initial investment value not due to the impairment of credit quality and which are classified as available-for-sale.</w:t>
      </w:r>
    </w:p>
    <w:p w14:paraId="07BDAFC5" w14:textId="77777777" w:rsidR="0038723C" w:rsidRDefault="0038723C">
      <w:pPr>
        <w:overflowPunct/>
        <w:autoSpaceDE/>
        <w:autoSpaceDN/>
        <w:adjustRightInd/>
        <w:jc w:val="left"/>
        <w:textAlignment w:val="auto"/>
        <w:rPr>
          <w:rFonts w:cs="Arial"/>
          <w:lang w:val="nb-NO"/>
        </w:rPr>
      </w:pPr>
    </w:p>
    <w:p w14:paraId="130CC6FD" w14:textId="77777777" w:rsidR="0038723C" w:rsidRPr="002A0B87" w:rsidRDefault="0038723C" w:rsidP="0038723C">
      <w:pPr>
        <w:pStyle w:val="NoSpacing"/>
        <w:rPr>
          <w:lang w:val="nb-NO"/>
        </w:rPr>
      </w:pPr>
      <w:r w:rsidRPr="00B538A4">
        <w:rPr>
          <w:lang w:val="nb-NO"/>
        </w:rPr>
        <w:t>Loans are initially recognized at cost. After initial recognition, loans are subsequently measured at amortized cost using the effective interest rate method.</w:t>
      </w:r>
    </w:p>
    <w:p w14:paraId="6C3A8C65" w14:textId="77777777" w:rsidR="0038723C" w:rsidRPr="002A0B87" w:rsidRDefault="0038723C" w:rsidP="0038723C">
      <w:pPr>
        <w:pStyle w:val="NoSpacing"/>
        <w:rPr>
          <w:lang w:val="vi-VN"/>
        </w:rPr>
      </w:pPr>
    </w:p>
    <w:p w14:paraId="1D28F4E5" w14:textId="77777777" w:rsidR="0038723C" w:rsidRPr="004803C6" w:rsidRDefault="0038723C" w:rsidP="0038723C">
      <w:pPr>
        <w:pStyle w:val="NoSpacing"/>
        <w:rPr>
          <w:spacing w:val="-2"/>
          <w:lang w:val="nb-NO"/>
        </w:rPr>
      </w:pPr>
      <w:r w:rsidRPr="00FA6276">
        <w:rPr>
          <w:spacing w:val="-2"/>
          <w:lang w:val="nb-NO"/>
        </w:rPr>
        <w:t>Amortized cost of loans is the amount at which the financial asset is measured at initial recognition minus (-) principal repayments, plus (+) or minus (-) the accumulated amortization using the effective interest rate method of any difference between that initial amount and the maturity amount, and minus any reduction for impairment or uncollectibility (if any).</w:t>
      </w:r>
    </w:p>
    <w:p w14:paraId="4747AA2A" w14:textId="77777777" w:rsidR="0038723C" w:rsidRDefault="0038723C" w:rsidP="0038723C">
      <w:pPr>
        <w:pStyle w:val="BodyTextIndent"/>
        <w:ind w:left="0"/>
        <w:rPr>
          <w:rFonts w:ascii="Arial" w:hAnsi="Arial" w:cs="Arial"/>
          <w:lang w:val="nb-NO"/>
        </w:rPr>
      </w:pPr>
    </w:p>
    <w:p w14:paraId="2357F735" w14:textId="77777777" w:rsidR="0038723C" w:rsidRPr="002A0B87" w:rsidRDefault="0038723C" w:rsidP="0038723C">
      <w:pPr>
        <w:pStyle w:val="NoSpacing"/>
        <w:rPr>
          <w:lang w:val="nb-NO"/>
        </w:rPr>
      </w:pPr>
      <w:r w:rsidRPr="00822D52">
        <w:rPr>
          <w:lang w:val="nb-NO"/>
        </w:rPr>
        <w:t xml:space="preserve">Loans are subject to impairment assessment at the  financial statement date. Provision is made based on its estimated loss which is determined by the difference between the market value of securities used as collaterals for such loan and the loan outstanding balance. Any increase/decrease in the balance of provision is recorded in </w:t>
      </w:r>
      <w:r w:rsidRPr="00FA28E4">
        <w:rPr>
          <w:i/>
          <w:iCs/>
          <w:lang w:val="nb-NO"/>
        </w:rPr>
        <w:t>“Provision expenses for diminution in value and impairment of financial assets, doubtful debts, and interest expenses from borrowings”</w:t>
      </w:r>
      <w:r w:rsidRPr="00822D52">
        <w:rPr>
          <w:lang w:val="nb-NO"/>
        </w:rPr>
        <w:t xml:space="preserve"> in the  income statement.</w:t>
      </w:r>
    </w:p>
    <w:p w14:paraId="00B37FF4" w14:textId="77777777" w:rsidR="0038723C" w:rsidRDefault="0038723C" w:rsidP="0038723C">
      <w:pPr>
        <w:pStyle w:val="NoSpacing"/>
      </w:pPr>
    </w:p>
    <w:p w14:paraId="01406300" w14:textId="77777777" w:rsidR="0038723C" w:rsidRPr="002A0BFD" w:rsidRDefault="0038723C" w:rsidP="0038723C">
      <w:pPr>
        <w:pStyle w:val="NoSpacing"/>
        <w:rPr>
          <w:i/>
          <w:iCs/>
        </w:rPr>
      </w:pPr>
      <w:r w:rsidRPr="0067461B">
        <w:rPr>
          <w:i/>
          <w:iCs/>
        </w:rPr>
        <w:t>Margin lending</w:t>
      </w:r>
      <w:r w:rsidRPr="0067461B" w:rsidDel="0067461B">
        <w:rPr>
          <w:i/>
          <w:iCs/>
        </w:rPr>
        <w:t xml:space="preserve"> </w:t>
      </w:r>
    </w:p>
    <w:p w14:paraId="1E22A2B0" w14:textId="77777777" w:rsidR="0038723C" w:rsidRDefault="0038723C" w:rsidP="0038723C">
      <w:pPr>
        <w:pStyle w:val="NoSpacing"/>
      </w:pPr>
    </w:p>
    <w:p w14:paraId="31C7F4F1" w14:textId="77777777" w:rsidR="0038723C" w:rsidRDefault="0038723C" w:rsidP="0038723C">
      <w:pPr>
        <w:ind w:left="720" w:hanging="11"/>
        <w:rPr>
          <w:rFonts w:cs="Arial"/>
          <w:b/>
          <w:bCs/>
        </w:rPr>
      </w:pPr>
      <w:r w:rsidRPr="00EE3937">
        <w:t xml:space="preserve">Margin lending includes loans to investors to purchase securities on the margin trading account which the investor opens at the Company. At the same time, the investor is required to use the marginable securities in their brokerage account as collateral. </w:t>
      </w:r>
      <w:proofErr w:type="spellStart"/>
      <w:r w:rsidRPr="00EE3937">
        <w:t>Lending</w:t>
      </w:r>
      <w:r>
        <w:t>s</w:t>
      </w:r>
      <w:proofErr w:type="spellEnd"/>
      <w:r w:rsidRPr="00EE3937">
        <w:t xml:space="preserve"> under margin activities are initially recognized at cost. After initial recognition, these </w:t>
      </w:r>
      <w:proofErr w:type="spellStart"/>
      <w:r w:rsidRPr="00EE3937">
        <w:t>lendings</w:t>
      </w:r>
      <w:proofErr w:type="spellEnd"/>
      <w:r w:rsidRPr="00EE3937">
        <w:t xml:space="preserve"> are subsequently measured at cost and are subject to periodic impairment assessment (if any).</w:t>
      </w:r>
    </w:p>
    <w:p w14:paraId="4ED4DC3C" w14:textId="27DDEC44" w:rsidR="000D7BFA" w:rsidRDefault="000D7BFA">
      <w:pPr>
        <w:overflowPunct/>
        <w:autoSpaceDE/>
        <w:autoSpaceDN/>
        <w:adjustRightInd/>
        <w:jc w:val="left"/>
        <w:textAlignment w:val="auto"/>
        <w:rPr>
          <w:rFonts w:cs="Arial"/>
          <w:lang w:val="nb-NO"/>
        </w:rPr>
      </w:pPr>
      <w:r>
        <w:rPr>
          <w:rFonts w:cs="Arial"/>
          <w:lang w:val="nb-NO"/>
        </w:rPr>
        <w:br w:type="page"/>
      </w:r>
    </w:p>
    <w:p w14:paraId="4B58C259" w14:textId="77777777" w:rsidR="00671B9B" w:rsidRPr="002A0B87" w:rsidRDefault="00671B9B" w:rsidP="00254501">
      <w:pPr>
        <w:overflowPunct/>
        <w:autoSpaceDE/>
        <w:autoSpaceDN/>
        <w:adjustRightInd/>
        <w:jc w:val="left"/>
        <w:textAlignment w:val="auto"/>
        <w:rPr>
          <w:rFonts w:cs="Arial"/>
          <w:bCs/>
        </w:rPr>
      </w:pPr>
      <w:r w:rsidRPr="002A0B87">
        <w:rPr>
          <w:rFonts w:cs="Arial"/>
          <w:b/>
          <w:bCs/>
        </w:rPr>
        <w:lastRenderedPageBreak/>
        <w:t>4.</w:t>
      </w:r>
      <w:r w:rsidRPr="002A0B87">
        <w:rPr>
          <w:rFonts w:cs="Arial"/>
          <w:b/>
          <w:bCs/>
        </w:rPr>
        <w:tab/>
      </w:r>
      <w:r w:rsidRPr="001C130B">
        <w:rPr>
          <w:rFonts w:cs="Arial"/>
          <w:b/>
          <w:bCs/>
        </w:rPr>
        <w:t xml:space="preserve">SUMMARY OF SIGNIFICANT ACCOUNTING POLICIES </w:t>
      </w:r>
      <w:r w:rsidRPr="00FA28E4">
        <w:rPr>
          <w:rFonts w:cs="Arial"/>
        </w:rPr>
        <w:t>(continued)</w:t>
      </w:r>
    </w:p>
    <w:p w14:paraId="6DE20CED" w14:textId="77777777" w:rsidR="00F46904" w:rsidRDefault="00F46904" w:rsidP="00671B9B">
      <w:pPr>
        <w:pStyle w:val="Heading2"/>
      </w:pPr>
    </w:p>
    <w:p w14:paraId="471E7CFF" w14:textId="45B7F816" w:rsidR="00486F29" w:rsidRPr="002A0B87" w:rsidRDefault="00486F29" w:rsidP="00486F29">
      <w:pPr>
        <w:pStyle w:val="Heading2"/>
      </w:pPr>
      <w:r w:rsidRPr="002A0B87">
        <w:t>4.</w:t>
      </w:r>
      <w:r>
        <w:t>5</w:t>
      </w:r>
      <w:r w:rsidRPr="002A0B87">
        <w:tab/>
      </w:r>
      <w:r w:rsidR="003C76CD" w:rsidRPr="003C76CD">
        <w:t>Held-to-maturity (“HTM”) investments</w:t>
      </w:r>
      <w:r w:rsidR="003C76CD" w:rsidRPr="003C76CD" w:rsidDel="003C76CD">
        <w:t xml:space="preserve"> </w:t>
      </w:r>
    </w:p>
    <w:p w14:paraId="77AE2A8F" w14:textId="77777777" w:rsidR="00486F29" w:rsidRPr="002A0B87" w:rsidRDefault="00486F29" w:rsidP="00486F29">
      <w:pPr>
        <w:pStyle w:val="NoSpacing"/>
        <w:rPr>
          <w:lang w:val="vi-VN"/>
        </w:rPr>
      </w:pPr>
    </w:p>
    <w:p w14:paraId="6FA3ADAD" w14:textId="3BAA44F4" w:rsidR="00486F29" w:rsidRPr="002A0B87" w:rsidRDefault="00F35D44" w:rsidP="00486F29">
      <w:pPr>
        <w:pStyle w:val="NoSpacing"/>
        <w:rPr>
          <w:bCs/>
          <w:iCs/>
          <w:lang w:val="nb-NO"/>
        </w:rPr>
      </w:pPr>
      <w:r w:rsidRPr="00F35D44">
        <w:rPr>
          <w:lang w:val="nb-NO"/>
        </w:rPr>
        <w:t>Held-to-maturity (“HTM”) investments are non-derivative financial assets with fixed or identifiable payments and fixed maturity that the Company intends and is able to hold to maturity, except for:</w:t>
      </w:r>
    </w:p>
    <w:p w14:paraId="754ABE41" w14:textId="0E242B5F" w:rsidR="00486F29" w:rsidRPr="002A0B87" w:rsidRDefault="009B5B7E" w:rsidP="00FD742F">
      <w:pPr>
        <w:numPr>
          <w:ilvl w:val="0"/>
          <w:numId w:val="8"/>
        </w:numPr>
        <w:overflowPunct/>
        <w:autoSpaceDE/>
        <w:autoSpaceDN/>
        <w:adjustRightInd/>
        <w:spacing w:before="120"/>
        <w:ind w:left="1077" w:hanging="357"/>
        <w:textAlignment w:val="auto"/>
        <w:rPr>
          <w:rFonts w:cs="Arial"/>
          <w:lang w:val="nb-NO"/>
        </w:rPr>
      </w:pPr>
      <w:r>
        <w:rPr>
          <w:rFonts w:cs="Arial"/>
          <w:lang w:val="nb-NO"/>
        </w:rPr>
        <w:t xml:space="preserve">The financial assets classified as financial assets at fair value through profit or loss upon initial </w:t>
      </w:r>
      <w:r w:rsidR="000D2EB9">
        <w:rPr>
          <w:rFonts w:cs="Arial"/>
          <w:lang w:val="nb-NO"/>
        </w:rPr>
        <w:t>recognition by the Company;</w:t>
      </w:r>
    </w:p>
    <w:p w14:paraId="4F71BFEB" w14:textId="1CA0901D" w:rsidR="00486F29" w:rsidRPr="002A0B87" w:rsidRDefault="00537191" w:rsidP="00FD742F">
      <w:pPr>
        <w:numPr>
          <w:ilvl w:val="0"/>
          <w:numId w:val="8"/>
        </w:numPr>
        <w:overflowPunct/>
        <w:autoSpaceDE/>
        <w:autoSpaceDN/>
        <w:adjustRightInd/>
        <w:spacing w:before="120"/>
        <w:ind w:left="1077" w:hanging="357"/>
        <w:textAlignment w:val="auto"/>
        <w:rPr>
          <w:rFonts w:cs="Arial"/>
          <w:lang w:val="nb-NO"/>
        </w:rPr>
      </w:pPr>
      <w:r w:rsidRPr="00537191">
        <w:rPr>
          <w:rFonts w:cs="Arial"/>
          <w:lang w:val="nb-NO"/>
        </w:rPr>
        <w:tab/>
        <w:t>The financial assets classified as available-for-sale;</w:t>
      </w:r>
      <w:r w:rsidR="00486F29" w:rsidRPr="002A0B87">
        <w:rPr>
          <w:rFonts w:cs="Arial"/>
          <w:lang w:val="nb-NO"/>
        </w:rPr>
        <w:t xml:space="preserve"> </w:t>
      </w:r>
    </w:p>
    <w:p w14:paraId="59DC8165" w14:textId="6F58CEE0" w:rsidR="00486F29" w:rsidRPr="002A0B87" w:rsidRDefault="00F4030C" w:rsidP="00FD742F">
      <w:pPr>
        <w:numPr>
          <w:ilvl w:val="0"/>
          <w:numId w:val="8"/>
        </w:numPr>
        <w:overflowPunct/>
        <w:autoSpaceDE/>
        <w:autoSpaceDN/>
        <w:adjustRightInd/>
        <w:spacing w:before="120"/>
        <w:ind w:left="1077" w:hanging="357"/>
        <w:textAlignment w:val="auto"/>
        <w:rPr>
          <w:rFonts w:cs="Arial"/>
          <w:lang w:val="nb-NO"/>
        </w:rPr>
      </w:pPr>
      <w:r w:rsidRPr="00F4030C">
        <w:rPr>
          <w:rFonts w:cs="Arial"/>
          <w:lang w:val="nb-NO"/>
        </w:rPr>
        <w:tab/>
        <w:t>The financial assets satisfying the definition of loans and receivables.</w:t>
      </w:r>
      <w:r w:rsidR="00486F29" w:rsidRPr="002A0B87">
        <w:rPr>
          <w:rFonts w:cs="Arial"/>
          <w:lang w:val="nb-NO"/>
        </w:rPr>
        <w:t xml:space="preserve"> </w:t>
      </w:r>
    </w:p>
    <w:p w14:paraId="7B5CF686" w14:textId="77777777" w:rsidR="00486F29" w:rsidRPr="002A0B87" w:rsidRDefault="00486F29" w:rsidP="00486F29">
      <w:pPr>
        <w:pStyle w:val="NoSpacing"/>
        <w:rPr>
          <w:lang w:val="nb-NO"/>
        </w:rPr>
      </w:pPr>
    </w:p>
    <w:p w14:paraId="386A7608" w14:textId="339B242B" w:rsidR="00486F29" w:rsidRPr="002A0B87" w:rsidRDefault="00556BD2" w:rsidP="00486F29">
      <w:pPr>
        <w:pStyle w:val="NoSpacing"/>
        <w:rPr>
          <w:lang w:val="nb-NO"/>
        </w:rPr>
      </w:pPr>
      <w:r w:rsidRPr="00556BD2">
        <w:rPr>
          <w:lang w:val="nb-NO"/>
        </w:rPr>
        <w:t>HTM investments are initially recognized at cost (purchase value plus (+) transaction costs which are directly attributable to the investments such as brokerage fee, trading fee, agent fee, issuance agent fee and banking fee). After initial recognition, held-to-maturity investments are subsequently measured at amortized cost using the effective interest rate method.</w:t>
      </w:r>
    </w:p>
    <w:p w14:paraId="673ED46A" w14:textId="77777777" w:rsidR="00486F29" w:rsidRPr="002A0B87" w:rsidRDefault="00486F29" w:rsidP="00486F29">
      <w:pPr>
        <w:pStyle w:val="NoSpacing"/>
        <w:rPr>
          <w:lang w:val="nb-NO"/>
        </w:rPr>
      </w:pPr>
    </w:p>
    <w:p w14:paraId="7067D998" w14:textId="4F847DBC" w:rsidR="00486F29" w:rsidRPr="002A0B87" w:rsidRDefault="00032954" w:rsidP="00486F29">
      <w:pPr>
        <w:pStyle w:val="NoSpacing"/>
        <w:rPr>
          <w:lang w:val="nb-NO"/>
        </w:rPr>
      </w:pPr>
      <w:r w:rsidRPr="00032954">
        <w:rPr>
          <w:lang w:val="nb-NO"/>
        </w:rPr>
        <w:t>Amortized cost of HTM investments is the amount at which the financial asset is measured at initial recognition minus (-) principal repayments, plus (+) or minus (-) the accumulated amortization using the effective interest rate method of any difference between that initial amount and the maturity amount, and minus any reduction for impairment or uncollectibility (if any), and minus any reduction (directly or through the use of an allowance account) for impairment or uncollectibility (if any).</w:t>
      </w:r>
    </w:p>
    <w:p w14:paraId="5B139C6B" w14:textId="77777777" w:rsidR="00486F29" w:rsidRPr="002A0B87" w:rsidRDefault="00486F29" w:rsidP="00486F29">
      <w:pPr>
        <w:pStyle w:val="NoSpacing"/>
        <w:rPr>
          <w:lang w:val="nb-NO"/>
        </w:rPr>
      </w:pPr>
    </w:p>
    <w:p w14:paraId="1A64ACFC" w14:textId="29604501" w:rsidR="00486F29" w:rsidRDefault="00C24CAF" w:rsidP="00486F29">
      <w:pPr>
        <w:pStyle w:val="NoSpacing"/>
        <w:rPr>
          <w:lang w:val="nb-NO"/>
        </w:rPr>
      </w:pPr>
      <w:r w:rsidRPr="00C24CAF">
        <w:rPr>
          <w:lang w:val="nb-NO"/>
        </w:rPr>
        <w:t>The effective interest rate method is a method of calculating the cost allocation on interest income or interest expense in the year of a financial assets or a group of HTM investments.</w:t>
      </w:r>
    </w:p>
    <w:p w14:paraId="74D4E59D" w14:textId="77777777" w:rsidR="0038723C" w:rsidRDefault="0038723C" w:rsidP="0038723C">
      <w:pPr>
        <w:rPr>
          <w:lang w:val="nb-NO"/>
        </w:rPr>
      </w:pPr>
    </w:p>
    <w:p w14:paraId="5A7C2A15" w14:textId="77777777" w:rsidR="0038723C" w:rsidRPr="002A0B87" w:rsidRDefault="0038723C" w:rsidP="0038723C">
      <w:pPr>
        <w:pStyle w:val="NoSpacing"/>
        <w:rPr>
          <w:lang w:val="nb-NO"/>
        </w:rPr>
      </w:pPr>
      <w:r w:rsidRPr="00144C03">
        <w:rPr>
          <w:lang w:val="nb-NO"/>
        </w:rPr>
        <w:t>The effective interest rate is the rate that exactly discounts estimated future cash payments or receipts through the expected life of the financial instrument or, when appropriate, a shorter period to the net carrying amount of the financial asset.</w:t>
      </w:r>
    </w:p>
    <w:p w14:paraId="68673E52" w14:textId="77777777" w:rsidR="0038723C" w:rsidRDefault="0038723C" w:rsidP="0038723C">
      <w:pPr>
        <w:pStyle w:val="NoSpacing"/>
        <w:rPr>
          <w:lang w:val="nb-NO"/>
        </w:rPr>
      </w:pPr>
    </w:p>
    <w:p w14:paraId="5BCEAFB2" w14:textId="77777777" w:rsidR="0038723C" w:rsidRPr="002A0B87" w:rsidRDefault="0038723C" w:rsidP="0038723C">
      <w:pPr>
        <w:pStyle w:val="NoSpacing"/>
        <w:rPr>
          <w:rFonts w:cs="Arial"/>
          <w:lang w:val="nb-NO"/>
        </w:rPr>
      </w:pPr>
      <w:r w:rsidRPr="00A345BD">
        <w:rPr>
          <w:lang w:val="nb-NO"/>
        </w:rPr>
        <w:t xml:space="preserve">HTM investments are subject to impairment assessment at the  financial statement date. Provision is made for an HTM investment when there is any objective evidence that the investment is unrecoverable or there is uncertainty of recoverability, resulting from one or more events that has occurred after the initial recognition of the investment and that event has an impact on the estimated future cash flows of the investment that can be reliably estimated. Evidence of impairment may include a drop in the fair value/market value of the investment, indications that the debtors or a group of debtors are experiencing significant financial difficulties, default or delinquency in interest or principal payments, the probability that they will enter bankruptcy or other financial reorganization and where observable data indicate that there is a measurable decrease in the estimated future cash flows, such as changes in arrears or economic conditions that correlate with defaults. When there is any evidence of impairment, provision for an HTM investment is determined as the negative difference between its fair value and amortized cost at the assessment date. Any increase/decrease in the balance of provision is recorded in </w:t>
      </w:r>
      <w:r w:rsidRPr="00FA28E4">
        <w:rPr>
          <w:i/>
          <w:iCs/>
          <w:lang w:val="nb-NO"/>
        </w:rPr>
        <w:t>“Provision expenses for diminution in value and impairment of financial assets, doubtful debts, and interest expenses from borrowings”</w:t>
      </w:r>
      <w:r w:rsidRPr="00A345BD">
        <w:rPr>
          <w:lang w:val="nb-NO"/>
        </w:rPr>
        <w:t xml:space="preserve"> in the income statement.</w:t>
      </w:r>
    </w:p>
    <w:p w14:paraId="22455FE2" w14:textId="77777777" w:rsidR="0038723C" w:rsidRPr="0038723C" w:rsidRDefault="0038723C" w:rsidP="0038723C">
      <w:pPr>
        <w:rPr>
          <w:lang w:val="nb-NO"/>
        </w:rPr>
      </w:pPr>
    </w:p>
    <w:p w14:paraId="6D43FA1F" w14:textId="77777777" w:rsidR="0071066B" w:rsidRDefault="0071066B">
      <w:pPr>
        <w:overflowPunct/>
        <w:autoSpaceDE/>
        <w:autoSpaceDN/>
        <w:adjustRightInd/>
        <w:jc w:val="left"/>
        <w:textAlignment w:val="auto"/>
        <w:rPr>
          <w:rFonts w:eastAsia="Calibri"/>
          <w:szCs w:val="22"/>
          <w:lang w:val="nb-NO"/>
        </w:rPr>
      </w:pPr>
      <w:r>
        <w:rPr>
          <w:lang w:val="nb-NO"/>
        </w:rPr>
        <w:br w:type="page"/>
      </w:r>
    </w:p>
    <w:p w14:paraId="54706D07" w14:textId="6A433523" w:rsidR="007B2351" w:rsidRPr="002A0B87" w:rsidRDefault="007B2351" w:rsidP="007B2351">
      <w:pPr>
        <w:ind w:left="720" w:hanging="720"/>
        <w:rPr>
          <w:rFonts w:cs="Arial"/>
          <w:bCs/>
        </w:rPr>
      </w:pPr>
      <w:r w:rsidRPr="002A0B87">
        <w:rPr>
          <w:rFonts w:cs="Arial"/>
          <w:b/>
          <w:bCs/>
        </w:rPr>
        <w:lastRenderedPageBreak/>
        <w:t>4.</w:t>
      </w:r>
      <w:r w:rsidRPr="002A0B87">
        <w:rPr>
          <w:rFonts w:cs="Arial"/>
          <w:b/>
          <w:bCs/>
        </w:rPr>
        <w:tab/>
      </w:r>
      <w:r w:rsidR="00B90A4F" w:rsidRPr="00B90A4F">
        <w:rPr>
          <w:rFonts w:cs="Arial"/>
          <w:b/>
          <w:bCs/>
        </w:rPr>
        <w:t xml:space="preserve">SUMMARY OF SIGNIFICANT ACCOUNTING POLICIES </w:t>
      </w:r>
      <w:r w:rsidR="00B90A4F" w:rsidRPr="00FA28E4">
        <w:rPr>
          <w:rFonts w:cs="Arial"/>
        </w:rPr>
        <w:t>(continued)</w:t>
      </w:r>
    </w:p>
    <w:p w14:paraId="78138779" w14:textId="77777777" w:rsidR="007B2351" w:rsidRPr="002A0B87" w:rsidRDefault="007B2351" w:rsidP="0038723C">
      <w:pPr>
        <w:pStyle w:val="NoSpacing"/>
        <w:ind w:left="0"/>
      </w:pPr>
    </w:p>
    <w:p w14:paraId="2041164F" w14:textId="25CBD6BA" w:rsidR="007B2351" w:rsidRPr="002A0B87" w:rsidRDefault="007B2351" w:rsidP="008D0B9A">
      <w:pPr>
        <w:pStyle w:val="Heading2"/>
      </w:pPr>
      <w:r w:rsidRPr="002A0B87">
        <w:t>4.</w:t>
      </w:r>
      <w:r w:rsidR="00F643D3">
        <w:t>6</w:t>
      </w:r>
      <w:r w:rsidRPr="002A0B87">
        <w:tab/>
      </w:r>
      <w:r w:rsidR="00BC3642" w:rsidRPr="00BC3642">
        <w:t>Fair value of financial assets</w:t>
      </w:r>
      <w:r w:rsidR="00BC3642" w:rsidRPr="00BC3642" w:rsidDel="00BC3642">
        <w:t xml:space="preserve"> </w:t>
      </w:r>
    </w:p>
    <w:p w14:paraId="7C019728" w14:textId="77777777" w:rsidR="007B2351" w:rsidRPr="002A0B87" w:rsidRDefault="007B2351" w:rsidP="008D0B9A">
      <w:pPr>
        <w:pStyle w:val="NoSpacing"/>
        <w:rPr>
          <w:lang w:val="vi-VN"/>
        </w:rPr>
      </w:pPr>
    </w:p>
    <w:p w14:paraId="1A1C65B0" w14:textId="512B99B5" w:rsidR="00344DA2" w:rsidRPr="002A0B87" w:rsidRDefault="001F795F" w:rsidP="008D0B9A">
      <w:pPr>
        <w:pStyle w:val="NoSpacing"/>
        <w:rPr>
          <w:lang w:val="nb-NO"/>
        </w:rPr>
      </w:pPr>
      <w:r w:rsidRPr="001F795F">
        <w:rPr>
          <w:lang w:val="vi-VN"/>
        </w:rPr>
        <w:t>Fair value/market value of the securities is determined as follows:</w:t>
      </w:r>
    </w:p>
    <w:p w14:paraId="4E75DBF1" w14:textId="21BD2C33" w:rsidR="00344DA2" w:rsidRPr="002A0B87" w:rsidRDefault="00281A24" w:rsidP="00FD742F">
      <w:pPr>
        <w:pStyle w:val="BodyTextIndent"/>
        <w:numPr>
          <w:ilvl w:val="0"/>
          <w:numId w:val="13"/>
        </w:numPr>
        <w:spacing w:before="120"/>
        <w:ind w:left="1080"/>
        <w:rPr>
          <w:rFonts w:ascii="Arial" w:hAnsi="Arial" w:cs="Arial"/>
          <w:lang w:val="vi-VN"/>
        </w:rPr>
      </w:pPr>
      <w:r>
        <w:rPr>
          <w:rFonts w:ascii="Arial" w:hAnsi="Arial" w:cs="Arial"/>
        </w:rPr>
        <w:t xml:space="preserve">For securities listed </w:t>
      </w:r>
      <w:r w:rsidR="009F0F78">
        <w:rPr>
          <w:rFonts w:ascii="Arial" w:hAnsi="Arial" w:cs="Arial"/>
        </w:rPr>
        <w:t xml:space="preserve">on Hanoi Stock Exchange and Ho Chi Minh City </w:t>
      </w:r>
      <w:r w:rsidR="004B5D55">
        <w:rPr>
          <w:rFonts w:ascii="Arial" w:hAnsi="Arial" w:cs="Arial"/>
        </w:rPr>
        <w:t xml:space="preserve">Stock Exchange, market prices </w:t>
      </w:r>
      <w:r w:rsidR="00112FE6">
        <w:rPr>
          <w:rFonts w:ascii="Arial" w:hAnsi="Arial" w:cs="Arial"/>
        </w:rPr>
        <w:t>are closing prices on the last trading date before the revalua</w:t>
      </w:r>
      <w:r w:rsidR="00AE1A69">
        <w:rPr>
          <w:rFonts w:ascii="Arial" w:hAnsi="Arial" w:cs="Arial"/>
        </w:rPr>
        <w:t xml:space="preserve">tion </w:t>
      </w:r>
      <w:proofErr w:type="gramStart"/>
      <w:r w:rsidR="00AE1A69">
        <w:rPr>
          <w:rFonts w:ascii="Arial" w:hAnsi="Arial" w:cs="Arial"/>
        </w:rPr>
        <w:t>date;</w:t>
      </w:r>
      <w:proofErr w:type="gramEnd"/>
    </w:p>
    <w:p w14:paraId="1A837F93" w14:textId="69D8F9D7" w:rsidR="00344DA2" w:rsidRPr="002A0B87" w:rsidRDefault="00D945CE" w:rsidP="00FD742F">
      <w:pPr>
        <w:pStyle w:val="BodyTextIndent"/>
        <w:numPr>
          <w:ilvl w:val="0"/>
          <w:numId w:val="13"/>
        </w:numPr>
        <w:spacing w:before="120"/>
        <w:ind w:left="1080"/>
        <w:rPr>
          <w:rFonts w:ascii="Arial" w:hAnsi="Arial" w:cs="Arial"/>
          <w:lang w:val="vi-VN"/>
        </w:rPr>
      </w:pPr>
      <w:r w:rsidRPr="00D945CE">
        <w:rPr>
          <w:rFonts w:ascii="Arial" w:hAnsi="Arial" w:cs="Arial"/>
          <w:lang w:val="vi-VN"/>
        </w:rPr>
        <w:tab/>
        <w:t>For securities non-listed on the stock market but registered for trading on UPCoM, market prices are closing prices on the last trading date before the revaluation date;</w:t>
      </w:r>
    </w:p>
    <w:p w14:paraId="41C1E7C5" w14:textId="1A37A253" w:rsidR="00344DA2" w:rsidRPr="002A0B87" w:rsidRDefault="00E56AF2" w:rsidP="00FD742F">
      <w:pPr>
        <w:pStyle w:val="BodyTextIndent"/>
        <w:numPr>
          <w:ilvl w:val="0"/>
          <w:numId w:val="13"/>
        </w:numPr>
        <w:spacing w:before="120"/>
        <w:ind w:left="1080"/>
        <w:rPr>
          <w:rFonts w:ascii="Arial" w:hAnsi="Arial" w:cs="Arial"/>
          <w:lang w:val="vi-VN"/>
        </w:rPr>
      </w:pPr>
      <w:r w:rsidRPr="00E56AF2">
        <w:rPr>
          <w:rFonts w:ascii="Arial" w:hAnsi="Arial" w:cs="Arial"/>
          <w:lang w:val="vi-VN"/>
        </w:rPr>
        <w:tab/>
        <w:t>For delisted securities and suspended trading securities from the sixth day afterward, actual prices are book value at the latest financial statements date;</w:t>
      </w:r>
    </w:p>
    <w:p w14:paraId="2D53B82D" w14:textId="4A01E6A6" w:rsidR="001C1134" w:rsidRPr="002A0BFD" w:rsidRDefault="00686095" w:rsidP="00FD742F">
      <w:pPr>
        <w:pStyle w:val="ListParagraph"/>
        <w:numPr>
          <w:ilvl w:val="0"/>
          <w:numId w:val="21"/>
        </w:numPr>
        <w:spacing w:before="120"/>
        <w:ind w:left="1080"/>
      </w:pPr>
      <w:r>
        <w:rPr>
          <w:lang w:val="en-US"/>
        </w:rPr>
        <w:t xml:space="preserve">For non-listed securities </w:t>
      </w:r>
      <w:r w:rsidR="00A808C0">
        <w:rPr>
          <w:lang w:val="en-US"/>
        </w:rPr>
        <w:t xml:space="preserve">and </w:t>
      </w:r>
      <w:r w:rsidR="00227831">
        <w:rPr>
          <w:lang w:val="en-US"/>
        </w:rPr>
        <w:t xml:space="preserve">securities non-registered for trading on </w:t>
      </w:r>
      <w:proofErr w:type="spellStart"/>
      <w:r w:rsidR="00227831">
        <w:rPr>
          <w:lang w:val="en-US"/>
        </w:rPr>
        <w:t>UPCoM</w:t>
      </w:r>
      <w:proofErr w:type="spellEnd"/>
      <w:r w:rsidR="006C13FE">
        <w:rPr>
          <w:lang w:val="en-US"/>
        </w:rPr>
        <w:t xml:space="preserve">, actual market prices are average </w:t>
      </w:r>
      <w:r w:rsidR="00F36A71">
        <w:rPr>
          <w:lang w:val="en-US"/>
        </w:rPr>
        <w:t xml:space="preserve">of actual trading prices quoted by three (03) securities </w:t>
      </w:r>
      <w:r w:rsidR="00F447E6">
        <w:rPr>
          <w:lang w:val="en-US"/>
        </w:rPr>
        <w:t>companies conducting transactions</w:t>
      </w:r>
      <w:r w:rsidR="00D70E79">
        <w:rPr>
          <w:lang w:val="en-US"/>
        </w:rPr>
        <w:t xml:space="preserve"> at the last trading </w:t>
      </w:r>
      <w:r w:rsidR="002D7EEF">
        <w:rPr>
          <w:lang w:val="en-US"/>
        </w:rPr>
        <w:t>date, but not exceeding one month, before the revaluation date.</w:t>
      </w:r>
    </w:p>
    <w:p w14:paraId="7BB510FB" w14:textId="77777777" w:rsidR="007B2351" w:rsidRPr="002A0B87" w:rsidRDefault="007B2351" w:rsidP="008D0B9A">
      <w:pPr>
        <w:pStyle w:val="NoSpacing"/>
      </w:pPr>
    </w:p>
    <w:p w14:paraId="5E8D19B3" w14:textId="409A6847" w:rsidR="001C1134" w:rsidRPr="002A0B87" w:rsidRDefault="00CA69CB" w:rsidP="008D0B9A">
      <w:pPr>
        <w:pStyle w:val="NoSpacing"/>
        <w:rPr>
          <w:bCs/>
        </w:rPr>
      </w:pPr>
      <w:r w:rsidRPr="00CA69CB">
        <w:t>For securities which do not have reference price from the above sources, the fair value is determined at cost plus accrued interest (if any) or based on internal valuation method of the Company.</w:t>
      </w:r>
    </w:p>
    <w:p w14:paraId="39112CD2" w14:textId="2D7AA26E" w:rsidR="00D92201" w:rsidRDefault="00D92201" w:rsidP="00190267">
      <w:pPr>
        <w:pStyle w:val="NoSpacing"/>
      </w:pPr>
    </w:p>
    <w:p w14:paraId="54B631AC" w14:textId="66D92287" w:rsidR="00190267" w:rsidRDefault="007E572A" w:rsidP="002A0BFD">
      <w:pPr>
        <w:pStyle w:val="NoSpacing"/>
      </w:pPr>
      <w:r w:rsidRPr="007E572A">
        <w:t xml:space="preserve">For the purposes of determining taxable income, the tax base of the Company's financial assets is determined at cost minus provision for impairment. Accordingly, the market value of securities for provisioning purposes is determined in accordance with Circular No. 146/2014/TT-BTC dated 6 October 2014 and Circular No. 48/2019/TT- BTC dated 8 August 2019 (“Circular 48”) by the Ministry of Finance. </w:t>
      </w:r>
    </w:p>
    <w:p w14:paraId="5CBBE97D" w14:textId="2279C692" w:rsidR="00382601" w:rsidRPr="00382601" w:rsidRDefault="00382601" w:rsidP="00382601">
      <w:pPr>
        <w:pStyle w:val="NoSpacing"/>
      </w:pPr>
    </w:p>
    <w:p w14:paraId="62F142F6" w14:textId="7347AA9F" w:rsidR="00D92201" w:rsidRPr="002A0B87" w:rsidRDefault="00D92201" w:rsidP="008D0B9A">
      <w:pPr>
        <w:pStyle w:val="Heading2"/>
      </w:pPr>
      <w:r w:rsidRPr="002A0B87">
        <w:t>4.</w:t>
      </w:r>
      <w:r w:rsidR="00F643D3">
        <w:t>7</w:t>
      </w:r>
      <w:r w:rsidRPr="002A0B87">
        <w:tab/>
      </w:r>
      <w:r w:rsidR="0001768C" w:rsidRPr="0001768C">
        <w:t>Derecognition of financial assets</w:t>
      </w:r>
      <w:r w:rsidR="0001768C" w:rsidRPr="0001768C" w:rsidDel="0001768C">
        <w:t xml:space="preserve"> </w:t>
      </w:r>
    </w:p>
    <w:p w14:paraId="5CA2CCEE" w14:textId="77777777" w:rsidR="00D92201" w:rsidRPr="002A0B87" w:rsidRDefault="00D92201" w:rsidP="008D0B9A">
      <w:pPr>
        <w:pStyle w:val="NoSpacing"/>
        <w:rPr>
          <w:lang w:val="vi-VN"/>
        </w:rPr>
      </w:pPr>
    </w:p>
    <w:p w14:paraId="21E6D165" w14:textId="2EA309FA" w:rsidR="004E0C5E" w:rsidRPr="002A0B87" w:rsidRDefault="00003AF2" w:rsidP="008D0B9A">
      <w:pPr>
        <w:pStyle w:val="NoSpacing"/>
        <w:rPr>
          <w:lang w:val="it-IT"/>
        </w:rPr>
      </w:pPr>
      <w:r w:rsidRPr="00003AF2">
        <w:t>A financial asset (or a part of a group of similar financial assets) is derecognized when:</w:t>
      </w:r>
    </w:p>
    <w:p w14:paraId="0F46AE96" w14:textId="23878D83" w:rsidR="004E0C5E" w:rsidRPr="002A0B87" w:rsidRDefault="007E44C7" w:rsidP="00FD742F">
      <w:pPr>
        <w:pStyle w:val="BodyTextIndent"/>
        <w:numPr>
          <w:ilvl w:val="0"/>
          <w:numId w:val="13"/>
        </w:numPr>
        <w:spacing w:before="120"/>
        <w:ind w:left="1080"/>
        <w:rPr>
          <w:rFonts w:ascii="Arial" w:hAnsi="Arial" w:cs="Arial"/>
          <w:lang w:val="vi-VN"/>
        </w:rPr>
      </w:pPr>
      <w:r w:rsidRPr="007E44C7">
        <w:rPr>
          <w:rFonts w:ascii="Arial" w:hAnsi="Arial" w:cs="Arial"/>
          <w:lang w:val="it-IT"/>
        </w:rPr>
        <w:t>The Company no longer has the rights to receive cash flows from the asset; or</w:t>
      </w:r>
      <w:r w:rsidRPr="007E44C7" w:rsidDel="007E44C7">
        <w:rPr>
          <w:rFonts w:ascii="Arial" w:hAnsi="Arial" w:cs="Arial"/>
          <w:lang w:val="it-IT"/>
        </w:rPr>
        <w:t xml:space="preserve"> </w:t>
      </w:r>
    </w:p>
    <w:p w14:paraId="2CC487FA" w14:textId="7466E520" w:rsidR="004E0C5E" w:rsidRPr="002A0B87" w:rsidRDefault="003A2593" w:rsidP="00FD742F">
      <w:pPr>
        <w:pStyle w:val="BodyTextIndent"/>
        <w:numPr>
          <w:ilvl w:val="0"/>
          <w:numId w:val="13"/>
        </w:numPr>
        <w:spacing w:before="120"/>
        <w:ind w:left="1080"/>
        <w:rPr>
          <w:rFonts w:ascii="Arial" w:hAnsi="Arial" w:cs="Arial"/>
          <w:lang w:val="it-IT"/>
        </w:rPr>
      </w:pPr>
      <w:r w:rsidRPr="003A2593">
        <w:rPr>
          <w:rFonts w:ascii="Arial" w:hAnsi="Arial" w:cs="Arial"/>
          <w:lang w:val="vi-VN"/>
        </w:rPr>
        <w:t>The Company has transferred its rights to receive cash flows from the asset or has assumed an obligation to pay the received cash flows in full without material delay to a third party under a transfer arrangement; and either:</w:t>
      </w:r>
    </w:p>
    <w:p w14:paraId="69018E30" w14:textId="7578495F" w:rsidR="004E0C5E" w:rsidRPr="002A0B87" w:rsidRDefault="005D7906" w:rsidP="00FD742F">
      <w:pPr>
        <w:pStyle w:val="BodyTextIndent"/>
        <w:numPr>
          <w:ilvl w:val="0"/>
          <w:numId w:val="9"/>
        </w:numPr>
        <w:tabs>
          <w:tab w:val="left" w:pos="6300"/>
          <w:tab w:val="decimal" w:pos="7380"/>
          <w:tab w:val="left" w:pos="7740"/>
          <w:tab w:val="decimal" w:pos="8820"/>
        </w:tabs>
        <w:spacing w:before="120"/>
        <w:ind w:left="1434"/>
        <w:rPr>
          <w:rFonts w:ascii="Arial" w:hAnsi="Arial" w:cs="Arial"/>
          <w:lang w:val="it-IT"/>
        </w:rPr>
      </w:pPr>
      <w:r>
        <w:rPr>
          <w:rFonts w:ascii="Arial" w:hAnsi="Arial" w:cs="Arial"/>
          <w:lang w:val="it-IT"/>
        </w:rPr>
        <w:t xml:space="preserve">The Company has transferred substantially </w:t>
      </w:r>
      <w:r w:rsidR="000E23BE">
        <w:rPr>
          <w:rFonts w:ascii="Arial" w:hAnsi="Arial" w:cs="Arial"/>
          <w:lang w:val="it-IT"/>
        </w:rPr>
        <w:t>the risks and rewards of the assets; or</w:t>
      </w:r>
    </w:p>
    <w:p w14:paraId="7BB8BBA6" w14:textId="7EB02235" w:rsidR="004E0C5E" w:rsidRPr="002A0B87" w:rsidRDefault="00CE5705" w:rsidP="00FD742F">
      <w:pPr>
        <w:pStyle w:val="BodyTextIndent"/>
        <w:numPr>
          <w:ilvl w:val="0"/>
          <w:numId w:val="9"/>
        </w:numPr>
        <w:tabs>
          <w:tab w:val="left" w:pos="6300"/>
          <w:tab w:val="decimal" w:pos="7380"/>
          <w:tab w:val="left" w:pos="7740"/>
          <w:tab w:val="decimal" w:pos="8820"/>
        </w:tabs>
        <w:spacing w:before="120"/>
        <w:ind w:left="1434"/>
        <w:rPr>
          <w:rFonts w:ascii="Arial" w:hAnsi="Arial" w:cs="Arial"/>
          <w:lang w:val="it-IT"/>
        </w:rPr>
      </w:pPr>
      <w:r>
        <w:rPr>
          <w:rFonts w:ascii="Arial" w:hAnsi="Arial" w:cs="Arial"/>
          <w:lang w:val="it-IT"/>
        </w:rPr>
        <w:t>The Company has neither transf</w:t>
      </w:r>
      <w:r w:rsidR="008C5B00">
        <w:rPr>
          <w:rFonts w:ascii="Arial" w:hAnsi="Arial" w:cs="Arial"/>
          <w:lang w:val="it-IT"/>
        </w:rPr>
        <w:t xml:space="preserve">erred nor retained substantially all the risks and rewards of the asset, but has transferred </w:t>
      </w:r>
      <w:r w:rsidR="00561EFD">
        <w:rPr>
          <w:rFonts w:ascii="Arial" w:hAnsi="Arial" w:cs="Arial"/>
          <w:lang w:val="it-IT"/>
        </w:rPr>
        <w:t>control of the asset.</w:t>
      </w:r>
    </w:p>
    <w:p w14:paraId="7D9C424D" w14:textId="6EA87171" w:rsidR="00A80679" w:rsidRPr="002A0B87" w:rsidRDefault="00A80679" w:rsidP="008D0B9A">
      <w:pPr>
        <w:pStyle w:val="NoSpacing"/>
      </w:pPr>
    </w:p>
    <w:p w14:paraId="5865075F" w14:textId="7035F599" w:rsidR="00F643D3" w:rsidRPr="002A0B87" w:rsidRDefault="008911A1" w:rsidP="00F643D3">
      <w:pPr>
        <w:pStyle w:val="NoSpacing"/>
      </w:pPr>
      <w:r w:rsidRPr="008911A1">
        <w:t xml:space="preserve">When the Company has transferred its rights to receive cash flows from an asset or has </w:t>
      </w:r>
      <w:proofErr w:type="gramStart"/>
      <w:r w:rsidRPr="008911A1">
        <w:t>entered into</w:t>
      </w:r>
      <w:proofErr w:type="gramEnd"/>
      <w:r w:rsidRPr="008911A1">
        <w:t xml:space="preserve"> a transfer arrangement and has neither transferred nor retained substantially all the risks and rewards of the asset nor transferred control of the asset, the asset is still recognized as the Company’s asset. In that case, the Company also recognizes a corresponding liability. The transferred asset and the corresponding liability are measured on a basis that reflects the rights and obligations that the Company has retained.</w:t>
      </w:r>
    </w:p>
    <w:p w14:paraId="36D8AE3D" w14:textId="77777777" w:rsidR="00F643D3" w:rsidRPr="002A0B87" w:rsidRDefault="00F643D3" w:rsidP="00F643D3">
      <w:pPr>
        <w:pStyle w:val="NoSpacing"/>
      </w:pPr>
    </w:p>
    <w:p w14:paraId="31A13520" w14:textId="5FF60A89" w:rsidR="0038723C" w:rsidRDefault="00F643D3" w:rsidP="00F643D3">
      <w:pPr>
        <w:pStyle w:val="NoSpacing"/>
      </w:pPr>
      <w:r w:rsidRPr="002A0B87">
        <w:tab/>
      </w:r>
      <w:r w:rsidR="003C0E3F" w:rsidRPr="003C0E3F">
        <w:t>The continued participation in transferred assets in the form of guarantee will be recognized at the smaller between the initial carrying value of the assets and the maximum obligation incurred by the Company.</w:t>
      </w:r>
    </w:p>
    <w:p w14:paraId="616AA49D" w14:textId="5B6F6311" w:rsidR="0038723C" w:rsidRPr="0038723C" w:rsidRDefault="0038723C" w:rsidP="0038723C">
      <w:pPr>
        <w:overflowPunct/>
        <w:autoSpaceDE/>
        <w:autoSpaceDN/>
        <w:adjustRightInd/>
        <w:jc w:val="left"/>
        <w:textAlignment w:val="auto"/>
        <w:rPr>
          <w:rFonts w:eastAsia="Calibri"/>
          <w:szCs w:val="22"/>
        </w:rPr>
      </w:pPr>
      <w:r>
        <w:br w:type="page"/>
      </w:r>
    </w:p>
    <w:p w14:paraId="400A2339" w14:textId="1BC449CB" w:rsidR="00F643D3" w:rsidRPr="0038723C" w:rsidRDefault="0038723C" w:rsidP="0038723C">
      <w:pPr>
        <w:ind w:left="720" w:hanging="720"/>
        <w:rPr>
          <w:rFonts w:cs="Arial"/>
          <w:bCs/>
        </w:rPr>
      </w:pPr>
      <w:r w:rsidRPr="002A0B87">
        <w:rPr>
          <w:rFonts w:cs="Arial"/>
          <w:b/>
          <w:bCs/>
        </w:rPr>
        <w:lastRenderedPageBreak/>
        <w:t>4.</w:t>
      </w:r>
      <w:r w:rsidRPr="002A0B87">
        <w:rPr>
          <w:rFonts w:cs="Arial"/>
          <w:b/>
          <w:bCs/>
        </w:rPr>
        <w:tab/>
      </w:r>
      <w:r w:rsidRPr="00A13B7D">
        <w:rPr>
          <w:rFonts w:cs="Arial"/>
          <w:b/>
          <w:bCs/>
        </w:rPr>
        <w:t xml:space="preserve">SUMMARY OF SIGNIFICANT ACCOUNTING POLICIES </w:t>
      </w:r>
      <w:r w:rsidRPr="00FA28E4">
        <w:rPr>
          <w:rFonts w:cs="Arial"/>
        </w:rPr>
        <w:t>(continued)</w:t>
      </w:r>
    </w:p>
    <w:p w14:paraId="6104F4F8" w14:textId="77777777" w:rsidR="00382601" w:rsidRPr="002A0B87" w:rsidRDefault="00382601" w:rsidP="00382601">
      <w:pPr>
        <w:pStyle w:val="NoSpacing"/>
      </w:pPr>
    </w:p>
    <w:p w14:paraId="1636BA25" w14:textId="3C482D1A" w:rsidR="00382601" w:rsidRPr="002A0B87" w:rsidRDefault="00382601" w:rsidP="00382601">
      <w:pPr>
        <w:pStyle w:val="Heading2"/>
      </w:pPr>
      <w:r w:rsidRPr="002A0B87">
        <w:t>4.</w:t>
      </w:r>
      <w:r>
        <w:t>8</w:t>
      </w:r>
      <w:r w:rsidRPr="002A0B87">
        <w:tab/>
      </w:r>
      <w:r w:rsidR="00990844" w:rsidRPr="00990844">
        <w:t>Reclassification of financial assets</w:t>
      </w:r>
      <w:r w:rsidR="00990844" w:rsidRPr="00990844" w:rsidDel="00990844">
        <w:t xml:space="preserve"> </w:t>
      </w:r>
    </w:p>
    <w:p w14:paraId="4C8FCE12" w14:textId="77777777" w:rsidR="00382601" w:rsidRPr="002A0B87" w:rsidRDefault="00382601" w:rsidP="00382601">
      <w:pPr>
        <w:pStyle w:val="NoSpacing"/>
        <w:rPr>
          <w:lang w:val="vi-VN"/>
        </w:rPr>
      </w:pPr>
    </w:p>
    <w:p w14:paraId="43E15DF5" w14:textId="77EE597A" w:rsidR="00382601" w:rsidRPr="002A0B87" w:rsidRDefault="00361A60" w:rsidP="00382601">
      <w:pPr>
        <w:pStyle w:val="NoSpacing"/>
        <w:rPr>
          <w:i/>
        </w:rPr>
      </w:pPr>
      <w:r w:rsidRPr="00361A60">
        <w:rPr>
          <w:i/>
        </w:rPr>
        <w:t>Reclassification when selling financial assets other than FVTPL</w:t>
      </w:r>
      <w:r w:rsidRPr="00361A60" w:rsidDel="00361A60">
        <w:rPr>
          <w:i/>
        </w:rPr>
        <w:t xml:space="preserve"> </w:t>
      </w:r>
    </w:p>
    <w:p w14:paraId="37DE5C8B" w14:textId="77777777" w:rsidR="00382601" w:rsidRPr="002A0B87" w:rsidRDefault="00382601" w:rsidP="00382601">
      <w:pPr>
        <w:pStyle w:val="NoSpacing"/>
      </w:pPr>
    </w:p>
    <w:p w14:paraId="6891007C" w14:textId="4D52F5A2" w:rsidR="00382601" w:rsidRPr="002A0B87" w:rsidRDefault="00534E05" w:rsidP="00382601">
      <w:pPr>
        <w:pStyle w:val="NoSpacing"/>
      </w:pPr>
      <w:r w:rsidRPr="00534E05">
        <w:t xml:space="preserve">When selling financial assets other than FVTPL, securities companies are required to reclassify those financial assets to financial assets at FVTPL. Difference arising from revaluation of AFS financial assets recognized under </w:t>
      </w:r>
      <w:r w:rsidRPr="00FA28E4">
        <w:rPr>
          <w:i/>
          <w:iCs/>
        </w:rPr>
        <w:t>“Gain/(Loss) from revaluation of assets at fair value”</w:t>
      </w:r>
      <w:r w:rsidRPr="00534E05">
        <w:t xml:space="preserve"> will be recognized to the corresponding revenue or expenses at the date of reclassification of AFS financial assets.</w:t>
      </w:r>
    </w:p>
    <w:p w14:paraId="1DCC7389" w14:textId="77777777" w:rsidR="00382601" w:rsidRPr="002A0B87" w:rsidRDefault="00382601" w:rsidP="00382601">
      <w:pPr>
        <w:pStyle w:val="NoSpacing"/>
      </w:pPr>
    </w:p>
    <w:p w14:paraId="4779041E" w14:textId="1DA3293A" w:rsidR="00382601" w:rsidRPr="002A0B87" w:rsidRDefault="002303AA" w:rsidP="00382601">
      <w:pPr>
        <w:pStyle w:val="NoSpacing"/>
        <w:rPr>
          <w:i/>
        </w:rPr>
      </w:pPr>
      <w:r w:rsidRPr="002303AA">
        <w:rPr>
          <w:i/>
        </w:rPr>
        <w:t>Reclassification due to change in purpose or ability to hold</w:t>
      </w:r>
      <w:r w:rsidRPr="002303AA" w:rsidDel="002303AA">
        <w:rPr>
          <w:i/>
        </w:rPr>
        <w:t xml:space="preserve"> </w:t>
      </w:r>
    </w:p>
    <w:p w14:paraId="089FD954" w14:textId="77777777" w:rsidR="00382601" w:rsidRPr="002A0B87" w:rsidRDefault="00382601" w:rsidP="00382601">
      <w:pPr>
        <w:pStyle w:val="NoSpacing"/>
      </w:pPr>
    </w:p>
    <w:p w14:paraId="77612A9A" w14:textId="7D5B4F4F" w:rsidR="00382601" w:rsidRPr="002A0B87" w:rsidRDefault="008759DE" w:rsidP="00382601">
      <w:pPr>
        <w:pStyle w:val="NoSpacing"/>
      </w:pPr>
      <w:r w:rsidRPr="008759DE">
        <w:t xml:space="preserve">Securities companies </w:t>
      </w:r>
      <w:proofErr w:type="gramStart"/>
      <w:r w:rsidRPr="008759DE">
        <w:t>are able to</w:t>
      </w:r>
      <w:proofErr w:type="gramEnd"/>
      <w:r w:rsidRPr="008759DE">
        <w:t xml:space="preserve"> reclassify financial assets to appropriate categories upon changes in purpose or ability to hold, accordingly:</w:t>
      </w:r>
    </w:p>
    <w:p w14:paraId="65AC53E6" w14:textId="19B2137A" w:rsidR="00382601" w:rsidRDefault="00BE2FCD" w:rsidP="00FD742F">
      <w:pPr>
        <w:pStyle w:val="BodyTextIndent"/>
        <w:numPr>
          <w:ilvl w:val="0"/>
          <w:numId w:val="13"/>
        </w:numPr>
        <w:spacing w:before="120"/>
        <w:ind w:left="1080"/>
        <w:rPr>
          <w:rFonts w:ascii="Arial" w:hAnsi="Arial" w:cs="Arial"/>
          <w:lang w:val="it-IT"/>
        </w:rPr>
      </w:pPr>
      <w:r w:rsidRPr="00BE2FCD">
        <w:rPr>
          <w:rFonts w:ascii="Arial" w:hAnsi="Arial" w:cs="Arial"/>
          <w:lang w:val="it-IT"/>
        </w:rPr>
        <w:tab/>
        <w:t>Non-derivative financial assets at FVTPL or financial assets that are not required to classify as financial assets at FVTPL at initial recognition can be classified as loans and other receivables or as cash and cash equivalents if the requirements are met. The gains or losses arising from revaluation of financial assets at FVTPL prior to the reclassification are not allowed to be reversed;</w:t>
      </w:r>
    </w:p>
    <w:p w14:paraId="06DC61A5" w14:textId="3F88DD46" w:rsidR="00BE0A60" w:rsidRPr="002A0B87" w:rsidRDefault="00BE0A60" w:rsidP="00FD742F">
      <w:pPr>
        <w:pStyle w:val="BodyTextIndent"/>
        <w:numPr>
          <w:ilvl w:val="0"/>
          <w:numId w:val="13"/>
        </w:numPr>
        <w:spacing w:before="120"/>
        <w:ind w:left="1080"/>
        <w:rPr>
          <w:rFonts w:ascii="Arial" w:hAnsi="Arial" w:cs="Arial"/>
          <w:lang w:val="it-IT"/>
        </w:rPr>
      </w:pPr>
      <w:r w:rsidRPr="00BE0A60">
        <w:rPr>
          <w:rFonts w:ascii="Arial" w:hAnsi="Arial" w:cs="Arial"/>
          <w:lang w:val="it-IT"/>
        </w:rPr>
        <w:tab/>
        <w:t xml:space="preserve">Due to changes in purpose or ability to hold, certain HTM investments are required to be reclassified into available-for-sale financial assets and measured at fair value. The difference arising from revaluation between carrying value and fair value are recognized as </w:t>
      </w:r>
      <w:r w:rsidRPr="00FA28E4">
        <w:rPr>
          <w:rFonts w:ascii="Arial" w:hAnsi="Arial" w:cs="Arial"/>
          <w:i/>
          <w:iCs/>
          <w:lang w:val="it-IT"/>
        </w:rPr>
        <w:t>“Gain/(Loss) from revaluation of assets at fair value”</w:t>
      </w:r>
      <w:r w:rsidRPr="00BE0A60">
        <w:rPr>
          <w:rFonts w:ascii="Arial" w:hAnsi="Arial" w:cs="Arial"/>
          <w:lang w:val="it-IT"/>
        </w:rPr>
        <w:t xml:space="preserve"> in owners’ equity.</w:t>
      </w:r>
    </w:p>
    <w:p w14:paraId="539E90A3" w14:textId="77777777" w:rsidR="00A80679" w:rsidRPr="002A0B87" w:rsidRDefault="00A80679" w:rsidP="002A0BFD">
      <w:pPr>
        <w:pStyle w:val="StyleBodyTextIndentArial"/>
      </w:pPr>
    </w:p>
    <w:p w14:paraId="051FA871" w14:textId="288F41A9" w:rsidR="00A80679" w:rsidRPr="002A0B87" w:rsidRDefault="00A80679" w:rsidP="008D0B9A">
      <w:pPr>
        <w:pStyle w:val="Heading2"/>
      </w:pPr>
      <w:r w:rsidRPr="002A0B87">
        <w:t>4.</w:t>
      </w:r>
      <w:r w:rsidR="00F643D3">
        <w:t>9</w:t>
      </w:r>
      <w:r w:rsidRPr="002A0B87">
        <w:tab/>
      </w:r>
      <w:r w:rsidR="00674D9E" w:rsidRPr="00674D9E">
        <w:t>Recognition of mortgaged financial assets</w:t>
      </w:r>
      <w:r w:rsidR="00674D9E" w:rsidRPr="00674D9E" w:rsidDel="00674D9E">
        <w:t xml:space="preserve"> </w:t>
      </w:r>
    </w:p>
    <w:p w14:paraId="2A8DA7C1" w14:textId="77777777" w:rsidR="00A80679" w:rsidRPr="002A0B87" w:rsidRDefault="00A80679" w:rsidP="008D0B9A">
      <w:pPr>
        <w:pStyle w:val="NoSpacing"/>
        <w:rPr>
          <w:lang w:val="vi-VN"/>
        </w:rPr>
      </w:pPr>
    </w:p>
    <w:p w14:paraId="70389CCA" w14:textId="198E4533" w:rsidR="001C1134" w:rsidRPr="002A0B87" w:rsidRDefault="001273A6" w:rsidP="008D0B9A">
      <w:pPr>
        <w:pStyle w:val="NoSpacing"/>
      </w:pPr>
      <w:r w:rsidRPr="001273A6">
        <w:t>During the year, the Company had mortgaged/pledged financial assets as collaterals for financial obligations of the Company.</w:t>
      </w:r>
      <w:r w:rsidR="001C1134" w:rsidRPr="002A0B87">
        <w:t xml:space="preserve"> </w:t>
      </w:r>
    </w:p>
    <w:p w14:paraId="46E3F748" w14:textId="77777777" w:rsidR="001C1134" w:rsidRPr="002A0B87" w:rsidRDefault="001C1134" w:rsidP="008D0B9A">
      <w:pPr>
        <w:pStyle w:val="NoSpacing"/>
      </w:pPr>
    </w:p>
    <w:p w14:paraId="32924F69" w14:textId="40A6C3AC" w:rsidR="001C1134" w:rsidRPr="002A0B87" w:rsidRDefault="00B77607" w:rsidP="008D0B9A">
      <w:pPr>
        <w:pStyle w:val="NoSpacing"/>
      </w:pPr>
      <w:r w:rsidRPr="00B77607">
        <w:t xml:space="preserve">According to the terms and conditions of the mortgage/pledge contracts, during the valid period of the contracts, the Company is not allowed to sell, </w:t>
      </w:r>
      <w:proofErr w:type="gramStart"/>
      <w:r w:rsidRPr="00B77607">
        <w:t>transfer</w:t>
      </w:r>
      <w:proofErr w:type="gramEnd"/>
      <w:r w:rsidRPr="00B77607">
        <w:t xml:space="preserve"> or use the mortgaged/ pledged assets under repurchase agreements or swap contracts with any other third party.</w:t>
      </w:r>
    </w:p>
    <w:p w14:paraId="31FD4936" w14:textId="77777777" w:rsidR="001C1134" w:rsidRPr="002A0B87" w:rsidRDefault="001C1134" w:rsidP="008D0B9A">
      <w:pPr>
        <w:pStyle w:val="NoSpacing"/>
      </w:pPr>
    </w:p>
    <w:p w14:paraId="4F22E4C7" w14:textId="552548E1" w:rsidR="001C1134" w:rsidRPr="002A0B87" w:rsidRDefault="0068325C" w:rsidP="008D0B9A">
      <w:pPr>
        <w:pStyle w:val="NoSpacing"/>
      </w:pPr>
      <w:r w:rsidRPr="0068325C">
        <w:t>In case the Company is unable to fulfill its obligations, the mortgagee/pledgee is allowed to use the mortgaged/pledged assets to settle the obligations of the Company after a specified period in the mortgage/pledge contracts after the due date.</w:t>
      </w:r>
      <w:r w:rsidR="001C1134" w:rsidRPr="002A0B87">
        <w:t xml:space="preserve"> </w:t>
      </w:r>
    </w:p>
    <w:p w14:paraId="04F04599" w14:textId="77777777" w:rsidR="001C1134" w:rsidRPr="002A0B87" w:rsidRDefault="001C1134" w:rsidP="008D0B9A">
      <w:pPr>
        <w:pStyle w:val="NoSpacing"/>
      </w:pPr>
    </w:p>
    <w:p w14:paraId="67579BC7" w14:textId="12804B36" w:rsidR="0038723C" w:rsidRDefault="007A5FD3" w:rsidP="008D0B9A">
      <w:pPr>
        <w:pStyle w:val="NoSpacing"/>
      </w:pPr>
      <w:r w:rsidRPr="007A5FD3">
        <w:t>The mortgaged/pledged assets are monitored in the Company’s statement of financial position in accordance with accounting principles relevant to the assets’ classification.</w:t>
      </w:r>
    </w:p>
    <w:p w14:paraId="5ED21960" w14:textId="77777777" w:rsidR="0038723C" w:rsidRDefault="0038723C">
      <w:pPr>
        <w:overflowPunct/>
        <w:autoSpaceDE/>
        <w:autoSpaceDN/>
        <w:adjustRightInd/>
        <w:jc w:val="left"/>
        <w:textAlignment w:val="auto"/>
        <w:rPr>
          <w:rFonts w:eastAsia="Calibri"/>
          <w:szCs w:val="22"/>
        </w:rPr>
      </w:pPr>
      <w:r>
        <w:br w:type="page"/>
      </w:r>
    </w:p>
    <w:p w14:paraId="163F3927" w14:textId="4038B8C5" w:rsidR="00E142A6" w:rsidRPr="0038723C" w:rsidRDefault="0038723C" w:rsidP="0038723C">
      <w:pPr>
        <w:ind w:left="720" w:hanging="720"/>
        <w:rPr>
          <w:rFonts w:cs="Arial"/>
          <w:bCs/>
        </w:rPr>
      </w:pPr>
      <w:r w:rsidRPr="002A0B87">
        <w:rPr>
          <w:rFonts w:cs="Arial"/>
          <w:b/>
          <w:bCs/>
        </w:rPr>
        <w:lastRenderedPageBreak/>
        <w:t>4.</w:t>
      </w:r>
      <w:r w:rsidRPr="002A0B87">
        <w:rPr>
          <w:rFonts w:cs="Arial"/>
          <w:b/>
          <w:bCs/>
        </w:rPr>
        <w:tab/>
      </w:r>
      <w:r w:rsidRPr="001266AC">
        <w:rPr>
          <w:rFonts w:cs="Arial"/>
          <w:b/>
          <w:bCs/>
        </w:rPr>
        <w:t xml:space="preserve">SUMMARY OF SIGNIFICANT ACCOUNTING POLICIES </w:t>
      </w:r>
      <w:r w:rsidRPr="00FA28E4">
        <w:rPr>
          <w:rFonts w:cs="Arial"/>
        </w:rPr>
        <w:t>(continued)</w:t>
      </w:r>
    </w:p>
    <w:p w14:paraId="4E978CFE" w14:textId="77777777" w:rsidR="00CF20EB" w:rsidRPr="002A0B87" w:rsidRDefault="00CF20EB" w:rsidP="00CF20EB">
      <w:pPr>
        <w:pStyle w:val="NoSpacing"/>
      </w:pPr>
    </w:p>
    <w:p w14:paraId="2708C01F" w14:textId="3698D336" w:rsidR="00CF20EB" w:rsidRPr="002A0B87" w:rsidRDefault="00CF20EB" w:rsidP="00CF20EB">
      <w:pPr>
        <w:pStyle w:val="Heading2"/>
      </w:pPr>
      <w:r w:rsidRPr="002A0B87">
        <w:t>4.1</w:t>
      </w:r>
      <w:r>
        <w:t>0</w:t>
      </w:r>
      <w:r w:rsidRPr="002A0B87">
        <w:tab/>
      </w:r>
      <w:r w:rsidR="006315B9" w:rsidRPr="006315B9">
        <w:t>Receivables</w:t>
      </w:r>
      <w:r w:rsidR="006315B9" w:rsidRPr="006315B9" w:rsidDel="006315B9">
        <w:t xml:space="preserve"> </w:t>
      </w:r>
    </w:p>
    <w:p w14:paraId="15BF228E" w14:textId="77777777" w:rsidR="00CF20EB" w:rsidRPr="002A0B87" w:rsidRDefault="00CF20EB" w:rsidP="00CF20EB">
      <w:pPr>
        <w:pStyle w:val="NoSpacing"/>
        <w:rPr>
          <w:lang w:val="vi-VN"/>
        </w:rPr>
      </w:pPr>
    </w:p>
    <w:p w14:paraId="609D6B63" w14:textId="3D9CE504" w:rsidR="00CF20EB" w:rsidRPr="002A0B87" w:rsidRDefault="007E5E11" w:rsidP="00CF20EB">
      <w:pPr>
        <w:pStyle w:val="NoSpacing"/>
      </w:pPr>
      <w:r w:rsidRPr="007E5E11">
        <w:t>Receivables are initially recognized at cost and are continuously presented at cost in subsequent years.</w:t>
      </w:r>
    </w:p>
    <w:p w14:paraId="122DB1F3" w14:textId="77777777" w:rsidR="00CF20EB" w:rsidRPr="002A0B87" w:rsidRDefault="00CF20EB" w:rsidP="00CF20EB">
      <w:pPr>
        <w:pStyle w:val="NoSpacing"/>
      </w:pPr>
    </w:p>
    <w:p w14:paraId="7E1069DA" w14:textId="2E31A1EF" w:rsidR="00CF20EB" w:rsidRDefault="00310408" w:rsidP="00CF20EB">
      <w:pPr>
        <w:pStyle w:val="NoSpacing"/>
      </w:pPr>
      <w:r w:rsidRPr="00310408">
        <w:t xml:space="preserve">Provision for receivables is determined based on the overdue status of debts or expected loss of current debts in case the debts are undue yet the organization has fallen into bankruptcy, is under dissolution process or has absconded; or individual who is being prosecuted, detained, on trial or under sentence or is suffering from fatal diseases (with medical certificate) or has deceased or the debts requested for sentence yet are unenforceable due to individual escaping or the debts sued for debt collection yet are under suspension. Provision expenses incurred are recorded in </w:t>
      </w:r>
      <w:r w:rsidRPr="00FA28E4">
        <w:rPr>
          <w:i/>
          <w:iCs/>
        </w:rPr>
        <w:t>“Other operating expenses”</w:t>
      </w:r>
      <w:r w:rsidRPr="00310408">
        <w:t xml:space="preserve"> in the income statement in the year.</w:t>
      </w:r>
    </w:p>
    <w:p w14:paraId="56B9C156" w14:textId="77777777" w:rsidR="00CF20EB" w:rsidRPr="000F0D17" w:rsidRDefault="00CF20EB" w:rsidP="00CF20EB">
      <w:pPr>
        <w:pStyle w:val="NoSpacing"/>
      </w:pPr>
    </w:p>
    <w:p w14:paraId="2F3AE4DF" w14:textId="7BAD46E6" w:rsidR="00CF20EB" w:rsidRPr="002A0B87" w:rsidRDefault="00DD314F" w:rsidP="00CF20EB">
      <w:pPr>
        <w:pStyle w:val="NoSpacing"/>
      </w:pPr>
      <w:r w:rsidRPr="00DD314F">
        <w:t>Provision rates for overdue receivables are prescribed in Circular 48 as follows:</w:t>
      </w:r>
    </w:p>
    <w:p w14:paraId="016B16AF" w14:textId="77777777" w:rsidR="00CF20EB" w:rsidRPr="002A0B87" w:rsidRDefault="00CF20EB" w:rsidP="00CF20EB">
      <w:pPr>
        <w:pStyle w:val="NoSpacing"/>
      </w:pPr>
    </w:p>
    <w:tbl>
      <w:tblPr>
        <w:tblW w:w="8183" w:type="dxa"/>
        <w:tblInd w:w="714" w:type="dxa"/>
        <w:tblLook w:val="01E0" w:firstRow="1" w:lastRow="1" w:firstColumn="1" w:lastColumn="1" w:noHBand="0" w:noVBand="0"/>
      </w:tblPr>
      <w:tblGrid>
        <w:gridCol w:w="4776"/>
        <w:gridCol w:w="3407"/>
      </w:tblGrid>
      <w:tr w:rsidR="00CF20EB" w:rsidRPr="002A0B87" w14:paraId="5CB7FD79" w14:textId="77777777" w:rsidTr="00FA28E4">
        <w:tc>
          <w:tcPr>
            <w:tcW w:w="4776" w:type="dxa"/>
            <w:vAlign w:val="bottom"/>
          </w:tcPr>
          <w:p w14:paraId="0451D89F" w14:textId="4185D7F8" w:rsidR="00CF20EB" w:rsidRPr="002A0B87" w:rsidRDefault="008850FF" w:rsidP="00701268">
            <w:pPr>
              <w:pStyle w:val="BodyTextIndent"/>
              <w:pBdr>
                <w:bottom w:val="single" w:sz="4" w:space="1" w:color="auto"/>
              </w:pBdr>
              <w:ind w:left="-115" w:right="190"/>
              <w:jc w:val="left"/>
              <w:rPr>
                <w:rFonts w:ascii="Arial" w:hAnsi="Arial" w:cs="Arial"/>
                <w:i/>
                <w:lang w:val="en-GB"/>
              </w:rPr>
            </w:pPr>
            <w:r w:rsidRPr="008850FF">
              <w:rPr>
                <w:rFonts w:ascii="Arial" w:hAnsi="Arial" w:cs="Arial"/>
                <w:i/>
                <w:lang w:val="en-GB"/>
              </w:rPr>
              <w:t>Overdue period</w:t>
            </w:r>
          </w:p>
        </w:tc>
        <w:tc>
          <w:tcPr>
            <w:tcW w:w="3407" w:type="dxa"/>
            <w:vAlign w:val="bottom"/>
          </w:tcPr>
          <w:p w14:paraId="52F00336" w14:textId="46BB2D05" w:rsidR="00CF20EB" w:rsidRPr="002A0B87" w:rsidRDefault="00E10879" w:rsidP="00701268">
            <w:pPr>
              <w:pStyle w:val="BodyTextIndent"/>
              <w:pBdr>
                <w:bottom w:val="single" w:sz="4" w:space="1" w:color="auto"/>
              </w:pBdr>
              <w:ind w:left="1436" w:right="-86"/>
              <w:jc w:val="right"/>
              <w:rPr>
                <w:rFonts w:ascii="Arial" w:hAnsi="Arial" w:cs="Arial"/>
                <w:i/>
                <w:lang w:val="en-GB"/>
              </w:rPr>
            </w:pPr>
            <w:r w:rsidRPr="00E10879">
              <w:rPr>
                <w:rFonts w:ascii="Arial" w:hAnsi="Arial" w:cs="Arial"/>
                <w:i/>
                <w:lang w:val="en-GB"/>
              </w:rPr>
              <w:t>Provision rate</w:t>
            </w:r>
          </w:p>
        </w:tc>
      </w:tr>
      <w:tr w:rsidR="00CF20EB" w:rsidRPr="002A0B87" w14:paraId="77E52441" w14:textId="77777777" w:rsidTr="00FA28E4">
        <w:tc>
          <w:tcPr>
            <w:tcW w:w="4776" w:type="dxa"/>
          </w:tcPr>
          <w:p w14:paraId="1983F728" w14:textId="23DA3EAE" w:rsidR="00CF20EB" w:rsidRPr="002A0B87" w:rsidRDefault="002C54BB" w:rsidP="00701268">
            <w:pPr>
              <w:pStyle w:val="BodyTextIndent"/>
              <w:spacing w:before="120"/>
              <w:ind w:left="-115"/>
              <w:jc w:val="left"/>
              <w:rPr>
                <w:rFonts w:ascii="Arial" w:hAnsi="Arial" w:cs="Arial"/>
                <w:lang w:val="en-GB"/>
              </w:rPr>
            </w:pPr>
            <w:r w:rsidRPr="002C54BB">
              <w:rPr>
                <w:rFonts w:ascii="Arial" w:hAnsi="Arial" w:cs="Arial"/>
                <w:lang w:val="en-GB"/>
              </w:rPr>
              <w:t>From over six (06) months to less than one (01) year</w:t>
            </w:r>
          </w:p>
        </w:tc>
        <w:tc>
          <w:tcPr>
            <w:tcW w:w="3407" w:type="dxa"/>
          </w:tcPr>
          <w:p w14:paraId="76AD7818" w14:textId="77777777" w:rsidR="00CF20EB" w:rsidRPr="002A0B87" w:rsidRDefault="00CF20EB" w:rsidP="00701268">
            <w:pPr>
              <w:pStyle w:val="BodyTextIndent"/>
              <w:spacing w:before="120"/>
              <w:ind w:left="0" w:right="-86"/>
              <w:jc w:val="right"/>
              <w:rPr>
                <w:rFonts w:ascii="Arial" w:hAnsi="Arial" w:cs="Arial"/>
                <w:lang w:val="en-GB"/>
              </w:rPr>
            </w:pPr>
            <w:r w:rsidRPr="002A0B87">
              <w:rPr>
                <w:rFonts w:ascii="Arial" w:hAnsi="Arial" w:cs="Arial"/>
                <w:lang w:val="en-GB"/>
              </w:rPr>
              <w:t>30%</w:t>
            </w:r>
          </w:p>
        </w:tc>
      </w:tr>
      <w:tr w:rsidR="00CF20EB" w:rsidRPr="002A0B87" w14:paraId="4D925198" w14:textId="77777777" w:rsidTr="00FA28E4">
        <w:tc>
          <w:tcPr>
            <w:tcW w:w="4776" w:type="dxa"/>
          </w:tcPr>
          <w:p w14:paraId="2CACD56A" w14:textId="7E5D3504" w:rsidR="00CF20EB" w:rsidRPr="002A0B87" w:rsidRDefault="00A22EAC" w:rsidP="00701268">
            <w:pPr>
              <w:pStyle w:val="BodyTextIndent"/>
              <w:ind w:left="-115"/>
              <w:jc w:val="left"/>
              <w:rPr>
                <w:rFonts w:ascii="Arial" w:hAnsi="Arial" w:cs="Arial"/>
                <w:lang w:val="en-GB"/>
              </w:rPr>
            </w:pPr>
            <w:r w:rsidRPr="00A22EAC">
              <w:rPr>
                <w:rFonts w:ascii="Arial" w:hAnsi="Arial" w:cs="Arial"/>
                <w:lang w:val="en-GB"/>
              </w:rPr>
              <w:t>From one (01) year to less than two (02) years</w:t>
            </w:r>
          </w:p>
        </w:tc>
        <w:tc>
          <w:tcPr>
            <w:tcW w:w="3407" w:type="dxa"/>
          </w:tcPr>
          <w:p w14:paraId="7D840A76" w14:textId="77777777" w:rsidR="00CF20EB" w:rsidRPr="002A0B87" w:rsidRDefault="00CF20EB" w:rsidP="00701268">
            <w:pPr>
              <w:pStyle w:val="BodyTextIndent"/>
              <w:ind w:left="0" w:right="-86"/>
              <w:jc w:val="right"/>
              <w:rPr>
                <w:rFonts w:ascii="Arial" w:hAnsi="Arial" w:cs="Arial"/>
                <w:lang w:val="en-GB"/>
              </w:rPr>
            </w:pPr>
            <w:r w:rsidRPr="002A0B87">
              <w:rPr>
                <w:rFonts w:ascii="Arial" w:hAnsi="Arial" w:cs="Arial"/>
                <w:lang w:val="en-GB"/>
              </w:rPr>
              <w:t>50%</w:t>
            </w:r>
          </w:p>
        </w:tc>
      </w:tr>
      <w:tr w:rsidR="00CF20EB" w:rsidRPr="002A0B87" w14:paraId="46D7E627" w14:textId="77777777" w:rsidTr="00FA28E4">
        <w:tc>
          <w:tcPr>
            <w:tcW w:w="4776" w:type="dxa"/>
          </w:tcPr>
          <w:p w14:paraId="01511076" w14:textId="6EA5D70A" w:rsidR="00CF20EB" w:rsidRPr="002A0B87" w:rsidRDefault="00C10EAE" w:rsidP="00701268">
            <w:pPr>
              <w:pStyle w:val="BodyTextIndent"/>
              <w:ind w:left="-115"/>
              <w:jc w:val="left"/>
              <w:rPr>
                <w:rFonts w:ascii="Arial" w:hAnsi="Arial" w:cs="Arial"/>
                <w:lang w:val="en-GB"/>
              </w:rPr>
            </w:pPr>
            <w:r w:rsidRPr="00C10EAE">
              <w:rPr>
                <w:rFonts w:ascii="Arial" w:hAnsi="Arial" w:cs="Arial"/>
                <w:lang w:val="en-GB"/>
              </w:rPr>
              <w:t>From two (02) years to less than three (03) years</w:t>
            </w:r>
          </w:p>
        </w:tc>
        <w:tc>
          <w:tcPr>
            <w:tcW w:w="3407" w:type="dxa"/>
          </w:tcPr>
          <w:p w14:paraId="1DF122FC" w14:textId="77777777" w:rsidR="00CF20EB" w:rsidRPr="002A0B87" w:rsidRDefault="00CF20EB" w:rsidP="00701268">
            <w:pPr>
              <w:pStyle w:val="BodyTextIndent"/>
              <w:ind w:left="0" w:right="-86"/>
              <w:jc w:val="right"/>
              <w:rPr>
                <w:rFonts w:ascii="Arial" w:hAnsi="Arial" w:cs="Arial"/>
                <w:lang w:val="en-GB"/>
              </w:rPr>
            </w:pPr>
            <w:r w:rsidRPr="002A0B87">
              <w:rPr>
                <w:rFonts w:ascii="Arial" w:hAnsi="Arial" w:cs="Arial"/>
                <w:lang w:val="en-GB"/>
              </w:rPr>
              <w:t>70%</w:t>
            </w:r>
          </w:p>
        </w:tc>
      </w:tr>
      <w:tr w:rsidR="00CF20EB" w:rsidRPr="002A0B87" w14:paraId="24EA682E" w14:textId="77777777" w:rsidTr="00FA28E4">
        <w:tc>
          <w:tcPr>
            <w:tcW w:w="4776" w:type="dxa"/>
          </w:tcPr>
          <w:p w14:paraId="63A54BE2" w14:textId="758DA483" w:rsidR="00CF20EB" w:rsidRPr="002A0B87" w:rsidRDefault="000251C9" w:rsidP="00701268">
            <w:pPr>
              <w:pStyle w:val="BodyTextIndent"/>
              <w:ind w:left="-115"/>
              <w:jc w:val="left"/>
              <w:rPr>
                <w:rFonts w:ascii="Arial" w:hAnsi="Arial" w:cs="Arial"/>
                <w:lang w:val="en-GB"/>
              </w:rPr>
            </w:pPr>
            <w:r w:rsidRPr="000251C9">
              <w:rPr>
                <w:rFonts w:ascii="Arial" w:hAnsi="Arial" w:cs="Arial"/>
                <w:lang w:val="en-GB"/>
              </w:rPr>
              <w:t>From over three (03) years</w:t>
            </w:r>
          </w:p>
        </w:tc>
        <w:tc>
          <w:tcPr>
            <w:tcW w:w="3407" w:type="dxa"/>
          </w:tcPr>
          <w:p w14:paraId="575CF9DD" w14:textId="77777777" w:rsidR="00CF20EB" w:rsidRPr="002A0B87" w:rsidRDefault="00CF20EB" w:rsidP="00701268">
            <w:pPr>
              <w:pStyle w:val="BodyTextIndent"/>
              <w:ind w:left="0" w:right="-86"/>
              <w:jc w:val="right"/>
              <w:rPr>
                <w:rFonts w:ascii="Arial" w:hAnsi="Arial" w:cs="Arial"/>
                <w:lang w:val="en-GB"/>
              </w:rPr>
            </w:pPr>
            <w:r w:rsidRPr="002A0B87">
              <w:rPr>
                <w:rFonts w:ascii="Arial" w:hAnsi="Arial" w:cs="Arial"/>
                <w:lang w:val="en-GB"/>
              </w:rPr>
              <w:t>100%</w:t>
            </w:r>
          </w:p>
        </w:tc>
      </w:tr>
    </w:tbl>
    <w:p w14:paraId="4FAB7ED5" w14:textId="77777777" w:rsidR="00CF20EB" w:rsidRPr="002A0B87" w:rsidRDefault="00CF20EB" w:rsidP="00CF20EB">
      <w:pPr>
        <w:pStyle w:val="NoSpacing"/>
      </w:pPr>
    </w:p>
    <w:p w14:paraId="0804A63B" w14:textId="02E4F0F8" w:rsidR="00E142A6" w:rsidRPr="002A0B87" w:rsidRDefault="00BB03B0" w:rsidP="0038723C">
      <w:pPr>
        <w:pStyle w:val="NoSpacing"/>
        <w:rPr>
          <w:rFonts w:cs="Arial"/>
          <w:bCs/>
        </w:rPr>
      </w:pPr>
      <w:r w:rsidRPr="00BB03B0">
        <w:t>Management also makes assessment on estimated losses of undue receivables based on qualitative factors and makes provision thereto.</w:t>
      </w:r>
    </w:p>
    <w:p w14:paraId="7A47A84B" w14:textId="77777777" w:rsidR="004D5C51" w:rsidRPr="002A0B87" w:rsidRDefault="004D5C51" w:rsidP="008D0B9A">
      <w:pPr>
        <w:pStyle w:val="NoSpacing"/>
        <w:rPr>
          <w:bCs/>
        </w:rPr>
      </w:pPr>
    </w:p>
    <w:p w14:paraId="2A10332B" w14:textId="6C1421F3" w:rsidR="004D5C51" w:rsidRPr="002A0B87" w:rsidRDefault="004D5C51" w:rsidP="008D0B9A">
      <w:pPr>
        <w:pStyle w:val="Heading2"/>
      </w:pPr>
      <w:r w:rsidRPr="002A0B87">
        <w:t>4.1</w:t>
      </w:r>
      <w:r w:rsidR="00F643D3">
        <w:t>1</w:t>
      </w:r>
      <w:r w:rsidRPr="002A0B87">
        <w:tab/>
      </w:r>
      <w:r w:rsidR="00FB5CDD" w:rsidRPr="00FB5CDD">
        <w:t>Fixed assets</w:t>
      </w:r>
      <w:r w:rsidR="00FB5CDD" w:rsidRPr="00FB5CDD" w:rsidDel="00FB5CDD">
        <w:t xml:space="preserve"> </w:t>
      </w:r>
    </w:p>
    <w:p w14:paraId="4A87BE14" w14:textId="77777777" w:rsidR="004D5C51" w:rsidRPr="002A0B87" w:rsidRDefault="004D5C51" w:rsidP="008D0B9A">
      <w:pPr>
        <w:pStyle w:val="NoSpacing"/>
        <w:rPr>
          <w:lang w:val="vi-VN"/>
        </w:rPr>
      </w:pPr>
    </w:p>
    <w:p w14:paraId="2C38424F" w14:textId="7A10ED0A" w:rsidR="00D679DD" w:rsidRPr="002A0B87" w:rsidRDefault="00F53721" w:rsidP="008D0B9A">
      <w:pPr>
        <w:pStyle w:val="NoSpacing"/>
      </w:pPr>
      <w:r w:rsidRPr="00F53721">
        <w:t>Fixed assets are stated at cost less accumulated depreciation or amortization. The cost of a fixed asset comprises of its purchase price and any directly attributable costs of bringing the fixed asset to working condition for its intended use.</w:t>
      </w:r>
    </w:p>
    <w:p w14:paraId="0554ADB0" w14:textId="77777777" w:rsidR="00D679DD" w:rsidRPr="002A0B87" w:rsidRDefault="00D679DD" w:rsidP="008D0B9A">
      <w:pPr>
        <w:pStyle w:val="NoSpacing"/>
      </w:pPr>
    </w:p>
    <w:p w14:paraId="1C97FC60" w14:textId="411E1B60" w:rsidR="00D679DD" w:rsidRPr="002A0B87" w:rsidRDefault="00660637" w:rsidP="008D0B9A">
      <w:pPr>
        <w:pStyle w:val="NoSpacing"/>
      </w:pPr>
      <w:r w:rsidRPr="00660637">
        <w:t>Cost related to additions, improvements and renewals are capitalized while expenditures for maintenance and repairs (if any) are charged to the income statement when incurred.</w:t>
      </w:r>
    </w:p>
    <w:p w14:paraId="0DB9B4A3" w14:textId="77777777" w:rsidR="00D679DD" w:rsidRPr="002A0B87" w:rsidRDefault="00D679DD" w:rsidP="008D0B9A">
      <w:pPr>
        <w:pStyle w:val="NoSpacing"/>
      </w:pPr>
    </w:p>
    <w:p w14:paraId="285388D0" w14:textId="3B0D0BA4" w:rsidR="00D679DD" w:rsidRPr="002A0B87" w:rsidRDefault="00EC4FEF" w:rsidP="008D0B9A">
      <w:pPr>
        <w:pStyle w:val="NoSpacing"/>
      </w:pPr>
      <w:r w:rsidRPr="00EC4FEF">
        <w:t>When fixed assets are sold or liquidated, any gains or losses resulting from their disposal (the difference between the net proceeds from the sale of assets and the remaining value of the assets) are recorded to the income statement.</w:t>
      </w:r>
    </w:p>
    <w:p w14:paraId="6F19F111" w14:textId="77777777" w:rsidR="004D5C51" w:rsidRPr="002A0B87" w:rsidRDefault="004D5C51" w:rsidP="008D0B9A">
      <w:pPr>
        <w:pStyle w:val="NoSpacing"/>
      </w:pPr>
    </w:p>
    <w:p w14:paraId="51420B4A" w14:textId="1258CF78" w:rsidR="004D5C51" w:rsidRPr="002A0B87" w:rsidRDefault="004D5C51" w:rsidP="008D0B9A">
      <w:pPr>
        <w:pStyle w:val="Heading2"/>
      </w:pPr>
      <w:r w:rsidRPr="002A0B87">
        <w:t>4.1</w:t>
      </w:r>
      <w:r w:rsidR="00F643D3">
        <w:t>2</w:t>
      </w:r>
      <w:r w:rsidRPr="002A0B87">
        <w:tab/>
      </w:r>
      <w:r w:rsidR="00010109" w:rsidRPr="00010109">
        <w:t>Depreciation and amortization</w:t>
      </w:r>
      <w:r w:rsidR="00010109" w:rsidRPr="00010109" w:rsidDel="00010109">
        <w:t xml:space="preserve"> </w:t>
      </w:r>
    </w:p>
    <w:p w14:paraId="6DB8084C" w14:textId="77777777" w:rsidR="004D5C51" w:rsidRPr="002A0B87" w:rsidRDefault="004D5C51" w:rsidP="008D0B9A">
      <w:pPr>
        <w:pStyle w:val="NoSpacing"/>
        <w:rPr>
          <w:lang w:val="vi-VN"/>
        </w:rPr>
      </w:pPr>
    </w:p>
    <w:p w14:paraId="2B00B548" w14:textId="052365C2" w:rsidR="00F125E8" w:rsidRPr="002A0B87" w:rsidRDefault="00985B05" w:rsidP="008D0B9A">
      <w:pPr>
        <w:pStyle w:val="NoSpacing"/>
        <w:rPr>
          <w:lang w:val="de-DE"/>
        </w:rPr>
      </w:pPr>
      <w:r w:rsidRPr="00985B05">
        <w:t>Depreciation of tangible and amortization of intangible assets are computed on a straight-line basis over the estimated useful lives of these assets as follows:</w:t>
      </w:r>
    </w:p>
    <w:p w14:paraId="55374CB8" w14:textId="77777777" w:rsidR="002F0951" w:rsidRPr="002A0B87" w:rsidRDefault="002F0951" w:rsidP="008D0B9A">
      <w:pPr>
        <w:pStyle w:val="NoSpacing"/>
        <w:rPr>
          <w:lang w:val="de-DE"/>
        </w:rPr>
      </w:pPr>
    </w:p>
    <w:tbl>
      <w:tblPr>
        <w:tblW w:w="8176" w:type="dxa"/>
        <w:tblInd w:w="720" w:type="dxa"/>
        <w:tblLook w:val="01E0" w:firstRow="1" w:lastRow="1" w:firstColumn="1" w:lastColumn="1" w:noHBand="0" w:noVBand="0"/>
      </w:tblPr>
      <w:tblGrid>
        <w:gridCol w:w="4033"/>
        <w:gridCol w:w="4143"/>
      </w:tblGrid>
      <w:tr w:rsidR="00707E02" w:rsidRPr="002A0B87" w14:paraId="52711D60" w14:textId="77777777" w:rsidTr="00F60014">
        <w:tc>
          <w:tcPr>
            <w:tcW w:w="4033" w:type="dxa"/>
          </w:tcPr>
          <w:p w14:paraId="560B966D" w14:textId="2098F009" w:rsidR="00707E02" w:rsidRPr="002A0B87" w:rsidRDefault="00442F56">
            <w:pPr>
              <w:pStyle w:val="BodyTextIndent"/>
              <w:ind w:left="-108"/>
              <w:rPr>
                <w:rFonts w:ascii="Arial" w:hAnsi="Arial" w:cs="Arial"/>
                <w:lang w:val="vi-VN"/>
              </w:rPr>
            </w:pPr>
            <w:r w:rsidRPr="00442F56">
              <w:rPr>
                <w:rFonts w:ascii="Arial" w:hAnsi="Arial" w:cs="Arial"/>
                <w:lang w:val="vi-VN"/>
              </w:rPr>
              <w:t>Buildings and improvements</w:t>
            </w:r>
          </w:p>
        </w:tc>
        <w:tc>
          <w:tcPr>
            <w:tcW w:w="4143" w:type="dxa"/>
          </w:tcPr>
          <w:p w14:paraId="1596BA2D" w14:textId="263D4DFB" w:rsidR="00707E02" w:rsidRPr="002A0B87" w:rsidRDefault="002E6042" w:rsidP="008064F8">
            <w:pPr>
              <w:pStyle w:val="BodyTextIndent"/>
              <w:ind w:left="0" w:right="-86"/>
              <w:jc w:val="right"/>
              <w:rPr>
                <w:rFonts w:ascii="Arial" w:hAnsi="Arial" w:cs="Arial"/>
              </w:rPr>
            </w:pPr>
            <w:r>
              <w:rPr>
                <w:rFonts w:ascii="Arial" w:hAnsi="Arial" w:cs="Arial"/>
              </w:rPr>
              <w:t>12</w:t>
            </w:r>
            <w:r w:rsidRPr="002A0B87">
              <w:rPr>
                <w:rFonts w:ascii="Arial" w:hAnsi="Arial" w:cs="Arial"/>
              </w:rPr>
              <w:t xml:space="preserve"> </w:t>
            </w:r>
            <w:r w:rsidR="00707E02" w:rsidRPr="002A0B87">
              <w:rPr>
                <w:rFonts w:ascii="Arial" w:hAnsi="Arial" w:cs="Arial"/>
              </w:rPr>
              <w:t xml:space="preserve">– </w:t>
            </w:r>
            <w:r w:rsidRPr="002A0B87">
              <w:rPr>
                <w:rFonts w:ascii="Arial" w:hAnsi="Arial" w:cs="Arial"/>
              </w:rPr>
              <w:t>1</w:t>
            </w:r>
            <w:r>
              <w:rPr>
                <w:rFonts w:ascii="Arial" w:hAnsi="Arial" w:cs="Arial"/>
              </w:rPr>
              <w:t>8</w:t>
            </w:r>
            <w:r w:rsidRPr="002A0B87">
              <w:rPr>
                <w:rFonts w:ascii="Arial" w:hAnsi="Arial" w:cs="Arial"/>
              </w:rPr>
              <w:t xml:space="preserve"> </w:t>
            </w:r>
            <w:r w:rsidR="00985B05">
              <w:rPr>
                <w:rFonts w:ascii="Arial" w:hAnsi="Arial" w:cs="Arial"/>
              </w:rPr>
              <w:t>years</w:t>
            </w:r>
          </w:p>
        </w:tc>
      </w:tr>
      <w:tr w:rsidR="00A96922" w:rsidRPr="002A0B87" w14:paraId="334AB928" w14:textId="77777777" w:rsidTr="00F60014">
        <w:tc>
          <w:tcPr>
            <w:tcW w:w="4033" w:type="dxa"/>
          </w:tcPr>
          <w:p w14:paraId="078BFF0F" w14:textId="18E55F51" w:rsidR="00A96922" w:rsidRPr="002A0B87" w:rsidRDefault="00393233">
            <w:pPr>
              <w:pStyle w:val="BodyTextIndent"/>
              <w:ind w:left="-108"/>
              <w:rPr>
                <w:rFonts w:ascii="Arial" w:hAnsi="Arial" w:cs="Arial"/>
                <w:lang w:val="vi-VN"/>
              </w:rPr>
            </w:pPr>
            <w:r w:rsidRPr="00393233">
              <w:rPr>
                <w:rFonts w:ascii="Arial" w:hAnsi="Arial" w:cs="Arial"/>
                <w:lang w:val="vi-VN"/>
              </w:rPr>
              <w:t>Machines and equipment</w:t>
            </w:r>
          </w:p>
        </w:tc>
        <w:tc>
          <w:tcPr>
            <w:tcW w:w="4143" w:type="dxa"/>
          </w:tcPr>
          <w:p w14:paraId="20C4A716" w14:textId="328664B1" w:rsidR="00A96922" w:rsidRPr="002A0B87" w:rsidRDefault="00707E02" w:rsidP="008064F8">
            <w:pPr>
              <w:pStyle w:val="BodyTextIndent"/>
              <w:ind w:left="0" w:right="-86"/>
              <w:jc w:val="right"/>
              <w:rPr>
                <w:rFonts w:ascii="Arial" w:hAnsi="Arial" w:cs="Arial"/>
                <w:lang w:val="vi-VN"/>
              </w:rPr>
            </w:pPr>
            <w:r w:rsidRPr="002A0B87">
              <w:rPr>
                <w:rFonts w:ascii="Arial" w:hAnsi="Arial" w:cs="Arial"/>
              </w:rPr>
              <w:t>0</w:t>
            </w:r>
            <w:r w:rsidR="0028471E">
              <w:rPr>
                <w:rFonts w:ascii="Arial" w:hAnsi="Arial" w:cs="Arial"/>
              </w:rPr>
              <w:t>5</w:t>
            </w:r>
            <w:r w:rsidR="00A96922" w:rsidRPr="002A0B87">
              <w:rPr>
                <w:rFonts w:ascii="Arial" w:hAnsi="Arial" w:cs="Arial"/>
              </w:rPr>
              <w:t xml:space="preserve"> </w:t>
            </w:r>
            <w:r w:rsidRPr="002A0B87">
              <w:rPr>
                <w:rFonts w:ascii="Arial" w:hAnsi="Arial" w:cs="Arial"/>
              </w:rPr>
              <w:t>–</w:t>
            </w:r>
            <w:r w:rsidR="00A96922" w:rsidRPr="002A0B87">
              <w:rPr>
                <w:rFonts w:ascii="Arial" w:hAnsi="Arial" w:cs="Arial"/>
              </w:rPr>
              <w:t xml:space="preserve"> </w:t>
            </w:r>
            <w:r w:rsidR="002E6042">
              <w:rPr>
                <w:rFonts w:ascii="Arial" w:hAnsi="Arial" w:cs="Arial"/>
              </w:rPr>
              <w:t>15</w:t>
            </w:r>
            <w:r w:rsidR="00A96922" w:rsidRPr="002A0B87">
              <w:rPr>
                <w:rFonts w:ascii="Arial" w:hAnsi="Arial" w:cs="Arial"/>
                <w:lang w:val="vi-VN"/>
              </w:rPr>
              <w:t xml:space="preserve"> </w:t>
            </w:r>
            <w:r w:rsidR="00985B05">
              <w:rPr>
                <w:rFonts w:ascii="Arial" w:hAnsi="Arial" w:cs="Arial"/>
              </w:rPr>
              <w:t>years</w:t>
            </w:r>
          </w:p>
        </w:tc>
      </w:tr>
      <w:tr w:rsidR="00A96922" w:rsidRPr="002A0B87" w14:paraId="5325B7AF" w14:textId="77777777" w:rsidTr="00F60014">
        <w:tc>
          <w:tcPr>
            <w:tcW w:w="4033" w:type="dxa"/>
          </w:tcPr>
          <w:p w14:paraId="54ADF5EB" w14:textId="68D1B1F7" w:rsidR="00A96922" w:rsidRPr="002A0B87" w:rsidRDefault="00A96922">
            <w:pPr>
              <w:pStyle w:val="BodyTextIndent"/>
              <w:ind w:left="-108"/>
              <w:rPr>
                <w:rFonts w:ascii="Arial" w:hAnsi="Arial" w:cs="Arial"/>
                <w:lang w:val="vi-VN"/>
              </w:rPr>
            </w:pPr>
            <w:r w:rsidRPr="002A0B87">
              <w:rPr>
                <w:rFonts w:ascii="Arial" w:hAnsi="Arial" w:cs="Arial"/>
                <w:lang w:val="vi-VN"/>
              </w:rPr>
              <w:tab/>
            </w:r>
            <w:r w:rsidR="00E432AE" w:rsidRPr="00E432AE">
              <w:rPr>
                <w:rFonts w:ascii="Arial" w:hAnsi="Arial" w:cs="Arial"/>
                <w:lang w:val="vi-VN"/>
              </w:rPr>
              <w:t>Office equipment</w:t>
            </w:r>
          </w:p>
        </w:tc>
        <w:tc>
          <w:tcPr>
            <w:tcW w:w="4143" w:type="dxa"/>
          </w:tcPr>
          <w:p w14:paraId="30C00FAA" w14:textId="4FA53E80" w:rsidR="00A96922" w:rsidRPr="002A0B87" w:rsidRDefault="00707E02" w:rsidP="008064F8">
            <w:pPr>
              <w:pStyle w:val="BodyTextIndent"/>
              <w:ind w:left="0" w:right="-86"/>
              <w:jc w:val="right"/>
              <w:rPr>
                <w:rFonts w:ascii="Arial" w:hAnsi="Arial" w:cs="Arial"/>
                <w:lang w:val="vi-VN"/>
              </w:rPr>
            </w:pPr>
            <w:r w:rsidRPr="002A0B87">
              <w:rPr>
                <w:rFonts w:ascii="Arial" w:hAnsi="Arial" w:cs="Arial"/>
              </w:rPr>
              <w:t xml:space="preserve">03 – </w:t>
            </w:r>
            <w:r w:rsidR="006359A8">
              <w:rPr>
                <w:rFonts w:ascii="Arial" w:hAnsi="Arial" w:cs="Arial"/>
              </w:rPr>
              <w:t>08</w:t>
            </w:r>
            <w:r w:rsidR="006359A8" w:rsidRPr="002A0B87">
              <w:rPr>
                <w:rFonts w:ascii="Arial" w:hAnsi="Arial" w:cs="Arial"/>
                <w:lang w:val="vi-VN"/>
              </w:rPr>
              <w:t xml:space="preserve"> </w:t>
            </w:r>
            <w:r w:rsidR="00985B05">
              <w:rPr>
                <w:rFonts w:ascii="Arial" w:hAnsi="Arial" w:cs="Arial"/>
              </w:rPr>
              <w:t>years</w:t>
            </w:r>
          </w:p>
        </w:tc>
      </w:tr>
      <w:tr w:rsidR="00A96922" w:rsidRPr="002A0B87" w14:paraId="5681C857" w14:textId="77777777" w:rsidTr="00F60014">
        <w:tc>
          <w:tcPr>
            <w:tcW w:w="4033" w:type="dxa"/>
          </w:tcPr>
          <w:p w14:paraId="05AB9642" w14:textId="0108CA6D" w:rsidR="00A96922" w:rsidRPr="002A0B87" w:rsidRDefault="00A96922">
            <w:pPr>
              <w:pStyle w:val="BodyTextIndent"/>
              <w:ind w:left="-108"/>
              <w:rPr>
                <w:rFonts w:ascii="Arial" w:hAnsi="Arial" w:cs="Arial"/>
              </w:rPr>
            </w:pPr>
            <w:r w:rsidRPr="002A0B87">
              <w:rPr>
                <w:rFonts w:ascii="Arial" w:hAnsi="Arial" w:cs="Arial"/>
                <w:lang w:val="vi-VN"/>
              </w:rPr>
              <w:tab/>
            </w:r>
            <w:r w:rsidR="00C32E4C" w:rsidRPr="00C32E4C">
              <w:rPr>
                <w:rFonts w:ascii="Arial" w:hAnsi="Arial" w:cs="Arial"/>
                <w:lang w:val="vi-VN"/>
              </w:rPr>
              <w:t>Computer software</w:t>
            </w:r>
          </w:p>
        </w:tc>
        <w:tc>
          <w:tcPr>
            <w:tcW w:w="4143" w:type="dxa"/>
          </w:tcPr>
          <w:p w14:paraId="22B00A24" w14:textId="494A7663" w:rsidR="00A96922" w:rsidRPr="002A0B87" w:rsidRDefault="00707E02" w:rsidP="008064F8">
            <w:pPr>
              <w:pStyle w:val="BodyTextIndent"/>
              <w:ind w:left="0" w:right="-86"/>
              <w:jc w:val="right"/>
              <w:rPr>
                <w:rFonts w:ascii="Arial" w:hAnsi="Arial" w:cs="Arial"/>
                <w:lang w:val="vi-VN"/>
              </w:rPr>
            </w:pPr>
            <w:r w:rsidRPr="002A0B87">
              <w:rPr>
                <w:rFonts w:ascii="Arial" w:hAnsi="Arial" w:cs="Arial"/>
              </w:rPr>
              <w:t>03</w:t>
            </w:r>
            <w:r w:rsidR="00A96922" w:rsidRPr="002A0B87">
              <w:rPr>
                <w:rFonts w:ascii="Arial" w:hAnsi="Arial" w:cs="Arial"/>
              </w:rPr>
              <w:t xml:space="preserve"> </w:t>
            </w:r>
            <w:r w:rsidRPr="002A0B87">
              <w:rPr>
                <w:rFonts w:ascii="Arial" w:hAnsi="Arial" w:cs="Arial"/>
              </w:rPr>
              <w:t>–</w:t>
            </w:r>
            <w:r w:rsidR="00A96922" w:rsidRPr="002A0B87">
              <w:rPr>
                <w:rFonts w:ascii="Arial" w:hAnsi="Arial" w:cs="Arial"/>
              </w:rPr>
              <w:t xml:space="preserve"> </w:t>
            </w:r>
            <w:r w:rsidR="00C95725">
              <w:rPr>
                <w:rFonts w:ascii="Arial" w:hAnsi="Arial" w:cs="Arial"/>
              </w:rPr>
              <w:t>20</w:t>
            </w:r>
            <w:r w:rsidR="00C95725" w:rsidRPr="002A0B87">
              <w:rPr>
                <w:rFonts w:ascii="Arial" w:hAnsi="Arial" w:cs="Arial"/>
              </w:rPr>
              <w:t xml:space="preserve"> </w:t>
            </w:r>
            <w:r w:rsidR="00985B05">
              <w:rPr>
                <w:rFonts w:ascii="Arial" w:hAnsi="Arial" w:cs="Arial"/>
              </w:rPr>
              <w:t>years</w:t>
            </w:r>
          </w:p>
        </w:tc>
      </w:tr>
      <w:tr w:rsidR="00EA5B18" w:rsidRPr="002A0B87" w14:paraId="542DE196" w14:textId="77777777" w:rsidTr="00F60014">
        <w:tc>
          <w:tcPr>
            <w:tcW w:w="4033" w:type="dxa"/>
          </w:tcPr>
          <w:p w14:paraId="4593D193" w14:textId="48AC960C" w:rsidR="00EA5B18" w:rsidRPr="002A0B87" w:rsidRDefault="00C05347">
            <w:pPr>
              <w:pStyle w:val="BodyTextIndent"/>
              <w:ind w:left="-108"/>
              <w:rPr>
                <w:rFonts w:ascii="Arial" w:hAnsi="Arial" w:cs="Arial"/>
              </w:rPr>
            </w:pPr>
            <w:r w:rsidRPr="00C05347">
              <w:rPr>
                <w:rFonts w:ascii="Arial" w:hAnsi="Arial" w:cs="Arial"/>
              </w:rPr>
              <w:t>Other assets</w:t>
            </w:r>
          </w:p>
        </w:tc>
        <w:tc>
          <w:tcPr>
            <w:tcW w:w="4143" w:type="dxa"/>
          </w:tcPr>
          <w:p w14:paraId="52DBC553" w14:textId="6BFEB032" w:rsidR="00EA5B18" w:rsidRPr="002A0BFD" w:rsidRDefault="00EA5B18" w:rsidP="00102F48">
            <w:pPr>
              <w:pStyle w:val="BodyTextIndent"/>
              <w:ind w:left="0" w:right="-86"/>
              <w:jc w:val="right"/>
              <w:rPr>
                <w:rFonts w:ascii="Arial" w:hAnsi="Arial" w:cs="Arial"/>
              </w:rPr>
            </w:pPr>
            <w:r w:rsidRPr="002A0BFD">
              <w:rPr>
                <w:rFonts w:ascii="Arial" w:hAnsi="Arial" w:cs="Arial"/>
              </w:rPr>
              <w:t>0</w:t>
            </w:r>
            <w:r w:rsidR="001576DB" w:rsidRPr="002A0BFD">
              <w:rPr>
                <w:rFonts w:ascii="Arial" w:hAnsi="Arial" w:cs="Arial"/>
              </w:rPr>
              <w:t>5</w:t>
            </w:r>
            <w:r w:rsidRPr="002A0BFD">
              <w:rPr>
                <w:rFonts w:ascii="Arial" w:hAnsi="Arial" w:cs="Arial"/>
              </w:rPr>
              <w:t xml:space="preserve"> </w:t>
            </w:r>
            <w:r w:rsidR="00985B05">
              <w:rPr>
                <w:rFonts w:ascii="Arial" w:hAnsi="Arial" w:cs="Arial"/>
              </w:rPr>
              <w:t>years</w:t>
            </w:r>
          </w:p>
        </w:tc>
      </w:tr>
    </w:tbl>
    <w:p w14:paraId="28D4A69B" w14:textId="77777777" w:rsidR="00CF20EB" w:rsidRPr="002A0B87" w:rsidRDefault="00CF20EB" w:rsidP="00CF20EB">
      <w:pPr>
        <w:pStyle w:val="NoSpacing"/>
      </w:pPr>
    </w:p>
    <w:p w14:paraId="3DD90E17" w14:textId="77777777" w:rsidR="00CC6AA9" w:rsidRDefault="00CC6AA9">
      <w:pPr>
        <w:overflowPunct/>
        <w:autoSpaceDE/>
        <w:autoSpaceDN/>
        <w:adjustRightInd/>
        <w:jc w:val="left"/>
        <w:textAlignment w:val="auto"/>
        <w:rPr>
          <w:b/>
          <w:i/>
          <w:lang w:val="de-DE"/>
        </w:rPr>
      </w:pPr>
      <w:r>
        <w:br w:type="page"/>
      </w:r>
    </w:p>
    <w:p w14:paraId="413771DB" w14:textId="77777777" w:rsidR="00CC6AA9" w:rsidRPr="002A0B87" w:rsidRDefault="00CC6AA9" w:rsidP="00CC6AA9">
      <w:pPr>
        <w:ind w:left="720" w:hanging="720"/>
        <w:rPr>
          <w:rFonts w:cs="Arial"/>
          <w:bCs/>
        </w:rPr>
      </w:pPr>
      <w:r w:rsidRPr="002A0B87">
        <w:rPr>
          <w:rFonts w:cs="Arial"/>
          <w:b/>
          <w:bCs/>
        </w:rPr>
        <w:lastRenderedPageBreak/>
        <w:t>4.</w:t>
      </w:r>
      <w:r w:rsidRPr="002A0B87">
        <w:rPr>
          <w:rFonts w:cs="Arial"/>
          <w:b/>
          <w:bCs/>
        </w:rPr>
        <w:tab/>
      </w:r>
      <w:r w:rsidRPr="001266AC">
        <w:rPr>
          <w:rFonts w:cs="Arial"/>
          <w:b/>
          <w:bCs/>
        </w:rPr>
        <w:t xml:space="preserve">SUMMARY OF SIGNIFICANT ACCOUNTING POLICIES </w:t>
      </w:r>
      <w:r w:rsidRPr="00FA28E4">
        <w:rPr>
          <w:rFonts w:cs="Arial"/>
        </w:rPr>
        <w:t>(continued)</w:t>
      </w:r>
    </w:p>
    <w:p w14:paraId="1D181DAF" w14:textId="77777777" w:rsidR="00CC6AA9" w:rsidRDefault="00CC6AA9" w:rsidP="00CF20EB">
      <w:pPr>
        <w:pStyle w:val="Heading2"/>
      </w:pPr>
    </w:p>
    <w:p w14:paraId="01085D6F" w14:textId="4AFE693D" w:rsidR="00CF20EB" w:rsidRPr="002A0B87" w:rsidRDefault="00CF20EB" w:rsidP="00CF20EB">
      <w:pPr>
        <w:pStyle w:val="Heading2"/>
      </w:pPr>
      <w:r w:rsidRPr="002A0B87">
        <w:t>4.1</w:t>
      </w:r>
      <w:r>
        <w:t>3</w:t>
      </w:r>
      <w:r w:rsidRPr="002A0B87">
        <w:tab/>
      </w:r>
      <w:r w:rsidR="00126C15" w:rsidRPr="00126C15">
        <w:t>Leases</w:t>
      </w:r>
      <w:r w:rsidR="00126C15" w:rsidRPr="00126C15" w:rsidDel="00126C15">
        <w:t xml:space="preserve"> </w:t>
      </w:r>
    </w:p>
    <w:p w14:paraId="38F51CA1" w14:textId="77777777" w:rsidR="00CF20EB" w:rsidRPr="002A0B87" w:rsidRDefault="00CF20EB" w:rsidP="00CF20EB">
      <w:pPr>
        <w:pStyle w:val="NoSpacing"/>
        <w:rPr>
          <w:lang w:val="vi-VN"/>
        </w:rPr>
      </w:pPr>
    </w:p>
    <w:p w14:paraId="2E5813E6" w14:textId="46FAA62B" w:rsidR="00CF20EB" w:rsidRPr="003C222B" w:rsidRDefault="00DC776E" w:rsidP="00CF20EB">
      <w:pPr>
        <w:pStyle w:val="NoSpacing"/>
      </w:pPr>
      <w:r w:rsidRPr="00DC776E">
        <w:t>Whether an agreement is determined as a lease agreement depends on the nature of the agreement at the beginning: whether the implementation of the agreement depends on the use of a certain asset and whether the agreement includes terms on the rights of use of the asset</w:t>
      </w:r>
      <w:r w:rsidRPr="00DC776E">
        <w:tab/>
        <w:t>.</w:t>
      </w:r>
    </w:p>
    <w:p w14:paraId="04002178" w14:textId="77777777" w:rsidR="00CF20EB" w:rsidRPr="003C222B" w:rsidRDefault="00CF20EB" w:rsidP="00CF20EB">
      <w:pPr>
        <w:pStyle w:val="NoSpacing"/>
      </w:pPr>
    </w:p>
    <w:p w14:paraId="1410B3F1" w14:textId="676E6496" w:rsidR="00CF20EB" w:rsidRPr="003C222B" w:rsidRDefault="00A423BA" w:rsidP="00CF20EB">
      <w:pPr>
        <w:pStyle w:val="NoSpacing"/>
        <w:rPr>
          <w:i/>
        </w:rPr>
      </w:pPr>
      <w:r w:rsidRPr="00A423BA">
        <w:rPr>
          <w:i/>
        </w:rPr>
        <w:t>When the Company is the lessee</w:t>
      </w:r>
      <w:r w:rsidRPr="00A423BA" w:rsidDel="00A423BA">
        <w:rPr>
          <w:i/>
        </w:rPr>
        <w:t xml:space="preserve"> </w:t>
      </w:r>
    </w:p>
    <w:p w14:paraId="5FD3D2A1" w14:textId="77777777" w:rsidR="00CF20EB" w:rsidRPr="003C222B" w:rsidRDefault="00CF20EB" w:rsidP="00CF20EB">
      <w:pPr>
        <w:pStyle w:val="NoSpacing"/>
      </w:pPr>
    </w:p>
    <w:p w14:paraId="5C445F86" w14:textId="7E845D47" w:rsidR="00CF20EB" w:rsidRPr="003C222B" w:rsidRDefault="00DA6ECE" w:rsidP="00CF20EB">
      <w:pPr>
        <w:pStyle w:val="NoSpacing"/>
      </w:pPr>
      <w:r w:rsidRPr="00DA6ECE">
        <w:t>Rentals under operating leases are charged to the income statement on a straight-line basis over the term of the leases.</w:t>
      </w:r>
    </w:p>
    <w:p w14:paraId="46118D3E" w14:textId="77777777" w:rsidR="00CF20EB" w:rsidRPr="002A0B87" w:rsidRDefault="00CF20EB" w:rsidP="00CF20EB">
      <w:pPr>
        <w:pStyle w:val="NoSpacing"/>
        <w:rPr>
          <w:bCs/>
        </w:rPr>
      </w:pPr>
    </w:p>
    <w:p w14:paraId="2A645D24" w14:textId="121D266D" w:rsidR="00CF20EB" w:rsidRPr="002A0B87" w:rsidRDefault="00CF20EB" w:rsidP="00CF20EB">
      <w:pPr>
        <w:pStyle w:val="Heading2"/>
      </w:pPr>
      <w:r w:rsidRPr="002A0B87">
        <w:t>4.1</w:t>
      </w:r>
      <w:r>
        <w:t>4</w:t>
      </w:r>
      <w:r w:rsidRPr="002A0B87">
        <w:tab/>
      </w:r>
      <w:r w:rsidR="00495DC6" w:rsidRPr="00495DC6">
        <w:t>Prepaid expenses</w:t>
      </w:r>
      <w:r w:rsidR="00495DC6" w:rsidRPr="00495DC6" w:rsidDel="00495DC6">
        <w:t xml:space="preserve"> </w:t>
      </w:r>
    </w:p>
    <w:p w14:paraId="6755EAD8" w14:textId="77777777" w:rsidR="00CF20EB" w:rsidRPr="002A0B87" w:rsidRDefault="00CF20EB" w:rsidP="00CF20EB">
      <w:pPr>
        <w:pStyle w:val="NoSpacing"/>
        <w:rPr>
          <w:lang w:val="vi-VN"/>
        </w:rPr>
      </w:pPr>
    </w:p>
    <w:p w14:paraId="661F4638" w14:textId="36FB70AB" w:rsidR="00CF20EB" w:rsidRPr="002A0B87" w:rsidRDefault="00463220" w:rsidP="00CF20EB">
      <w:pPr>
        <w:pStyle w:val="NoSpacing"/>
      </w:pPr>
      <w:r w:rsidRPr="00463220">
        <w:t>Prepaid expenses, including short-term prepaid expenses and long-term prepaid expenses in the statement of financial position, are amortized over the period for which the amounts are paid and in which economic benefits are generated in relation to these expenses.</w:t>
      </w:r>
    </w:p>
    <w:p w14:paraId="6174D8EA" w14:textId="77777777" w:rsidR="0046301C" w:rsidRPr="002A0B87" w:rsidRDefault="0046301C" w:rsidP="0046301C">
      <w:pPr>
        <w:pStyle w:val="NoSpacing"/>
      </w:pPr>
    </w:p>
    <w:p w14:paraId="5AB2708F" w14:textId="02F1982B" w:rsidR="0046301C" w:rsidRPr="002A0B87" w:rsidRDefault="0046301C" w:rsidP="0046301C">
      <w:pPr>
        <w:pStyle w:val="Heading2"/>
      </w:pPr>
      <w:r w:rsidRPr="002A0B87">
        <w:t>4.1</w:t>
      </w:r>
      <w:r>
        <w:t>5</w:t>
      </w:r>
      <w:r w:rsidRPr="002A0B87">
        <w:tab/>
      </w:r>
      <w:r w:rsidR="007B4C13" w:rsidRPr="007B4C13">
        <w:t>Borrowings</w:t>
      </w:r>
      <w:r w:rsidR="007B4C13" w:rsidRPr="007B4C13" w:rsidDel="007B4C13">
        <w:t xml:space="preserve"> </w:t>
      </w:r>
    </w:p>
    <w:p w14:paraId="0A94F8D7" w14:textId="77777777" w:rsidR="0046301C" w:rsidRPr="002A0B87" w:rsidRDefault="0046301C" w:rsidP="0046301C">
      <w:pPr>
        <w:pStyle w:val="NoSpacing"/>
      </w:pPr>
    </w:p>
    <w:p w14:paraId="101B103F" w14:textId="7A00C882" w:rsidR="0046301C" w:rsidRPr="002A0B87" w:rsidRDefault="003D3D86" w:rsidP="0046301C">
      <w:pPr>
        <w:pStyle w:val="NoSpacing"/>
      </w:pPr>
      <w:r w:rsidRPr="003D3D86">
        <w:t>Borrowings of the Company are recorded and stated at cost at the end of the accounting year.</w:t>
      </w:r>
    </w:p>
    <w:p w14:paraId="794B06F1" w14:textId="77777777" w:rsidR="0046301C" w:rsidRPr="002A0B87" w:rsidRDefault="0046301C" w:rsidP="0046301C">
      <w:pPr>
        <w:pStyle w:val="NoSpacing"/>
        <w:rPr>
          <w:bCs/>
        </w:rPr>
      </w:pPr>
    </w:p>
    <w:p w14:paraId="4E564562" w14:textId="0B191FB0" w:rsidR="0046301C" w:rsidRPr="002A0B87" w:rsidRDefault="0046301C" w:rsidP="0046301C">
      <w:pPr>
        <w:pStyle w:val="Heading2"/>
      </w:pPr>
      <w:r w:rsidRPr="002A0B87">
        <w:t>4.1</w:t>
      </w:r>
      <w:r>
        <w:t>6</w:t>
      </w:r>
      <w:r w:rsidRPr="002A0B87">
        <w:tab/>
      </w:r>
      <w:r w:rsidR="0013056F" w:rsidRPr="0013056F">
        <w:t>Payables and accrued expenses</w:t>
      </w:r>
      <w:r w:rsidR="0013056F" w:rsidRPr="0013056F" w:rsidDel="0013056F">
        <w:t xml:space="preserve"> </w:t>
      </w:r>
    </w:p>
    <w:p w14:paraId="5EB0A7ED" w14:textId="77777777" w:rsidR="0046301C" w:rsidRPr="002A0B87" w:rsidRDefault="0046301C" w:rsidP="0046301C">
      <w:pPr>
        <w:pStyle w:val="NoSpacing"/>
      </w:pPr>
    </w:p>
    <w:p w14:paraId="3A271B72" w14:textId="7BB39A9C" w:rsidR="0046301C" w:rsidRPr="002A0B87" w:rsidRDefault="0078411D" w:rsidP="0046301C">
      <w:pPr>
        <w:pStyle w:val="NoSpacing"/>
      </w:pPr>
      <w:r w:rsidRPr="0078411D">
        <w:t xml:space="preserve">Payables and accrued expenses are recognized for amounts to be paid in the future for interest of convertible bonds, goods and services received, </w:t>
      </w:r>
      <w:proofErr w:type="gramStart"/>
      <w:r w:rsidRPr="0078411D">
        <w:t>whether or not</w:t>
      </w:r>
      <w:proofErr w:type="gramEnd"/>
      <w:r w:rsidRPr="0078411D">
        <w:t xml:space="preserve"> billed to the Company.</w:t>
      </w:r>
    </w:p>
    <w:p w14:paraId="365CFBFE" w14:textId="10D83A8E" w:rsidR="00926479" w:rsidRPr="00C95725" w:rsidRDefault="00926479" w:rsidP="00BC736B">
      <w:pPr>
        <w:pStyle w:val="NoSpacing"/>
      </w:pPr>
    </w:p>
    <w:p w14:paraId="765DC114" w14:textId="77777777" w:rsidR="004A54BD" w:rsidRPr="002A0B87" w:rsidRDefault="004A54BD" w:rsidP="00926479">
      <w:pPr>
        <w:rPr>
          <w:rFonts w:cs="Arial"/>
        </w:rPr>
        <w:sectPr w:rsidR="004A54BD" w:rsidRPr="002A0B87" w:rsidSect="008F7564">
          <w:pgSz w:w="11909" w:h="16834" w:code="9"/>
          <w:pgMar w:top="1440" w:right="1440" w:bottom="862" w:left="1582" w:header="720" w:footer="578" w:gutter="0"/>
          <w:cols w:space="720"/>
          <w:docGrid w:linePitch="272"/>
        </w:sectPr>
      </w:pPr>
    </w:p>
    <w:p w14:paraId="4A9975B2" w14:textId="7CD9A76E" w:rsidR="00086697" w:rsidRPr="002A0B87" w:rsidRDefault="00086697" w:rsidP="00086697">
      <w:pPr>
        <w:ind w:left="720" w:hanging="720"/>
        <w:rPr>
          <w:rFonts w:cs="Arial"/>
          <w:bCs/>
        </w:rPr>
      </w:pPr>
      <w:r w:rsidRPr="002A0B87">
        <w:rPr>
          <w:rFonts w:cs="Arial"/>
          <w:b/>
          <w:bCs/>
        </w:rPr>
        <w:lastRenderedPageBreak/>
        <w:t>4.</w:t>
      </w:r>
      <w:r w:rsidRPr="002A0B87">
        <w:rPr>
          <w:rFonts w:cs="Arial"/>
          <w:b/>
          <w:bCs/>
        </w:rPr>
        <w:tab/>
      </w:r>
      <w:r w:rsidR="00CB14F1" w:rsidRPr="00CB14F1">
        <w:rPr>
          <w:rFonts w:cs="Arial"/>
          <w:b/>
          <w:bCs/>
        </w:rPr>
        <w:t xml:space="preserve">SUMMARY OF SIGNIFICANT ACCOUNTING POLICIES </w:t>
      </w:r>
      <w:r w:rsidR="00CB14F1" w:rsidRPr="00FA28E4">
        <w:rPr>
          <w:rFonts w:cs="Arial"/>
        </w:rPr>
        <w:t>(continued)</w:t>
      </w:r>
    </w:p>
    <w:p w14:paraId="1B592AA6" w14:textId="77777777" w:rsidR="004F73EA" w:rsidRPr="002A0B87" w:rsidRDefault="004F73EA" w:rsidP="004F73EA">
      <w:pPr>
        <w:pStyle w:val="NoSpacing"/>
      </w:pPr>
    </w:p>
    <w:p w14:paraId="46C5E464" w14:textId="44F911CF" w:rsidR="004F73EA" w:rsidRPr="002A0B87" w:rsidRDefault="004F73EA" w:rsidP="004F73EA">
      <w:pPr>
        <w:pStyle w:val="Heading2"/>
      </w:pPr>
      <w:r w:rsidRPr="002A0B87">
        <w:t>4.1</w:t>
      </w:r>
      <w:r>
        <w:t>7</w:t>
      </w:r>
      <w:r w:rsidRPr="002A0B87">
        <w:tab/>
      </w:r>
      <w:r w:rsidR="000D2FA6" w:rsidRPr="000D2FA6">
        <w:t>Employees’ benefits</w:t>
      </w:r>
      <w:r w:rsidR="000D2FA6" w:rsidRPr="000D2FA6" w:rsidDel="000D2FA6">
        <w:t xml:space="preserve"> </w:t>
      </w:r>
    </w:p>
    <w:p w14:paraId="30D7B21C" w14:textId="77777777" w:rsidR="004F73EA" w:rsidRPr="002A0B87" w:rsidRDefault="004F73EA" w:rsidP="004F73EA">
      <w:pPr>
        <w:pStyle w:val="BodyTextIndent"/>
        <w:ind w:left="720"/>
        <w:rPr>
          <w:rFonts w:ascii="Arial" w:hAnsi="Arial" w:cs="Arial"/>
        </w:rPr>
      </w:pPr>
    </w:p>
    <w:p w14:paraId="5DD8B795" w14:textId="222D0CF1" w:rsidR="004F73EA" w:rsidRPr="002A0B87" w:rsidRDefault="004F73EA" w:rsidP="004F73EA">
      <w:pPr>
        <w:pStyle w:val="Heading3"/>
      </w:pPr>
      <w:r w:rsidRPr="002A0B87">
        <w:t>4.1</w:t>
      </w:r>
      <w:r>
        <w:t>7</w:t>
      </w:r>
      <w:r w:rsidRPr="002A0B87">
        <w:t>.1</w:t>
      </w:r>
      <w:r w:rsidRPr="002A0B87">
        <w:tab/>
      </w:r>
      <w:r w:rsidR="008E1762" w:rsidRPr="008E1762">
        <w:t>Retirement benefits</w:t>
      </w:r>
      <w:r w:rsidR="008E1762" w:rsidRPr="008E1762" w:rsidDel="008E1762">
        <w:t xml:space="preserve"> </w:t>
      </w:r>
    </w:p>
    <w:p w14:paraId="5E07C00B" w14:textId="77777777" w:rsidR="004F73EA" w:rsidRPr="002A0B87" w:rsidRDefault="004F73EA" w:rsidP="004F73EA">
      <w:pPr>
        <w:pStyle w:val="NoSpacing"/>
      </w:pPr>
    </w:p>
    <w:p w14:paraId="6A5F5BEE" w14:textId="789C1CF6" w:rsidR="004F73EA" w:rsidRPr="002A0B87" w:rsidRDefault="0007027F" w:rsidP="004F73EA">
      <w:pPr>
        <w:pStyle w:val="NoSpacing"/>
      </w:pPr>
      <w:r w:rsidRPr="0007027F">
        <w:t xml:space="preserve">Retirement benefits are paid to retired employees of the Company by the Social Insurance Agency which belongs to the Ministry of </w:t>
      </w:r>
      <w:proofErr w:type="spellStart"/>
      <w:r w:rsidRPr="0007027F">
        <w:t>Labour</w:t>
      </w:r>
      <w:proofErr w:type="spellEnd"/>
      <w:r w:rsidRPr="0007027F">
        <w:t xml:space="preserve">, Invalids and Social Affairs. The Company is required to pay social insurance premium to the Social Insurance Agency at the rate of 17.5% of an employee’s basic salary, </w:t>
      </w:r>
      <w:proofErr w:type="gramStart"/>
      <w:r w:rsidRPr="0007027F">
        <w:t>allowances</w:t>
      </w:r>
      <w:proofErr w:type="gramEnd"/>
      <w:r w:rsidRPr="0007027F">
        <w:t xml:space="preserve"> and other additions on a monthly basis. In addition, the Company </w:t>
      </w:r>
      <w:r w:rsidR="000654BF">
        <w:t xml:space="preserve">has no </w:t>
      </w:r>
      <w:r w:rsidR="007040B6">
        <w:t>further</w:t>
      </w:r>
      <w:r w:rsidR="000654BF">
        <w:t xml:space="preserve"> obligation</w:t>
      </w:r>
      <w:r w:rsidR="00A42721">
        <w:t>s re</w:t>
      </w:r>
      <w:r w:rsidR="00D279A3">
        <w:t>lating to</w:t>
      </w:r>
      <w:r w:rsidRPr="0007027F">
        <w:t xml:space="preserve"> the retirement benefits.</w:t>
      </w:r>
    </w:p>
    <w:p w14:paraId="6756B5EA" w14:textId="77777777" w:rsidR="004F73EA" w:rsidRPr="002A0B87" w:rsidRDefault="004F73EA" w:rsidP="004F73EA">
      <w:pPr>
        <w:pStyle w:val="NoSpacing"/>
      </w:pPr>
    </w:p>
    <w:p w14:paraId="048DC6E6" w14:textId="462B786D" w:rsidR="004F73EA" w:rsidRPr="002A0B87" w:rsidRDefault="004F73EA" w:rsidP="004F73EA">
      <w:pPr>
        <w:pStyle w:val="Heading3"/>
      </w:pPr>
      <w:r w:rsidRPr="002A0B87">
        <w:t>4.1</w:t>
      </w:r>
      <w:r>
        <w:t>7</w:t>
      </w:r>
      <w:r w:rsidRPr="002A0B87">
        <w:t>.2</w:t>
      </w:r>
      <w:r w:rsidRPr="002A0B87">
        <w:tab/>
      </w:r>
      <w:r w:rsidR="00FD3464" w:rsidRPr="00FD3464">
        <w:t>Voluntary resignation benefits</w:t>
      </w:r>
      <w:r w:rsidR="00FD3464" w:rsidRPr="00FD3464" w:rsidDel="00FD3464">
        <w:t xml:space="preserve"> </w:t>
      </w:r>
    </w:p>
    <w:p w14:paraId="4E1426D1" w14:textId="77777777" w:rsidR="004F73EA" w:rsidRPr="002A0B87" w:rsidRDefault="004F73EA" w:rsidP="004F73EA">
      <w:pPr>
        <w:pStyle w:val="NoSpacing"/>
      </w:pPr>
    </w:p>
    <w:p w14:paraId="762201C7" w14:textId="34B38BA9" w:rsidR="004F73EA" w:rsidRPr="002A0B87" w:rsidRDefault="00032384" w:rsidP="004F73EA">
      <w:pPr>
        <w:pStyle w:val="NoSpacing"/>
      </w:pPr>
      <w:r w:rsidRPr="00032384">
        <w:t xml:space="preserve">Under the Vietnam </w:t>
      </w:r>
      <w:proofErr w:type="spellStart"/>
      <w:r w:rsidRPr="00032384">
        <w:t>Labour</w:t>
      </w:r>
      <w:proofErr w:type="spellEnd"/>
      <w:r w:rsidRPr="00032384">
        <w:t xml:space="preserve"> Code No. 45/2019/QH14 effective from 1 January 2021 and the Government's Decree No. 145/2020/ND-CP providing guidelines for the </w:t>
      </w:r>
      <w:proofErr w:type="spellStart"/>
      <w:r w:rsidRPr="00032384">
        <w:t>Labour</w:t>
      </w:r>
      <w:proofErr w:type="spellEnd"/>
      <w:r w:rsidRPr="00032384">
        <w:t xml:space="preserve"> Code regarding working conditions and </w:t>
      </w:r>
      <w:proofErr w:type="spellStart"/>
      <w:r w:rsidRPr="00032384">
        <w:t>labour</w:t>
      </w:r>
      <w:proofErr w:type="spellEnd"/>
      <w:r w:rsidRPr="00032384">
        <w:t xml:space="preserve"> relations, the Company has the obligation to pay allowance arising from voluntary resignation of employees. The allowance is equivalent to half of their monthly salary plus salary allowances (if any) for each year of employment and in accordance with law. The time to calculate severance allowance is the total time the employee has </w:t>
      </w:r>
      <w:proofErr w:type="gramStart"/>
      <w:r w:rsidRPr="00032384">
        <w:t>actually worked</w:t>
      </w:r>
      <w:proofErr w:type="gramEnd"/>
      <w:r w:rsidRPr="00032384">
        <w:t xml:space="preserve"> for the Company minus the time the employee has participated in unemployment insurance according to provisions of the law on unemployment insurance. The average monthly salary used in this calculation is the average monthly salary of the latest six-month period up to the resignation date.</w:t>
      </w:r>
    </w:p>
    <w:p w14:paraId="7C25903B" w14:textId="77777777" w:rsidR="0046301C" w:rsidRPr="002A0B87" w:rsidRDefault="0046301C" w:rsidP="0046301C">
      <w:pPr>
        <w:pStyle w:val="NoSpacing"/>
      </w:pPr>
    </w:p>
    <w:p w14:paraId="481B2EFB" w14:textId="6701941B" w:rsidR="0046301C" w:rsidRPr="002A0B87" w:rsidRDefault="0046301C" w:rsidP="0046301C">
      <w:pPr>
        <w:pStyle w:val="Heading3"/>
      </w:pPr>
      <w:r w:rsidRPr="002A0B87">
        <w:t>4.1</w:t>
      </w:r>
      <w:r>
        <w:t>7</w:t>
      </w:r>
      <w:r w:rsidRPr="002A0B87">
        <w:t>.3</w:t>
      </w:r>
      <w:r w:rsidRPr="002A0B87">
        <w:tab/>
      </w:r>
      <w:r w:rsidR="00EC235F" w:rsidRPr="00EC235F">
        <w:t>Unemployment allowance</w:t>
      </w:r>
      <w:r w:rsidR="00EC235F" w:rsidRPr="00EC235F" w:rsidDel="00EC235F">
        <w:t xml:space="preserve"> </w:t>
      </w:r>
    </w:p>
    <w:p w14:paraId="55E61D49" w14:textId="77777777" w:rsidR="0046301C" w:rsidRPr="002A0B87" w:rsidRDefault="0046301C" w:rsidP="0046301C">
      <w:pPr>
        <w:pStyle w:val="NoSpacing"/>
      </w:pPr>
    </w:p>
    <w:p w14:paraId="77FE6C02" w14:textId="27B5C86E" w:rsidR="0046301C" w:rsidRPr="002A0B87" w:rsidRDefault="00935E90" w:rsidP="0046301C">
      <w:pPr>
        <w:pStyle w:val="NoSpacing"/>
      </w:pPr>
      <w:r w:rsidRPr="00935E90">
        <w:t xml:space="preserve">According to Article </w:t>
      </w:r>
      <w:r w:rsidR="00BE7416" w:rsidRPr="00935E90">
        <w:t>5</w:t>
      </w:r>
      <w:r w:rsidR="00BE7416">
        <w:t>7</w:t>
      </w:r>
      <w:r w:rsidR="00BE7416" w:rsidRPr="00935E90">
        <w:t xml:space="preserve"> </w:t>
      </w:r>
      <w:r w:rsidRPr="00935E90">
        <w:t xml:space="preserve">of Law on Employment </w:t>
      </w:r>
      <w:r w:rsidR="00431F4F">
        <w:t xml:space="preserve">No. </w:t>
      </w:r>
      <w:r w:rsidR="004A39D3">
        <w:t>38/2013/</w:t>
      </w:r>
      <w:r w:rsidR="00C05C98">
        <w:t xml:space="preserve">QH13 </w:t>
      </w:r>
      <w:r w:rsidR="00BE7416">
        <w:t xml:space="preserve">dated </w:t>
      </w:r>
      <w:r w:rsidR="00EA5512">
        <w:t xml:space="preserve">01 January 2013 </w:t>
      </w:r>
      <w:r w:rsidRPr="00935E90">
        <w:t xml:space="preserve">and Decree No. 28/2015/ND-CP dated 12 March 2015 of the Government providing guidelines for the Law on </w:t>
      </w:r>
      <w:proofErr w:type="spellStart"/>
      <w:r w:rsidRPr="00935E90">
        <w:t>Employement</w:t>
      </w:r>
      <w:proofErr w:type="spellEnd"/>
      <w:r w:rsidRPr="00935E90">
        <w:t xml:space="preserve"> regarding unemployment insurance, the Company is required to contribute to the unemployment insurance at the rate of 1% of salary and wage fund of unemployment insurance joiners and deduct 1% of monthly salary and wage of each employee to contribute to the unemployment insurance.</w:t>
      </w:r>
      <w:r w:rsidR="00600D12">
        <w:t xml:space="preserve"> </w:t>
      </w:r>
      <w:r w:rsidR="00600D12" w:rsidRPr="00600D12">
        <w:t>According to Decision No. 28/2021/QD-</w:t>
      </w:r>
      <w:proofErr w:type="spellStart"/>
      <w:r w:rsidR="00600D12" w:rsidRPr="00600D12">
        <w:t>TTg</w:t>
      </w:r>
      <w:proofErr w:type="spellEnd"/>
      <w:r w:rsidR="00600D12" w:rsidRPr="00600D12">
        <w:t xml:space="preserve"> of the Prime Minister, from</w:t>
      </w:r>
      <w:r w:rsidR="00B001B3">
        <w:t xml:space="preserve"> 1</w:t>
      </w:r>
      <w:r w:rsidR="00600D12" w:rsidRPr="00600D12">
        <w:t xml:space="preserve"> October 2021, the Company is entitled to reduce the above 1% unemployment insurance premium to 0% for 12 months.</w:t>
      </w:r>
    </w:p>
    <w:p w14:paraId="52DA42CE" w14:textId="77777777" w:rsidR="0046301C" w:rsidRDefault="0046301C" w:rsidP="0046301C">
      <w:pPr>
        <w:pStyle w:val="NoSpacing"/>
        <w:rPr>
          <w:bCs/>
        </w:rPr>
      </w:pPr>
    </w:p>
    <w:p w14:paraId="1A41AA10" w14:textId="22D1ABD9" w:rsidR="0046301C" w:rsidRPr="002B3C5A" w:rsidRDefault="0046301C" w:rsidP="0046301C">
      <w:pPr>
        <w:pStyle w:val="Heading2"/>
      </w:pPr>
      <w:r>
        <w:t>4.18</w:t>
      </w:r>
      <w:r>
        <w:tab/>
      </w:r>
      <w:r w:rsidR="00C53D35" w:rsidRPr="00C53D35">
        <w:t>Foreign currency transactions</w:t>
      </w:r>
      <w:r w:rsidR="00C53D35" w:rsidRPr="00C53D35" w:rsidDel="00C53D35">
        <w:t xml:space="preserve"> </w:t>
      </w:r>
    </w:p>
    <w:p w14:paraId="6425D764" w14:textId="77777777" w:rsidR="0046301C" w:rsidRDefault="0046301C" w:rsidP="0046301C">
      <w:pPr>
        <w:pStyle w:val="NoSpacing"/>
      </w:pPr>
    </w:p>
    <w:p w14:paraId="1AC4FE48" w14:textId="4E9B18AA" w:rsidR="0046301C" w:rsidRDefault="0077779E" w:rsidP="0046301C">
      <w:pPr>
        <w:pStyle w:val="NoSpacing"/>
      </w:pPr>
      <w:r w:rsidRPr="0077779E">
        <w:t>Transactions in currencies other than the Company’s reporting currency (“VND”) are recorded at the actual exchange rates at transaction dates which are determined as follows:</w:t>
      </w:r>
    </w:p>
    <w:p w14:paraId="125BD9AA" w14:textId="4C2158C0" w:rsidR="0046301C" w:rsidRPr="002B3C5A" w:rsidRDefault="004401AB" w:rsidP="00FD742F">
      <w:pPr>
        <w:pStyle w:val="StyleBodyTextIndentArial"/>
        <w:numPr>
          <w:ilvl w:val="0"/>
          <w:numId w:val="20"/>
        </w:numPr>
        <w:spacing w:before="120"/>
        <w:ind w:left="1080"/>
        <w:rPr>
          <w:lang w:val="it-IT"/>
        </w:rPr>
      </w:pPr>
      <w:r w:rsidRPr="004401AB">
        <w:rPr>
          <w:lang w:val="it-IT"/>
        </w:rPr>
        <w:t>Transactions resulting in receivables are recorded at the buying exchange rates of the commercial banks designated for collection;</w:t>
      </w:r>
      <w:r w:rsidR="0046301C" w:rsidRPr="002B3C5A">
        <w:rPr>
          <w:lang w:val="it-IT"/>
        </w:rPr>
        <w:t xml:space="preserve"> </w:t>
      </w:r>
    </w:p>
    <w:p w14:paraId="68BA0980" w14:textId="3210D864" w:rsidR="0046301C" w:rsidRPr="002B3C5A" w:rsidRDefault="00120651" w:rsidP="00FD742F">
      <w:pPr>
        <w:pStyle w:val="StyleBodyTextIndentArial"/>
        <w:numPr>
          <w:ilvl w:val="0"/>
          <w:numId w:val="20"/>
        </w:numPr>
        <w:spacing w:before="120"/>
        <w:ind w:left="1080"/>
        <w:rPr>
          <w:lang w:val="it-IT"/>
        </w:rPr>
      </w:pPr>
      <w:r w:rsidRPr="00120651">
        <w:rPr>
          <w:lang w:val="it-IT"/>
        </w:rPr>
        <w:t>Transactions resulting in liabilities are recorded at the selling exchange rates of the commercial banks designated for payment;</w:t>
      </w:r>
    </w:p>
    <w:p w14:paraId="440B5CED" w14:textId="7CB6D883" w:rsidR="0046301C" w:rsidRPr="002B3C5A" w:rsidRDefault="002B04C4" w:rsidP="00FD742F">
      <w:pPr>
        <w:pStyle w:val="StyleBodyTextIndentArial"/>
        <w:numPr>
          <w:ilvl w:val="0"/>
          <w:numId w:val="20"/>
        </w:numPr>
        <w:spacing w:before="120"/>
        <w:ind w:left="1080"/>
        <w:rPr>
          <w:lang w:val="it-IT"/>
        </w:rPr>
      </w:pPr>
      <w:r w:rsidRPr="002B04C4">
        <w:rPr>
          <w:lang w:val="it-IT"/>
        </w:rPr>
        <w:tab/>
        <w:t>Capital contributions are recorded at the buying exchange rates of the commercial banks designated for capital contribution; and</w:t>
      </w:r>
      <w:r w:rsidRPr="002B04C4" w:rsidDel="002B04C4">
        <w:rPr>
          <w:lang w:val="it-IT"/>
        </w:rPr>
        <w:t xml:space="preserve"> </w:t>
      </w:r>
    </w:p>
    <w:p w14:paraId="02F8B962" w14:textId="60ED3BBB" w:rsidR="0046301C" w:rsidRPr="002B3C5A" w:rsidRDefault="00720B3A" w:rsidP="00FD742F">
      <w:pPr>
        <w:pStyle w:val="StyleBodyTextIndentArial"/>
        <w:numPr>
          <w:ilvl w:val="0"/>
          <w:numId w:val="20"/>
        </w:numPr>
        <w:spacing w:before="120"/>
        <w:ind w:left="1080"/>
        <w:rPr>
          <w:lang w:val="it-IT"/>
        </w:rPr>
      </w:pPr>
      <w:r w:rsidRPr="00720B3A">
        <w:rPr>
          <w:lang w:val="it-IT"/>
        </w:rPr>
        <w:tab/>
        <w:t>Payments for assets or expenses without liabilities initially being recognized is recorded at the buying exchange rates of the commercial banks that process these payments.</w:t>
      </w:r>
    </w:p>
    <w:p w14:paraId="171C9A8F" w14:textId="77777777" w:rsidR="0046301C" w:rsidRDefault="0046301C" w:rsidP="002A0BFD">
      <w:pPr>
        <w:pStyle w:val="NoSpacing"/>
      </w:pPr>
    </w:p>
    <w:p w14:paraId="789923B1" w14:textId="2E9EA494" w:rsidR="0046301C" w:rsidRPr="002A0B87" w:rsidRDefault="0046301C" w:rsidP="00546779">
      <w:pPr>
        <w:pStyle w:val="BodyTextIndent"/>
        <w:ind w:left="0"/>
        <w:rPr>
          <w:rFonts w:ascii="Arial" w:hAnsi="Arial" w:cs="Arial"/>
        </w:rPr>
        <w:sectPr w:rsidR="0046301C" w:rsidRPr="002A0B87" w:rsidSect="008F7564">
          <w:pgSz w:w="11909" w:h="16834" w:code="9"/>
          <w:pgMar w:top="1440" w:right="1440" w:bottom="862" w:left="1582" w:header="720" w:footer="578" w:gutter="0"/>
          <w:cols w:space="720"/>
          <w:docGrid w:linePitch="272"/>
        </w:sectPr>
      </w:pPr>
    </w:p>
    <w:p w14:paraId="602C494C" w14:textId="4F73E224" w:rsidR="00546779" w:rsidRPr="002A0B87" w:rsidRDefault="00546779" w:rsidP="00546779">
      <w:pPr>
        <w:ind w:left="720" w:hanging="720"/>
        <w:rPr>
          <w:rFonts w:cs="Arial"/>
          <w:bCs/>
        </w:rPr>
      </w:pPr>
      <w:r w:rsidRPr="002A0B87">
        <w:rPr>
          <w:rFonts w:cs="Arial"/>
          <w:b/>
          <w:bCs/>
        </w:rPr>
        <w:lastRenderedPageBreak/>
        <w:t>4.</w:t>
      </w:r>
      <w:r w:rsidRPr="002A0B87">
        <w:rPr>
          <w:rFonts w:cs="Arial"/>
          <w:b/>
          <w:bCs/>
        </w:rPr>
        <w:tab/>
      </w:r>
      <w:r w:rsidR="00B70D03" w:rsidRPr="00B70D03">
        <w:rPr>
          <w:rFonts w:cs="Arial"/>
          <w:b/>
          <w:bCs/>
        </w:rPr>
        <w:t xml:space="preserve">SUMMARY OF SIGNIFICANT ACCOUNTING POLICIES </w:t>
      </w:r>
      <w:r w:rsidR="00B70D03" w:rsidRPr="00FA28E4">
        <w:rPr>
          <w:rFonts w:cs="Arial"/>
        </w:rPr>
        <w:t>(continued)</w:t>
      </w:r>
    </w:p>
    <w:p w14:paraId="52CECA08" w14:textId="77777777" w:rsidR="0046301C" w:rsidRPr="002A0B87" w:rsidRDefault="0046301C" w:rsidP="0046301C">
      <w:pPr>
        <w:pStyle w:val="NoSpacing"/>
      </w:pPr>
    </w:p>
    <w:p w14:paraId="62297C88" w14:textId="36A6C0D7" w:rsidR="0046301C" w:rsidRPr="002A0B87" w:rsidRDefault="0046301C" w:rsidP="0046301C">
      <w:pPr>
        <w:ind w:left="720" w:hanging="720"/>
        <w:rPr>
          <w:rFonts w:cs="Arial"/>
        </w:rPr>
      </w:pPr>
      <w:r w:rsidRPr="002A0B87">
        <w:rPr>
          <w:rFonts w:cs="Arial"/>
          <w:b/>
          <w:i/>
        </w:rPr>
        <w:t>4</w:t>
      </w:r>
      <w:r w:rsidRPr="002A0B87">
        <w:rPr>
          <w:rFonts w:cs="Arial"/>
          <w:b/>
          <w:i/>
          <w:lang w:val="vi-VN"/>
        </w:rPr>
        <w:t>.</w:t>
      </w:r>
      <w:r>
        <w:rPr>
          <w:rFonts w:cs="Arial"/>
          <w:b/>
          <w:i/>
        </w:rPr>
        <w:t>18</w:t>
      </w:r>
      <w:r w:rsidRPr="002A0B87">
        <w:rPr>
          <w:rFonts w:cs="Arial"/>
          <w:b/>
          <w:i/>
          <w:lang w:val="vi-VN"/>
        </w:rPr>
        <w:tab/>
      </w:r>
      <w:r w:rsidR="001C3062" w:rsidRPr="001C3062">
        <w:rPr>
          <w:rFonts w:cs="Arial"/>
          <w:b/>
          <w:i/>
          <w:lang w:val="vi-VN"/>
        </w:rPr>
        <w:t>Foreign currency transactions</w:t>
      </w:r>
      <w:r w:rsidR="001C3062" w:rsidRPr="001C3062" w:rsidDel="001C3062">
        <w:rPr>
          <w:rFonts w:cs="Arial"/>
          <w:b/>
          <w:i/>
          <w:lang w:val="vi-VN"/>
        </w:rPr>
        <w:t xml:space="preserve"> </w:t>
      </w:r>
      <w:r w:rsidR="001C3062" w:rsidRPr="00FA28E4">
        <w:rPr>
          <w:rFonts w:cs="Arial"/>
          <w:bCs/>
          <w:iCs/>
          <w:lang w:val="vi-VN"/>
        </w:rPr>
        <w:t>(continued)</w:t>
      </w:r>
    </w:p>
    <w:p w14:paraId="3037E5BD" w14:textId="77777777" w:rsidR="001978D7" w:rsidRDefault="001978D7" w:rsidP="001978D7">
      <w:pPr>
        <w:pStyle w:val="NoSpacing"/>
      </w:pPr>
    </w:p>
    <w:p w14:paraId="5772BAD4" w14:textId="03D6DEC9" w:rsidR="001978D7" w:rsidRPr="003B1AB8" w:rsidRDefault="004E6B6E" w:rsidP="001978D7">
      <w:pPr>
        <w:pStyle w:val="NoSpacing"/>
        <w:rPr>
          <w:rFonts w:cs="Arial"/>
        </w:rPr>
      </w:pPr>
      <w:r w:rsidRPr="004E6B6E">
        <w:t>At the end of the year, monetary items denominated in foreign currencies are revalued at actual exchange rates at the date of the financial statement on the following basis:</w:t>
      </w:r>
    </w:p>
    <w:p w14:paraId="67762D7B" w14:textId="1A9A8063" w:rsidR="001978D7" w:rsidRPr="002577A6" w:rsidRDefault="009E657B" w:rsidP="00FD742F">
      <w:pPr>
        <w:pStyle w:val="BodyTextIndent"/>
        <w:numPr>
          <w:ilvl w:val="0"/>
          <w:numId w:val="13"/>
        </w:numPr>
        <w:spacing w:before="120"/>
        <w:ind w:left="1080"/>
        <w:rPr>
          <w:rFonts w:cs="Arial"/>
          <w:lang w:val="it-IT"/>
        </w:rPr>
      </w:pPr>
      <w:r w:rsidRPr="009E657B">
        <w:rPr>
          <w:rFonts w:ascii="Arial" w:hAnsi="Arial" w:cs="Arial"/>
          <w:lang w:val="it-IT"/>
        </w:rPr>
        <w:tab/>
        <w:t>Monetary items classified as assets are revalued at the buying rate of the commercial bank where the Company regularly conducts transactions; and</w:t>
      </w:r>
      <w:r w:rsidRPr="009E657B" w:rsidDel="009E657B">
        <w:rPr>
          <w:rFonts w:ascii="Arial" w:hAnsi="Arial" w:cs="Arial"/>
          <w:lang w:val="it-IT"/>
        </w:rPr>
        <w:t xml:space="preserve"> </w:t>
      </w:r>
      <w:r w:rsidR="001978D7" w:rsidRPr="00D33812">
        <w:rPr>
          <w:rFonts w:ascii="Arial" w:hAnsi="Arial" w:cs="Arial"/>
          <w:lang w:val="it-IT"/>
        </w:rPr>
        <w:t xml:space="preserve"> </w:t>
      </w:r>
    </w:p>
    <w:p w14:paraId="3BBBB90D" w14:textId="00A46A4F" w:rsidR="001978D7" w:rsidRDefault="001978D7" w:rsidP="00FD742F">
      <w:pPr>
        <w:pStyle w:val="BodyTextIndent"/>
        <w:numPr>
          <w:ilvl w:val="0"/>
          <w:numId w:val="13"/>
        </w:numPr>
        <w:spacing w:before="120"/>
        <w:ind w:left="1080"/>
        <w:rPr>
          <w:rFonts w:ascii="Arial" w:hAnsi="Arial" w:cs="Arial"/>
          <w:lang w:val="it-IT"/>
        </w:rPr>
      </w:pPr>
      <w:r w:rsidRPr="002B3C5A">
        <w:rPr>
          <w:rFonts w:ascii="Arial" w:hAnsi="Arial" w:cs="Arial"/>
          <w:lang w:val="it-IT"/>
        </w:rPr>
        <w:tab/>
      </w:r>
      <w:r w:rsidR="0037270E" w:rsidRPr="0037270E">
        <w:rPr>
          <w:rFonts w:ascii="Arial" w:hAnsi="Arial" w:cs="Arial"/>
          <w:lang w:val="it-IT"/>
        </w:rPr>
        <w:tab/>
        <w:t>Monetary items classified as liabilities are revalued at the selling rate of the commercial bank where the Company regularly conducts transactions;</w:t>
      </w:r>
    </w:p>
    <w:p w14:paraId="2BB6FABF" w14:textId="68F6E0A4" w:rsidR="001978D7" w:rsidRPr="00114C93" w:rsidRDefault="001978D7" w:rsidP="00FD742F">
      <w:pPr>
        <w:pStyle w:val="BodyTextIndent"/>
        <w:numPr>
          <w:ilvl w:val="0"/>
          <w:numId w:val="13"/>
        </w:numPr>
        <w:spacing w:before="120"/>
        <w:ind w:left="1080"/>
        <w:rPr>
          <w:rFonts w:ascii="Arial" w:hAnsi="Arial" w:cs="Arial"/>
          <w:lang w:val="it-IT"/>
        </w:rPr>
      </w:pPr>
      <w:r w:rsidRPr="00023391">
        <w:rPr>
          <w:rFonts w:ascii="Arial" w:hAnsi="Arial" w:cs="Arial"/>
          <w:lang w:val="it-IT"/>
        </w:rPr>
        <w:tab/>
      </w:r>
      <w:r w:rsidR="00F44618" w:rsidRPr="00F44618">
        <w:rPr>
          <w:rFonts w:ascii="Arial" w:hAnsi="Arial" w:cs="Arial"/>
          <w:lang w:val="it-IT"/>
        </w:rPr>
        <w:tab/>
        <w:t>Borrowings and liabilities denominated in foreign currencies which have been hedged against exposures to foreign exchange risk using financial instruments are not revalued.</w:t>
      </w:r>
    </w:p>
    <w:p w14:paraId="25BE2EC1" w14:textId="77777777" w:rsidR="001978D7" w:rsidRDefault="001978D7" w:rsidP="001978D7">
      <w:pPr>
        <w:pStyle w:val="NoSpacing"/>
      </w:pPr>
    </w:p>
    <w:p w14:paraId="3E3C74B6" w14:textId="2F1366E3" w:rsidR="00115376" w:rsidRDefault="005721F0" w:rsidP="001978D7">
      <w:pPr>
        <w:pStyle w:val="NoSpacing"/>
      </w:pPr>
      <w:r w:rsidRPr="005721F0">
        <w:t>All foreign exchange differences incurred are taken to the income statement.</w:t>
      </w:r>
    </w:p>
    <w:p w14:paraId="49E3320C" w14:textId="77777777" w:rsidR="0046301C" w:rsidRPr="006A05C4" w:rsidRDefault="0046301C" w:rsidP="0046301C">
      <w:pPr>
        <w:pStyle w:val="NoSpacing"/>
      </w:pPr>
    </w:p>
    <w:p w14:paraId="2C03C6C2" w14:textId="165EEC4F" w:rsidR="0046301C" w:rsidRPr="002A0B87" w:rsidRDefault="0046301C" w:rsidP="0046301C">
      <w:pPr>
        <w:pStyle w:val="Heading2"/>
      </w:pPr>
      <w:r w:rsidRPr="002A0B87">
        <w:t>4.</w:t>
      </w:r>
      <w:r>
        <w:t>19</w:t>
      </w:r>
      <w:r w:rsidRPr="002A0B87">
        <w:tab/>
      </w:r>
      <w:r w:rsidR="009B7CC0" w:rsidRPr="009B7CC0">
        <w:t>Revenue recognition</w:t>
      </w:r>
      <w:r w:rsidR="009B7CC0" w:rsidRPr="009B7CC0" w:rsidDel="009B7CC0">
        <w:t xml:space="preserve"> </w:t>
      </w:r>
    </w:p>
    <w:p w14:paraId="27ECD67F" w14:textId="77777777" w:rsidR="0046301C" w:rsidRPr="002A0B87" w:rsidRDefault="0046301C" w:rsidP="0046301C">
      <w:pPr>
        <w:pStyle w:val="NoSpacing"/>
      </w:pPr>
    </w:p>
    <w:p w14:paraId="43ED8DB1" w14:textId="0B7B1B6A" w:rsidR="0046301C" w:rsidRPr="002A0B87" w:rsidRDefault="00C449A5" w:rsidP="0046301C">
      <w:pPr>
        <w:pStyle w:val="NoSpacing"/>
      </w:pPr>
      <w:r w:rsidRPr="00C449A5">
        <w:t xml:space="preserve">Revenue is recognized to the extent that it is probable that the economic benefits will flow to the Company and the revenue can be reliably measured. Revenue is measured at the fair value of receipts or receivables less trade discount, </w:t>
      </w:r>
      <w:proofErr w:type="gramStart"/>
      <w:r w:rsidRPr="00C449A5">
        <w:t>concessions</w:t>
      </w:r>
      <w:proofErr w:type="gramEnd"/>
      <w:r w:rsidRPr="00C449A5">
        <w:t xml:space="preserve"> and sales return. The following specific recognition criteria must also be met before revenue is recognized:</w:t>
      </w:r>
    </w:p>
    <w:p w14:paraId="0B61AB0D" w14:textId="77777777" w:rsidR="0046301C" w:rsidRPr="002A0B87" w:rsidRDefault="0046301C" w:rsidP="0046301C">
      <w:pPr>
        <w:pStyle w:val="NoSpacing"/>
      </w:pPr>
    </w:p>
    <w:p w14:paraId="3CEBCCD7" w14:textId="6C52A4FE" w:rsidR="0046301C" w:rsidRPr="002A0B87" w:rsidRDefault="00483F05" w:rsidP="0046301C">
      <w:pPr>
        <w:pStyle w:val="NoSpacing"/>
        <w:rPr>
          <w:i/>
          <w:iCs/>
        </w:rPr>
      </w:pPr>
      <w:r w:rsidRPr="00483F05">
        <w:rPr>
          <w:i/>
          <w:iCs/>
        </w:rPr>
        <w:t>Revenue from brokerage services</w:t>
      </w:r>
      <w:r w:rsidRPr="00483F05" w:rsidDel="00483F05">
        <w:rPr>
          <w:i/>
          <w:iCs/>
        </w:rPr>
        <w:t xml:space="preserve"> </w:t>
      </w:r>
    </w:p>
    <w:p w14:paraId="3D1E3A02" w14:textId="77777777" w:rsidR="0046301C" w:rsidRPr="002A0B87" w:rsidRDefault="0046301C" w:rsidP="0046301C">
      <w:pPr>
        <w:pStyle w:val="NoSpacing"/>
      </w:pPr>
    </w:p>
    <w:p w14:paraId="4BA439C4" w14:textId="73C72D88" w:rsidR="0046301C" w:rsidRPr="002A0B87" w:rsidRDefault="00C508D3" w:rsidP="0046301C">
      <w:pPr>
        <w:pStyle w:val="NoSpacing"/>
      </w:pPr>
      <w:r w:rsidRPr="00C508D3">
        <w:t>Where the contract outcome can be reliably measured, revenue is recognized by reference to the stage of completion. Where the contract outcome cannot be reliably measured, revenue is recognized only to the extent of the expenses recognized which are recoverable.</w:t>
      </w:r>
    </w:p>
    <w:p w14:paraId="1F75254C" w14:textId="77777777" w:rsidR="0046301C" w:rsidRPr="002A0B87" w:rsidRDefault="0046301C" w:rsidP="0046301C">
      <w:pPr>
        <w:pStyle w:val="NoSpacing"/>
      </w:pPr>
    </w:p>
    <w:p w14:paraId="6C24A814" w14:textId="7EF53BAD" w:rsidR="0046301C" w:rsidRPr="002A0B87" w:rsidRDefault="00C0663A" w:rsidP="0046301C">
      <w:pPr>
        <w:pStyle w:val="NoSpacing"/>
        <w:rPr>
          <w:i/>
          <w:iCs/>
        </w:rPr>
      </w:pPr>
      <w:r w:rsidRPr="00C0663A">
        <w:rPr>
          <w:i/>
          <w:iCs/>
        </w:rPr>
        <w:t>Revenue from proprietary trading</w:t>
      </w:r>
      <w:r w:rsidRPr="00C0663A" w:rsidDel="00C0663A">
        <w:rPr>
          <w:i/>
          <w:iCs/>
        </w:rPr>
        <w:t xml:space="preserve"> </w:t>
      </w:r>
    </w:p>
    <w:p w14:paraId="5550EE71" w14:textId="77777777" w:rsidR="0046301C" w:rsidRPr="002A0B87" w:rsidRDefault="0046301C" w:rsidP="0046301C">
      <w:pPr>
        <w:pStyle w:val="NoSpacing"/>
      </w:pPr>
    </w:p>
    <w:p w14:paraId="1CD8438A" w14:textId="0BB5B8B2" w:rsidR="0046301C" w:rsidRDefault="006455C1" w:rsidP="0046301C">
      <w:pPr>
        <w:pStyle w:val="NoSpacing"/>
      </w:pPr>
      <w:r w:rsidRPr="006455C1">
        <w:t>Revenue from proprietary trading is determined by the difference between the selling price and the weighted average cost of securities sold.</w:t>
      </w:r>
    </w:p>
    <w:p w14:paraId="2FA3BA7C" w14:textId="77777777" w:rsidR="0046301C" w:rsidRPr="000652FD" w:rsidRDefault="0046301C" w:rsidP="0046301C">
      <w:pPr>
        <w:pStyle w:val="NoSpacing"/>
      </w:pPr>
    </w:p>
    <w:p w14:paraId="3735E71D" w14:textId="6117B2C5" w:rsidR="0046301C" w:rsidRPr="002A0B87" w:rsidRDefault="00D04D1F" w:rsidP="0046301C">
      <w:pPr>
        <w:pStyle w:val="NoSpacing"/>
        <w:rPr>
          <w:i/>
          <w:iCs/>
        </w:rPr>
      </w:pPr>
      <w:r w:rsidRPr="00D04D1F">
        <w:rPr>
          <w:i/>
          <w:iCs/>
        </w:rPr>
        <w:t>Other income</w:t>
      </w:r>
      <w:r w:rsidRPr="00D04D1F" w:rsidDel="00D04D1F">
        <w:rPr>
          <w:i/>
          <w:iCs/>
        </w:rPr>
        <w:t xml:space="preserve"> </w:t>
      </w:r>
    </w:p>
    <w:p w14:paraId="29F002A0" w14:textId="77777777" w:rsidR="0046301C" w:rsidRPr="002A0B87" w:rsidRDefault="0046301C" w:rsidP="0046301C">
      <w:pPr>
        <w:pStyle w:val="NoSpacing"/>
      </w:pPr>
    </w:p>
    <w:p w14:paraId="77A18BB7" w14:textId="30CC5547" w:rsidR="0046301C" w:rsidRPr="002A0B87" w:rsidRDefault="000915BB" w:rsidP="0046301C">
      <w:pPr>
        <w:pStyle w:val="NoSpacing"/>
      </w:pPr>
      <w:r w:rsidRPr="000915BB">
        <w:t>Other incomes are income from irregular activities other than operating activities, including: income from disposals and sales of fixed assets; fines paid by customers for contract breaches; collection of insurance compensation; recoveries from bad debts previously written off; liabilities recognized as an increase in income as their owners no longer exist; collection of reduced and reimbursed tax; and other receipts recognizable as other income as stipulated by VAS 14 – Revenue and other incomes.</w:t>
      </w:r>
    </w:p>
    <w:p w14:paraId="0B79D249" w14:textId="77777777" w:rsidR="0046301C" w:rsidRPr="002A0B87" w:rsidRDefault="0046301C" w:rsidP="0046301C">
      <w:pPr>
        <w:pStyle w:val="NoSpacing"/>
      </w:pPr>
    </w:p>
    <w:p w14:paraId="5B84F616" w14:textId="04F8091F" w:rsidR="0046301C" w:rsidRPr="002A0B87" w:rsidRDefault="00284A15" w:rsidP="0046301C">
      <w:pPr>
        <w:pStyle w:val="NoSpacing"/>
        <w:rPr>
          <w:i/>
          <w:iCs/>
        </w:rPr>
      </w:pPr>
      <w:r w:rsidRPr="00284A15">
        <w:rPr>
          <w:i/>
          <w:iCs/>
        </w:rPr>
        <w:t>Interest income</w:t>
      </w:r>
      <w:r w:rsidRPr="00284A15" w:rsidDel="00284A15">
        <w:rPr>
          <w:i/>
          <w:iCs/>
        </w:rPr>
        <w:t xml:space="preserve"> </w:t>
      </w:r>
    </w:p>
    <w:p w14:paraId="16E19358" w14:textId="77777777" w:rsidR="0046301C" w:rsidRPr="002A0B87" w:rsidRDefault="0046301C" w:rsidP="0046301C">
      <w:pPr>
        <w:pStyle w:val="NoSpacing"/>
      </w:pPr>
    </w:p>
    <w:p w14:paraId="66DE5947" w14:textId="6BC5ED20" w:rsidR="0046301C" w:rsidRPr="002A0B87" w:rsidDel="00962F98" w:rsidRDefault="00BB0837" w:rsidP="0046301C">
      <w:pPr>
        <w:pStyle w:val="NoSpacing"/>
      </w:pPr>
      <w:r w:rsidRPr="00BB0837">
        <w:t>Interest income is recognized on an accrual basis (including the effective yield on the asset) unless there is an uncertainty in the collectability.</w:t>
      </w:r>
    </w:p>
    <w:p w14:paraId="7B13EF7A" w14:textId="77777777" w:rsidR="0046301C" w:rsidRPr="002A0B87" w:rsidRDefault="0046301C" w:rsidP="0046301C">
      <w:pPr>
        <w:pStyle w:val="NoSpacing"/>
      </w:pPr>
    </w:p>
    <w:p w14:paraId="46D710BC" w14:textId="64A1F88E" w:rsidR="0046301C" w:rsidRPr="002A0B87" w:rsidRDefault="0038038B" w:rsidP="0046301C">
      <w:pPr>
        <w:pStyle w:val="NoSpacing"/>
        <w:rPr>
          <w:i/>
          <w:iCs/>
        </w:rPr>
      </w:pPr>
      <w:r w:rsidRPr="0038038B">
        <w:rPr>
          <w:i/>
          <w:iCs/>
        </w:rPr>
        <w:t>Dividends</w:t>
      </w:r>
      <w:r w:rsidRPr="0038038B" w:rsidDel="0038038B">
        <w:rPr>
          <w:i/>
          <w:iCs/>
        </w:rPr>
        <w:t xml:space="preserve"> </w:t>
      </w:r>
    </w:p>
    <w:p w14:paraId="43A9C80D" w14:textId="77777777" w:rsidR="0046301C" w:rsidRPr="002A0B87" w:rsidRDefault="0046301C" w:rsidP="0046301C">
      <w:pPr>
        <w:pStyle w:val="NoSpacing"/>
      </w:pPr>
    </w:p>
    <w:p w14:paraId="636C66B3" w14:textId="108F03E3" w:rsidR="0046301C" w:rsidRPr="002A0B87" w:rsidRDefault="00273987" w:rsidP="0046301C">
      <w:pPr>
        <w:pStyle w:val="NoSpacing"/>
      </w:pPr>
      <w:r w:rsidRPr="00273987">
        <w:t>Dividends are recognized when the Company’s right to receive payment is established. Stock dividends are not recognized as an increase in income of the Company, only the number of shares is updated.</w:t>
      </w:r>
    </w:p>
    <w:p w14:paraId="0546C009" w14:textId="77777777" w:rsidR="001978D7" w:rsidRDefault="001978D7" w:rsidP="004F73EA">
      <w:pPr>
        <w:pStyle w:val="NoSpacing"/>
        <w:sectPr w:rsidR="001978D7" w:rsidSect="008F7564">
          <w:pgSz w:w="11909" w:h="16834" w:code="9"/>
          <w:pgMar w:top="1440" w:right="1440" w:bottom="862" w:left="1582" w:header="720" w:footer="578" w:gutter="0"/>
          <w:cols w:space="720"/>
          <w:docGrid w:linePitch="272"/>
        </w:sectPr>
      </w:pPr>
    </w:p>
    <w:p w14:paraId="7C6279D1" w14:textId="19622976" w:rsidR="001978D7" w:rsidRPr="002A0B87" w:rsidRDefault="001978D7" w:rsidP="001978D7">
      <w:pPr>
        <w:ind w:left="720" w:hanging="720"/>
        <w:rPr>
          <w:rFonts w:cs="Arial"/>
          <w:bCs/>
        </w:rPr>
      </w:pPr>
      <w:r w:rsidRPr="002A0B87">
        <w:rPr>
          <w:rFonts w:cs="Arial"/>
          <w:b/>
          <w:bCs/>
        </w:rPr>
        <w:lastRenderedPageBreak/>
        <w:t>4.</w:t>
      </w:r>
      <w:r w:rsidRPr="002A0B87">
        <w:rPr>
          <w:rFonts w:cs="Arial"/>
          <w:b/>
          <w:bCs/>
        </w:rPr>
        <w:tab/>
      </w:r>
      <w:r w:rsidR="003B2F94" w:rsidRPr="003B2F94">
        <w:rPr>
          <w:rFonts w:cs="Arial"/>
          <w:b/>
          <w:bCs/>
        </w:rPr>
        <w:t xml:space="preserve">SUMMARY OF SIGNIFICANT ACCOUNTING POLICIES </w:t>
      </w:r>
      <w:r w:rsidR="003B2F94" w:rsidRPr="00FA28E4">
        <w:rPr>
          <w:rFonts w:cs="Arial"/>
        </w:rPr>
        <w:t>(continued)</w:t>
      </w:r>
    </w:p>
    <w:p w14:paraId="7F925220" w14:textId="77777777" w:rsidR="0046301C" w:rsidRPr="002A0B87" w:rsidRDefault="0046301C" w:rsidP="0046301C">
      <w:pPr>
        <w:pStyle w:val="NoSpacing"/>
      </w:pPr>
    </w:p>
    <w:p w14:paraId="2B65A2A4" w14:textId="7420D6FC" w:rsidR="0046301C" w:rsidRPr="002A0B87" w:rsidRDefault="0046301C" w:rsidP="0046301C">
      <w:pPr>
        <w:ind w:left="720" w:hanging="720"/>
        <w:rPr>
          <w:rFonts w:cs="Arial"/>
        </w:rPr>
      </w:pPr>
      <w:r w:rsidRPr="002A0B87">
        <w:rPr>
          <w:rFonts w:cs="Arial"/>
          <w:b/>
          <w:i/>
        </w:rPr>
        <w:t>4</w:t>
      </w:r>
      <w:r w:rsidRPr="002A0B87">
        <w:rPr>
          <w:rFonts w:cs="Arial"/>
          <w:b/>
          <w:i/>
          <w:lang w:val="vi-VN"/>
        </w:rPr>
        <w:t>.</w:t>
      </w:r>
      <w:r>
        <w:rPr>
          <w:rFonts w:cs="Arial"/>
          <w:b/>
          <w:i/>
        </w:rPr>
        <w:t>19</w:t>
      </w:r>
      <w:r w:rsidRPr="002A0B87">
        <w:rPr>
          <w:rFonts w:cs="Arial"/>
          <w:b/>
          <w:i/>
          <w:lang w:val="vi-VN"/>
        </w:rPr>
        <w:tab/>
      </w:r>
      <w:r w:rsidR="00BD0094" w:rsidRPr="00BD0094">
        <w:rPr>
          <w:rFonts w:cs="Arial"/>
          <w:b/>
          <w:i/>
          <w:lang w:val="vi-VN"/>
        </w:rPr>
        <w:t>Revenue recognition</w:t>
      </w:r>
      <w:r w:rsidR="00BD0094" w:rsidRPr="00BD0094" w:rsidDel="00BD0094">
        <w:rPr>
          <w:rFonts w:cs="Arial"/>
          <w:b/>
          <w:i/>
          <w:lang w:val="vi-VN"/>
        </w:rPr>
        <w:t xml:space="preserve"> </w:t>
      </w:r>
      <w:r w:rsidR="00BD0094" w:rsidRPr="00FA28E4">
        <w:rPr>
          <w:rFonts w:cs="Arial"/>
          <w:bCs/>
          <w:iCs/>
          <w:lang w:val="vi-VN"/>
        </w:rPr>
        <w:t>(continued)</w:t>
      </w:r>
    </w:p>
    <w:p w14:paraId="1020D8C2" w14:textId="77777777" w:rsidR="004F73EA" w:rsidRPr="002A0B87" w:rsidRDefault="004F73EA" w:rsidP="004F73EA">
      <w:pPr>
        <w:pStyle w:val="NoSpacing"/>
      </w:pPr>
    </w:p>
    <w:p w14:paraId="57283C14" w14:textId="535D55D9" w:rsidR="004F73EA" w:rsidRPr="002A0B87" w:rsidRDefault="00BA41DF" w:rsidP="004F73EA">
      <w:pPr>
        <w:pStyle w:val="NoSpacing"/>
        <w:rPr>
          <w:i/>
          <w:iCs/>
        </w:rPr>
      </w:pPr>
      <w:r w:rsidRPr="00BA41DF">
        <w:rPr>
          <w:i/>
          <w:iCs/>
        </w:rPr>
        <w:t>Revenue from other services provided</w:t>
      </w:r>
      <w:r w:rsidRPr="00BA41DF" w:rsidDel="00BA41DF">
        <w:rPr>
          <w:i/>
          <w:iCs/>
        </w:rPr>
        <w:t xml:space="preserve"> </w:t>
      </w:r>
    </w:p>
    <w:p w14:paraId="3D95AE8C" w14:textId="77777777" w:rsidR="004F73EA" w:rsidRPr="002A0B87" w:rsidRDefault="004F73EA" w:rsidP="004F73EA">
      <w:pPr>
        <w:pStyle w:val="NoSpacing"/>
      </w:pPr>
    </w:p>
    <w:p w14:paraId="6BE706AC" w14:textId="08353749" w:rsidR="004F73EA" w:rsidRPr="002A0B87" w:rsidRDefault="00945C26" w:rsidP="004F73EA">
      <w:pPr>
        <w:pStyle w:val="NoSpacing"/>
      </w:pPr>
      <w:r w:rsidRPr="00945C26">
        <w:t>When there is a certainty in determining contract performance, income would be recognized based on percentage of contract completion. When a certainty in determining contract performance is unavailable, income would be recognized to the extent of recoverable amount of expenses incurred.</w:t>
      </w:r>
    </w:p>
    <w:p w14:paraId="47109D8C" w14:textId="77777777" w:rsidR="004F73EA" w:rsidRPr="002A0B87" w:rsidRDefault="004F73EA" w:rsidP="004F73EA">
      <w:pPr>
        <w:pStyle w:val="NoSpacing"/>
      </w:pPr>
    </w:p>
    <w:p w14:paraId="6378DB26" w14:textId="395E6E4F" w:rsidR="004F73EA" w:rsidRPr="002A0B87" w:rsidRDefault="004F73EA" w:rsidP="004F73EA">
      <w:pPr>
        <w:pStyle w:val="Heading2"/>
      </w:pPr>
      <w:r w:rsidRPr="002A0B87">
        <w:t>4.</w:t>
      </w:r>
      <w:r w:rsidR="001978D7">
        <w:t>20</w:t>
      </w:r>
      <w:r w:rsidRPr="002A0B87">
        <w:tab/>
      </w:r>
      <w:r w:rsidR="00BA39A2" w:rsidRPr="00BA39A2">
        <w:t>Interest expenses</w:t>
      </w:r>
      <w:r w:rsidR="00BA39A2" w:rsidRPr="00BA39A2" w:rsidDel="00BA39A2">
        <w:t xml:space="preserve"> </w:t>
      </w:r>
    </w:p>
    <w:p w14:paraId="2E7C3219" w14:textId="77777777" w:rsidR="004F73EA" w:rsidRPr="002A0B87" w:rsidRDefault="004F73EA" w:rsidP="004F73EA">
      <w:pPr>
        <w:pStyle w:val="NoSpacing"/>
        <w:rPr>
          <w:lang w:val="vi-VN"/>
        </w:rPr>
      </w:pPr>
    </w:p>
    <w:p w14:paraId="6D9AB522" w14:textId="2061247F" w:rsidR="004F73EA" w:rsidRPr="002A0B87" w:rsidRDefault="00982A42" w:rsidP="004F73EA">
      <w:pPr>
        <w:pStyle w:val="NoSpacing"/>
      </w:pPr>
      <w:r w:rsidRPr="00982A42">
        <w:t>Interest expenses include accrued interests from borrowings and other expenses arising directly from borrowings by the Company. Interest expenses are recognized on an accrual basis.</w:t>
      </w:r>
    </w:p>
    <w:p w14:paraId="22A41272" w14:textId="77777777" w:rsidR="00DD62B6" w:rsidRDefault="00DD62B6" w:rsidP="00DD62B6"/>
    <w:p w14:paraId="17493DEC" w14:textId="2085F54F" w:rsidR="005B3D4C" w:rsidRDefault="005B3D4C" w:rsidP="005B3D4C">
      <w:pPr>
        <w:pStyle w:val="Heading2"/>
      </w:pPr>
      <w:r w:rsidRPr="002A0B87">
        <w:t>4.</w:t>
      </w:r>
      <w:r>
        <w:t>21</w:t>
      </w:r>
      <w:r w:rsidRPr="002A0B87">
        <w:tab/>
      </w:r>
      <w:r w:rsidR="00E47232" w:rsidRPr="00E47232">
        <w:t>Method of calculating the cost of self-trading securities sold</w:t>
      </w:r>
    </w:p>
    <w:p w14:paraId="5384D821" w14:textId="77777777" w:rsidR="00E47232" w:rsidRDefault="00E47232" w:rsidP="00E47232">
      <w:pPr>
        <w:rPr>
          <w:lang w:val="de-DE"/>
        </w:rPr>
      </w:pPr>
    </w:p>
    <w:p w14:paraId="63658F5E" w14:textId="7017BA5F" w:rsidR="00E47232" w:rsidRPr="00A34FD8" w:rsidRDefault="00060B6D" w:rsidP="00254501">
      <w:pPr>
        <w:ind w:left="709" w:firstLine="1"/>
      </w:pPr>
      <w:r w:rsidRPr="00060B6D">
        <w:rPr>
          <w:lang w:val="de-DE"/>
        </w:rPr>
        <w:t>The Company applies the weighted average method at the end of the trading day to calculate the cost of proprietary securities.</w:t>
      </w:r>
    </w:p>
    <w:p w14:paraId="2C135281" w14:textId="77777777" w:rsidR="0046301C" w:rsidRPr="002A0B87" w:rsidRDefault="0046301C" w:rsidP="0046301C">
      <w:pPr>
        <w:pStyle w:val="NoSpacing"/>
        <w:rPr>
          <w:bCs/>
        </w:rPr>
      </w:pPr>
    </w:p>
    <w:p w14:paraId="7C50E2AC" w14:textId="5635A4A8" w:rsidR="0046301C" w:rsidRPr="002A0B87" w:rsidRDefault="0046301C" w:rsidP="0046301C">
      <w:pPr>
        <w:pStyle w:val="Heading2"/>
      </w:pPr>
      <w:r w:rsidRPr="002A0B87">
        <w:t>4.</w:t>
      </w:r>
      <w:r>
        <w:t>2</w:t>
      </w:r>
      <w:r w:rsidR="00981743">
        <w:t>2</w:t>
      </w:r>
      <w:r w:rsidRPr="002A0B87">
        <w:tab/>
      </w:r>
      <w:r w:rsidR="00EE5CC7" w:rsidRPr="00EE5CC7">
        <w:t>Corporate income tax</w:t>
      </w:r>
      <w:r w:rsidR="00EE5CC7" w:rsidRPr="00EE5CC7" w:rsidDel="00EE5CC7">
        <w:t xml:space="preserve"> </w:t>
      </w:r>
    </w:p>
    <w:p w14:paraId="4614C916" w14:textId="77777777" w:rsidR="0046301C" w:rsidRPr="002A0B87" w:rsidRDefault="0046301C" w:rsidP="0046301C">
      <w:pPr>
        <w:pStyle w:val="NoSpacing"/>
      </w:pPr>
    </w:p>
    <w:p w14:paraId="26731A59" w14:textId="64A14420" w:rsidR="0046301C" w:rsidRPr="002A0B87" w:rsidRDefault="000B32A6" w:rsidP="0046301C">
      <w:pPr>
        <w:pStyle w:val="NoSpacing"/>
        <w:rPr>
          <w:i/>
        </w:rPr>
      </w:pPr>
      <w:r w:rsidRPr="000B32A6">
        <w:rPr>
          <w:i/>
        </w:rPr>
        <w:t>Current income tax</w:t>
      </w:r>
      <w:r w:rsidRPr="000B32A6" w:rsidDel="000B32A6">
        <w:rPr>
          <w:i/>
        </w:rPr>
        <w:t xml:space="preserve"> </w:t>
      </w:r>
    </w:p>
    <w:p w14:paraId="28C69B81" w14:textId="77777777" w:rsidR="0046301C" w:rsidRPr="006A05C4" w:rsidRDefault="0046301C" w:rsidP="0046301C">
      <w:pPr>
        <w:pStyle w:val="NoSpacing"/>
      </w:pPr>
    </w:p>
    <w:p w14:paraId="66486F2A" w14:textId="632AE416" w:rsidR="0046301C" w:rsidRPr="006A05C4" w:rsidRDefault="004504E8" w:rsidP="0046301C">
      <w:pPr>
        <w:pStyle w:val="NoSpacing"/>
      </w:pPr>
      <w:r w:rsidRPr="004504E8">
        <w:t>Current tax assets and liabilities for the current and previous year are measured at the amount expected to be paid to (or recovered from) the tax authorities using the tax rates and tax laws effective at the financial statement date.</w:t>
      </w:r>
    </w:p>
    <w:p w14:paraId="03DD8D28" w14:textId="77777777" w:rsidR="0046301C" w:rsidRPr="006A05C4" w:rsidRDefault="0046301C" w:rsidP="0046301C">
      <w:pPr>
        <w:pStyle w:val="NoSpacing"/>
      </w:pPr>
    </w:p>
    <w:p w14:paraId="657CE469" w14:textId="62FAB34C" w:rsidR="0046301C" w:rsidRPr="006A05C4" w:rsidRDefault="002B2A36" w:rsidP="0046301C">
      <w:pPr>
        <w:pStyle w:val="NoSpacing"/>
      </w:pPr>
      <w:r w:rsidRPr="002B2A36">
        <w:t>Current income tax is charged or credited to the income statement, except when it relates to items recognized directly to equity, in this case, the current tax is also directly recorded in equity.</w:t>
      </w:r>
    </w:p>
    <w:p w14:paraId="035388C8" w14:textId="77777777" w:rsidR="0046301C" w:rsidRPr="006A05C4" w:rsidRDefault="0046301C" w:rsidP="0046301C">
      <w:pPr>
        <w:pStyle w:val="NoSpacing"/>
      </w:pPr>
    </w:p>
    <w:p w14:paraId="36B32511" w14:textId="1398B5D9" w:rsidR="0046301C" w:rsidRPr="002A0B87" w:rsidRDefault="00766D31" w:rsidP="0046301C">
      <w:pPr>
        <w:pStyle w:val="NoSpacing"/>
        <w:rPr>
          <w:lang w:val="de-DE"/>
        </w:rPr>
      </w:pPr>
      <w:r w:rsidRPr="00766D31">
        <w:t>Current tax assets and liabilities are offset when there is a legally enforceable right for the Company to offset current tax assets against current tax liabilities and when the Company intends to settle its current tax assets and liabilities on a net basis.</w:t>
      </w:r>
    </w:p>
    <w:p w14:paraId="1FAB5895" w14:textId="77777777" w:rsidR="0046301C" w:rsidRPr="002A0B87" w:rsidRDefault="0046301C" w:rsidP="0046301C">
      <w:pPr>
        <w:pStyle w:val="NoSpacing"/>
        <w:rPr>
          <w:lang w:val="de-DE"/>
        </w:rPr>
      </w:pPr>
    </w:p>
    <w:p w14:paraId="0B720ED2" w14:textId="508CB58E" w:rsidR="0046301C" w:rsidRPr="002A0B87" w:rsidRDefault="00877C2F" w:rsidP="0046301C">
      <w:pPr>
        <w:pStyle w:val="NoSpacing"/>
        <w:rPr>
          <w:i/>
          <w:lang w:val="de-DE"/>
        </w:rPr>
      </w:pPr>
      <w:r w:rsidRPr="00877C2F">
        <w:rPr>
          <w:i/>
          <w:lang w:val="de-DE"/>
        </w:rPr>
        <w:t>Deferred income tax</w:t>
      </w:r>
      <w:r w:rsidRPr="00877C2F" w:rsidDel="00877C2F">
        <w:rPr>
          <w:i/>
          <w:lang w:val="de-DE"/>
        </w:rPr>
        <w:t xml:space="preserve"> </w:t>
      </w:r>
    </w:p>
    <w:p w14:paraId="31AF34BA" w14:textId="77777777" w:rsidR="0046301C" w:rsidRPr="006A05C4" w:rsidRDefault="0046301C" w:rsidP="0046301C">
      <w:pPr>
        <w:pStyle w:val="NoSpacing"/>
      </w:pPr>
    </w:p>
    <w:p w14:paraId="2986A461" w14:textId="3D6B0BED" w:rsidR="0046301C" w:rsidRPr="006A05C4" w:rsidRDefault="006044AD" w:rsidP="0046301C">
      <w:pPr>
        <w:pStyle w:val="NoSpacing"/>
      </w:pPr>
      <w:r w:rsidRPr="006044AD">
        <w:t>Deferred income tax is provided on temporary differences at the reporting date between the tax base of assets and liabilities and their carrying amount for financial reporting purposes.</w:t>
      </w:r>
    </w:p>
    <w:p w14:paraId="2D5CEACA" w14:textId="77777777" w:rsidR="0046301C" w:rsidRPr="006A05C4" w:rsidRDefault="0046301C" w:rsidP="0046301C">
      <w:pPr>
        <w:pStyle w:val="NoSpacing"/>
      </w:pPr>
    </w:p>
    <w:p w14:paraId="60A82125" w14:textId="1BBAACAA" w:rsidR="0046301C" w:rsidRPr="006A05C4" w:rsidRDefault="005B17BC" w:rsidP="0046301C">
      <w:pPr>
        <w:pStyle w:val="NoSpacing"/>
      </w:pPr>
      <w:r w:rsidRPr="005B17BC">
        <w:t>Deferred tax liabilities are recognized for all taxable temporary differences, except for deferred tax liability arising from the initial recognition of an asset or liability in a transaction which at the time of the transaction affects neither the accounting profit nor taxable profit or loss.</w:t>
      </w:r>
    </w:p>
    <w:p w14:paraId="2D0C7982" w14:textId="77777777" w:rsidR="0046301C" w:rsidRPr="006A05C4" w:rsidRDefault="0046301C" w:rsidP="0046301C">
      <w:pPr>
        <w:pStyle w:val="NoSpacing"/>
      </w:pPr>
    </w:p>
    <w:p w14:paraId="529E4DBC" w14:textId="06A437D6" w:rsidR="0046301C" w:rsidRPr="006A05C4" w:rsidRDefault="00434783" w:rsidP="0046301C">
      <w:pPr>
        <w:pStyle w:val="NoSpacing"/>
      </w:pPr>
      <w:r w:rsidRPr="00434783">
        <w:t>Deferred tax assets are levied on deductible temporary differences, deductible amounts carried over to subsequent periods of taxable losses, and unutilized tax advantages when it is likely that earnings are generated in foreseeable future to use deductible temporary differences, taxable losses and tax advantages, except for deferred tax asset arising from the initial recognition of an asset or liability in a transaction which at the time of the transaction affects neither the accounting profit nor taxable profit or loss.</w:t>
      </w:r>
    </w:p>
    <w:p w14:paraId="7DBA2F98" w14:textId="77777777" w:rsidR="00336A35" w:rsidRPr="0046301C" w:rsidRDefault="00336A35" w:rsidP="002A0BFD">
      <w:pPr>
        <w:pStyle w:val="NoSpacing"/>
        <w:sectPr w:rsidR="00336A35" w:rsidRPr="0046301C" w:rsidSect="008F7564">
          <w:pgSz w:w="11909" w:h="16834" w:code="9"/>
          <w:pgMar w:top="1440" w:right="1440" w:bottom="862" w:left="1582" w:header="720" w:footer="578" w:gutter="0"/>
          <w:cols w:space="720"/>
          <w:docGrid w:linePitch="272"/>
        </w:sectPr>
      </w:pPr>
    </w:p>
    <w:p w14:paraId="4E630E90" w14:textId="1B26E145" w:rsidR="00336A35" w:rsidRPr="002A0B87" w:rsidRDefault="00336A35" w:rsidP="00336A35">
      <w:pPr>
        <w:ind w:left="720" w:hanging="720"/>
        <w:rPr>
          <w:rFonts w:cs="Arial"/>
          <w:bCs/>
        </w:rPr>
      </w:pPr>
      <w:r w:rsidRPr="002A0B87">
        <w:rPr>
          <w:rFonts w:cs="Arial"/>
          <w:b/>
          <w:bCs/>
        </w:rPr>
        <w:lastRenderedPageBreak/>
        <w:t>4.</w:t>
      </w:r>
      <w:r w:rsidRPr="002A0B87">
        <w:rPr>
          <w:rFonts w:cs="Arial"/>
          <w:b/>
          <w:bCs/>
        </w:rPr>
        <w:tab/>
      </w:r>
      <w:r w:rsidR="00744F15" w:rsidRPr="00744F15">
        <w:rPr>
          <w:rFonts w:cs="Arial"/>
          <w:b/>
          <w:bCs/>
        </w:rPr>
        <w:t xml:space="preserve">SUMMARY OF SIGNIFICANT ACCOUNTING POLICIES </w:t>
      </w:r>
      <w:r w:rsidR="00744F15" w:rsidRPr="00FA28E4">
        <w:rPr>
          <w:rFonts w:cs="Arial"/>
        </w:rPr>
        <w:t>(continued)</w:t>
      </w:r>
    </w:p>
    <w:p w14:paraId="1F7D7BBB" w14:textId="77777777" w:rsidR="0046301C" w:rsidRPr="002A0B87" w:rsidRDefault="004F73EA" w:rsidP="0046301C">
      <w:pPr>
        <w:pStyle w:val="NoSpacing"/>
      </w:pPr>
      <w:r w:rsidRPr="006A05C4">
        <w:tab/>
      </w:r>
    </w:p>
    <w:p w14:paraId="2C008901" w14:textId="46BD4486" w:rsidR="0046301C" w:rsidRPr="002A0B87" w:rsidRDefault="0046301C" w:rsidP="0046301C">
      <w:pPr>
        <w:ind w:left="720" w:hanging="720"/>
        <w:rPr>
          <w:rFonts w:cs="Arial"/>
        </w:rPr>
      </w:pPr>
      <w:r w:rsidRPr="002A0B87">
        <w:rPr>
          <w:rFonts w:cs="Arial"/>
          <w:b/>
          <w:i/>
        </w:rPr>
        <w:t>4</w:t>
      </w:r>
      <w:r w:rsidRPr="002A0B87">
        <w:rPr>
          <w:rFonts w:cs="Arial"/>
          <w:b/>
          <w:i/>
          <w:lang w:val="vi-VN"/>
        </w:rPr>
        <w:t>.</w:t>
      </w:r>
      <w:r>
        <w:rPr>
          <w:rFonts w:cs="Arial"/>
          <w:b/>
          <w:i/>
        </w:rPr>
        <w:t>2</w:t>
      </w:r>
      <w:r w:rsidR="00067758">
        <w:rPr>
          <w:rFonts w:cs="Arial"/>
          <w:b/>
          <w:i/>
        </w:rPr>
        <w:t>2</w:t>
      </w:r>
      <w:r w:rsidRPr="002A0B87">
        <w:rPr>
          <w:rFonts w:cs="Arial"/>
          <w:b/>
          <w:i/>
          <w:lang w:val="vi-VN"/>
        </w:rPr>
        <w:tab/>
      </w:r>
      <w:r w:rsidR="005E3CB9" w:rsidRPr="005E3CB9">
        <w:rPr>
          <w:rFonts w:cs="Arial"/>
          <w:b/>
          <w:i/>
          <w:lang w:val="vi-VN"/>
        </w:rPr>
        <w:t>Corporate income tax</w:t>
      </w:r>
      <w:r w:rsidR="005E3CB9" w:rsidRPr="005E3CB9" w:rsidDel="005E3CB9">
        <w:rPr>
          <w:rFonts w:cs="Arial"/>
          <w:b/>
          <w:i/>
          <w:lang w:val="vi-VN"/>
        </w:rPr>
        <w:t xml:space="preserve"> </w:t>
      </w:r>
      <w:r w:rsidR="005E3CB9" w:rsidRPr="00FA28E4">
        <w:rPr>
          <w:rFonts w:cs="Arial"/>
          <w:bCs/>
          <w:iCs/>
          <w:lang w:val="vi-VN"/>
        </w:rPr>
        <w:t>(continued)</w:t>
      </w:r>
    </w:p>
    <w:p w14:paraId="3157C59A" w14:textId="77777777" w:rsidR="0046301C" w:rsidRPr="002A0B87" w:rsidRDefault="0046301C" w:rsidP="0046301C">
      <w:pPr>
        <w:pStyle w:val="NoSpacing"/>
        <w:rPr>
          <w:lang w:val="de-DE"/>
        </w:rPr>
      </w:pPr>
    </w:p>
    <w:p w14:paraId="0F4467B6" w14:textId="42B0106C" w:rsidR="0046301C" w:rsidRPr="002A0BFD" w:rsidRDefault="000506C5" w:rsidP="0046301C">
      <w:pPr>
        <w:pStyle w:val="NoSpacing"/>
        <w:rPr>
          <w:iCs/>
          <w:lang w:val="de-DE"/>
        </w:rPr>
      </w:pPr>
      <w:r w:rsidRPr="000506C5">
        <w:rPr>
          <w:i/>
          <w:lang w:val="de-DE"/>
        </w:rPr>
        <w:t>Deferred income tax</w:t>
      </w:r>
      <w:r w:rsidRPr="000506C5" w:rsidDel="000506C5">
        <w:rPr>
          <w:i/>
          <w:lang w:val="de-DE"/>
        </w:rPr>
        <w:t xml:space="preserve"> </w:t>
      </w:r>
      <w:r w:rsidRPr="00FA28E4">
        <w:rPr>
          <w:iCs/>
          <w:lang w:val="de-DE"/>
        </w:rPr>
        <w:t>(continued)</w:t>
      </w:r>
    </w:p>
    <w:p w14:paraId="7B267C13" w14:textId="2B94BD90" w:rsidR="004F73EA" w:rsidRPr="006A05C4" w:rsidRDefault="004F73EA" w:rsidP="006A05C4">
      <w:pPr>
        <w:pStyle w:val="NoSpacing"/>
      </w:pPr>
    </w:p>
    <w:p w14:paraId="0E72EC4D" w14:textId="68A4B8EE" w:rsidR="004F73EA" w:rsidRPr="0046301C" w:rsidRDefault="000B35BF" w:rsidP="006A05C4">
      <w:pPr>
        <w:pStyle w:val="NoSpacing"/>
      </w:pPr>
      <w:r w:rsidRPr="000B35BF">
        <w:t>The carrying amount of deferred tax assets is reviewed at the reporting date and reduced to the extent that sufficient taxable profits will be available to allow all or part of the asset to be used. Unrecognized deferred tax assets are reassessed at the reporting date and are recognized to the extent that it has become probable that future taxable profit will allow the deferred tax assets to be recovered.</w:t>
      </w:r>
    </w:p>
    <w:p w14:paraId="69E00223" w14:textId="77777777" w:rsidR="004F73EA" w:rsidRPr="006A05C4" w:rsidRDefault="004F73EA" w:rsidP="006A05C4">
      <w:pPr>
        <w:pStyle w:val="NoSpacing"/>
      </w:pPr>
    </w:p>
    <w:p w14:paraId="51BEF372" w14:textId="676EBA0C" w:rsidR="004F73EA" w:rsidRPr="0046301C" w:rsidRDefault="006C3E8B" w:rsidP="006A05C4">
      <w:pPr>
        <w:pStyle w:val="NoSpacing"/>
      </w:pPr>
      <w:r w:rsidRPr="006C3E8B">
        <w:t xml:space="preserve">Deferred income tax assets and liabilities are measured at the tax rates expected to apply in the year when the asset is </w:t>
      </w:r>
      <w:r w:rsidR="00067758" w:rsidRPr="006C3E8B">
        <w:t>realized,</w:t>
      </w:r>
      <w:r w:rsidRPr="006C3E8B">
        <w:t xml:space="preserve"> or the liability is settled based on tax rates and tax laws effective at the reporting date. Deferred income tax is charged or credited to the income statement, except when it relates to items recognized directly to equity, in this case, the deferred income tax is also directly recorded in equity.</w:t>
      </w:r>
    </w:p>
    <w:p w14:paraId="258E4A7C" w14:textId="77777777" w:rsidR="004F73EA" w:rsidRPr="006A05C4" w:rsidRDefault="004F73EA" w:rsidP="006A05C4">
      <w:pPr>
        <w:pStyle w:val="NoSpacing"/>
      </w:pPr>
    </w:p>
    <w:p w14:paraId="1CFE142C" w14:textId="55DBF995" w:rsidR="003B7A24" w:rsidRPr="006A05C4" w:rsidRDefault="001E2C86" w:rsidP="006A05C4">
      <w:pPr>
        <w:pStyle w:val="NoSpacing"/>
      </w:pPr>
      <w:r w:rsidRPr="001E2C86">
        <w:t>Deferred tax assets and liabilities are offset when there is a legally enforceable right for the Company to offset deferred tax assets against deferred tax liabilities relating to income tax levied by the same tax authority on either the same taxable entity or when the Company intends to settle its deferred tax assets and liabilities on a net basis or to realize the assets and settle the liabilities simultaneously, in each future period in which significant amounts of deferred tax liabilities or assets are expected to be settled or recovered.</w:t>
      </w:r>
    </w:p>
    <w:p w14:paraId="47E9B929" w14:textId="77777777" w:rsidR="00102F48" w:rsidRPr="002A0B87" w:rsidRDefault="00102F48" w:rsidP="00102F48">
      <w:pPr>
        <w:pStyle w:val="NoSpacing"/>
      </w:pPr>
    </w:p>
    <w:p w14:paraId="6C7128CB" w14:textId="7302A596" w:rsidR="00102F48" w:rsidRPr="002A0B87" w:rsidRDefault="00102F48" w:rsidP="00102F48">
      <w:pPr>
        <w:pStyle w:val="Heading2"/>
      </w:pPr>
      <w:r w:rsidRPr="002A0B87">
        <w:t>4.2</w:t>
      </w:r>
      <w:r>
        <w:t>2</w:t>
      </w:r>
      <w:r w:rsidRPr="002A0B87">
        <w:tab/>
      </w:r>
      <w:r w:rsidR="00601AAD" w:rsidRPr="00601AAD">
        <w:t>Owners’ equity</w:t>
      </w:r>
      <w:r w:rsidR="00601AAD" w:rsidRPr="00601AAD" w:rsidDel="00601AAD">
        <w:t xml:space="preserve"> </w:t>
      </w:r>
    </w:p>
    <w:p w14:paraId="4C36D7DA" w14:textId="77777777" w:rsidR="00102F48" w:rsidRPr="002A0B87" w:rsidRDefault="00102F48" w:rsidP="00102F48">
      <w:pPr>
        <w:pStyle w:val="NoSpacing"/>
        <w:rPr>
          <w:lang w:val="de-DE"/>
        </w:rPr>
      </w:pPr>
    </w:p>
    <w:p w14:paraId="6F039372" w14:textId="23FFAB17" w:rsidR="00102F48" w:rsidRPr="002A0B87" w:rsidRDefault="0048454D" w:rsidP="00102F48">
      <w:pPr>
        <w:pStyle w:val="NoSpacing"/>
        <w:rPr>
          <w:lang w:val="de-DE"/>
        </w:rPr>
      </w:pPr>
      <w:r w:rsidRPr="0048454D">
        <w:rPr>
          <w:i/>
          <w:lang w:val="de-DE"/>
        </w:rPr>
        <w:t>Contributed capital</w:t>
      </w:r>
      <w:r w:rsidRPr="0048454D" w:rsidDel="0048454D">
        <w:rPr>
          <w:i/>
          <w:lang w:val="de-DE"/>
        </w:rPr>
        <w:t xml:space="preserve"> </w:t>
      </w:r>
    </w:p>
    <w:p w14:paraId="773C60AA" w14:textId="77777777" w:rsidR="00102F48" w:rsidRPr="00314466" w:rsidRDefault="00102F48" w:rsidP="00102F48">
      <w:pPr>
        <w:pStyle w:val="NoSpacing"/>
      </w:pPr>
    </w:p>
    <w:p w14:paraId="62555B75" w14:textId="7BE3E1F4" w:rsidR="00102F48" w:rsidRPr="00314466" w:rsidRDefault="00972141" w:rsidP="00102F48">
      <w:pPr>
        <w:pStyle w:val="NoSpacing"/>
      </w:pPr>
      <w:r w:rsidRPr="00972141">
        <w:t>The charter capital of the Company is actual contributed capital by members, at least equal to the legal capital as prescribed by law in accordance with the licensed business operations, including the business operations supplementarily approved by the State Securities Commission.</w:t>
      </w:r>
    </w:p>
    <w:p w14:paraId="7FA28186" w14:textId="77777777" w:rsidR="00102F48" w:rsidRPr="00314466" w:rsidRDefault="00102F48" w:rsidP="00102F48">
      <w:pPr>
        <w:pStyle w:val="NoSpacing"/>
      </w:pPr>
    </w:p>
    <w:p w14:paraId="184FF2B5" w14:textId="37AE7F34" w:rsidR="00102F48" w:rsidRPr="002A0B87" w:rsidRDefault="00AC0216" w:rsidP="00102F48">
      <w:pPr>
        <w:pStyle w:val="NoSpacing"/>
        <w:rPr>
          <w:i/>
          <w:lang w:val="de-DE"/>
        </w:rPr>
      </w:pPr>
      <w:r w:rsidRPr="00AC0216">
        <w:rPr>
          <w:i/>
          <w:lang w:val="de-DE"/>
        </w:rPr>
        <w:t>Reserves</w:t>
      </w:r>
      <w:r w:rsidRPr="00AC0216" w:rsidDel="00AC0216">
        <w:rPr>
          <w:i/>
          <w:lang w:val="de-DE"/>
        </w:rPr>
        <w:t xml:space="preserve"> </w:t>
      </w:r>
    </w:p>
    <w:p w14:paraId="4E1EDB80" w14:textId="77777777" w:rsidR="00102F48" w:rsidRPr="002A0B87" w:rsidRDefault="00102F48" w:rsidP="00102F48">
      <w:pPr>
        <w:pStyle w:val="NoSpacing"/>
        <w:rPr>
          <w:lang w:val="de-DE"/>
        </w:rPr>
      </w:pPr>
    </w:p>
    <w:p w14:paraId="10D79DDC" w14:textId="13BAC71B" w:rsidR="00102F48" w:rsidRPr="002A0B87" w:rsidRDefault="00003156" w:rsidP="00102F48">
      <w:pPr>
        <w:pStyle w:val="NoSpacing"/>
        <w:rPr>
          <w:lang w:val="de-DE"/>
        </w:rPr>
      </w:pPr>
      <w:r w:rsidRPr="00003156">
        <w:rPr>
          <w:lang w:val="de-DE"/>
        </w:rPr>
        <w:t>According to Circular No. 146/2014/TT-BTC dated 6 October 2014 by the Ministry of Finance, the Company is required to make appropriation of annual profit after tax to reserves as follows:</w:t>
      </w:r>
    </w:p>
    <w:p w14:paraId="3ACFCB07" w14:textId="77777777" w:rsidR="00102F48" w:rsidRPr="002A0B87" w:rsidRDefault="00102F48" w:rsidP="00102F48">
      <w:pPr>
        <w:pStyle w:val="NoSpacing"/>
        <w:rPr>
          <w:lang w:val="de-DE"/>
        </w:rPr>
      </w:pPr>
      <w:r w:rsidRPr="002A0B87">
        <w:rPr>
          <w:lang w:val="de-DE"/>
        </w:rPr>
        <w:tab/>
      </w:r>
    </w:p>
    <w:tbl>
      <w:tblPr>
        <w:tblW w:w="8186" w:type="dxa"/>
        <w:tblInd w:w="720" w:type="dxa"/>
        <w:tblLayout w:type="fixed"/>
        <w:tblLook w:val="01E0" w:firstRow="1" w:lastRow="1" w:firstColumn="1" w:lastColumn="1" w:noHBand="0" w:noVBand="0"/>
      </w:tblPr>
      <w:tblGrid>
        <w:gridCol w:w="4050"/>
        <w:gridCol w:w="1980"/>
        <w:gridCol w:w="2156"/>
      </w:tblGrid>
      <w:tr w:rsidR="00102F48" w:rsidRPr="002A0B87" w14:paraId="56F9B168" w14:textId="77777777" w:rsidTr="00FA28E4">
        <w:tc>
          <w:tcPr>
            <w:tcW w:w="4050" w:type="dxa"/>
          </w:tcPr>
          <w:p w14:paraId="50AC97AB" w14:textId="77777777" w:rsidR="00102F48" w:rsidRPr="002A0B87" w:rsidRDefault="00102F48" w:rsidP="00701268">
            <w:pPr>
              <w:rPr>
                <w:rFonts w:cs="Arial"/>
                <w:lang w:val="de-DE"/>
              </w:rPr>
            </w:pPr>
          </w:p>
        </w:tc>
        <w:tc>
          <w:tcPr>
            <w:tcW w:w="1980" w:type="dxa"/>
            <w:vAlign w:val="bottom"/>
          </w:tcPr>
          <w:p w14:paraId="084369F2" w14:textId="7F751898" w:rsidR="00102F48" w:rsidRPr="002A0B87" w:rsidRDefault="00643FB7" w:rsidP="00701268">
            <w:pPr>
              <w:pBdr>
                <w:bottom w:val="single" w:sz="4" w:space="0" w:color="auto"/>
              </w:pBdr>
              <w:ind w:right="-86"/>
              <w:jc w:val="right"/>
              <w:rPr>
                <w:rFonts w:cs="Arial"/>
                <w:i/>
                <w:lang w:val="de-DE"/>
              </w:rPr>
            </w:pPr>
            <w:r w:rsidRPr="00643FB7">
              <w:rPr>
                <w:rFonts w:cs="Arial"/>
                <w:i/>
                <w:lang w:val="de-DE"/>
              </w:rPr>
              <w:t>Appropriation level from profit after tax</w:t>
            </w:r>
          </w:p>
        </w:tc>
        <w:tc>
          <w:tcPr>
            <w:tcW w:w="2156" w:type="dxa"/>
            <w:vAlign w:val="bottom"/>
          </w:tcPr>
          <w:p w14:paraId="1D440ED5" w14:textId="4A3D6B7D" w:rsidR="00102F48" w:rsidRPr="002A0B87" w:rsidRDefault="00DB6648" w:rsidP="00701268">
            <w:pPr>
              <w:pBdr>
                <w:bottom w:val="single" w:sz="4" w:space="0" w:color="auto"/>
              </w:pBdr>
              <w:ind w:right="-86"/>
              <w:jc w:val="right"/>
              <w:rPr>
                <w:rFonts w:cs="Arial"/>
                <w:i/>
                <w:lang w:val="de-DE"/>
              </w:rPr>
            </w:pPr>
            <w:r w:rsidRPr="00DB6648">
              <w:rPr>
                <w:rFonts w:cs="Arial"/>
                <w:i/>
                <w:lang w:val="de-DE"/>
              </w:rPr>
              <w:t>Maximum appropriation level</w:t>
            </w:r>
          </w:p>
        </w:tc>
      </w:tr>
      <w:tr w:rsidR="00102F48" w:rsidRPr="002A0B87" w14:paraId="79EE5F84" w14:textId="77777777" w:rsidTr="00FA28E4">
        <w:tc>
          <w:tcPr>
            <w:tcW w:w="4050" w:type="dxa"/>
          </w:tcPr>
          <w:p w14:paraId="4417CD2E" w14:textId="31518662" w:rsidR="00102F48" w:rsidRPr="002A0B87" w:rsidRDefault="00BB7EB4" w:rsidP="00701268">
            <w:pPr>
              <w:spacing w:before="120"/>
              <w:ind w:left="-108" w:right="-227"/>
              <w:rPr>
                <w:rFonts w:cs="Arial"/>
                <w:lang w:val="de-DE"/>
              </w:rPr>
            </w:pPr>
            <w:r w:rsidRPr="00BB7EB4">
              <w:rPr>
                <w:rFonts w:cs="Arial"/>
                <w:lang w:val="de-DE"/>
              </w:rPr>
              <w:t>Capital supplementary reserve</w:t>
            </w:r>
          </w:p>
        </w:tc>
        <w:tc>
          <w:tcPr>
            <w:tcW w:w="1980" w:type="dxa"/>
            <w:vAlign w:val="bottom"/>
          </w:tcPr>
          <w:p w14:paraId="602734DA" w14:textId="77777777" w:rsidR="00102F48" w:rsidRPr="002A0B87" w:rsidRDefault="00102F48" w:rsidP="00701268">
            <w:pPr>
              <w:spacing w:before="120"/>
              <w:ind w:right="-86"/>
              <w:jc w:val="right"/>
              <w:rPr>
                <w:rFonts w:cs="Arial"/>
                <w:lang w:val="en-GB"/>
              </w:rPr>
            </w:pPr>
            <w:r w:rsidRPr="002A0B87">
              <w:rPr>
                <w:rFonts w:cs="Arial"/>
                <w:lang w:val="en-GB"/>
              </w:rPr>
              <w:t>5%</w:t>
            </w:r>
          </w:p>
        </w:tc>
        <w:tc>
          <w:tcPr>
            <w:tcW w:w="2156" w:type="dxa"/>
            <w:vAlign w:val="bottom"/>
          </w:tcPr>
          <w:p w14:paraId="5B23728D" w14:textId="1F9D2DA1" w:rsidR="00102F48" w:rsidRPr="002A0B87" w:rsidRDefault="00DC7357" w:rsidP="00701268">
            <w:pPr>
              <w:spacing w:before="120"/>
              <w:ind w:right="-86"/>
              <w:jc w:val="right"/>
              <w:rPr>
                <w:rFonts w:cs="Arial"/>
                <w:lang w:val="en-GB"/>
              </w:rPr>
            </w:pPr>
            <w:r w:rsidRPr="00DC7357">
              <w:rPr>
                <w:rFonts w:cs="Arial"/>
                <w:lang w:val="en-GB"/>
              </w:rPr>
              <w:t>10% of charter capital</w:t>
            </w:r>
          </w:p>
        </w:tc>
      </w:tr>
      <w:tr w:rsidR="00102F48" w:rsidRPr="002A0B87" w14:paraId="561FFF74" w14:textId="77777777" w:rsidTr="00FA28E4">
        <w:tc>
          <w:tcPr>
            <w:tcW w:w="4050" w:type="dxa"/>
          </w:tcPr>
          <w:p w14:paraId="48D3320E" w14:textId="6BEC2CA9" w:rsidR="00102F48" w:rsidRPr="002A0B87" w:rsidRDefault="00FA041F" w:rsidP="00701268">
            <w:pPr>
              <w:ind w:left="-108"/>
              <w:rPr>
                <w:rFonts w:cs="Arial"/>
                <w:lang w:val="en-GB"/>
              </w:rPr>
            </w:pPr>
            <w:r w:rsidRPr="00FA041F">
              <w:rPr>
                <w:rFonts w:cs="Arial"/>
                <w:lang w:val="en-GB"/>
              </w:rPr>
              <w:t>Operational risk and financial reserve</w:t>
            </w:r>
          </w:p>
        </w:tc>
        <w:tc>
          <w:tcPr>
            <w:tcW w:w="1980" w:type="dxa"/>
            <w:vAlign w:val="bottom"/>
          </w:tcPr>
          <w:p w14:paraId="69341A86" w14:textId="77777777" w:rsidR="00102F48" w:rsidRPr="002A0B87" w:rsidRDefault="00102F48" w:rsidP="00701268">
            <w:pPr>
              <w:ind w:right="-86"/>
              <w:jc w:val="right"/>
              <w:rPr>
                <w:rFonts w:cs="Arial"/>
                <w:lang w:val="en-GB"/>
              </w:rPr>
            </w:pPr>
            <w:r w:rsidRPr="002A0B87">
              <w:rPr>
                <w:rFonts w:cs="Arial"/>
                <w:lang w:val="en-GB"/>
              </w:rPr>
              <w:t>5%</w:t>
            </w:r>
          </w:p>
        </w:tc>
        <w:tc>
          <w:tcPr>
            <w:tcW w:w="2156" w:type="dxa"/>
            <w:vAlign w:val="bottom"/>
          </w:tcPr>
          <w:p w14:paraId="0EEA85E9" w14:textId="5E7A51EB" w:rsidR="00102F48" w:rsidRPr="002A0B87" w:rsidRDefault="00DC7357" w:rsidP="00701268">
            <w:pPr>
              <w:ind w:right="-86"/>
              <w:jc w:val="right"/>
              <w:rPr>
                <w:rFonts w:cs="Arial"/>
                <w:lang w:val="en-GB"/>
              </w:rPr>
            </w:pPr>
            <w:r w:rsidRPr="00DC7357">
              <w:rPr>
                <w:rFonts w:cs="Arial"/>
                <w:lang w:val="en-GB"/>
              </w:rPr>
              <w:t>10% of charter capital</w:t>
            </w:r>
          </w:p>
        </w:tc>
      </w:tr>
    </w:tbl>
    <w:p w14:paraId="2497EDBE" w14:textId="77777777" w:rsidR="00102F48" w:rsidRPr="002A0B87" w:rsidRDefault="00102F48" w:rsidP="00102F48">
      <w:pPr>
        <w:pStyle w:val="NoSpacing"/>
        <w:rPr>
          <w:lang w:val="de-DE"/>
        </w:rPr>
      </w:pPr>
    </w:p>
    <w:p w14:paraId="73885B60" w14:textId="13AFB0D5" w:rsidR="00102F48" w:rsidRPr="002A0B87" w:rsidRDefault="00F168B8" w:rsidP="00102F48">
      <w:pPr>
        <w:pStyle w:val="NoSpacing"/>
        <w:rPr>
          <w:lang w:val="de-DE"/>
        </w:rPr>
      </w:pPr>
      <w:r w:rsidRPr="00F168B8">
        <w:rPr>
          <w:lang w:val="de-DE"/>
        </w:rPr>
        <w:t>Other reserves are appropriated in accordance with the Resolution of the General Meeting of Shareholders and current regulations.</w:t>
      </w:r>
    </w:p>
    <w:p w14:paraId="42B01BF0" w14:textId="77777777" w:rsidR="003B7A24" w:rsidRDefault="003B7A24" w:rsidP="002A0BFD">
      <w:pPr>
        <w:pStyle w:val="NoSpacing"/>
        <w:rPr>
          <w:lang w:val="de-DE"/>
        </w:rPr>
      </w:pPr>
    </w:p>
    <w:p w14:paraId="7971CE10" w14:textId="24894F33" w:rsidR="00102F48" w:rsidRPr="002A0B87" w:rsidRDefault="00102F48" w:rsidP="003B7A24">
      <w:pPr>
        <w:overflowPunct/>
        <w:textAlignment w:val="auto"/>
        <w:rPr>
          <w:rFonts w:cs="Arial"/>
          <w:bCs/>
          <w:iCs/>
          <w:lang w:val="de-DE"/>
        </w:rPr>
        <w:sectPr w:rsidR="00102F48" w:rsidRPr="002A0B87" w:rsidSect="0046301C">
          <w:pgSz w:w="11909" w:h="16834" w:code="9"/>
          <w:pgMar w:top="1440" w:right="1440" w:bottom="864" w:left="1584" w:header="720" w:footer="576" w:gutter="0"/>
          <w:cols w:space="720"/>
          <w:docGrid w:linePitch="272"/>
        </w:sectPr>
      </w:pPr>
    </w:p>
    <w:p w14:paraId="5BD21B37" w14:textId="1281C733" w:rsidR="00DC5E00" w:rsidRPr="002A0B87" w:rsidRDefault="00DC5E00" w:rsidP="00DC5E00">
      <w:pPr>
        <w:ind w:left="720" w:hanging="720"/>
        <w:rPr>
          <w:rFonts w:cs="Arial"/>
          <w:bCs/>
        </w:rPr>
      </w:pPr>
      <w:r w:rsidRPr="002A0B87">
        <w:rPr>
          <w:rFonts w:cs="Arial"/>
          <w:b/>
          <w:bCs/>
        </w:rPr>
        <w:lastRenderedPageBreak/>
        <w:t>4.</w:t>
      </w:r>
      <w:r w:rsidRPr="002A0B87">
        <w:rPr>
          <w:rFonts w:cs="Arial"/>
          <w:b/>
          <w:bCs/>
        </w:rPr>
        <w:tab/>
      </w:r>
      <w:r w:rsidR="005114BF" w:rsidRPr="005114BF">
        <w:rPr>
          <w:rFonts w:cs="Arial"/>
          <w:b/>
          <w:bCs/>
        </w:rPr>
        <w:t xml:space="preserve">SUMMARY OF SIGNIFICANT ACCOUNTING POLICIES </w:t>
      </w:r>
      <w:r w:rsidR="005114BF" w:rsidRPr="00FA28E4">
        <w:rPr>
          <w:rFonts w:cs="Arial"/>
        </w:rPr>
        <w:t>(continued)</w:t>
      </w:r>
    </w:p>
    <w:p w14:paraId="48AE8B5A" w14:textId="77777777" w:rsidR="00102F48" w:rsidRPr="002A0B87" w:rsidRDefault="00102F48" w:rsidP="00102F48">
      <w:pPr>
        <w:pStyle w:val="NoSpacing"/>
      </w:pPr>
    </w:p>
    <w:p w14:paraId="6B24D77B" w14:textId="1DE44CF5" w:rsidR="00102F48" w:rsidRPr="002A0B87" w:rsidRDefault="00102F48" w:rsidP="00102F48">
      <w:pPr>
        <w:ind w:left="720" w:hanging="720"/>
        <w:rPr>
          <w:rFonts w:cs="Arial"/>
        </w:rPr>
      </w:pPr>
      <w:r w:rsidRPr="002A0B87">
        <w:rPr>
          <w:rFonts w:cs="Arial"/>
          <w:b/>
          <w:i/>
        </w:rPr>
        <w:t>4</w:t>
      </w:r>
      <w:r w:rsidRPr="002A0B87">
        <w:rPr>
          <w:rFonts w:cs="Arial"/>
          <w:b/>
          <w:i/>
          <w:lang w:val="vi-VN"/>
        </w:rPr>
        <w:t>.</w:t>
      </w:r>
      <w:r>
        <w:rPr>
          <w:rFonts w:cs="Arial"/>
          <w:b/>
          <w:i/>
        </w:rPr>
        <w:t>2</w:t>
      </w:r>
      <w:r w:rsidR="00707B85">
        <w:rPr>
          <w:rFonts w:cs="Arial"/>
          <w:b/>
          <w:i/>
        </w:rPr>
        <w:t>3</w:t>
      </w:r>
      <w:r w:rsidRPr="002A0B87">
        <w:rPr>
          <w:rFonts w:cs="Arial"/>
          <w:b/>
          <w:i/>
          <w:lang w:val="vi-VN"/>
        </w:rPr>
        <w:tab/>
      </w:r>
      <w:r w:rsidR="004339F6" w:rsidRPr="004339F6">
        <w:rPr>
          <w:rFonts w:cs="Arial"/>
          <w:b/>
          <w:i/>
          <w:lang w:val="vi-VN"/>
        </w:rPr>
        <w:t>Owners’ equity</w:t>
      </w:r>
      <w:r w:rsidR="004339F6" w:rsidRPr="004339F6" w:rsidDel="004339F6">
        <w:rPr>
          <w:rFonts w:cs="Arial"/>
          <w:b/>
          <w:i/>
          <w:lang w:val="vi-VN"/>
        </w:rPr>
        <w:t xml:space="preserve"> </w:t>
      </w:r>
      <w:r w:rsidR="004339F6" w:rsidRPr="00FA28E4">
        <w:rPr>
          <w:rFonts w:cs="Arial"/>
          <w:bCs/>
          <w:iCs/>
          <w:lang w:val="vi-VN"/>
        </w:rPr>
        <w:t>(continued)</w:t>
      </w:r>
    </w:p>
    <w:p w14:paraId="174C0884" w14:textId="77777777" w:rsidR="009D6C24" w:rsidRPr="002A0B87" w:rsidRDefault="009D6C24" w:rsidP="008D0B9A">
      <w:pPr>
        <w:pStyle w:val="NoSpacing"/>
        <w:rPr>
          <w:lang w:val="de-DE"/>
        </w:rPr>
      </w:pPr>
    </w:p>
    <w:p w14:paraId="2209EEC3" w14:textId="4024931B" w:rsidR="001571F1" w:rsidRPr="002A0B87" w:rsidRDefault="00101F06" w:rsidP="008D0B9A">
      <w:pPr>
        <w:pStyle w:val="NoSpacing"/>
        <w:rPr>
          <w:i/>
          <w:lang w:val="de-DE"/>
        </w:rPr>
      </w:pPr>
      <w:r w:rsidRPr="00101F06">
        <w:rPr>
          <w:i/>
          <w:lang w:val="de-DE"/>
        </w:rPr>
        <w:t>Undistributed profit</w:t>
      </w:r>
      <w:r w:rsidRPr="00101F06" w:rsidDel="00101F06">
        <w:rPr>
          <w:i/>
          <w:lang w:val="de-DE"/>
        </w:rPr>
        <w:t xml:space="preserve"> </w:t>
      </w:r>
    </w:p>
    <w:p w14:paraId="7219793E" w14:textId="77777777" w:rsidR="00564F45" w:rsidRPr="002A0B87" w:rsidRDefault="00564F45" w:rsidP="008D0B9A">
      <w:pPr>
        <w:pStyle w:val="NoSpacing"/>
        <w:rPr>
          <w:lang w:val="de-DE"/>
        </w:rPr>
      </w:pPr>
    </w:p>
    <w:p w14:paraId="564D2786" w14:textId="2C6A34A9" w:rsidR="00564F45" w:rsidRPr="002A0B87" w:rsidRDefault="009F7E5D" w:rsidP="008D0B9A">
      <w:pPr>
        <w:pStyle w:val="NoSpacing"/>
        <w:rPr>
          <w:lang w:val="de-DE"/>
        </w:rPr>
      </w:pPr>
      <w:r w:rsidRPr="009F7E5D">
        <w:rPr>
          <w:lang w:val="de-DE"/>
        </w:rPr>
        <w:t>Undistributed profit is comprised of realized and unrealized profit.</w:t>
      </w:r>
    </w:p>
    <w:p w14:paraId="68F21E03" w14:textId="77777777" w:rsidR="00564F45" w:rsidRPr="002A0B87" w:rsidRDefault="00564F45" w:rsidP="008D0B9A">
      <w:pPr>
        <w:pStyle w:val="NoSpacing"/>
        <w:rPr>
          <w:lang w:val="de-DE"/>
        </w:rPr>
      </w:pPr>
    </w:p>
    <w:p w14:paraId="7153D8F2" w14:textId="088E73AC" w:rsidR="008E360A" w:rsidRPr="002A0B87" w:rsidRDefault="00F83D63" w:rsidP="008D0B9A">
      <w:pPr>
        <w:pStyle w:val="NoSpacing"/>
        <w:rPr>
          <w:lang w:val="de-DE"/>
        </w:rPr>
      </w:pPr>
      <w:r w:rsidRPr="00F83D63">
        <w:rPr>
          <w:lang w:val="de-DE"/>
        </w:rPr>
        <w:t>Unrealized profit of the year is the difference between gain and loss arising from revaluation of financial assets at FVTPL or other financial assets in the  income statement under the Company’s financial assets and deferred tax income/expenses in the year.</w:t>
      </w:r>
    </w:p>
    <w:p w14:paraId="38B6A8C9" w14:textId="77777777" w:rsidR="008E360A" w:rsidRPr="002A0B87" w:rsidRDefault="008E360A" w:rsidP="008D0B9A">
      <w:pPr>
        <w:pStyle w:val="NoSpacing"/>
        <w:rPr>
          <w:lang w:val="de-DE"/>
        </w:rPr>
      </w:pPr>
    </w:p>
    <w:p w14:paraId="11596F5E" w14:textId="000E0210" w:rsidR="00120116" w:rsidRPr="002A0B87" w:rsidRDefault="00E24D2D" w:rsidP="008D0B9A">
      <w:pPr>
        <w:pStyle w:val="NoSpacing"/>
        <w:rPr>
          <w:lang w:val="de-DE"/>
        </w:rPr>
      </w:pPr>
      <w:r w:rsidRPr="00E24D2D">
        <w:rPr>
          <w:lang w:val="de-DE"/>
        </w:rPr>
        <w:t>Realized profit during the year is the net difference between total revenue and income, and total expenses in the  income statement of the Company, except for gain or loss arising from revaluation of financial assets recognized in unrealized profit.</w:t>
      </w:r>
    </w:p>
    <w:p w14:paraId="2F12216C" w14:textId="77777777" w:rsidR="00B334C6" w:rsidRPr="002A0B87" w:rsidRDefault="00B334C6" w:rsidP="008D0B9A">
      <w:pPr>
        <w:pStyle w:val="NoSpacing"/>
        <w:rPr>
          <w:lang w:val="de-DE"/>
        </w:rPr>
      </w:pPr>
    </w:p>
    <w:p w14:paraId="60F8DCF0" w14:textId="5629CBC3" w:rsidR="00967476" w:rsidRPr="002A0B87" w:rsidRDefault="00967476" w:rsidP="008D0B9A">
      <w:pPr>
        <w:pStyle w:val="NoSpacing"/>
        <w:rPr>
          <w:lang w:val="de-DE"/>
        </w:rPr>
      </w:pPr>
      <w:r w:rsidRPr="002A0B87">
        <w:rPr>
          <w:i/>
          <w:lang w:val="de-DE"/>
        </w:rPr>
        <w:tab/>
      </w:r>
      <w:r w:rsidR="00DE180F" w:rsidRPr="00DE180F">
        <w:rPr>
          <w:i/>
          <w:lang w:val="de-DE"/>
        </w:rPr>
        <w:t>Appropriation of net profit</w:t>
      </w:r>
      <w:r w:rsidR="00DE180F" w:rsidRPr="00DE180F" w:rsidDel="00DE180F">
        <w:rPr>
          <w:i/>
          <w:lang w:val="de-DE"/>
        </w:rPr>
        <w:t xml:space="preserve"> </w:t>
      </w:r>
    </w:p>
    <w:p w14:paraId="4640CCFC" w14:textId="77777777" w:rsidR="00967476" w:rsidRPr="002A0B87" w:rsidRDefault="00967476" w:rsidP="008D0B9A">
      <w:pPr>
        <w:pStyle w:val="NoSpacing"/>
        <w:rPr>
          <w:lang w:val="de-DE"/>
        </w:rPr>
      </w:pPr>
    </w:p>
    <w:p w14:paraId="3F04CBAB" w14:textId="624DE866" w:rsidR="00967476" w:rsidRPr="002A0B87" w:rsidRDefault="00342ED5" w:rsidP="008D0B9A">
      <w:pPr>
        <w:pStyle w:val="NoSpacing"/>
        <w:rPr>
          <w:lang w:val="de-DE"/>
        </w:rPr>
      </w:pPr>
      <w:r w:rsidRPr="00342ED5">
        <w:rPr>
          <w:lang w:val="de-DE"/>
        </w:rPr>
        <w:t>Net profit after tax is available for distribution to shareholders after being approved in the General Meeting of Shareholders and after making appropriation to reserves in accordance with the Company’s Charter and Vietnamese regulatory requirements.</w:t>
      </w:r>
    </w:p>
    <w:p w14:paraId="184266D0" w14:textId="77777777" w:rsidR="00147C0A" w:rsidRPr="002A0B87" w:rsidRDefault="00147C0A" w:rsidP="008D0B9A">
      <w:pPr>
        <w:pStyle w:val="NoSpacing"/>
      </w:pPr>
    </w:p>
    <w:p w14:paraId="466F0996" w14:textId="5A690A60" w:rsidR="00147C0A" w:rsidRPr="002A0B87" w:rsidRDefault="00147C0A" w:rsidP="008D0B9A">
      <w:pPr>
        <w:pStyle w:val="Heading2"/>
      </w:pPr>
      <w:r w:rsidRPr="002A0B87">
        <w:t>4.2</w:t>
      </w:r>
      <w:r w:rsidR="00E838F0">
        <w:t>4</w:t>
      </w:r>
      <w:r w:rsidRPr="002A0B87">
        <w:tab/>
      </w:r>
      <w:r w:rsidR="00DF6ED2" w:rsidRPr="00DF6ED2">
        <w:t>Nil balances</w:t>
      </w:r>
      <w:r w:rsidR="00DF6ED2" w:rsidRPr="00DF6ED2" w:rsidDel="00DF6ED2">
        <w:t xml:space="preserve"> </w:t>
      </w:r>
    </w:p>
    <w:p w14:paraId="2CCF9908" w14:textId="77777777" w:rsidR="00147C0A" w:rsidRPr="002A0B87" w:rsidRDefault="00147C0A" w:rsidP="008D0B9A">
      <w:pPr>
        <w:pStyle w:val="NoSpacing"/>
        <w:rPr>
          <w:lang w:val="de-DE"/>
        </w:rPr>
      </w:pPr>
    </w:p>
    <w:p w14:paraId="2D12F72C" w14:textId="03FC888B" w:rsidR="00F3598D" w:rsidRPr="002A0B87" w:rsidRDefault="00D3326C" w:rsidP="008D0B9A">
      <w:pPr>
        <w:pStyle w:val="NoSpacing"/>
        <w:rPr>
          <w:lang w:val="de-DE"/>
        </w:rPr>
      </w:pPr>
      <w:r w:rsidRPr="00D3326C">
        <w:rPr>
          <w:lang w:val="de-DE"/>
        </w:rPr>
        <w:t xml:space="preserve">Items or balances required by Circular No. </w:t>
      </w:r>
      <w:r w:rsidR="00E01045">
        <w:rPr>
          <w:lang w:val="de-DE"/>
        </w:rPr>
        <w:t>121</w:t>
      </w:r>
      <w:r w:rsidRPr="00D3326C">
        <w:rPr>
          <w:lang w:val="de-DE"/>
        </w:rPr>
        <w:t>/20</w:t>
      </w:r>
      <w:r w:rsidR="00E01045">
        <w:rPr>
          <w:lang w:val="de-DE"/>
        </w:rPr>
        <w:t>20</w:t>
      </w:r>
      <w:r w:rsidRPr="00D3326C">
        <w:rPr>
          <w:lang w:val="de-DE"/>
        </w:rPr>
        <w:t>/TT-BTC dated 3</w:t>
      </w:r>
      <w:r w:rsidR="00E01045">
        <w:rPr>
          <w:lang w:val="de-DE"/>
        </w:rPr>
        <w:t>1</w:t>
      </w:r>
      <w:r w:rsidRPr="00D3326C">
        <w:rPr>
          <w:lang w:val="de-DE"/>
        </w:rPr>
        <w:t xml:space="preserve"> December 20</w:t>
      </w:r>
      <w:r w:rsidR="00E01045">
        <w:rPr>
          <w:lang w:val="de-DE"/>
        </w:rPr>
        <w:t>20</w:t>
      </w:r>
      <w:r w:rsidRPr="00D3326C">
        <w:rPr>
          <w:lang w:val="de-DE"/>
        </w:rPr>
        <w:t>, Circular No. 334/2016/TT-BTC dated 27 December 2016 and Circular No. 146/2014/TT-BTC dated 6 October 2014 issued by the Ministry of Finance that are not included in these  financial statements indicate nil balance.</w:t>
      </w:r>
    </w:p>
    <w:p w14:paraId="25EA4734" w14:textId="27BA6DEF" w:rsidR="00147C0A" w:rsidRPr="002A0B87" w:rsidRDefault="00147C0A" w:rsidP="008D0B9A">
      <w:pPr>
        <w:pStyle w:val="NoSpacing"/>
        <w:rPr>
          <w:lang w:val="de-DE"/>
        </w:rPr>
      </w:pPr>
    </w:p>
    <w:p w14:paraId="5014FD63" w14:textId="77777777" w:rsidR="00147C0A" w:rsidRPr="002A0B87" w:rsidRDefault="00147C0A" w:rsidP="00147C0A">
      <w:pPr>
        <w:overflowPunct/>
        <w:autoSpaceDE/>
        <w:autoSpaceDN/>
        <w:adjustRightInd/>
        <w:textAlignment w:val="auto"/>
        <w:rPr>
          <w:rFonts w:cs="Arial"/>
          <w:lang w:val="de-DE"/>
        </w:rPr>
        <w:sectPr w:rsidR="00147C0A" w:rsidRPr="002A0B87" w:rsidSect="008F7564">
          <w:pgSz w:w="11909" w:h="16834" w:code="9"/>
          <w:pgMar w:top="1440" w:right="1440" w:bottom="862" w:left="1582" w:header="720" w:footer="578" w:gutter="0"/>
          <w:cols w:space="720"/>
          <w:docGrid w:linePitch="272"/>
        </w:sectPr>
      </w:pPr>
    </w:p>
    <w:p w14:paraId="17BB3C5F" w14:textId="0A0EE7E2" w:rsidR="00882159" w:rsidRPr="002A0B87" w:rsidRDefault="00882159" w:rsidP="00882159">
      <w:pPr>
        <w:pStyle w:val="BodyText"/>
        <w:ind w:left="720" w:hanging="720"/>
        <w:textAlignment w:val="auto"/>
        <w:outlineLvl w:val="0"/>
        <w:rPr>
          <w:rFonts w:ascii="Arial" w:hAnsi="Arial" w:cs="Arial"/>
          <w:b/>
          <w:bCs/>
        </w:rPr>
      </w:pPr>
      <w:r w:rsidRPr="002A0B87">
        <w:rPr>
          <w:rFonts w:ascii="Arial" w:hAnsi="Arial" w:cs="Arial"/>
          <w:b/>
          <w:bCs/>
        </w:rPr>
        <w:lastRenderedPageBreak/>
        <w:t>5.</w:t>
      </w:r>
      <w:r w:rsidRPr="002A0B87">
        <w:rPr>
          <w:rFonts w:ascii="Arial" w:hAnsi="Arial" w:cs="Arial"/>
          <w:b/>
          <w:bCs/>
        </w:rPr>
        <w:tab/>
      </w:r>
      <w:r w:rsidR="00761B3F" w:rsidRPr="00761B3F">
        <w:rPr>
          <w:rFonts w:ascii="Arial" w:hAnsi="Arial" w:cs="Arial"/>
          <w:b/>
          <w:bCs/>
        </w:rPr>
        <w:t>CASH AND CASH EQUIVALENTS</w:t>
      </w:r>
      <w:r w:rsidR="00761B3F" w:rsidRPr="00761B3F" w:rsidDel="00761B3F">
        <w:rPr>
          <w:rFonts w:ascii="Arial" w:hAnsi="Arial" w:cs="Arial"/>
          <w:b/>
          <w:bCs/>
        </w:rPr>
        <w:t xml:space="preserve"> </w:t>
      </w:r>
    </w:p>
    <w:p w14:paraId="0507D431" w14:textId="77777777" w:rsidR="00882159" w:rsidRPr="002A0B87" w:rsidRDefault="00882159" w:rsidP="00C90B5D">
      <w:pPr>
        <w:pStyle w:val="NoSpacing"/>
      </w:pPr>
    </w:p>
    <w:tbl>
      <w:tblPr>
        <w:tblW w:w="8160" w:type="dxa"/>
        <w:tblInd w:w="720" w:type="dxa"/>
        <w:tblLayout w:type="fixed"/>
        <w:tblLook w:val="01E0" w:firstRow="1" w:lastRow="1" w:firstColumn="1" w:lastColumn="1" w:noHBand="0" w:noVBand="0"/>
      </w:tblPr>
      <w:tblGrid>
        <w:gridCol w:w="4764"/>
        <w:gridCol w:w="1626"/>
        <w:gridCol w:w="1770"/>
      </w:tblGrid>
      <w:tr w:rsidR="0073232E" w:rsidRPr="002A0B87" w14:paraId="304D4198" w14:textId="77777777" w:rsidTr="00FA28E4">
        <w:trPr>
          <w:trHeight w:val="20"/>
          <w:tblHeader/>
        </w:trPr>
        <w:tc>
          <w:tcPr>
            <w:tcW w:w="4764" w:type="dxa"/>
            <w:vAlign w:val="bottom"/>
          </w:tcPr>
          <w:p w14:paraId="6DEB54C7" w14:textId="77777777" w:rsidR="0073232E" w:rsidRPr="002A0B87" w:rsidRDefault="0073232E" w:rsidP="00D06928">
            <w:pPr>
              <w:widowControl w:val="0"/>
              <w:overflowPunct/>
              <w:autoSpaceDE/>
              <w:autoSpaceDN/>
              <w:adjustRightInd/>
              <w:ind w:left="-115"/>
              <w:textAlignment w:val="auto"/>
              <w:rPr>
                <w:rFonts w:eastAsia="Batang" w:cs="Arial"/>
                <w:i/>
                <w:lang w:val="es-ES"/>
              </w:rPr>
            </w:pPr>
          </w:p>
        </w:tc>
        <w:tc>
          <w:tcPr>
            <w:tcW w:w="1626" w:type="dxa"/>
            <w:vAlign w:val="bottom"/>
            <w:hideMark/>
          </w:tcPr>
          <w:p w14:paraId="4B3DEA90" w14:textId="77777777" w:rsidR="0012598F" w:rsidRPr="0012598F" w:rsidRDefault="0012598F" w:rsidP="0012598F">
            <w:pPr>
              <w:widowControl w:val="0"/>
              <w:pBdr>
                <w:bottom w:val="single" w:sz="4" w:space="0" w:color="auto"/>
              </w:pBdr>
              <w:overflowPunct/>
              <w:autoSpaceDE/>
              <w:autoSpaceDN/>
              <w:adjustRightInd/>
              <w:ind w:left="57" w:right="-85"/>
              <w:jc w:val="right"/>
              <w:textAlignment w:val="auto"/>
              <w:rPr>
                <w:rFonts w:eastAsia="Batang" w:cs="Arial"/>
                <w:bCs/>
                <w:i/>
              </w:rPr>
            </w:pPr>
            <w:r w:rsidRPr="0012598F">
              <w:rPr>
                <w:rFonts w:eastAsia="Batang" w:cs="Arial"/>
                <w:bCs/>
                <w:i/>
              </w:rPr>
              <w:t>Ending balance</w:t>
            </w:r>
          </w:p>
          <w:p w14:paraId="0BE2550B" w14:textId="71B018D6" w:rsidR="0073232E" w:rsidRPr="002A0B87" w:rsidRDefault="0012598F" w:rsidP="0073232E">
            <w:pPr>
              <w:widowControl w:val="0"/>
              <w:pBdr>
                <w:bottom w:val="single" w:sz="4" w:space="0" w:color="auto"/>
              </w:pBdr>
              <w:ind w:left="57" w:right="-85"/>
              <w:jc w:val="right"/>
              <w:rPr>
                <w:rFonts w:cs="Arial"/>
                <w:bCs/>
                <w:i/>
              </w:rPr>
            </w:pPr>
            <w:r w:rsidRPr="0012598F">
              <w:rPr>
                <w:rFonts w:eastAsia="Batang" w:cs="Arial"/>
                <w:bCs/>
                <w:i/>
              </w:rPr>
              <w:t>VND</w:t>
            </w:r>
          </w:p>
        </w:tc>
        <w:tc>
          <w:tcPr>
            <w:tcW w:w="1770" w:type="dxa"/>
            <w:vAlign w:val="bottom"/>
            <w:hideMark/>
          </w:tcPr>
          <w:p w14:paraId="3B646343" w14:textId="77777777" w:rsidR="00690743" w:rsidRPr="00690743" w:rsidRDefault="00690743" w:rsidP="00690743">
            <w:pPr>
              <w:widowControl w:val="0"/>
              <w:pBdr>
                <w:bottom w:val="single" w:sz="4" w:space="0" w:color="auto"/>
              </w:pBdr>
              <w:overflowPunct/>
              <w:autoSpaceDE/>
              <w:autoSpaceDN/>
              <w:adjustRightInd/>
              <w:ind w:left="57" w:right="-85"/>
              <w:jc w:val="right"/>
              <w:textAlignment w:val="auto"/>
              <w:rPr>
                <w:rFonts w:eastAsia="Batang" w:cs="Arial"/>
                <w:bCs/>
                <w:i/>
              </w:rPr>
            </w:pPr>
            <w:r w:rsidRPr="00690743">
              <w:rPr>
                <w:rFonts w:eastAsia="Batang" w:cs="Arial"/>
                <w:bCs/>
                <w:i/>
              </w:rPr>
              <w:t>Opening balance</w:t>
            </w:r>
          </w:p>
          <w:p w14:paraId="67E7524D" w14:textId="03C676D3" w:rsidR="0073232E" w:rsidRPr="002A0B87" w:rsidRDefault="00690743" w:rsidP="0073232E">
            <w:pPr>
              <w:widowControl w:val="0"/>
              <w:pBdr>
                <w:bottom w:val="single" w:sz="4" w:space="0" w:color="auto"/>
              </w:pBdr>
              <w:ind w:left="57" w:right="-85"/>
              <w:jc w:val="right"/>
              <w:rPr>
                <w:rFonts w:cs="Arial"/>
                <w:bCs/>
                <w:i/>
              </w:rPr>
            </w:pPr>
            <w:r w:rsidRPr="00690743">
              <w:rPr>
                <w:rFonts w:eastAsia="Batang" w:cs="Arial"/>
                <w:bCs/>
                <w:i/>
              </w:rPr>
              <w:t>VND</w:t>
            </w:r>
            <w:r w:rsidR="0073232E" w:rsidRPr="002A0B87">
              <w:rPr>
                <w:rFonts w:eastAsia="Batang" w:cs="Arial"/>
                <w:i/>
                <w:iCs/>
              </w:rPr>
              <w:t xml:space="preserve"> </w:t>
            </w:r>
          </w:p>
        </w:tc>
      </w:tr>
      <w:tr w:rsidR="00AF7977" w:rsidRPr="002A0B87" w14:paraId="6A524C6B" w14:textId="77777777" w:rsidTr="00BF1D69">
        <w:trPr>
          <w:trHeight w:val="20"/>
        </w:trPr>
        <w:tc>
          <w:tcPr>
            <w:tcW w:w="4764" w:type="dxa"/>
            <w:vAlign w:val="bottom"/>
          </w:tcPr>
          <w:p w14:paraId="43884AE6" w14:textId="16DD55EB" w:rsidR="00AF7977" w:rsidRPr="002A0B87" w:rsidRDefault="00AF7977" w:rsidP="00AF7977">
            <w:pPr>
              <w:widowControl w:val="0"/>
              <w:ind w:left="-115"/>
              <w:rPr>
                <w:rFonts w:cs="Arial"/>
              </w:rPr>
            </w:pPr>
            <w:r w:rsidRPr="006D2DEB">
              <w:rPr>
                <w:rFonts w:cs="Arial"/>
              </w:rPr>
              <w:t>Cash at banks for the operation of the Company</w:t>
            </w:r>
          </w:p>
        </w:tc>
        <w:tc>
          <w:tcPr>
            <w:tcW w:w="1626" w:type="dxa"/>
            <w:vAlign w:val="bottom"/>
          </w:tcPr>
          <w:p w14:paraId="5EAE2C93" w14:textId="12850B7B" w:rsidR="00AF7977" w:rsidRPr="00254501" w:rsidRDefault="00AF7977" w:rsidP="00BF1D69">
            <w:pPr>
              <w:widowControl w:val="0"/>
              <w:pBdr>
                <w:bottom w:val="single" w:sz="4" w:space="1" w:color="auto"/>
              </w:pBdr>
              <w:spacing w:before="120"/>
              <w:ind w:left="57" w:right="-85"/>
              <w:jc w:val="right"/>
              <w:rPr>
                <w:rFonts w:eastAsia="Batang" w:cs="Arial"/>
                <w:lang w:eastAsia="ko-KR"/>
              </w:rPr>
            </w:pPr>
            <w:r w:rsidRPr="007C5A6A">
              <w:t>2</w:t>
            </w:r>
            <w:r w:rsidR="00BF1D69">
              <w:t>,</w:t>
            </w:r>
            <w:r w:rsidRPr="007C5A6A">
              <w:t>929</w:t>
            </w:r>
            <w:r w:rsidR="00BF1D69">
              <w:t>,</w:t>
            </w:r>
            <w:r w:rsidRPr="007C5A6A">
              <w:t>537</w:t>
            </w:r>
            <w:r w:rsidR="00BF1D69">
              <w:t>,</w:t>
            </w:r>
            <w:r w:rsidRPr="007C5A6A">
              <w:t>893</w:t>
            </w:r>
          </w:p>
        </w:tc>
        <w:tc>
          <w:tcPr>
            <w:tcW w:w="1770" w:type="dxa"/>
            <w:vAlign w:val="bottom"/>
          </w:tcPr>
          <w:p w14:paraId="5AF0FE22" w14:textId="74BF7AA8" w:rsidR="00AF7977" w:rsidRPr="002A0B87" w:rsidRDefault="00AF7977" w:rsidP="00BF1D69">
            <w:pPr>
              <w:widowControl w:val="0"/>
              <w:pBdr>
                <w:bottom w:val="single" w:sz="4" w:space="1" w:color="auto"/>
              </w:pBdr>
              <w:spacing w:before="120"/>
              <w:ind w:left="57" w:right="-85"/>
              <w:jc w:val="right"/>
              <w:rPr>
                <w:rFonts w:eastAsia="Batang" w:cs="Arial"/>
                <w:lang w:eastAsia="ko-KR"/>
              </w:rPr>
            </w:pPr>
            <w:r w:rsidRPr="007C5A6A">
              <w:t>83</w:t>
            </w:r>
            <w:r w:rsidR="00BF1D69">
              <w:t>,</w:t>
            </w:r>
            <w:r w:rsidRPr="007C5A6A">
              <w:t>889</w:t>
            </w:r>
            <w:r w:rsidR="00BF1D69">
              <w:t>,</w:t>
            </w:r>
            <w:r w:rsidRPr="007C5A6A">
              <w:t>044</w:t>
            </w:r>
            <w:r w:rsidR="00BF1D69">
              <w:t>,</w:t>
            </w:r>
            <w:r w:rsidRPr="007C5A6A">
              <w:t>845</w:t>
            </w:r>
          </w:p>
        </w:tc>
      </w:tr>
      <w:tr w:rsidR="00AF7977" w:rsidRPr="002A0B87" w14:paraId="3021263F" w14:textId="77777777" w:rsidTr="00BF1D69">
        <w:trPr>
          <w:trHeight w:val="20"/>
        </w:trPr>
        <w:tc>
          <w:tcPr>
            <w:tcW w:w="4764" w:type="dxa"/>
            <w:vAlign w:val="bottom"/>
          </w:tcPr>
          <w:p w14:paraId="3C3CE81E" w14:textId="77777777" w:rsidR="00AF7977" w:rsidRPr="002A0B87" w:rsidRDefault="00AF7977" w:rsidP="00AF7977">
            <w:pPr>
              <w:widowControl w:val="0"/>
              <w:spacing w:before="120"/>
              <w:ind w:left="-115"/>
              <w:rPr>
                <w:rFonts w:cs="Arial"/>
                <w:b/>
              </w:rPr>
            </w:pPr>
          </w:p>
        </w:tc>
        <w:tc>
          <w:tcPr>
            <w:tcW w:w="1626" w:type="dxa"/>
            <w:vAlign w:val="bottom"/>
          </w:tcPr>
          <w:p w14:paraId="07A191AE" w14:textId="3CBC7158" w:rsidR="00AF7977" w:rsidRPr="00BF1D69" w:rsidRDefault="00AF7977" w:rsidP="00BF1D69">
            <w:pPr>
              <w:widowControl w:val="0"/>
              <w:pBdr>
                <w:bottom w:val="double" w:sz="4" w:space="0" w:color="auto"/>
              </w:pBdr>
              <w:spacing w:before="120"/>
              <w:ind w:left="57" w:right="-85"/>
              <w:jc w:val="right"/>
              <w:rPr>
                <w:rFonts w:eastAsia="Batang" w:cs="Arial"/>
                <w:b/>
                <w:bCs/>
                <w:highlight w:val="yellow"/>
                <w:lang w:eastAsia="ko-KR"/>
              </w:rPr>
            </w:pPr>
            <w:r w:rsidRPr="00BF1D69">
              <w:rPr>
                <w:b/>
                <w:bCs/>
              </w:rPr>
              <w:t>2</w:t>
            </w:r>
            <w:r w:rsidR="00BF1D69">
              <w:rPr>
                <w:b/>
                <w:bCs/>
              </w:rPr>
              <w:t>,</w:t>
            </w:r>
            <w:r w:rsidRPr="00BF1D69">
              <w:rPr>
                <w:b/>
                <w:bCs/>
              </w:rPr>
              <w:t>929</w:t>
            </w:r>
            <w:r w:rsidR="00BF1D69">
              <w:rPr>
                <w:b/>
                <w:bCs/>
              </w:rPr>
              <w:t>,</w:t>
            </w:r>
            <w:r w:rsidRPr="00BF1D69">
              <w:rPr>
                <w:b/>
                <w:bCs/>
              </w:rPr>
              <w:t>537</w:t>
            </w:r>
            <w:r w:rsidR="00BF1D69">
              <w:rPr>
                <w:b/>
                <w:bCs/>
              </w:rPr>
              <w:t>,</w:t>
            </w:r>
            <w:r w:rsidRPr="00BF1D69">
              <w:rPr>
                <w:b/>
                <w:bCs/>
              </w:rPr>
              <w:t>893</w:t>
            </w:r>
          </w:p>
        </w:tc>
        <w:tc>
          <w:tcPr>
            <w:tcW w:w="1770" w:type="dxa"/>
            <w:vAlign w:val="bottom"/>
          </w:tcPr>
          <w:p w14:paraId="5C5E7E53" w14:textId="507D40B5" w:rsidR="00AF7977" w:rsidRPr="00BF1D69" w:rsidRDefault="00AF7977" w:rsidP="00BF1D69">
            <w:pPr>
              <w:widowControl w:val="0"/>
              <w:pBdr>
                <w:bottom w:val="double" w:sz="4" w:space="0" w:color="auto"/>
              </w:pBdr>
              <w:spacing w:before="120"/>
              <w:ind w:left="57" w:right="-85"/>
              <w:jc w:val="right"/>
              <w:rPr>
                <w:rFonts w:cs="Arial"/>
                <w:b/>
                <w:bCs/>
              </w:rPr>
            </w:pPr>
            <w:r w:rsidRPr="00BF1D69">
              <w:rPr>
                <w:b/>
                <w:bCs/>
              </w:rPr>
              <w:t>83</w:t>
            </w:r>
            <w:r w:rsidR="00BF1D69">
              <w:rPr>
                <w:b/>
                <w:bCs/>
              </w:rPr>
              <w:t>,</w:t>
            </w:r>
            <w:r w:rsidRPr="00BF1D69">
              <w:rPr>
                <w:b/>
                <w:bCs/>
              </w:rPr>
              <w:t>889</w:t>
            </w:r>
            <w:r w:rsidR="00BF1D69">
              <w:rPr>
                <w:b/>
                <w:bCs/>
              </w:rPr>
              <w:t>,</w:t>
            </w:r>
            <w:r w:rsidRPr="00BF1D69">
              <w:rPr>
                <w:b/>
                <w:bCs/>
              </w:rPr>
              <w:t>044</w:t>
            </w:r>
            <w:r w:rsidR="00BF1D69">
              <w:rPr>
                <w:b/>
                <w:bCs/>
              </w:rPr>
              <w:t>,</w:t>
            </w:r>
            <w:r w:rsidRPr="00BF1D69">
              <w:rPr>
                <w:b/>
                <w:bCs/>
              </w:rPr>
              <w:t>845</w:t>
            </w:r>
          </w:p>
        </w:tc>
      </w:tr>
    </w:tbl>
    <w:p w14:paraId="36182DB6" w14:textId="563548A5" w:rsidR="00147C0A" w:rsidRPr="002A0B87" w:rsidRDefault="00147C0A" w:rsidP="00C90B5D">
      <w:pPr>
        <w:pStyle w:val="NoSpacing"/>
        <w:rPr>
          <w:lang w:val="de-DE"/>
        </w:rPr>
      </w:pPr>
    </w:p>
    <w:p w14:paraId="5530D3FB" w14:textId="4D412F8E" w:rsidR="00965D06" w:rsidRPr="002A0B87" w:rsidRDefault="00965D06" w:rsidP="00C90B5D">
      <w:pPr>
        <w:pStyle w:val="NoSpacing"/>
        <w:rPr>
          <w:lang w:val="de-DE"/>
        </w:rPr>
      </w:pPr>
    </w:p>
    <w:p w14:paraId="61F65800" w14:textId="36449EB6" w:rsidR="00965D06" w:rsidRPr="002A0B87" w:rsidRDefault="00965D06" w:rsidP="00965D06">
      <w:pPr>
        <w:pStyle w:val="BodyText"/>
        <w:ind w:left="720" w:hanging="720"/>
        <w:textAlignment w:val="auto"/>
        <w:outlineLvl w:val="0"/>
        <w:rPr>
          <w:rFonts w:ascii="Arial" w:hAnsi="Arial" w:cs="Arial"/>
          <w:b/>
          <w:bCs/>
        </w:rPr>
      </w:pPr>
      <w:r w:rsidRPr="002A0B87">
        <w:rPr>
          <w:rFonts w:ascii="Arial" w:hAnsi="Arial" w:cs="Arial"/>
          <w:b/>
          <w:bCs/>
        </w:rPr>
        <w:t>6</w:t>
      </w:r>
      <w:r w:rsidR="001C57BE" w:rsidRPr="002A0B87">
        <w:rPr>
          <w:rFonts w:ascii="Arial" w:hAnsi="Arial" w:cs="Arial"/>
          <w:b/>
          <w:bCs/>
        </w:rPr>
        <w:t>.</w:t>
      </w:r>
      <w:r w:rsidRPr="002A0B87">
        <w:rPr>
          <w:rFonts w:ascii="Arial" w:hAnsi="Arial" w:cs="Arial"/>
          <w:b/>
          <w:bCs/>
        </w:rPr>
        <w:tab/>
      </w:r>
      <w:r w:rsidR="00A60381" w:rsidRPr="00A60381">
        <w:rPr>
          <w:rFonts w:ascii="Arial" w:hAnsi="Arial" w:cs="Arial"/>
          <w:b/>
          <w:bCs/>
        </w:rPr>
        <w:t>TRADING VALUE AND VOLUME DURING THE YEAR</w:t>
      </w:r>
    </w:p>
    <w:p w14:paraId="429AD12A" w14:textId="62823C99" w:rsidR="00965D06" w:rsidRPr="002A0B87" w:rsidRDefault="00965D06" w:rsidP="00C90B5D">
      <w:pPr>
        <w:pStyle w:val="NoSpacing"/>
      </w:pPr>
    </w:p>
    <w:tbl>
      <w:tblPr>
        <w:tblW w:w="4600" w:type="pct"/>
        <w:tblInd w:w="720" w:type="dxa"/>
        <w:tblLayout w:type="fixed"/>
        <w:tblLook w:val="04A0" w:firstRow="1" w:lastRow="0" w:firstColumn="1" w:lastColumn="0" w:noHBand="0" w:noVBand="1"/>
      </w:tblPr>
      <w:tblGrid>
        <w:gridCol w:w="4112"/>
        <w:gridCol w:w="2025"/>
        <w:gridCol w:w="2039"/>
      </w:tblGrid>
      <w:tr w:rsidR="00BA3385" w:rsidRPr="00D33812" w14:paraId="04E53DCA" w14:textId="77777777" w:rsidTr="00050CA2">
        <w:trPr>
          <w:trHeight w:val="20"/>
        </w:trPr>
        <w:tc>
          <w:tcPr>
            <w:tcW w:w="4112" w:type="dxa"/>
            <w:vAlign w:val="bottom"/>
          </w:tcPr>
          <w:p w14:paraId="2A50F91B" w14:textId="77777777" w:rsidR="00BA3385" w:rsidRPr="00D33812" w:rsidRDefault="00BA3385" w:rsidP="008064F8">
            <w:pPr>
              <w:widowControl w:val="0"/>
              <w:spacing w:before="120"/>
              <w:ind w:left="-115"/>
              <w:rPr>
                <w:rFonts w:cs="Arial"/>
                <w:lang w:val="en-GB"/>
              </w:rPr>
            </w:pPr>
          </w:p>
        </w:tc>
        <w:tc>
          <w:tcPr>
            <w:tcW w:w="2025" w:type="dxa"/>
            <w:vAlign w:val="bottom"/>
            <w:hideMark/>
          </w:tcPr>
          <w:p w14:paraId="3110138E" w14:textId="325E15BC" w:rsidR="00BA3385" w:rsidRPr="00D33812" w:rsidRDefault="00797248" w:rsidP="00254501">
            <w:pPr>
              <w:widowControl w:val="0"/>
              <w:pBdr>
                <w:bottom w:val="single" w:sz="4" w:space="0" w:color="auto"/>
              </w:pBdr>
              <w:ind w:left="57" w:right="-85"/>
              <w:jc w:val="right"/>
              <w:rPr>
                <w:rFonts w:cs="Arial"/>
                <w:i/>
              </w:rPr>
            </w:pPr>
            <w:r w:rsidRPr="00797248">
              <w:rPr>
                <w:rFonts w:cs="Arial"/>
                <w:i/>
              </w:rPr>
              <w:t>Trading volume</w:t>
            </w:r>
          </w:p>
          <w:p w14:paraId="7F713E2C" w14:textId="5E74A67F" w:rsidR="00BA3385" w:rsidRPr="00D33812" w:rsidRDefault="00BF12CC" w:rsidP="00254501">
            <w:pPr>
              <w:widowControl w:val="0"/>
              <w:pBdr>
                <w:bottom w:val="single" w:sz="4" w:space="0" w:color="auto"/>
              </w:pBdr>
              <w:ind w:left="57" w:right="-85"/>
              <w:jc w:val="right"/>
              <w:rPr>
                <w:rFonts w:cs="Arial"/>
                <w:i/>
              </w:rPr>
            </w:pPr>
            <w:r w:rsidRPr="00BF12CC">
              <w:rPr>
                <w:rFonts w:cs="Arial"/>
                <w:i/>
              </w:rPr>
              <w:t>unit</w:t>
            </w:r>
          </w:p>
        </w:tc>
        <w:tc>
          <w:tcPr>
            <w:tcW w:w="2039" w:type="dxa"/>
            <w:vAlign w:val="bottom"/>
            <w:hideMark/>
          </w:tcPr>
          <w:p w14:paraId="2C457BE8" w14:textId="7B357BB0" w:rsidR="00BA3385" w:rsidRPr="00D33812" w:rsidRDefault="00CA47CF" w:rsidP="00254501">
            <w:pPr>
              <w:widowControl w:val="0"/>
              <w:pBdr>
                <w:bottom w:val="single" w:sz="4" w:space="0" w:color="auto"/>
              </w:pBdr>
              <w:ind w:left="57" w:right="-85"/>
              <w:jc w:val="right"/>
              <w:rPr>
                <w:rFonts w:cs="Arial"/>
                <w:i/>
              </w:rPr>
            </w:pPr>
            <w:r w:rsidRPr="00CA47CF">
              <w:rPr>
                <w:rFonts w:cs="Arial"/>
                <w:i/>
              </w:rPr>
              <w:t>Trading value</w:t>
            </w:r>
          </w:p>
          <w:p w14:paraId="366B151F" w14:textId="00AF4DA6" w:rsidR="00BA3385" w:rsidRPr="00D33812" w:rsidRDefault="00BA3385" w:rsidP="00254501">
            <w:pPr>
              <w:widowControl w:val="0"/>
              <w:pBdr>
                <w:bottom w:val="single" w:sz="4" w:space="0" w:color="auto"/>
              </w:pBdr>
              <w:ind w:left="57" w:right="-85"/>
              <w:jc w:val="right"/>
              <w:rPr>
                <w:rFonts w:cs="Arial"/>
                <w:i/>
                <w:lang w:val="en-GB"/>
              </w:rPr>
            </w:pPr>
            <w:r w:rsidRPr="00D33812">
              <w:rPr>
                <w:rFonts w:cs="Arial"/>
                <w:i/>
              </w:rPr>
              <w:t>VND</w:t>
            </w:r>
          </w:p>
        </w:tc>
      </w:tr>
      <w:tr w:rsidR="00050CA2" w:rsidRPr="00D33812" w14:paraId="6EEB64FB" w14:textId="77777777" w:rsidTr="00050CA2">
        <w:trPr>
          <w:trHeight w:val="20"/>
        </w:trPr>
        <w:tc>
          <w:tcPr>
            <w:tcW w:w="4112" w:type="dxa"/>
            <w:vAlign w:val="bottom"/>
            <w:hideMark/>
          </w:tcPr>
          <w:p w14:paraId="698018B7" w14:textId="4DD7039A" w:rsidR="00050CA2" w:rsidRPr="00D33812" w:rsidRDefault="00050CA2" w:rsidP="00050CA2">
            <w:pPr>
              <w:widowControl w:val="0"/>
              <w:spacing w:before="120"/>
              <w:ind w:left="-115"/>
              <w:rPr>
                <w:rFonts w:cs="Arial"/>
                <w:b/>
                <w:bCs/>
              </w:rPr>
            </w:pPr>
            <w:r w:rsidRPr="00B57072">
              <w:rPr>
                <w:rFonts w:cs="Arial"/>
                <w:b/>
                <w:bCs/>
              </w:rPr>
              <w:t>The Company</w:t>
            </w:r>
          </w:p>
        </w:tc>
        <w:tc>
          <w:tcPr>
            <w:tcW w:w="2025" w:type="dxa"/>
            <w:vAlign w:val="bottom"/>
          </w:tcPr>
          <w:p w14:paraId="7241165E" w14:textId="35E20ACC" w:rsidR="00050CA2" w:rsidRPr="00050CA2" w:rsidRDefault="00050CA2" w:rsidP="00050CA2">
            <w:pPr>
              <w:widowControl w:val="0"/>
              <w:spacing w:before="120"/>
              <w:ind w:left="57" w:right="-85"/>
              <w:jc w:val="right"/>
              <w:rPr>
                <w:rFonts w:cs="Arial"/>
                <w:b/>
                <w:bCs/>
                <w:highlight w:val="yellow"/>
                <w:lang w:val="en-GB"/>
              </w:rPr>
            </w:pPr>
            <w:r w:rsidRPr="00050CA2">
              <w:rPr>
                <w:b/>
                <w:bCs/>
              </w:rPr>
              <w:t>14</w:t>
            </w:r>
            <w:r w:rsidR="003C4197">
              <w:rPr>
                <w:b/>
                <w:bCs/>
              </w:rPr>
              <w:t>,</w:t>
            </w:r>
            <w:r w:rsidRPr="00050CA2">
              <w:rPr>
                <w:b/>
                <w:bCs/>
              </w:rPr>
              <w:t>392</w:t>
            </w:r>
            <w:r w:rsidR="003C4197">
              <w:rPr>
                <w:b/>
                <w:bCs/>
              </w:rPr>
              <w:t>,</w:t>
            </w:r>
            <w:r w:rsidRPr="00050CA2">
              <w:rPr>
                <w:b/>
                <w:bCs/>
              </w:rPr>
              <w:t>119</w:t>
            </w:r>
          </w:p>
        </w:tc>
        <w:tc>
          <w:tcPr>
            <w:tcW w:w="2039" w:type="dxa"/>
            <w:vAlign w:val="bottom"/>
          </w:tcPr>
          <w:p w14:paraId="460417F2" w14:textId="1CDA9EF7" w:rsidR="00050CA2" w:rsidRPr="00050CA2" w:rsidRDefault="00050CA2" w:rsidP="00050CA2">
            <w:pPr>
              <w:widowControl w:val="0"/>
              <w:spacing w:before="120"/>
              <w:ind w:left="57" w:right="-85"/>
              <w:jc w:val="right"/>
              <w:rPr>
                <w:rFonts w:cs="Arial"/>
                <w:b/>
                <w:bCs/>
                <w:highlight w:val="yellow"/>
                <w:lang w:val="en-GB"/>
              </w:rPr>
            </w:pPr>
            <w:r w:rsidRPr="00050CA2">
              <w:rPr>
                <w:b/>
                <w:bCs/>
              </w:rPr>
              <w:t>925</w:t>
            </w:r>
            <w:r w:rsidR="003C4197">
              <w:rPr>
                <w:b/>
                <w:bCs/>
              </w:rPr>
              <w:t>,</w:t>
            </w:r>
            <w:r w:rsidRPr="00050CA2">
              <w:rPr>
                <w:b/>
                <w:bCs/>
              </w:rPr>
              <w:t>098</w:t>
            </w:r>
            <w:r w:rsidR="003C4197">
              <w:rPr>
                <w:b/>
                <w:bCs/>
              </w:rPr>
              <w:t>,</w:t>
            </w:r>
            <w:r w:rsidRPr="00050CA2">
              <w:rPr>
                <w:b/>
                <w:bCs/>
              </w:rPr>
              <w:t>310</w:t>
            </w:r>
            <w:r w:rsidR="003C4197">
              <w:rPr>
                <w:b/>
                <w:bCs/>
              </w:rPr>
              <w:t>,</w:t>
            </w:r>
            <w:r w:rsidRPr="00050CA2">
              <w:rPr>
                <w:b/>
                <w:bCs/>
              </w:rPr>
              <w:t>450</w:t>
            </w:r>
          </w:p>
        </w:tc>
      </w:tr>
      <w:tr w:rsidR="00050CA2" w:rsidRPr="00D33812" w14:paraId="182A0BAB" w14:textId="77777777" w:rsidTr="00050CA2">
        <w:trPr>
          <w:trHeight w:val="20"/>
        </w:trPr>
        <w:tc>
          <w:tcPr>
            <w:tcW w:w="4112" w:type="dxa"/>
            <w:vAlign w:val="bottom"/>
            <w:hideMark/>
          </w:tcPr>
          <w:p w14:paraId="578DD42A" w14:textId="4DC52D9F" w:rsidR="00050CA2" w:rsidRPr="00D33812" w:rsidRDefault="00050CA2" w:rsidP="00050CA2">
            <w:pPr>
              <w:widowControl w:val="0"/>
              <w:ind w:left="-115"/>
              <w:rPr>
                <w:rFonts w:cs="Arial"/>
              </w:rPr>
            </w:pPr>
            <w:r w:rsidRPr="006E4C54">
              <w:rPr>
                <w:rFonts w:cs="Arial"/>
              </w:rPr>
              <w:t>Shares</w:t>
            </w:r>
          </w:p>
        </w:tc>
        <w:tc>
          <w:tcPr>
            <w:tcW w:w="2025" w:type="dxa"/>
            <w:vAlign w:val="bottom"/>
          </w:tcPr>
          <w:p w14:paraId="77112725" w14:textId="4EB3FF40" w:rsidR="00050CA2" w:rsidRPr="00D33812" w:rsidRDefault="00050CA2" w:rsidP="00050CA2">
            <w:pPr>
              <w:widowControl w:val="0"/>
              <w:ind w:left="57" w:right="-85"/>
              <w:jc w:val="right"/>
              <w:rPr>
                <w:rFonts w:cs="Arial"/>
                <w:highlight w:val="yellow"/>
              </w:rPr>
            </w:pPr>
            <w:r w:rsidRPr="0031175A">
              <w:t>11</w:t>
            </w:r>
            <w:r w:rsidR="003C4197">
              <w:t>,</w:t>
            </w:r>
            <w:r w:rsidRPr="0031175A">
              <w:t>619</w:t>
            </w:r>
          </w:p>
        </w:tc>
        <w:tc>
          <w:tcPr>
            <w:tcW w:w="2039" w:type="dxa"/>
            <w:vAlign w:val="bottom"/>
          </w:tcPr>
          <w:p w14:paraId="6817B91D" w14:textId="46D287E7" w:rsidR="00050CA2" w:rsidRPr="00D33812" w:rsidRDefault="00050CA2" w:rsidP="00050CA2">
            <w:pPr>
              <w:widowControl w:val="0"/>
              <w:ind w:left="57" w:right="-85"/>
              <w:jc w:val="right"/>
              <w:rPr>
                <w:rFonts w:cs="Arial"/>
                <w:highlight w:val="yellow"/>
              </w:rPr>
            </w:pPr>
            <w:r w:rsidRPr="0031175A">
              <w:t>448</w:t>
            </w:r>
            <w:r w:rsidR="003C4197">
              <w:t>,</w:t>
            </w:r>
            <w:r w:rsidRPr="0031175A">
              <w:t>413</w:t>
            </w:r>
            <w:r w:rsidR="003C4197">
              <w:t>,</w:t>
            </w:r>
            <w:r w:rsidRPr="0031175A">
              <w:t>450</w:t>
            </w:r>
          </w:p>
        </w:tc>
      </w:tr>
      <w:tr w:rsidR="00050CA2" w:rsidRPr="00D33812" w14:paraId="3D7A573D" w14:textId="77777777" w:rsidTr="00050CA2">
        <w:tc>
          <w:tcPr>
            <w:tcW w:w="4112" w:type="dxa"/>
            <w:vAlign w:val="bottom"/>
            <w:hideMark/>
          </w:tcPr>
          <w:p w14:paraId="200E5153" w14:textId="465C73F2" w:rsidR="00050CA2" w:rsidRPr="00D33812" w:rsidRDefault="00050CA2" w:rsidP="00050CA2">
            <w:pPr>
              <w:widowControl w:val="0"/>
              <w:ind w:left="-115"/>
              <w:rPr>
                <w:rFonts w:cs="Arial"/>
                <w:bCs/>
              </w:rPr>
            </w:pPr>
            <w:r w:rsidRPr="00915D93">
              <w:rPr>
                <w:rFonts w:cs="Arial"/>
                <w:bCs/>
              </w:rPr>
              <w:t>Bonds</w:t>
            </w:r>
          </w:p>
        </w:tc>
        <w:tc>
          <w:tcPr>
            <w:tcW w:w="2025" w:type="dxa"/>
            <w:vAlign w:val="bottom"/>
          </w:tcPr>
          <w:p w14:paraId="6052AB73" w14:textId="71FC5624" w:rsidR="00050CA2" w:rsidRPr="00D33812" w:rsidRDefault="00050CA2" w:rsidP="00050CA2">
            <w:pPr>
              <w:widowControl w:val="0"/>
              <w:ind w:left="57" w:right="-85"/>
              <w:jc w:val="right"/>
              <w:rPr>
                <w:rFonts w:cs="Arial"/>
                <w:highlight w:val="yellow"/>
                <w:lang w:val="en-GB"/>
              </w:rPr>
            </w:pPr>
            <w:r w:rsidRPr="0031175A">
              <w:t>1</w:t>
            </w:r>
            <w:r w:rsidR="003C4197">
              <w:t>,</w:t>
            </w:r>
            <w:r w:rsidRPr="0031175A">
              <w:t>830</w:t>
            </w:r>
            <w:r w:rsidR="003C4197">
              <w:t>,</w:t>
            </w:r>
            <w:r w:rsidRPr="0031175A">
              <w:t>100</w:t>
            </w:r>
          </w:p>
        </w:tc>
        <w:tc>
          <w:tcPr>
            <w:tcW w:w="2039" w:type="dxa"/>
            <w:vAlign w:val="bottom"/>
          </w:tcPr>
          <w:p w14:paraId="5E8853DC" w14:textId="22EBBD5F" w:rsidR="00050CA2" w:rsidRPr="00D33812" w:rsidRDefault="00050CA2" w:rsidP="00050CA2">
            <w:pPr>
              <w:widowControl w:val="0"/>
              <w:ind w:left="57" w:right="-85"/>
              <w:jc w:val="right"/>
              <w:rPr>
                <w:rFonts w:cs="Arial"/>
                <w:highlight w:val="yellow"/>
                <w:lang w:val="en-GB"/>
              </w:rPr>
            </w:pPr>
            <w:r w:rsidRPr="0031175A">
              <w:t>387</w:t>
            </w:r>
            <w:r w:rsidR="003C4197">
              <w:t>,</w:t>
            </w:r>
            <w:r w:rsidRPr="0031175A">
              <w:t>593</w:t>
            </w:r>
            <w:r w:rsidR="003C4197">
              <w:t>,</w:t>
            </w:r>
            <w:r w:rsidRPr="0031175A">
              <w:t>297</w:t>
            </w:r>
            <w:r w:rsidR="003C4197">
              <w:t>,</w:t>
            </w:r>
            <w:r w:rsidRPr="0031175A">
              <w:t>000</w:t>
            </w:r>
          </w:p>
        </w:tc>
      </w:tr>
      <w:tr w:rsidR="00050CA2" w:rsidRPr="00D33812" w14:paraId="21197224" w14:textId="77777777" w:rsidTr="00050CA2">
        <w:tc>
          <w:tcPr>
            <w:tcW w:w="4112" w:type="dxa"/>
            <w:vAlign w:val="bottom"/>
          </w:tcPr>
          <w:p w14:paraId="5E10B8BB" w14:textId="3AB20038" w:rsidR="00050CA2" w:rsidRPr="00915D93" w:rsidRDefault="00050CA2" w:rsidP="00050CA2">
            <w:pPr>
              <w:widowControl w:val="0"/>
              <w:ind w:left="-115"/>
              <w:rPr>
                <w:rFonts w:cs="Arial"/>
                <w:bCs/>
              </w:rPr>
            </w:pPr>
            <w:r>
              <w:rPr>
                <w:rFonts w:cs="Arial"/>
                <w:bCs/>
              </w:rPr>
              <w:t>Other securities</w:t>
            </w:r>
          </w:p>
        </w:tc>
        <w:tc>
          <w:tcPr>
            <w:tcW w:w="2025" w:type="dxa"/>
            <w:vAlign w:val="bottom"/>
          </w:tcPr>
          <w:p w14:paraId="428BB4A1" w14:textId="2C87EA5A" w:rsidR="00050CA2" w:rsidRPr="00866F7C" w:rsidRDefault="00050CA2" w:rsidP="00050CA2">
            <w:pPr>
              <w:widowControl w:val="0"/>
              <w:ind w:left="57" w:right="-85"/>
              <w:jc w:val="right"/>
              <w:rPr>
                <w:rFonts w:cs="Arial"/>
                <w:lang w:val="en-GB"/>
              </w:rPr>
            </w:pPr>
            <w:r w:rsidRPr="0031175A">
              <w:t>12</w:t>
            </w:r>
            <w:r w:rsidR="003C4197">
              <w:t>,</w:t>
            </w:r>
            <w:r w:rsidRPr="0031175A">
              <w:t>500</w:t>
            </w:r>
            <w:r w:rsidR="003C4197">
              <w:t>,</w:t>
            </w:r>
            <w:r w:rsidRPr="0031175A">
              <w:t>400</w:t>
            </w:r>
          </w:p>
        </w:tc>
        <w:tc>
          <w:tcPr>
            <w:tcW w:w="2039" w:type="dxa"/>
            <w:vAlign w:val="bottom"/>
          </w:tcPr>
          <w:p w14:paraId="049D4980" w14:textId="1211A764" w:rsidR="00050CA2" w:rsidRPr="00866F7C" w:rsidRDefault="00050CA2" w:rsidP="00050CA2">
            <w:pPr>
              <w:widowControl w:val="0"/>
              <w:ind w:left="57" w:right="-85"/>
              <w:jc w:val="right"/>
              <w:rPr>
                <w:rFonts w:cs="Arial"/>
                <w:lang w:val="en-GB"/>
              </w:rPr>
            </w:pPr>
            <w:r w:rsidRPr="0031175A">
              <w:t>537</w:t>
            </w:r>
            <w:r w:rsidR="003C4197">
              <w:t>,</w:t>
            </w:r>
            <w:r w:rsidRPr="0031175A">
              <w:t>016</w:t>
            </w:r>
            <w:r w:rsidR="003C4197">
              <w:t>,</w:t>
            </w:r>
            <w:r w:rsidRPr="0031175A">
              <w:t>600</w:t>
            </w:r>
            <w:r w:rsidR="003C4197">
              <w:t>,</w:t>
            </w:r>
            <w:r w:rsidRPr="0031175A">
              <w:t>000</w:t>
            </w:r>
          </w:p>
        </w:tc>
      </w:tr>
      <w:tr w:rsidR="00050CA2" w:rsidRPr="00D33812" w14:paraId="114AE9E7" w14:textId="77777777" w:rsidTr="00050CA2">
        <w:trPr>
          <w:trHeight w:val="20"/>
        </w:trPr>
        <w:tc>
          <w:tcPr>
            <w:tcW w:w="4112" w:type="dxa"/>
            <w:vAlign w:val="bottom"/>
            <w:hideMark/>
          </w:tcPr>
          <w:p w14:paraId="707B36E1" w14:textId="2E2C77EA" w:rsidR="00050CA2" w:rsidRPr="00D33812" w:rsidRDefault="00050CA2" w:rsidP="00050CA2">
            <w:pPr>
              <w:widowControl w:val="0"/>
              <w:spacing w:before="120"/>
              <w:ind w:left="-115" w:right="-86"/>
              <w:rPr>
                <w:rFonts w:cs="Arial"/>
                <w:lang w:val="en-GB"/>
              </w:rPr>
            </w:pPr>
            <w:r w:rsidRPr="00954939">
              <w:rPr>
                <w:rFonts w:cs="Arial"/>
                <w:b/>
                <w:bCs/>
              </w:rPr>
              <w:t>Investors</w:t>
            </w:r>
          </w:p>
        </w:tc>
        <w:tc>
          <w:tcPr>
            <w:tcW w:w="2025" w:type="dxa"/>
            <w:vAlign w:val="bottom"/>
          </w:tcPr>
          <w:p w14:paraId="41F551D2" w14:textId="3DC49072" w:rsidR="00050CA2" w:rsidRPr="003C4197" w:rsidRDefault="00050CA2" w:rsidP="00050CA2">
            <w:pPr>
              <w:widowControl w:val="0"/>
              <w:spacing w:before="120"/>
              <w:ind w:left="57" w:right="-85"/>
              <w:jc w:val="right"/>
              <w:rPr>
                <w:rFonts w:cs="Arial"/>
                <w:b/>
                <w:bCs/>
                <w:highlight w:val="yellow"/>
                <w:lang w:val="en-GB"/>
              </w:rPr>
            </w:pPr>
            <w:r w:rsidRPr="003C4197">
              <w:rPr>
                <w:b/>
                <w:bCs/>
              </w:rPr>
              <w:t>821</w:t>
            </w:r>
            <w:r w:rsidR="003C4197">
              <w:rPr>
                <w:b/>
                <w:bCs/>
              </w:rPr>
              <w:t>,</w:t>
            </w:r>
            <w:r w:rsidRPr="003C4197">
              <w:rPr>
                <w:b/>
                <w:bCs/>
              </w:rPr>
              <w:t>709</w:t>
            </w:r>
            <w:r w:rsidR="003C4197">
              <w:rPr>
                <w:b/>
                <w:bCs/>
              </w:rPr>
              <w:t>,</w:t>
            </w:r>
            <w:r w:rsidRPr="003C4197">
              <w:rPr>
                <w:b/>
                <w:bCs/>
              </w:rPr>
              <w:t>257</w:t>
            </w:r>
          </w:p>
        </w:tc>
        <w:tc>
          <w:tcPr>
            <w:tcW w:w="2039" w:type="dxa"/>
            <w:vAlign w:val="bottom"/>
          </w:tcPr>
          <w:p w14:paraId="7B50B755" w14:textId="0C6E7CB9" w:rsidR="00050CA2" w:rsidRPr="003C4197" w:rsidRDefault="00050CA2" w:rsidP="00050CA2">
            <w:pPr>
              <w:widowControl w:val="0"/>
              <w:spacing w:before="120"/>
              <w:ind w:left="57" w:right="-85"/>
              <w:jc w:val="right"/>
              <w:rPr>
                <w:rFonts w:cs="Arial"/>
                <w:b/>
                <w:bCs/>
                <w:highlight w:val="yellow"/>
                <w:lang w:val="en-GB"/>
              </w:rPr>
            </w:pPr>
            <w:r w:rsidRPr="003C4197">
              <w:rPr>
                <w:b/>
                <w:bCs/>
              </w:rPr>
              <w:t>25</w:t>
            </w:r>
            <w:r w:rsidR="003C4197">
              <w:rPr>
                <w:b/>
                <w:bCs/>
              </w:rPr>
              <w:t>,</w:t>
            </w:r>
            <w:r w:rsidRPr="003C4197">
              <w:rPr>
                <w:b/>
                <w:bCs/>
              </w:rPr>
              <w:t>592</w:t>
            </w:r>
            <w:r w:rsidR="003C4197">
              <w:rPr>
                <w:b/>
                <w:bCs/>
              </w:rPr>
              <w:t>,</w:t>
            </w:r>
            <w:r w:rsidRPr="003C4197">
              <w:rPr>
                <w:b/>
                <w:bCs/>
              </w:rPr>
              <w:t>553</w:t>
            </w:r>
            <w:r w:rsidR="003C4197">
              <w:rPr>
                <w:b/>
                <w:bCs/>
              </w:rPr>
              <w:t>,</w:t>
            </w:r>
            <w:r w:rsidRPr="003C4197">
              <w:rPr>
                <w:b/>
                <w:bCs/>
              </w:rPr>
              <w:t>440</w:t>
            </w:r>
            <w:r w:rsidR="003C4197">
              <w:rPr>
                <w:b/>
                <w:bCs/>
              </w:rPr>
              <w:t>,</w:t>
            </w:r>
            <w:r w:rsidRPr="003C4197">
              <w:rPr>
                <w:b/>
                <w:bCs/>
              </w:rPr>
              <w:t>640</w:t>
            </w:r>
          </w:p>
        </w:tc>
      </w:tr>
      <w:tr w:rsidR="00050CA2" w:rsidRPr="00D33812" w14:paraId="017A6480" w14:textId="77777777" w:rsidTr="00050CA2">
        <w:tc>
          <w:tcPr>
            <w:tcW w:w="4112" w:type="dxa"/>
            <w:vAlign w:val="bottom"/>
            <w:hideMark/>
          </w:tcPr>
          <w:p w14:paraId="01FBF50D" w14:textId="7E4A001C" w:rsidR="00050CA2" w:rsidRPr="00D33812" w:rsidRDefault="00050CA2" w:rsidP="00050CA2">
            <w:pPr>
              <w:widowControl w:val="0"/>
              <w:ind w:left="-115"/>
              <w:rPr>
                <w:rFonts w:cs="Arial"/>
                <w:lang w:val="en-GB"/>
              </w:rPr>
            </w:pPr>
            <w:r w:rsidRPr="00605E63">
              <w:rPr>
                <w:rFonts w:cs="Arial"/>
              </w:rPr>
              <w:t>Shares</w:t>
            </w:r>
          </w:p>
        </w:tc>
        <w:tc>
          <w:tcPr>
            <w:tcW w:w="2025" w:type="dxa"/>
            <w:vAlign w:val="bottom"/>
          </w:tcPr>
          <w:p w14:paraId="39F494B1" w14:textId="671D8882" w:rsidR="00050CA2" w:rsidRPr="00D33812" w:rsidRDefault="00050CA2" w:rsidP="00050CA2">
            <w:pPr>
              <w:widowControl w:val="0"/>
              <w:ind w:left="57" w:right="-85"/>
              <w:jc w:val="right"/>
              <w:rPr>
                <w:rFonts w:cs="Arial"/>
                <w:highlight w:val="yellow"/>
                <w:lang w:val="en-GB"/>
              </w:rPr>
            </w:pPr>
            <w:r w:rsidRPr="0031175A">
              <w:t>814</w:t>
            </w:r>
            <w:r w:rsidR="003C4197">
              <w:t>,</w:t>
            </w:r>
            <w:r w:rsidRPr="0031175A">
              <w:t>410</w:t>
            </w:r>
            <w:r w:rsidR="003C4197">
              <w:t>,</w:t>
            </w:r>
            <w:r w:rsidRPr="0031175A">
              <w:t xml:space="preserve">387 </w:t>
            </w:r>
          </w:p>
        </w:tc>
        <w:tc>
          <w:tcPr>
            <w:tcW w:w="2039" w:type="dxa"/>
            <w:vAlign w:val="bottom"/>
          </w:tcPr>
          <w:p w14:paraId="76F92124" w14:textId="0C052AC1" w:rsidR="00050CA2" w:rsidRPr="00D33812" w:rsidRDefault="00050CA2" w:rsidP="00050CA2">
            <w:pPr>
              <w:widowControl w:val="0"/>
              <w:ind w:left="57" w:right="-85"/>
              <w:jc w:val="right"/>
              <w:rPr>
                <w:rFonts w:cs="Arial"/>
                <w:highlight w:val="yellow"/>
                <w:lang w:val="en-GB"/>
              </w:rPr>
            </w:pPr>
            <w:r w:rsidRPr="0031175A">
              <w:t>25</w:t>
            </w:r>
            <w:r w:rsidR="003C4197">
              <w:t>,</w:t>
            </w:r>
            <w:r w:rsidRPr="0031175A">
              <w:t>422</w:t>
            </w:r>
            <w:r w:rsidR="003C4197">
              <w:t>,</w:t>
            </w:r>
            <w:r w:rsidRPr="0031175A">
              <w:t>193</w:t>
            </w:r>
            <w:r w:rsidR="003C4197">
              <w:t>,</w:t>
            </w:r>
            <w:r w:rsidRPr="0031175A">
              <w:t>993</w:t>
            </w:r>
            <w:r w:rsidR="003C4197">
              <w:t>,</w:t>
            </w:r>
            <w:r w:rsidRPr="0031175A">
              <w:t>230</w:t>
            </w:r>
          </w:p>
        </w:tc>
      </w:tr>
      <w:tr w:rsidR="00050CA2" w:rsidRPr="00D33812" w14:paraId="677E3633" w14:textId="77777777" w:rsidTr="00050CA2">
        <w:tc>
          <w:tcPr>
            <w:tcW w:w="4112" w:type="dxa"/>
            <w:vAlign w:val="bottom"/>
          </w:tcPr>
          <w:p w14:paraId="3B9437A6" w14:textId="5252826C" w:rsidR="00050CA2" w:rsidRPr="00605E63" w:rsidRDefault="00050CA2" w:rsidP="00050CA2">
            <w:pPr>
              <w:widowControl w:val="0"/>
              <w:ind w:left="-115"/>
              <w:rPr>
                <w:rFonts w:cs="Arial"/>
              </w:rPr>
            </w:pPr>
            <w:r>
              <w:rPr>
                <w:rFonts w:cs="Arial"/>
              </w:rPr>
              <w:t>Bonds</w:t>
            </w:r>
          </w:p>
        </w:tc>
        <w:tc>
          <w:tcPr>
            <w:tcW w:w="2025" w:type="dxa"/>
            <w:vAlign w:val="bottom"/>
          </w:tcPr>
          <w:p w14:paraId="4027AE1A" w14:textId="225CF3D4" w:rsidR="00050CA2" w:rsidRPr="00D33812" w:rsidRDefault="00050CA2" w:rsidP="00050CA2">
            <w:pPr>
              <w:widowControl w:val="0"/>
              <w:ind w:left="57" w:right="-85"/>
              <w:jc w:val="right"/>
              <w:rPr>
                <w:rFonts w:cs="Arial"/>
                <w:lang w:val="en-GB"/>
              </w:rPr>
            </w:pPr>
            <w:r w:rsidRPr="0031175A">
              <w:t>1</w:t>
            </w:r>
            <w:r w:rsidR="003C4197">
              <w:t>,</w:t>
            </w:r>
            <w:r w:rsidRPr="0031175A">
              <w:t>314</w:t>
            </w:r>
            <w:r w:rsidR="003C4197">
              <w:t>,</w:t>
            </w:r>
            <w:r w:rsidRPr="0031175A">
              <w:t>680</w:t>
            </w:r>
          </w:p>
        </w:tc>
        <w:tc>
          <w:tcPr>
            <w:tcW w:w="2039" w:type="dxa"/>
            <w:vAlign w:val="bottom"/>
          </w:tcPr>
          <w:p w14:paraId="4D4EEA45" w14:textId="3577AFC9" w:rsidR="00050CA2" w:rsidRPr="00D33812" w:rsidRDefault="00050CA2" w:rsidP="00050CA2">
            <w:pPr>
              <w:widowControl w:val="0"/>
              <w:ind w:left="57" w:right="-85"/>
              <w:jc w:val="right"/>
              <w:rPr>
                <w:rFonts w:cs="Arial"/>
                <w:lang w:val="en-GB"/>
              </w:rPr>
            </w:pPr>
            <w:r w:rsidRPr="0031175A">
              <w:t>134</w:t>
            </w:r>
            <w:r w:rsidR="003C4197">
              <w:t>,</w:t>
            </w:r>
            <w:r w:rsidRPr="0031175A">
              <w:t>719</w:t>
            </w:r>
            <w:r w:rsidR="003C4197">
              <w:t>,</w:t>
            </w:r>
            <w:r w:rsidRPr="0031175A">
              <w:t>052</w:t>
            </w:r>
            <w:r w:rsidR="003C4197">
              <w:t>,</w:t>
            </w:r>
            <w:r w:rsidRPr="0031175A">
              <w:t>360</w:t>
            </w:r>
          </w:p>
        </w:tc>
      </w:tr>
      <w:tr w:rsidR="00050CA2" w:rsidRPr="00D33812" w14:paraId="5478139D" w14:textId="77777777" w:rsidTr="00050CA2">
        <w:tc>
          <w:tcPr>
            <w:tcW w:w="4112" w:type="dxa"/>
            <w:vAlign w:val="bottom"/>
            <w:hideMark/>
          </w:tcPr>
          <w:p w14:paraId="468F34A3" w14:textId="112B0D02" w:rsidR="00050CA2" w:rsidRPr="00D33812" w:rsidRDefault="00050CA2" w:rsidP="00050CA2">
            <w:pPr>
              <w:widowControl w:val="0"/>
              <w:ind w:left="-115"/>
              <w:jc w:val="left"/>
              <w:rPr>
                <w:rFonts w:cs="Arial"/>
              </w:rPr>
            </w:pPr>
            <w:r w:rsidRPr="006B4587">
              <w:rPr>
                <w:rFonts w:cs="Arial"/>
              </w:rPr>
              <w:t>Other securities</w:t>
            </w:r>
          </w:p>
        </w:tc>
        <w:tc>
          <w:tcPr>
            <w:tcW w:w="2025" w:type="dxa"/>
            <w:vAlign w:val="bottom"/>
          </w:tcPr>
          <w:p w14:paraId="7EE329C7" w14:textId="38257D46" w:rsidR="00050CA2" w:rsidRPr="00D33812" w:rsidRDefault="00050CA2" w:rsidP="00050CA2">
            <w:pPr>
              <w:widowControl w:val="0"/>
              <w:pBdr>
                <w:bottom w:val="single" w:sz="4" w:space="0" w:color="auto"/>
              </w:pBdr>
              <w:ind w:left="57" w:right="-85"/>
              <w:jc w:val="right"/>
              <w:rPr>
                <w:rFonts w:cs="Arial"/>
                <w:highlight w:val="yellow"/>
                <w:lang w:val="en-GB"/>
              </w:rPr>
            </w:pPr>
            <w:r w:rsidRPr="0031175A">
              <w:t>5</w:t>
            </w:r>
            <w:r w:rsidR="003C4197">
              <w:t>,</w:t>
            </w:r>
            <w:r w:rsidRPr="0031175A">
              <w:t>984</w:t>
            </w:r>
            <w:r w:rsidR="003C4197">
              <w:t>,</w:t>
            </w:r>
            <w:r w:rsidRPr="0031175A">
              <w:t>190</w:t>
            </w:r>
          </w:p>
        </w:tc>
        <w:tc>
          <w:tcPr>
            <w:tcW w:w="2039" w:type="dxa"/>
            <w:vAlign w:val="bottom"/>
          </w:tcPr>
          <w:p w14:paraId="6BC6ABF4" w14:textId="0ECE84E2" w:rsidR="00050CA2" w:rsidRPr="00D33812" w:rsidRDefault="00050CA2" w:rsidP="00050CA2">
            <w:pPr>
              <w:widowControl w:val="0"/>
              <w:pBdr>
                <w:bottom w:val="single" w:sz="4" w:space="0" w:color="auto"/>
              </w:pBdr>
              <w:ind w:left="57" w:right="-85"/>
              <w:jc w:val="right"/>
              <w:rPr>
                <w:rFonts w:cs="Arial"/>
                <w:highlight w:val="yellow"/>
                <w:lang w:val="en-GB"/>
              </w:rPr>
            </w:pPr>
            <w:r w:rsidRPr="0031175A">
              <w:t>35</w:t>
            </w:r>
            <w:r w:rsidR="003C4197">
              <w:t>,</w:t>
            </w:r>
            <w:r w:rsidRPr="0031175A">
              <w:t>640</w:t>
            </w:r>
            <w:r w:rsidR="003C4197">
              <w:t>,</w:t>
            </w:r>
            <w:r w:rsidRPr="0031175A">
              <w:t>395</w:t>
            </w:r>
            <w:r w:rsidR="003C4197">
              <w:t>,</w:t>
            </w:r>
            <w:r w:rsidRPr="0031175A">
              <w:t>050</w:t>
            </w:r>
          </w:p>
        </w:tc>
      </w:tr>
      <w:tr w:rsidR="00050CA2" w:rsidRPr="00D33812" w14:paraId="512848E6" w14:textId="77777777" w:rsidTr="00050CA2">
        <w:trPr>
          <w:trHeight w:val="20"/>
        </w:trPr>
        <w:tc>
          <w:tcPr>
            <w:tcW w:w="4112" w:type="dxa"/>
            <w:vAlign w:val="bottom"/>
            <w:hideMark/>
          </w:tcPr>
          <w:p w14:paraId="07F63FF8" w14:textId="3F8411B8" w:rsidR="00050CA2" w:rsidRPr="00D33812" w:rsidRDefault="00050CA2" w:rsidP="00050CA2">
            <w:pPr>
              <w:widowControl w:val="0"/>
              <w:spacing w:before="120"/>
              <w:ind w:left="-115"/>
              <w:rPr>
                <w:rFonts w:cs="Arial"/>
                <w:b/>
              </w:rPr>
            </w:pPr>
            <w:r w:rsidRPr="008E1B13">
              <w:rPr>
                <w:rFonts w:cs="Arial"/>
                <w:b/>
              </w:rPr>
              <w:t>Total</w:t>
            </w:r>
          </w:p>
        </w:tc>
        <w:tc>
          <w:tcPr>
            <w:tcW w:w="2025" w:type="dxa"/>
            <w:vAlign w:val="bottom"/>
          </w:tcPr>
          <w:p w14:paraId="0D00CB5D" w14:textId="3E404E25" w:rsidR="00050CA2" w:rsidRPr="003C4197" w:rsidRDefault="00050CA2" w:rsidP="00050CA2">
            <w:pPr>
              <w:widowControl w:val="0"/>
              <w:pBdr>
                <w:bottom w:val="double" w:sz="4" w:space="0" w:color="auto"/>
              </w:pBdr>
              <w:spacing w:before="120"/>
              <w:ind w:left="57" w:right="-85"/>
              <w:jc w:val="right"/>
              <w:rPr>
                <w:rFonts w:eastAsia="Batang" w:cs="Arial"/>
                <w:b/>
                <w:bCs/>
                <w:highlight w:val="yellow"/>
                <w:lang w:eastAsia="ko-KR"/>
              </w:rPr>
            </w:pPr>
            <w:r w:rsidRPr="003C4197">
              <w:rPr>
                <w:b/>
                <w:bCs/>
              </w:rPr>
              <w:t>836</w:t>
            </w:r>
            <w:r w:rsidR="003C4197">
              <w:rPr>
                <w:b/>
                <w:bCs/>
              </w:rPr>
              <w:t>,</w:t>
            </w:r>
            <w:r w:rsidRPr="003C4197">
              <w:rPr>
                <w:b/>
                <w:bCs/>
              </w:rPr>
              <w:t>051</w:t>
            </w:r>
            <w:r w:rsidR="003C4197">
              <w:rPr>
                <w:b/>
                <w:bCs/>
              </w:rPr>
              <w:t>,</w:t>
            </w:r>
            <w:r w:rsidRPr="003C4197">
              <w:rPr>
                <w:b/>
                <w:bCs/>
              </w:rPr>
              <w:t>376</w:t>
            </w:r>
          </w:p>
        </w:tc>
        <w:tc>
          <w:tcPr>
            <w:tcW w:w="2039" w:type="dxa"/>
            <w:vAlign w:val="bottom"/>
          </w:tcPr>
          <w:p w14:paraId="72866016" w14:textId="1255C908" w:rsidR="00050CA2" w:rsidRPr="003C4197" w:rsidRDefault="00050CA2" w:rsidP="00050CA2">
            <w:pPr>
              <w:widowControl w:val="0"/>
              <w:pBdr>
                <w:bottom w:val="double" w:sz="4" w:space="0" w:color="auto"/>
              </w:pBdr>
              <w:spacing w:before="120"/>
              <w:ind w:left="57" w:right="-85"/>
              <w:jc w:val="right"/>
              <w:rPr>
                <w:rFonts w:eastAsia="Batang" w:cs="Arial"/>
                <w:b/>
                <w:bCs/>
                <w:highlight w:val="yellow"/>
                <w:lang w:eastAsia="ko-KR"/>
              </w:rPr>
            </w:pPr>
            <w:r w:rsidRPr="003C4197">
              <w:rPr>
                <w:b/>
                <w:bCs/>
              </w:rPr>
              <w:t>26</w:t>
            </w:r>
            <w:r w:rsidR="003C4197">
              <w:rPr>
                <w:b/>
                <w:bCs/>
              </w:rPr>
              <w:t>,</w:t>
            </w:r>
            <w:r w:rsidRPr="003C4197">
              <w:rPr>
                <w:b/>
                <w:bCs/>
              </w:rPr>
              <w:t>517</w:t>
            </w:r>
            <w:r w:rsidR="003C4197">
              <w:rPr>
                <w:b/>
                <w:bCs/>
              </w:rPr>
              <w:t>,</w:t>
            </w:r>
            <w:r w:rsidRPr="003C4197">
              <w:rPr>
                <w:b/>
                <w:bCs/>
              </w:rPr>
              <w:t>651</w:t>
            </w:r>
            <w:r w:rsidR="003C4197">
              <w:rPr>
                <w:b/>
                <w:bCs/>
              </w:rPr>
              <w:t>,</w:t>
            </w:r>
            <w:r w:rsidRPr="003C4197">
              <w:rPr>
                <w:b/>
                <w:bCs/>
              </w:rPr>
              <w:t>751</w:t>
            </w:r>
            <w:r w:rsidR="003C4197">
              <w:rPr>
                <w:b/>
                <w:bCs/>
              </w:rPr>
              <w:t>,</w:t>
            </w:r>
            <w:r w:rsidRPr="003C4197">
              <w:rPr>
                <w:b/>
                <w:bCs/>
              </w:rPr>
              <w:t>090</w:t>
            </w:r>
          </w:p>
        </w:tc>
      </w:tr>
    </w:tbl>
    <w:p w14:paraId="27DD33AF" w14:textId="77777777" w:rsidR="005215C9" w:rsidRPr="002A0B87" w:rsidRDefault="005215C9" w:rsidP="00C90B5D">
      <w:pPr>
        <w:pStyle w:val="NoSpacing"/>
        <w:rPr>
          <w:lang w:val="de-DE"/>
        </w:rPr>
      </w:pPr>
    </w:p>
    <w:p w14:paraId="50D0CD4D" w14:textId="77777777" w:rsidR="00B27FE0" w:rsidRDefault="00B27FE0" w:rsidP="00C90B5D">
      <w:pPr>
        <w:pStyle w:val="NoSpacing"/>
        <w:rPr>
          <w:lang w:val="de-DE"/>
        </w:rPr>
      </w:pPr>
    </w:p>
    <w:p w14:paraId="681F439B" w14:textId="12394810" w:rsidR="005215C9" w:rsidRPr="002A0B87" w:rsidRDefault="005215C9" w:rsidP="005215C9">
      <w:pPr>
        <w:pStyle w:val="BodyText"/>
        <w:ind w:left="720" w:hanging="720"/>
        <w:textAlignment w:val="auto"/>
        <w:outlineLvl w:val="0"/>
        <w:rPr>
          <w:rFonts w:ascii="Arial" w:hAnsi="Arial" w:cs="Arial"/>
          <w:b/>
          <w:bCs/>
        </w:rPr>
      </w:pPr>
      <w:r w:rsidRPr="002A0B87">
        <w:rPr>
          <w:rFonts w:ascii="Arial" w:hAnsi="Arial" w:cs="Arial"/>
          <w:b/>
          <w:bCs/>
        </w:rPr>
        <w:t>7.</w:t>
      </w:r>
      <w:r w:rsidRPr="002A0B87">
        <w:rPr>
          <w:rFonts w:ascii="Arial" w:hAnsi="Arial" w:cs="Arial"/>
          <w:b/>
          <w:bCs/>
        </w:rPr>
        <w:tab/>
      </w:r>
      <w:r w:rsidR="00E423B4" w:rsidRPr="00E423B4">
        <w:rPr>
          <w:rFonts w:ascii="Arial" w:hAnsi="Arial" w:cs="Arial"/>
          <w:b/>
          <w:bCs/>
        </w:rPr>
        <w:t>FINANCIAL ASSETS</w:t>
      </w:r>
      <w:r w:rsidR="00E423B4" w:rsidRPr="00E423B4" w:rsidDel="00E423B4">
        <w:rPr>
          <w:rFonts w:ascii="Arial" w:hAnsi="Arial" w:cs="Arial"/>
          <w:b/>
          <w:bCs/>
        </w:rPr>
        <w:t xml:space="preserve"> </w:t>
      </w:r>
    </w:p>
    <w:p w14:paraId="57C2AA2F" w14:textId="77777777" w:rsidR="001C57BE" w:rsidRPr="002A0B87" w:rsidRDefault="001C57BE" w:rsidP="00C90B5D">
      <w:pPr>
        <w:pStyle w:val="NoSpacing"/>
      </w:pPr>
    </w:p>
    <w:p w14:paraId="6207A317" w14:textId="4E2C39B8" w:rsidR="001C57BE" w:rsidRPr="002A0B87" w:rsidRDefault="001C57BE" w:rsidP="00C90B5D">
      <w:pPr>
        <w:pStyle w:val="Heading2"/>
      </w:pPr>
      <w:r w:rsidRPr="002A0B87">
        <w:t>7.1</w:t>
      </w:r>
      <w:r w:rsidRPr="002A0B87">
        <w:tab/>
      </w:r>
      <w:r w:rsidR="006C4850" w:rsidRPr="006C4850">
        <w:t>Financial assets at fair value through profit or loss (“FVTPL”)</w:t>
      </w:r>
    </w:p>
    <w:p w14:paraId="5A089746" w14:textId="77777777" w:rsidR="001C57BE" w:rsidRPr="002A0B87" w:rsidRDefault="001C57BE" w:rsidP="00C90B5D">
      <w:pPr>
        <w:pStyle w:val="NoSpacing"/>
        <w:rPr>
          <w:lang w:val="de-DE"/>
        </w:rPr>
      </w:pPr>
    </w:p>
    <w:tbl>
      <w:tblPr>
        <w:tblW w:w="8164" w:type="dxa"/>
        <w:tblInd w:w="720" w:type="dxa"/>
        <w:tblLayout w:type="fixed"/>
        <w:tblLook w:val="04A0" w:firstRow="1" w:lastRow="0" w:firstColumn="1" w:lastColumn="0" w:noHBand="0" w:noVBand="1"/>
      </w:tblPr>
      <w:tblGrid>
        <w:gridCol w:w="1530"/>
        <w:gridCol w:w="1800"/>
        <w:gridCol w:w="1710"/>
        <w:gridCol w:w="1620"/>
        <w:gridCol w:w="1504"/>
      </w:tblGrid>
      <w:tr w:rsidR="00AC40E3" w:rsidRPr="00AC40E3" w14:paraId="163801FA" w14:textId="77777777" w:rsidTr="009515EA">
        <w:trPr>
          <w:trHeight w:val="20"/>
        </w:trPr>
        <w:tc>
          <w:tcPr>
            <w:tcW w:w="1530" w:type="dxa"/>
            <w:vAlign w:val="bottom"/>
          </w:tcPr>
          <w:p w14:paraId="65788E18" w14:textId="77777777" w:rsidR="00AC40E3" w:rsidRPr="00AC40E3" w:rsidRDefault="00AC40E3" w:rsidP="00562D45">
            <w:pPr>
              <w:widowControl w:val="0"/>
              <w:ind w:left="-115"/>
              <w:rPr>
                <w:rFonts w:cs="Arial"/>
                <w:i/>
                <w:lang w:val="nl-NL"/>
              </w:rPr>
            </w:pPr>
          </w:p>
        </w:tc>
        <w:tc>
          <w:tcPr>
            <w:tcW w:w="3510" w:type="dxa"/>
            <w:gridSpan w:val="2"/>
            <w:vAlign w:val="bottom"/>
            <w:hideMark/>
          </w:tcPr>
          <w:p w14:paraId="5CF01D3D" w14:textId="055037E6" w:rsidR="00AC40E3" w:rsidRPr="00AC40E3" w:rsidRDefault="00C224EC" w:rsidP="00557104">
            <w:pPr>
              <w:widowControl w:val="0"/>
              <w:pBdr>
                <w:bottom w:val="single" w:sz="4" w:space="0" w:color="auto"/>
              </w:pBdr>
              <w:ind w:left="58" w:right="-86"/>
              <w:jc w:val="center"/>
              <w:rPr>
                <w:rFonts w:cs="Arial"/>
                <w:i/>
                <w:iCs/>
                <w:lang w:val="nl-NL"/>
              </w:rPr>
            </w:pPr>
            <w:r w:rsidRPr="00C224EC">
              <w:rPr>
                <w:rFonts w:cs="Arial"/>
                <w:i/>
                <w:iCs/>
                <w:lang w:val="nl-NL"/>
              </w:rPr>
              <w:t>Ending balance</w:t>
            </w:r>
          </w:p>
        </w:tc>
        <w:tc>
          <w:tcPr>
            <w:tcW w:w="3124" w:type="dxa"/>
            <w:gridSpan w:val="2"/>
            <w:vAlign w:val="bottom"/>
            <w:hideMark/>
          </w:tcPr>
          <w:p w14:paraId="029E83EE" w14:textId="717D2581" w:rsidR="00AC40E3" w:rsidRPr="00AC40E3" w:rsidRDefault="005B6BD0" w:rsidP="00557104">
            <w:pPr>
              <w:widowControl w:val="0"/>
              <w:pBdr>
                <w:bottom w:val="single" w:sz="4" w:space="0" w:color="auto"/>
              </w:pBdr>
              <w:ind w:left="58" w:right="-86"/>
              <w:jc w:val="center"/>
              <w:rPr>
                <w:rFonts w:cs="Arial"/>
                <w:i/>
                <w:iCs/>
                <w:lang w:val="en-GB"/>
              </w:rPr>
            </w:pPr>
            <w:r w:rsidRPr="005B6BD0">
              <w:rPr>
                <w:rFonts w:cs="Arial"/>
                <w:i/>
                <w:iCs/>
                <w:lang w:val="nl-NL"/>
              </w:rPr>
              <w:t>Opening balance</w:t>
            </w:r>
          </w:p>
        </w:tc>
      </w:tr>
      <w:tr w:rsidR="00F5186D" w:rsidRPr="00AC40E3" w14:paraId="06650E7C" w14:textId="77777777" w:rsidTr="009515EA">
        <w:trPr>
          <w:trHeight w:val="20"/>
        </w:trPr>
        <w:tc>
          <w:tcPr>
            <w:tcW w:w="1530" w:type="dxa"/>
            <w:vAlign w:val="bottom"/>
          </w:tcPr>
          <w:p w14:paraId="7DB0965B" w14:textId="77777777" w:rsidR="0016771B" w:rsidRPr="00AC40E3" w:rsidRDefault="0016771B" w:rsidP="0016771B">
            <w:pPr>
              <w:widowControl w:val="0"/>
              <w:spacing w:before="120"/>
              <w:ind w:left="-115"/>
              <w:rPr>
                <w:rFonts w:cs="Arial"/>
                <w:lang w:val="en-GB"/>
              </w:rPr>
            </w:pPr>
          </w:p>
        </w:tc>
        <w:tc>
          <w:tcPr>
            <w:tcW w:w="1800" w:type="dxa"/>
            <w:vAlign w:val="bottom"/>
            <w:hideMark/>
          </w:tcPr>
          <w:p w14:paraId="1AC64F76" w14:textId="6914B37B" w:rsidR="0016771B" w:rsidRPr="00AC40E3" w:rsidRDefault="00F472C0" w:rsidP="00557104">
            <w:pPr>
              <w:widowControl w:val="0"/>
              <w:pBdr>
                <w:bottom w:val="single" w:sz="4" w:space="0" w:color="auto"/>
              </w:pBdr>
              <w:spacing w:before="120"/>
              <w:ind w:left="58" w:right="-86"/>
              <w:jc w:val="right"/>
              <w:rPr>
                <w:rFonts w:cs="Arial"/>
                <w:i/>
              </w:rPr>
            </w:pPr>
            <w:r>
              <w:rPr>
                <w:rFonts w:cs="Arial"/>
                <w:i/>
              </w:rPr>
              <w:t>Cost</w:t>
            </w:r>
          </w:p>
          <w:p w14:paraId="5FC18004" w14:textId="3CCD64D9" w:rsidR="0016771B" w:rsidRPr="00AC40E3" w:rsidRDefault="0016771B" w:rsidP="00557104">
            <w:pPr>
              <w:widowControl w:val="0"/>
              <w:pBdr>
                <w:bottom w:val="single" w:sz="4" w:space="0" w:color="auto"/>
              </w:pBdr>
              <w:ind w:left="58" w:right="-86"/>
              <w:jc w:val="right"/>
              <w:rPr>
                <w:rFonts w:cs="Arial"/>
                <w:i/>
              </w:rPr>
            </w:pPr>
            <w:r w:rsidRPr="00AC40E3">
              <w:rPr>
                <w:rFonts w:cs="Arial"/>
                <w:i/>
              </w:rPr>
              <w:t>VND</w:t>
            </w:r>
          </w:p>
        </w:tc>
        <w:tc>
          <w:tcPr>
            <w:tcW w:w="1710" w:type="dxa"/>
            <w:vAlign w:val="bottom"/>
            <w:hideMark/>
          </w:tcPr>
          <w:p w14:paraId="3F2736C4" w14:textId="5A366BFE" w:rsidR="009925FE" w:rsidRPr="00AC40E3" w:rsidRDefault="00F472C0">
            <w:pPr>
              <w:widowControl w:val="0"/>
              <w:pBdr>
                <w:bottom w:val="single" w:sz="4" w:space="0" w:color="auto"/>
              </w:pBdr>
              <w:spacing w:before="120"/>
              <w:ind w:left="58" w:right="-86"/>
              <w:jc w:val="right"/>
              <w:rPr>
                <w:rFonts w:cs="Arial"/>
                <w:i/>
              </w:rPr>
            </w:pPr>
            <w:r>
              <w:rPr>
                <w:rFonts w:cs="Arial"/>
                <w:i/>
              </w:rPr>
              <w:t>Fair value</w:t>
            </w:r>
          </w:p>
          <w:p w14:paraId="78BF52D0" w14:textId="6E1A97FA" w:rsidR="0016771B" w:rsidRPr="00AC40E3" w:rsidRDefault="0016771B">
            <w:pPr>
              <w:widowControl w:val="0"/>
              <w:pBdr>
                <w:bottom w:val="single" w:sz="4" w:space="0" w:color="auto"/>
              </w:pBdr>
              <w:ind w:left="58" w:right="-86"/>
              <w:jc w:val="right"/>
              <w:rPr>
                <w:rFonts w:cs="Arial"/>
                <w:i/>
                <w:lang w:val="en-GB"/>
              </w:rPr>
            </w:pPr>
            <w:r w:rsidRPr="00AC40E3">
              <w:rPr>
                <w:rFonts w:cs="Arial"/>
                <w:i/>
              </w:rPr>
              <w:t>VND</w:t>
            </w:r>
          </w:p>
        </w:tc>
        <w:tc>
          <w:tcPr>
            <w:tcW w:w="1620" w:type="dxa"/>
            <w:vAlign w:val="bottom"/>
            <w:hideMark/>
          </w:tcPr>
          <w:p w14:paraId="7BB21337" w14:textId="74D9E834" w:rsidR="0016771B" w:rsidRPr="00AC40E3" w:rsidRDefault="00F472C0" w:rsidP="00557104">
            <w:pPr>
              <w:widowControl w:val="0"/>
              <w:pBdr>
                <w:bottom w:val="single" w:sz="4" w:space="0" w:color="auto"/>
              </w:pBdr>
              <w:spacing w:before="120"/>
              <w:ind w:left="58" w:right="-86"/>
              <w:jc w:val="right"/>
              <w:rPr>
                <w:rFonts w:cs="Arial"/>
                <w:i/>
              </w:rPr>
            </w:pPr>
            <w:r>
              <w:rPr>
                <w:rFonts w:cs="Arial"/>
                <w:i/>
              </w:rPr>
              <w:t>Cost</w:t>
            </w:r>
          </w:p>
          <w:p w14:paraId="40F51902" w14:textId="7998324B" w:rsidR="0016771B" w:rsidRPr="00AC40E3" w:rsidRDefault="0016771B" w:rsidP="00557104">
            <w:pPr>
              <w:widowControl w:val="0"/>
              <w:pBdr>
                <w:bottom w:val="single" w:sz="4" w:space="0" w:color="auto"/>
              </w:pBdr>
              <w:ind w:left="58" w:right="-86"/>
              <w:jc w:val="right"/>
              <w:rPr>
                <w:rFonts w:cs="Arial"/>
                <w:i/>
              </w:rPr>
            </w:pPr>
            <w:r w:rsidRPr="00AC40E3">
              <w:rPr>
                <w:rFonts w:cs="Arial"/>
                <w:i/>
              </w:rPr>
              <w:t>VND</w:t>
            </w:r>
          </w:p>
        </w:tc>
        <w:tc>
          <w:tcPr>
            <w:tcW w:w="1504" w:type="dxa"/>
            <w:vAlign w:val="bottom"/>
            <w:hideMark/>
          </w:tcPr>
          <w:p w14:paraId="43BEEE97" w14:textId="66AE1989" w:rsidR="004951CE" w:rsidRPr="00AC40E3" w:rsidRDefault="00F472C0">
            <w:pPr>
              <w:widowControl w:val="0"/>
              <w:pBdr>
                <w:bottom w:val="single" w:sz="4" w:space="0" w:color="auto"/>
              </w:pBdr>
              <w:spacing w:before="120"/>
              <w:ind w:left="58" w:right="-86"/>
              <w:jc w:val="right"/>
              <w:rPr>
                <w:rFonts w:cs="Arial"/>
                <w:i/>
              </w:rPr>
            </w:pPr>
            <w:r>
              <w:rPr>
                <w:rFonts w:cs="Arial"/>
                <w:i/>
              </w:rPr>
              <w:t>Fair value</w:t>
            </w:r>
          </w:p>
          <w:p w14:paraId="7B36F515" w14:textId="0D454776" w:rsidR="0016771B" w:rsidRPr="00AC40E3" w:rsidRDefault="0016771B">
            <w:pPr>
              <w:widowControl w:val="0"/>
              <w:pBdr>
                <w:bottom w:val="single" w:sz="4" w:space="0" w:color="auto"/>
              </w:pBdr>
              <w:ind w:left="58" w:right="-86"/>
              <w:jc w:val="right"/>
              <w:rPr>
                <w:rFonts w:cs="Arial"/>
                <w:i/>
              </w:rPr>
            </w:pPr>
            <w:r w:rsidRPr="00AC40E3">
              <w:rPr>
                <w:rFonts w:cs="Arial"/>
                <w:i/>
              </w:rPr>
              <w:t>VND</w:t>
            </w:r>
          </w:p>
        </w:tc>
      </w:tr>
      <w:tr w:rsidR="00C67B00" w:rsidRPr="00AC40E3" w14:paraId="6129816E" w14:textId="77777777" w:rsidTr="009515EA">
        <w:trPr>
          <w:trHeight w:val="20"/>
        </w:trPr>
        <w:tc>
          <w:tcPr>
            <w:tcW w:w="1530" w:type="dxa"/>
            <w:vAlign w:val="bottom"/>
          </w:tcPr>
          <w:p w14:paraId="3EC2F1DF" w14:textId="40168658" w:rsidR="00C67B00" w:rsidRPr="00AC40E3" w:rsidRDefault="00A31541" w:rsidP="00307188">
            <w:pPr>
              <w:widowControl w:val="0"/>
              <w:spacing w:before="120"/>
              <w:ind w:left="-115"/>
              <w:rPr>
                <w:rFonts w:cs="Arial"/>
                <w:lang w:val="en-GB"/>
              </w:rPr>
            </w:pPr>
            <w:r w:rsidRPr="00A31541">
              <w:rPr>
                <w:rFonts w:cs="Arial"/>
                <w:b/>
                <w:bCs/>
              </w:rPr>
              <w:t>Shares</w:t>
            </w:r>
          </w:p>
        </w:tc>
        <w:tc>
          <w:tcPr>
            <w:tcW w:w="1800" w:type="dxa"/>
            <w:vAlign w:val="bottom"/>
          </w:tcPr>
          <w:p w14:paraId="57C5BB4C" w14:textId="77777777" w:rsidR="00C67B00" w:rsidRPr="00AC40E3" w:rsidRDefault="00C67B00" w:rsidP="00557104">
            <w:pPr>
              <w:widowControl w:val="0"/>
              <w:spacing w:before="120"/>
              <w:ind w:left="58" w:right="-86"/>
              <w:jc w:val="right"/>
              <w:rPr>
                <w:rFonts w:cs="Arial"/>
                <w:lang w:val="en-GB"/>
              </w:rPr>
            </w:pPr>
          </w:p>
        </w:tc>
        <w:tc>
          <w:tcPr>
            <w:tcW w:w="1710" w:type="dxa"/>
            <w:vAlign w:val="bottom"/>
          </w:tcPr>
          <w:p w14:paraId="57AF30CB" w14:textId="77777777" w:rsidR="00C67B00" w:rsidRPr="00AC40E3" w:rsidRDefault="00C67B00" w:rsidP="00557104">
            <w:pPr>
              <w:widowControl w:val="0"/>
              <w:spacing w:before="120"/>
              <w:ind w:left="58" w:right="-86"/>
              <w:jc w:val="right"/>
              <w:rPr>
                <w:rFonts w:cs="Arial"/>
                <w:lang w:val="en-GB"/>
              </w:rPr>
            </w:pPr>
          </w:p>
        </w:tc>
        <w:tc>
          <w:tcPr>
            <w:tcW w:w="1620" w:type="dxa"/>
            <w:vAlign w:val="bottom"/>
          </w:tcPr>
          <w:p w14:paraId="76EFC1F2" w14:textId="77777777" w:rsidR="00C67B00" w:rsidRPr="00AC40E3" w:rsidRDefault="00C67B00" w:rsidP="00557104">
            <w:pPr>
              <w:widowControl w:val="0"/>
              <w:spacing w:before="120"/>
              <w:ind w:left="58" w:right="-86"/>
              <w:jc w:val="right"/>
              <w:rPr>
                <w:rFonts w:cs="Arial"/>
                <w:lang w:val="en-GB"/>
              </w:rPr>
            </w:pPr>
          </w:p>
        </w:tc>
        <w:tc>
          <w:tcPr>
            <w:tcW w:w="1504" w:type="dxa"/>
            <w:vAlign w:val="bottom"/>
          </w:tcPr>
          <w:p w14:paraId="6DC607E3" w14:textId="3797346C" w:rsidR="00C67B00" w:rsidRPr="00AC40E3" w:rsidRDefault="00C67B00" w:rsidP="00557104">
            <w:pPr>
              <w:widowControl w:val="0"/>
              <w:spacing w:before="120"/>
              <w:ind w:left="58" w:right="-86"/>
              <w:jc w:val="right"/>
              <w:rPr>
                <w:rFonts w:cs="Arial"/>
                <w:lang w:val="en-GB"/>
              </w:rPr>
            </w:pPr>
          </w:p>
        </w:tc>
      </w:tr>
      <w:tr w:rsidR="00A45D49" w:rsidRPr="00AC40E3" w14:paraId="60058EA5" w14:textId="77777777" w:rsidTr="00A45D49">
        <w:trPr>
          <w:trHeight w:val="20"/>
        </w:trPr>
        <w:tc>
          <w:tcPr>
            <w:tcW w:w="1530" w:type="dxa"/>
            <w:vAlign w:val="bottom"/>
          </w:tcPr>
          <w:p w14:paraId="5C3E4F18" w14:textId="3B2CB530" w:rsidR="00A45D49" w:rsidRPr="00C62C36" w:rsidRDefault="00A45D49" w:rsidP="00A45D49">
            <w:pPr>
              <w:widowControl w:val="0"/>
              <w:ind w:left="-115"/>
              <w:rPr>
                <w:rFonts w:cs="Arial"/>
              </w:rPr>
            </w:pPr>
            <w:r w:rsidRPr="0032089B">
              <w:rPr>
                <w:rFonts w:cs="Arial"/>
              </w:rPr>
              <w:t>Listed</w:t>
            </w:r>
          </w:p>
        </w:tc>
        <w:tc>
          <w:tcPr>
            <w:tcW w:w="1800" w:type="dxa"/>
            <w:vAlign w:val="bottom"/>
          </w:tcPr>
          <w:p w14:paraId="5D6D38E3" w14:textId="246974C4" w:rsidR="00A45D49" w:rsidRPr="002D378A" w:rsidRDefault="00A45D49" w:rsidP="00A45D49">
            <w:pPr>
              <w:widowControl w:val="0"/>
              <w:ind w:left="58" w:right="-86"/>
              <w:jc w:val="right"/>
              <w:rPr>
                <w:rFonts w:cs="Arial"/>
                <w:lang w:val="en-GB"/>
              </w:rPr>
            </w:pPr>
            <w:r w:rsidRPr="00436BFC">
              <w:t>375</w:t>
            </w:r>
            <w:r w:rsidR="00DF0068">
              <w:t>,</w:t>
            </w:r>
            <w:r w:rsidRPr="00436BFC">
              <w:t>953</w:t>
            </w:r>
            <w:r w:rsidR="00DF0068">
              <w:t>,</w:t>
            </w:r>
            <w:r w:rsidRPr="00436BFC">
              <w:t>425</w:t>
            </w:r>
          </w:p>
        </w:tc>
        <w:tc>
          <w:tcPr>
            <w:tcW w:w="1710" w:type="dxa"/>
            <w:vAlign w:val="bottom"/>
          </w:tcPr>
          <w:p w14:paraId="422C4F41" w14:textId="2094B79E" w:rsidR="00A45D49" w:rsidRPr="002D378A" w:rsidRDefault="00A45D49" w:rsidP="00A45D49">
            <w:pPr>
              <w:widowControl w:val="0"/>
              <w:ind w:left="58" w:right="-86"/>
              <w:jc w:val="right"/>
              <w:rPr>
                <w:rFonts w:cs="Arial"/>
                <w:lang w:val="en-GB"/>
              </w:rPr>
            </w:pPr>
            <w:r w:rsidRPr="00436BFC">
              <w:t>247</w:t>
            </w:r>
            <w:r w:rsidR="00DF0068">
              <w:t>,</w:t>
            </w:r>
            <w:r w:rsidRPr="00436BFC">
              <w:t>396</w:t>
            </w:r>
            <w:r w:rsidR="00DF0068">
              <w:t>,</w:t>
            </w:r>
            <w:r w:rsidRPr="00436BFC">
              <w:t>120</w:t>
            </w:r>
          </w:p>
        </w:tc>
        <w:tc>
          <w:tcPr>
            <w:tcW w:w="1620" w:type="dxa"/>
            <w:vAlign w:val="bottom"/>
          </w:tcPr>
          <w:p w14:paraId="38E954F1" w14:textId="4BFE6B83" w:rsidR="00A45D49" w:rsidRPr="002D378A" w:rsidRDefault="00A45D49" w:rsidP="00A45D49">
            <w:pPr>
              <w:widowControl w:val="0"/>
              <w:ind w:left="58" w:right="-86"/>
              <w:jc w:val="right"/>
              <w:rPr>
                <w:rFonts w:cs="Arial"/>
                <w:lang w:val="en-GB"/>
              </w:rPr>
            </w:pPr>
            <w:r w:rsidRPr="00436BFC">
              <w:t>269</w:t>
            </w:r>
            <w:r w:rsidR="00DF0068">
              <w:t>,</w:t>
            </w:r>
            <w:r w:rsidRPr="00436BFC">
              <w:t>652</w:t>
            </w:r>
            <w:r w:rsidR="00DF0068">
              <w:t>,</w:t>
            </w:r>
            <w:r w:rsidRPr="00436BFC">
              <w:t>393</w:t>
            </w:r>
          </w:p>
        </w:tc>
        <w:tc>
          <w:tcPr>
            <w:tcW w:w="1504" w:type="dxa"/>
            <w:vAlign w:val="bottom"/>
          </w:tcPr>
          <w:p w14:paraId="6A6C83B4" w14:textId="4F72A6CA" w:rsidR="00A45D49" w:rsidRPr="002D378A" w:rsidRDefault="00A45D49" w:rsidP="00A45D49">
            <w:pPr>
              <w:widowControl w:val="0"/>
              <w:ind w:left="58" w:right="-86"/>
              <w:jc w:val="right"/>
              <w:rPr>
                <w:rFonts w:cs="Arial"/>
                <w:lang w:val="en-GB"/>
              </w:rPr>
            </w:pPr>
            <w:r w:rsidRPr="00436BFC">
              <w:t>300</w:t>
            </w:r>
            <w:r w:rsidR="00DF0068">
              <w:t>,</w:t>
            </w:r>
            <w:r w:rsidRPr="00436BFC">
              <w:t>325</w:t>
            </w:r>
            <w:r w:rsidR="00DF0068">
              <w:t>,</w:t>
            </w:r>
            <w:r w:rsidRPr="00436BFC">
              <w:t>950</w:t>
            </w:r>
          </w:p>
        </w:tc>
      </w:tr>
      <w:tr w:rsidR="00A45D49" w:rsidRPr="00AC40E3" w14:paraId="6C55FB9F" w14:textId="77777777" w:rsidTr="00A45D49">
        <w:trPr>
          <w:trHeight w:val="20"/>
        </w:trPr>
        <w:tc>
          <w:tcPr>
            <w:tcW w:w="1530" w:type="dxa"/>
            <w:vAlign w:val="bottom"/>
          </w:tcPr>
          <w:p w14:paraId="46EFC088" w14:textId="73DE1682" w:rsidR="00A45D49" w:rsidRPr="0032089B" w:rsidRDefault="00A45D49" w:rsidP="00A45D49">
            <w:pPr>
              <w:widowControl w:val="0"/>
              <w:ind w:left="-115"/>
              <w:rPr>
                <w:rFonts w:cs="Arial"/>
              </w:rPr>
            </w:pPr>
            <w:r>
              <w:rPr>
                <w:rFonts w:cs="Arial"/>
              </w:rPr>
              <w:t>Unlisted</w:t>
            </w:r>
          </w:p>
        </w:tc>
        <w:tc>
          <w:tcPr>
            <w:tcW w:w="1800" w:type="dxa"/>
            <w:vAlign w:val="bottom"/>
          </w:tcPr>
          <w:p w14:paraId="76B9FED7" w14:textId="5C9C17F6" w:rsidR="00A45D49" w:rsidRPr="00574D65" w:rsidRDefault="00A45D49" w:rsidP="00A45D49">
            <w:pPr>
              <w:widowControl w:val="0"/>
              <w:ind w:left="58" w:right="-86"/>
              <w:jc w:val="right"/>
              <w:rPr>
                <w:rFonts w:cs="Arial"/>
                <w:color w:val="000000"/>
              </w:rPr>
            </w:pPr>
            <w:r w:rsidRPr="00436BFC">
              <w:t>3</w:t>
            </w:r>
            <w:r w:rsidR="00DF0068">
              <w:t>,</w:t>
            </w:r>
            <w:r w:rsidRPr="00436BFC">
              <w:t>647</w:t>
            </w:r>
            <w:r w:rsidR="00DF0068">
              <w:t>,</w:t>
            </w:r>
            <w:r w:rsidRPr="00436BFC">
              <w:t>500</w:t>
            </w:r>
          </w:p>
        </w:tc>
        <w:tc>
          <w:tcPr>
            <w:tcW w:w="1710" w:type="dxa"/>
            <w:vAlign w:val="bottom"/>
          </w:tcPr>
          <w:p w14:paraId="58726B5A" w14:textId="7BF9745A" w:rsidR="00A45D49" w:rsidRPr="00574D65" w:rsidRDefault="00A45D49" w:rsidP="00A45D49">
            <w:pPr>
              <w:widowControl w:val="0"/>
              <w:ind w:left="58" w:right="-86"/>
              <w:jc w:val="right"/>
              <w:rPr>
                <w:rFonts w:cs="Arial"/>
                <w:iCs/>
                <w:color w:val="000000"/>
              </w:rPr>
            </w:pPr>
            <w:r w:rsidRPr="00436BFC">
              <w:t>680</w:t>
            </w:r>
            <w:r w:rsidR="00DF0068">
              <w:t>,</w:t>
            </w:r>
            <w:r w:rsidRPr="00436BFC">
              <w:t>200</w:t>
            </w:r>
          </w:p>
        </w:tc>
        <w:tc>
          <w:tcPr>
            <w:tcW w:w="1620" w:type="dxa"/>
            <w:vAlign w:val="bottom"/>
          </w:tcPr>
          <w:p w14:paraId="388D2F3E" w14:textId="030DCE57" w:rsidR="00A45D49" w:rsidRPr="004E1CEC" w:rsidRDefault="00A45D49" w:rsidP="00A45D49">
            <w:pPr>
              <w:widowControl w:val="0"/>
              <w:ind w:left="58" w:right="-86"/>
              <w:jc w:val="right"/>
              <w:rPr>
                <w:rFonts w:cs="Arial"/>
                <w:color w:val="000000"/>
              </w:rPr>
            </w:pPr>
            <w:r w:rsidRPr="00436BFC">
              <w:t>3</w:t>
            </w:r>
            <w:r w:rsidR="00DF0068">
              <w:t>,</w:t>
            </w:r>
            <w:r w:rsidRPr="00436BFC">
              <w:t>297</w:t>
            </w:r>
            <w:r w:rsidR="00DF0068">
              <w:t>,</w:t>
            </w:r>
            <w:r w:rsidRPr="00436BFC">
              <w:t>500</w:t>
            </w:r>
          </w:p>
        </w:tc>
        <w:tc>
          <w:tcPr>
            <w:tcW w:w="1504" w:type="dxa"/>
            <w:vAlign w:val="bottom"/>
          </w:tcPr>
          <w:p w14:paraId="1B5A254F" w14:textId="0D70094D" w:rsidR="00A45D49" w:rsidRPr="004E1CEC" w:rsidRDefault="00A45D49" w:rsidP="00A45D49">
            <w:pPr>
              <w:widowControl w:val="0"/>
              <w:ind w:left="58" w:right="-86"/>
              <w:jc w:val="right"/>
              <w:rPr>
                <w:rFonts w:cs="Arial"/>
                <w:iCs/>
                <w:color w:val="000000"/>
              </w:rPr>
            </w:pPr>
            <w:r w:rsidRPr="00436BFC">
              <w:t>719</w:t>
            </w:r>
            <w:r w:rsidR="00DF0068">
              <w:t>,</w:t>
            </w:r>
            <w:r w:rsidRPr="00436BFC">
              <w:t>300</w:t>
            </w:r>
          </w:p>
        </w:tc>
      </w:tr>
      <w:tr w:rsidR="00A45D49" w:rsidRPr="00AC40E3" w14:paraId="4ED72E79" w14:textId="77777777" w:rsidTr="00A45D49">
        <w:trPr>
          <w:trHeight w:val="20"/>
        </w:trPr>
        <w:tc>
          <w:tcPr>
            <w:tcW w:w="1530" w:type="dxa"/>
            <w:vAlign w:val="bottom"/>
            <w:hideMark/>
          </w:tcPr>
          <w:p w14:paraId="3C80B905" w14:textId="5D366A03" w:rsidR="00A45D49" w:rsidRPr="00AC40E3" w:rsidRDefault="00A45D49" w:rsidP="00A45D49">
            <w:pPr>
              <w:widowControl w:val="0"/>
              <w:ind w:left="-115"/>
              <w:jc w:val="left"/>
              <w:rPr>
                <w:rFonts w:cs="Arial"/>
              </w:rPr>
            </w:pPr>
            <w:r>
              <w:rPr>
                <w:rFonts w:cs="Arial"/>
              </w:rPr>
              <w:t>Fund certificate</w:t>
            </w:r>
          </w:p>
        </w:tc>
        <w:tc>
          <w:tcPr>
            <w:tcW w:w="1800" w:type="dxa"/>
            <w:vAlign w:val="bottom"/>
          </w:tcPr>
          <w:p w14:paraId="3146BC00" w14:textId="01D28AF2" w:rsidR="00A45D49" w:rsidRPr="00AC40E3" w:rsidRDefault="00A45D49" w:rsidP="00A45D49">
            <w:pPr>
              <w:widowControl w:val="0"/>
              <w:pBdr>
                <w:bottom w:val="single" w:sz="4" w:space="0" w:color="auto"/>
              </w:pBdr>
              <w:ind w:left="58" w:right="-86"/>
              <w:jc w:val="right"/>
              <w:rPr>
                <w:rFonts w:cs="Arial"/>
                <w:highlight w:val="yellow"/>
                <w:lang w:val="en-GB"/>
              </w:rPr>
            </w:pPr>
            <w:r w:rsidRPr="00436BFC">
              <w:t>125</w:t>
            </w:r>
            <w:r w:rsidR="00DF0068">
              <w:t>,</w:t>
            </w:r>
            <w:r w:rsidRPr="00436BFC">
              <w:t>000</w:t>
            </w:r>
            <w:r w:rsidR="00DF0068">
              <w:t>,</w:t>
            </w:r>
            <w:r w:rsidRPr="00436BFC">
              <w:t>000</w:t>
            </w:r>
            <w:r w:rsidR="00DF0068">
              <w:t>,</w:t>
            </w:r>
            <w:r w:rsidRPr="00436BFC">
              <w:t>000</w:t>
            </w:r>
          </w:p>
        </w:tc>
        <w:tc>
          <w:tcPr>
            <w:tcW w:w="1710" w:type="dxa"/>
            <w:vAlign w:val="bottom"/>
          </w:tcPr>
          <w:p w14:paraId="01A714E9" w14:textId="3A104AD0" w:rsidR="00A45D49" w:rsidRPr="00AC40E3" w:rsidRDefault="00A45D49" w:rsidP="00A45D49">
            <w:pPr>
              <w:widowControl w:val="0"/>
              <w:pBdr>
                <w:bottom w:val="single" w:sz="4" w:space="0" w:color="auto"/>
              </w:pBdr>
              <w:ind w:left="58" w:right="-86"/>
              <w:jc w:val="right"/>
              <w:rPr>
                <w:rFonts w:cs="Arial"/>
                <w:highlight w:val="yellow"/>
                <w:lang w:val="en-GB"/>
              </w:rPr>
            </w:pPr>
            <w:r w:rsidRPr="00436BFC">
              <w:t>126</w:t>
            </w:r>
            <w:r w:rsidR="00DF0068">
              <w:t>,</w:t>
            </w:r>
            <w:r w:rsidRPr="00436BFC">
              <w:t>345</w:t>
            </w:r>
            <w:r w:rsidR="00DF0068">
              <w:t>,</w:t>
            </w:r>
            <w:r w:rsidRPr="00436BFC">
              <w:t>625</w:t>
            </w:r>
            <w:r w:rsidR="00DF0068">
              <w:t>,</w:t>
            </w:r>
            <w:r w:rsidRPr="00436BFC">
              <w:t>000</w:t>
            </w:r>
          </w:p>
        </w:tc>
        <w:tc>
          <w:tcPr>
            <w:tcW w:w="1620" w:type="dxa"/>
            <w:vAlign w:val="bottom"/>
            <w:hideMark/>
          </w:tcPr>
          <w:p w14:paraId="01D9D802" w14:textId="20E20873" w:rsidR="00A45D49" w:rsidRPr="00AC40E3" w:rsidRDefault="00A45D49" w:rsidP="00A45D49">
            <w:pPr>
              <w:widowControl w:val="0"/>
              <w:pBdr>
                <w:bottom w:val="single" w:sz="4" w:space="0" w:color="auto"/>
              </w:pBdr>
              <w:ind w:left="58" w:right="-86"/>
              <w:jc w:val="right"/>
              <w:rPr>
                <w:rFonts w:cs="Arial"/>
                <w:lang w:val="en-GB"/>
              </w:rPr>
            </w:pPr>
            <w:r w:rsidRPr="00436BFC">
              <w:t>-</w:t>
            </w:r>
          </w:p>
        </w:tc>
        <w:tc>
          <w:tcPr>
            <w:tcW w:w="1504" w:type="dxa"/>
            <w:vAlign w:val="bottom"/>
            <w:hideMark/>
          </w:tcPr>
          <w:p w14:paraId="1D408265" w14:textId="120CB08D" w:rsidR="00A45D49" w:rsidRPr="00AC40E3" w:rsidRDefault="00A45D49" w:rsidP="00A45D49">
            <w:pPr>
              <w:widowControl w:val="0"/>
              <w:pBdr>
                <w:bottom w:val="single" w:sz="4" w:space="0" w:color="auto"/>
              </w:pBdr>
              <w:ind w:left="58" w:right="-86"/>
              <w:jc w:val="right"/>
              <w:rPr>
                <w:rFonts w:cs="Arial"/>
                <w:lang w:val="en-GB"/>
              </w:rPr>
            </w:pPr>
            <w:r w:rsidRPr="00436BFC">
              <w:t>-</w:t>
            </w:r>
          </w:p>
        </w:tc>
      </w:tr>
      <w:tr w:rsidR="00A45D49" w:rsidRPr="00AC40E3" w14:paraId="6AA48309" w14:textId="77777777" w:rsidTr="00A45D49">
        <w:trPr>
          <w:trHeight w:val="20"/>
        </w:trPr>
        <w:tc>
          <w:tcPr>
            <w:tcW w:w="1530" w:type="dxa"/>
            <w:vAlign w:val="bottom"/>
            <w:hideMark/>
          </w:tcPr>
          <w:p w14:paraId="301EB7FB" w14:textId="28BBF32A" w:rsidR="00A45D49" w:rsidRPr="00AC40E3" w:rsidRDefault="00A45D49" w:rsidP="00A45D49">
            <w:pPr>
              <w:widowControl w:val="0"/>
              <w:spacing w:before="120"/>
              <w:ind w:left="-115" w:right="-115"/>
              <w:rPr>
                <w:rFonts w:cs="Arial"/>
                <w:b/>
              </w:rPr>
            </w:pPr>
            <w:r w:rsidRPr="00ED0C8C">
              <w:rPr>
                <w:rFonts w:cs="Arial"/>
                <w:b/>
              </w:rPr>
              <w:t>Total</w:t>
            </w:r>
          </w:p>
        </w:tc>
        <w:tc>
          <w:tcPr>
            <w:tcW w:w="1800" w:type="dxa"/>
            <w:vAlign w:val="bottom"/>
          </w:tcPr>
          <w:p w14:paraId="2584D614" w14:textId="4E607434" w:rsidR="00A45D49" w:rsidRPr="00A45D49" w:rsidRDefault="00A45D49" w:rsidP="00A45D49">
            <w:pPr>
              <w:widowControl w:val="0"/>
              <w:pBdr>
                <w:bottom w:val="double" w:sz="4" w:space="1" w:color="auto"/>
              </w:pBdr>
              <w:spacing w:before="120"/>
              <w:ind w:left="58" w:right="-86"/>
              <w:jc w:val="right"/>
              <w:rPr>
                <w:rFonts w:eastAsia="Batang" w:cs="Arial"/>
                <w:b/>
                <w:bCs/>
                <w:highlight w:val="yellow"/>
                <w:lang w:eastAsia="ko-KR"/>
              </w:rPr>
            </w:pPr>
            <w:r w:rsidRPr="00A45D49">
              <w:rPr>
                <w:b/>
                <w:bCs/>
              </w:rPr>
              <w:t>125</w:t>
            </w:r>
            <w:r w:rsidR="00DF0068">
              <w:rPr>
                <w:b/>
                <w:bCs/>
              </w:rPr>
              <w:t>,</w:t>
            </w:r>
            <w:r w:rsidRPr="00A45D49">
              <w:rPr>
                <w:b/>
                <w:bCs/>
              </w:rPr>
              <w:t>379</w:t>
            </w:r>
            <w:r w:rsidR="00DF0068">
              <w:rPr>
                <w:b/>
                <w:bCs/>
              </w:rPr>
              <w:t>,</w:t>
            </w:r>
            <w:r w:rsidRPr="00A45D49">
              <w:rPr>
                <w:b/>
                <w:bCs/>
              </w:rPr>
              <w:t>600</w:t>
            </w:r>
            <w:r w:rsidR="00DF0068">
              <w:rPr>
                <w:b/>
                <w:bCs/>
              </w:rPr>
              <w:t>,</w:t>
            </w:r>
            <w:r w:rsidRPr="00A45D49">
              <w:rPr>
                <w:b/>
                <w:bCs/>
              </w:rPr>
              <w:t xml:space="preserve">925 </w:t>
            </w:r>
          </w:p>
        </w:tc>
        <w:tc>
          <w:tcPr>
            <w:tcW w:w="1710" w:type="dxa"/>
            <w:vAlign w:val="bottom"/>
          </w:tcPr>
          <w:p w14:paraId="74157216" w14:textId="48726607" w:rsidR="00A45D49" w:rsidRPr="00A45D49" w:rsidRDefault="00A45D49" w:rsidP="00A45D49">
            <w:pPr>
              <w:widowControl w:val="0"/>
              <w:pBdr>
                <w:bottom w:val="double" w:sz="4" w:space="1" w:color="auto"/>
              </w:pBdr>
              <w:spacing w:before="120"/>
              <w:ind w:left="58" w:right="-86"/>
              <w:jc w:val="right"/>
              <w:rPr>
                <w:rFonts w:eastAsia="Batang" w:cs="Arial"/>
                <w:b/>
                <w:bCs/>
                <w:highlight w:val="yellow"/>
                <w:lang w:eastAsia="ko-KR"/>
              </w:rPr>
            </w:pPr>
            <w:r w:rsidRPr="00A45D49">
              <w:rPr>
                <w:b/>
                <w:bCs/>
              </w:rPr>
              <w:t>126</w:t>
            </w:r>
            <w:r w:rsidR="00DF0068">
              <w:rPr>
                <w:b/>
                <w:bCs/>
              </w:rPr>
              <w:t>,</w:t>
            </w:r>
            <w:r w:rsidRPr="00A45D49">
              <w:rPr>
                <w:b/>
                <w:bCs/>
              </w:rPr>
              <w:t>593</w:t>
            </w:r>
            <w:r w:rsidR="00DF0068">
              <w:rPr>
                <w:b/>
                <w:bCs/>
              </w:rPr>
              <w:t>,</w:t>
            </w:r>
            <w:r w:rsidRPr="00A45D49">
              <w:rPr>
                <w:b/>
                <w:bCs/>
              </w:rPr>
              <w:t>701</w:t>
            </w:r>
            <w:r w:rsidR="00DF0068">
              <w:rPr>
                <w:b/>
                <w:bCs/>
              </w:rPr>
              <w:t>,</w:t>
            </w:r>
            <w:r w:rsidRPr="00A45D49">
              <w:rPr>
                <w:b/>
                <w:bCs/>
              </w:rPr>
              <w:t>320</w:t>
            </w:r>
          </w:p>
        </w:tc>
        <w:tc>
          <w:tcPr>
            <w:tcW w:w="1620" w:type="dxa"/>
            <w:vAlign w:val="bottom"/>
          </w:tcPr>
          <w:p w14:paraId="75C6B85D" w14:textId="0FFBC7FD" w:rsidR="00A45D49" w:rsidRPr="00A45D49" w:rsidRDefault="00A45D49" w:rsidP="00A45D49">
            <w:pPr>
              <w:widowControl w:val="0"/>
              <w:pBdr>
                <w:bottom w:val="double" w:sz="4" w:space="1" w:color="auto"/>
              </w:pBdr>
              <w:spacing w:before="120"/>
              <w:ind w:left="58" w:right="-86"/>
              <w:jc w:val="right"/>
              <w:rPr>
                <w:rFonts w:eastAsia="Batang" w:cs="Arial"/>
                <w:b/>
                <w:bCs/>
                <w:lang w:eastAsia="ko-KR"/>
              </w:rPr>
            </w:pPr>
            <w:r w:rsidRPr="00A45D49">
              <w:rPr>
                <w:b/>
                <w:bCs/>
              </w:rPr>
              <w:t>272</w:t>
            </w:r>
            <w:r w:rsidR="00DF0068">
              <w:rPr>
                <w:b/>
                <w:bCs/>
              </w:rPr>
              <w:t>,</w:t>
            </w:r>
            <w:r w:rsidRPr="00A45D49">
              <w:rPr>
                <w:b/>
                <w:bCs/>
              </w:rPr>
              <w:t>949</w:t>
            </w:r>
            <w:r w:rsidR="00DF0068">
              <w:rPr>
                <w:b/>
                <w:bCs/>
              </w:rPr>
              <w:t>,</w:t>
            </w:r>
            <w:r w:rsidRPr="00A45D49">
              <w:rPr>
                <w:b/>
                <w:bCs/>
              </w:rPr>
              <w:t xml:space="preserve">893 </w:t>
            </w:r>
          </w:p>
        </w:tc>
        <w:tc>
          <w:tcPr>
            <w:tcW w:w="1504" w:type="dxa"/>
            <w:vAlign w:val="bottom"/>
          </w:tcPr>
          <w:p w14:paraId="639BCA15" w14:textId="4302D0A6" w:rsidR="00A45D49" w:rsidRPr="00A45D49" w:rsidRDefault="00A45D49" w:rsidP="00A45D49">
            <w:pPr>
              <w:widowControl w:val="0"/>
              <w:pBdr>
                <w:bottom w:val="double" w:sz="4" w:space="1" w:color="auto"/>
              </w:pBdr>
              <w:spacing w:before="120"/>
              <w:ind w:left="58" w:right="-86"/>
              <w:jc w:val="right"/>
              <w:rPr>
                <w:rFonts w:eastAsia="Batang" w:cs="Arial"/>
                <w:b/>
                <w:bCs/>
                <w:lang w:eastAsia="ko-KR"/>
              </w:rPr>
            </w:pPr>
            <w:r w:rsidRPr="00A45D49">
              <w:rPr>
                <w:b/>
                <w:bCs/>
              </w:rPr>
              <w:t>301</w:t>
            </w:r>
            <w:r w:rsidR="00DF0068">
              <w:rPr>
                <w:b/>
                <w:bCs/>
              </w:rPr>
              <w:t>,</w:t>
            </w:r>
            <w:r w:rsidRPr="00A45D49">
              <w:rPr>
                <w:b/>
                <w:bCs/>
              </w:rPr>
              <w:t>045</w:t>
            </w:r>
            <w:r w:rsidR="00DF0068">
              <w:rPr>
                <w:b/>
                <w:bCs/>
              </w:rPr>
              <w:t>,</w:t>
            </w:r>
            <w:r w:rsidRPr="00A45D49">
              <w:rPr>
                <w:b/>
                <w:bCs/>
              </w:rPr>
              <w:t xml:space="preserve">250 </w:t>
            </w:r>
          </w:p>
        </w:tc>
      </w:tr>
    </w:tbl>
    <w:p w14:paraId="66C7C2B3" w14:textId="596103EC" w:rsidR="00B27FE0" w:rsidRPr="00CE21D3" w:rsidRDefault="00B27FE0">
      <w:pPr>
        <w:pStyle w:val="NoSpacing"/>
      </w:pPr>
    </w:p>
    <w:p w14:paraId="28C9D40D" w14:textId="77777777" w:rsidR="002B2D59" w:rsidRDefault="002B2D59">
      <w:pPr>
        <w:pStyle w:val="NoSpacing"/>
        <w:sectPr w:rsidR="002B2D59" w:rsidSect="008F7564">
          <w:pgSz w:w="11909" w:h="16834" w:code="9"/>
          <w:pgMar w:top="1440" w:right="1440" w:bottom="862" w:left="1582" w:header="720" w:footer="578" w:gutter="0"/>
          <w:cols w:space="720"/>
          <w:docGrid w:linePitch="272"/>
        </w:sectPr>
      </w:pPr>
    </w:p>
    <w:p w14:paraId="44B75FFC" w14:textId="63F8E933" w:rsidR="002B2D59" w:rsidRPr="002A0B87" w:rsidRDefault="002B2D59" w:rsidP="002B2D59">
      <w:pPr>
        <w:ind w:left="720" w:hanging="720"/>
        <w:rPr>
          <w:rFonts w:cs="Arial"/>
          <w:bCs/>
        </w:rPr>
      </w:pPr>
      <w:r w:rsidRPr="002A0B87">
        <w:rPr>
          <w:rFonts w:cs="Arial"/>
          <w:b/>
          <w:bCs/>
        </w:rPr>
        <w:lastRenderedPageBreak/>
        <w:t>7.</w:t>
      </w:r>
      <w:r w:rsidRPr="002A0B87">
        <w:rPr>
          <w:rFonts w:cs="Arial"/>
          <w:b/>
          <w:bCs/>
        </w:rPr>
        <w:tab/>
      </w:r>
      <w:r w:rsidR="00515115" w:rsidRPr="00515115">
        <w:rPr>
          <w:rFonts w:cs="Arial"/>
          <w:b/>
          <w:bCs/>
        </w:rPr>
        <w:t xml:space="preserve">FINANCIAL ASSETS </w:t>
      </w:r>
      <w:r w:rsidR="00515115" w:rsidRPr="00FA28E4">
        <w:rPr>
          <w:rFonts w:cs="Arial"/>
        </w:rPr>
        <w:t>(continued)</w:t>
      </w:r>
    </w:p>
    <w:p w14:paraId="247802D9" w14:textId="77777777" w:rsidR="00554B8E" w:rsidRPr="002A0B87" w:rsidRDefault="00554B8E" w:rsidP="00554B8E">
      <w:pPr>
        <w:pStyle w:val="NoSpacing"/>
      </w:pPr>
    </w:p>
    <w:p w14:paraId="2B11F994" w14:textId="1952352E" w:rsidR="00554B8E" w:rsidRPr="002A0B87" w:rsidRDefault="00554B8E" w:rsidP="00554B8E">
      <w:pPr>
        <w:pStyle w:val="Heading2"/>
      </w:pPr>
      <w:r w:rsidRPr="002A0B87">
        <w:t>7.2</w:t>
      </w:r>
      <w:r w:rsidRPr="002A0B87">
        <w:tab/>
      </w:r>
      <w:r w:rsidR="00370DA7" w:rsidRPr="00370DA7">
        <w:t>Held-to-maturity (“HTM”) investments</w:t>
      </w:r>
      <w:r w:rsidR="00370DA7" w:rsidRPr="00370DA7" w:rsidDel="00370DA7">
        <w:t xml:space="preserve"> </w:t>
      </w:r>
    </w:p>
    <w:p w14:paraId="6BA065D3" w14:textId="77777777" w:rsidR="00554B8E" w:rsidRPr="002A0B87" w:rsidRDefault="00554B8E" w:rsidP="00554B8E">
      <w:pPr>
        <w:pStyle w:val="NoSpacing"/>
        <w:rPr>
          <w:lang w:val="de-DE"/>
        </w:rPr>
      </w:pPr>
    </w:p>
    <w:tbl>
      <w:tblPr>
        <w:tblW w:w="0" w:type="auto"/>
        <w:tblInd w:w="720" w:type="dxa"/>
        <w:tblLayout w:type="fixed"/>
        <w:tblLook w:val="01E0" w:firstRow="1" w:lastRow="1" w:firstColumn="1" w:lastColumn="1" w:noHBand="0" w:noVBand="0"/>
      </w:tblPr>
      <w:tblGrid>
        <w:gridCol w:w="4410"/>
        <w:gridCol w:w="1890"/>
        <w:gridCol w:w="1862"/>
      </w:tblGrid>
      <w:tr w:rsidR="00554B8E" w:rsidRPr="002A0B87" w14:paraId="38E1A32B" w14:textId="77777777" w:rsidTr="00D33812">
        <w:trPr>
          <w:trHeight w:val="20"/>
          <w:tblHeader/>
        </w:trPr>
        <w:tc>
          <w:tcPr>
            <w:tcW w:w="4410" w:type="dxa"/>
            <w:vAlign w:val="bottom"/>
          </w:tcPr>
          <w:p w14:paraId="036F3F4D" w14:textId="77777777" w:rsidR="00554B8E" w:rsidRPr="00D33812" w:rsidRDefault="00554B8E" w:rsidP="000A1EE5">
            <w:pPr>
              <w:widowControl w:val="0"/>
              <w:overflowPunct/>
              <w:autoSpaceDE/>
              <w:autoSpaceDN/>
              <w:adjustRightInd/>
              <w:ind w:left="-115"/>
              <w:textAlignment w:val="auto"/>
              <w:rPr>
                <w:rFonts w:eastAsia="Batang" w:cs="Arial"/>
                <w:i/>
                <w:lang w:val="es-ES"/>
              </w:rPr>
            </w:pPr>
          </w:p>
        </w:tc>
        <w:tc>
          <w:tcPr>
            <w:tcW w:w="1890" w:type="dxa"/>
            <w:vAlign w:val="bottom"/>
            <w:hideMark/>
          </w:tcPr>
          <w:p w14:paraId="7BD0D9F5" w14:textId="77777777" w:rsidR="002E1B2A" w:rsidRPr="002E1B2A" w:rsidRDefault="002E1B2A">
            <w:pPr>
              <w:widowControl w:val="0"/>
              <w:pBdr>
                <w:bottom w:val="single" w:sz="4" w:space="0" w:color="auto"/>
              </w:pBdr>
              <w:ind w:left="57" w:right="-85"/>
              <w:jc w:val="right"/>
              <w:rPr>
                <w:rFonts w:eastAsia="Batang" w:cs="Arial"/>
                <w:bCs/>
                <w:i/>
              </w:rPr>
            </w:pPr>
            <w:r w:rsidRPr="002E1B2A">
              <w:rPr>
                <w:rFonts w:eastAsia="Batang" w:cs="Arial"/>
                <w:bCs/>
                <w:i/>
              </w:rPr>
              <w:t>Ending balance</w:t>
            </w:r>
          </w:p>
          <w:p w14:paraId="5ED044BA" w14:textId="604DE0F0" w:rsidR="00554B8E" w:rsidRPr="00D33812" w:rsidRDefault="002E1B2A">
            <w:pPr>
              <w:widowControl w:val="0"/>
              <w:pBdr>
                <w:bottom w:val="single" w:sz="4" w:space="0" w:color="auto"/>
              </w:pBdr>
              <w:ind w:left="57" w:right="-85"/>
              <w:jc w:val="right"/>
              <w:rPr>
                <w:rFonts w:cs="Arial"/>
                <w:bCs/>
                <w:i/>
              </w:rPr>
            </w:pPr>
            <w:r w:rsidRPr="002E1B2A">
              <w:rPr>
                <w:rFonts w:eastAsia="Batang" w:cs="Arial"/>
                <w:bCs/>
                <w:i/>
              </w:rPr>
              <w:t>VND</w:t>
            </w:r>
          </w:p>
        </w:tc>
        <w:tc>
          <w:tcPr>
            <w:tcW w:w="1862" w:type="dxa"/>
            <w:vAlign w:val="bottom"/>
            <w:hideMark/>
          </w:tcPr>
          <w:p w14:paraId="65DCF873" w14:textId="77777777" w:rsidR="00D46921" w:rsidRPr="00D46921" w:rsidRDefault="00D46921">
            <w:pPr>
              <w:widowControl w:val="0"/>
              <w:pBdr>
                <w:bottom w:val="single" w:sz="4" w:space="0" w:color="auto"/>
              </w:pBdr>
              <w:ind w:left="57" w:right="-85"/>
              <w:jc w:val="right"/>
              <w:rPr>
                <w:rFonts w:eastAsia="Batang" w:cs="Arial"/>
                <w:bCs/>
                <w:i/>
              </w:rPr>
            </w:pPr>
            <w:r w:rsidRPr="00D46921">
              <w:rPr>
                <w:rFonts w:eastAsia="Batang" w:cs="Arial"/>
                <w:bCs/>
                <w:i/>
              </w:rPr>
              <w:t>Opening balance</w:t>
            </w:r>
          </w:p>
          <w:p w14:paraId="75F45158" w14:textId="15EE3768" w:rsidR="00554B8E" w:rsidRPr="00D33812" w:rsidRDefault="00D46921">
            <w:pPr>
              <w:widowControl w:val="0"/>
              <w:pBdr>
                <w:bottom w:val="single" w:sz="4" w:space="0" w:color="auto"/>
              </w:pBdr>
              <w:ind w:left="57" w:right="-85"/>
              <w:jc w:val="right"/>
              <w:rPr>
                <w:rFonts w:cs="Arial"/>
                <w:bCs/>
                <w:i/>
              </w:rPr>
            </w:pPr>
            <w:r w:rsidRPr="00D46921">
              <w:rPr>
                <w:rFonts w:eastAsia="Batang" w:cs="Arial"/>
                <w:bCs/>
                <w:i/>
              </w:rPr>
              <w:t>VND</w:t>
            </w:r>
          </w:p>
        </w:tc>
      </w:tr>
      <w:tr w:rsidR="00554B8E" w:rsidRPr="002A0B87" w14:paraId="47D1F158" w14:textId="77777777" w:rsidTr="00D33812">
        <w:trPr>
          <w:trHeight w:val="20"/>
        </w:trPr>
        <w:tc>
          <w:tcPr>
            <w:tcW w:w="4410" w:type="dxa"/>
            <w:vAlign w:val="bottom"/>
          </w:tcPr>
          <w:p w14:paraId="433D6863" w14:textId="6ED0556A" w:rsidR="00554B8E" w:rsidRPr="00D33812" w:rsidRDefault="00EB28DA" w:rsidP="000A1EE5">
            <w:pPr>
              <w:widowControl w:val="0"/>
              <w:spacing w:before="120"/>
              <w:ind w:left="-115"/>
              <w:rPr>
                <w:rFonts w:cs="Arial"/>
              </w:rPr>
            </w:pPr>
            <w:r w:rsidRPr="00EB28DA">
              <w:rPr>
                <w:rFonts w:cs="Arial"/>
              </w:rPr>
              <w:t>Term deposits</w:t>
            </w:r>
          </w:p>
        </w:tc>
        <w:tc>
          <w:tcPr>
            <w:tcW w:w="1890" w:type="dxa"/>
            <w:vAlign w:val="bottom"/>
          </w:tcPr>
          <w:p w14:paraId="25DA678C" w14:textId="6FAD67B3" w:rsidR="00554B8E" w:rsidRPr="00D33812" w:rsidRDefault="00EE32DE" w:rsidP="00254501">
            <w:pPr>
              <w:widowControl w:val="0"/>
              <w:pBdr>
                <w:bottom w:val="double" w:sz="4" w:space="0" w:color="auto"/>
              </w:pBdr>
              <w:spacing w:before="120"/>
              <w:ind w:left="57" w:right="-85"/>
              <w:jc w:val="right"/>
              <w:rPr>
                <w:rFonts w:eastAsia="Batang" w:cs="Arial"/>
                <w:bCs/>
                <w:highlight w:val="yellow"/>
                <w:lang w:eastAsia="ko-KR"/>
              </w:rPr>
            </w:pPr>
            <w:r>
              <w:rPr>
                <w:rFonts w:eastAsia="Batang" w:cs="Arial"/>
                <w:bCs/>
                <w:lang w:eastAsia="ko-KR"/>
              </w:rPr>
              <w:t>2</w:t>
            </w:r>
            <w:r w:rsidR="005D4CF7">
              <w:rPr>
                <w:rFonts w:eastAsia="Batang" w:cs="Arial"/>
                <w:bCs/>
                <w:lang w:eastAsia="ko-KR"/>
              </w:rPr>
              <w:t>,</w:t>
            </w:r>
            <w:r>
              <w:rPr>
                <w:rFonts w:eastAsia="Batang" w:cs="Arial"/>
                <w:bCs/>
                <w:lang w:eastAsia="ko-KR"/>
              </w:rPr>
              <w:t>216</w:t>
            </w:r>
            <w:r w:rsidR="005D4CF7">
              <w:rPr>
                <w:rFonts w:eastAsia="Batang" w:cs="Arial"/>
                <w:bCs/>
                <w:lang w:eastAsia="ko-KR"/>
              </w:rPr>
              <w:t>,</w:t>
            </w:r>
            <w:r>
              <w:rPr>
                <w:rFonts w:eastAsia="Batang" w:cs="Arial"/>
                <w:bCs/>
                <w:lang w:eastAsia="ko-KR"/>
              </w:rPr>
              <w:t>82</w:t>
            </w:r>
            <w:r w:rsidR="005D4CF7" w:rsidRPr="00D33812">
              <w:rPr>
                <w:rFonts w:eastAsia="Batang" w:cs="Arial"/>
                <w:bCs/>
                <w:lang w:eastAsia="ko-KR"/>
              </w:rPr>
              <w:t>0</w:t>
            </w:r>
            <w:r w:rsidR="005D4CF7">
              <w:rPr>
                <w:rFonts w:eastAsia="Batang" w:cs="Arial"/>
                <w:bCs/>
                <w:lang w:eastAsia="ko-KR"/>
              </w:rPr>
              <w:t>,</w:t>
            </w:r>
            <w:r w:rsidR="005D4CF7" w:rsidRPr="00D33812">
              <w:rPr>
                <w:rFonts w:eastAsia="Batang" w:cs="Arial"/>
                <w:bCs/>
                <w:lang w:eastAsia="ko-KR"/>
              </w:rPr>
              <w:t>000</w:t>
            </w:r>
            <w:r w:rsidR="005D4CF7">
              <w:rPr>
                <w:rFonts w:eastAsia="Batang" w:cs="Arial"/>
                <w:bCs/>
                <w:lang w:eastAsia="ko-KR"/>
              </w:rPr>
              <w:t>,</w:t>
            </w:r>
            <w:r w:rsidR="005D4CF7" w:rsidRPr="00D33812">
              <w:rPr>
                <w:rFonts w:eastAsia="Batang" w:cs="Arial"/>
                <w:bCs/>
                <w:lang w:eastAsia="ko-KR"/>
              </w:rPr>
              <w:t xml:space="preserve">000 </w:t>
            </w:r>
          </w:p>
        </w:tc>
        <w:tc>
          <w:tcPr>
            <w:tcW w:w="1862" w:type="dxa"/>
            <w:vAlign w:val="bottom"/>
            <w:hideMark/>
          </w:tcPr>
          <w:p w14:paraId="46C32792" w14:textId="45F265A5" w:rsidR="00554B8E" w:rsidRPr="00D33812" w:rsidRDefault="005D4CF7" w:rsidP="00254501">
            <w:pPr>
              <w:widowControl w:val="0"/>
              <w:pBdr>
                <w:bottom w:val="double" w:sz="4" w:space="0" w:color="auto"/>
              </w:pBdr>
              <w:spacing w:before="120"/>
              <w:ind w:left="57" w:right="-85"/>
              <w:jc w:val="right"/>
              <w:rPr>
                <w:rFonts w:cs="Arial"/>
                <w:bCs/>
              </w:rPr>
            </w:pPr>
            <w:r w:rsidRPr="00D33812">
              <w:rPr>
                <w:rFonts w:eastAsia="Batang" w:cs="Arial"/>
                <w:bCs/>
                <w:lang w:eastAsia="ko-KR"/>
              </w:rPr>
              <w:t>1</w:t>
            </w:r>
            <w:r>
              <w:rPr>
                <w:rFonts w:eastAsia="Batang" w:cs="Arial"/>
                <w:bCs/>
                <w:lang w:eastAsia="ko-KR"/>
              </w:rPr>
              <w:t>,</w:t>
            </w:r>
            <w:r w:rsidR="00EE32DE">
              <w:rPr>
                <w:rFonts w:eastAsia="Batang" w:cs="Arial"/>
                <w:bCs/>
                <w:lang w:eastAsia="ko-KR"/>
              </w:rPr>
              <w:t>235</w:t>
            </w:r>
            <w:r>
              <w:rPr>
                <w:rFonts w:eastAsia="Batang" w:cs="Arial"/>
                <w:bCs/>
                <w:lang w:eastAsia="ko-KR"/>
              </w:rPr>
              <w:t>,</w:t>
            </w:r>
            <w:r w:rsidR="00EE32DE">
              <w:rPr>
                <w:rFonts w:eastAsia="Batang" w:cs="Arial"/>
                <w:bCs/>
                <w:lang w:eastAsia="ko-KR"/>
              </w:rPr>
              <w:t>0</w:t>
            </w:r>
            <w:r w:rsidRPr="00D33812">
              <w:rPr>
                <w:rFonts w:eastAsia="Batang" w:cs="Arial"/>
                <w:bCs/>
                <w:lang w:eastAsia="ko-KR"/>
              </w:rPr>
              <w:t>00</w:t>
            </w:r>
            <w:r>
              <w:rPr>
                <w:rFonts w:eastAsia="Batang" w:cs="Arial"/>
                <w:bCs/>
                <w:lang w:eastAsia="ko-KR"/>
              </w:rPr>
              <w:t>,</w:t>
            </w:r>
            <w:r w:rsidRPr="00D33812">
              <w:rPr>
                <w:rFonts w:eastAsia="Batang" w:cs="Arial"/>
                <w:bCs/>
                <w:lang w:eastAsia="ko-KR"/>
              </w:rPr>
              <w:t>000</w:t>
            </w:r>
            <w:r>
              <w:rPr>
                <w:rFonts w:eastAsia="Batang" w:cs="Arial"/>
                <w:bCs/>
                <w:lang w:eastAsia="ko-KR"/>
              </w:rPr>
              <w:t>,</w:t>
            </w:r>
            <w:r w:rsidRPr="00D33812">
              <w:rPr>
                <w:rFonts w:eastAsia="Batang" w:cs="Arial"/>
                <w:bCs/>
                <w:lang w:eastAsia="ko-KR"/>
              </w:rPr>
              <w:t>000</w:t>
            </w:r>
          </w:p>
        </w:tc>
      </w:tr>
    </w:tbl>
    <w:p w14:paraId="5C24869F" w14:textId="77777777" w:rsidR="00554B8E" w:rsidRPr="00CE21D3" w:rsidRDefault="00554B8E" w:rsidP="00554B8E">
      <w:pPr>
        <w:pStyle w:val="NoSpacing"/>
      </w:pPr>
    </w:p>
    <w:p w14:paraId="49EA17FE" w14:textId="778691B5" w:rsidR="002B2D59" w:rsidRDefault="002C1495" w:rsidP="00554B8E">
      <w:pPr>
        <w:pStyle w:val="NoSpacing"/>
      </w:pPr>
      <w:r w:rsidRPr="002C1495">
        <w:t xml:space="preserve">As </w:t>
      </w:r>
      <w:proofErr w:type="gramStart"/>
      <w:r w:rsidRPr="002C1495">
        <w:t>at</w:t>
      </w:r>
      <w:proofErr w:type="gramEnd"/>
      <w:r w:rsidRPr="002C1495">
        <w:t xml:space="preserve"> December 31, 2021, held-to-maturity investments included </w:t>
      </w:r>
      <w:r w:rsidR="005C4636">
        <w:t>term deposits</w:t>
      </w:r>
      <w:r w:rsidRPr="002C1495">
        <w:t xml:space="preserve"> with a term of 12 months and interest rates ranging from 4.</w:t>
      </w:r>
      <w:r w:rsidR="001963DA">
        <w:t>8</w:t>
      </w:r>
      <w:r w:rsidRPr="002C1495">
        <w:t xml:space="preserve">0% to </w:t>
      </w:r>
      <w:r w:rsidR="001963DA">
        <w:t>8</w:t>
      </w:r>
      <w:r w:rsidRPr="002C1495">
        <w:t>.</w:t>
      </w:r>
      <w:r w:rsidR="001963DA">
        <w:t>6</w:t>
      </w:r>
      <w:r w:rsidRPr="002C1495">
        <w:t>0% p</w:t>
      </w:r>
      <w:r w:rsidR="00C111ED">
        <w:t>.</w:t>
      </w:r>
      <w:r w:rsidRPr="002C1495">
        <w:t xml:space="preserve">a. In addition, the Company </w:t>
      </w:r>
      <w:r w:rsidR="00536E76" w:rsidRPr="00231693">
        <w:t xml:space="preserve">has pledged </w:t>
      </w:r>
      <w:r w:rsidR="00536E76">
        <w:t xml:space="preserve">most of </w:t>
      </w:r>
      <w:r w:rsidR="00536E76" w:rsidRPr="00231693">
        <w:t>its term deposits as collaterals for borrowings from credit institutions</w:t>
      </w:r>
      <w:r w:rsidRPr="002C1495">
        <w:t xml:space="preserve"> (Note 14).</w:t>
      </w:r>
    </w:p>
    <w:p w14:paraId="70EF39D8" w14:textId="77777777" w:rsidR="00554B8E" w:rsidRPr="00B74374" w:rsidRDefault="00554B8E">
      <w:pPr>
        <w:pStyle w:val="NoSpacing"/>
      </w:pPr>
    </w:p>
    <w:p w14:paraId="4B1C172F" w14:textId="60C2D55F" w:rsidR="00B27FE0" w:rsidRPr="002A0B87" w:rsidRDefault="00B27FE0" w:rsidP="00B27FE0">
      <w:pPr>
        <w:pStyle w:val="Heading2"/>
      </w:pPr>
      <w:r w:rsidRPr="002A0B87">
        <w:t>7.3</w:t>
      </w:r>
      <w:r w:rsidRPr="002A0B87">
        <w:tab/>
      </w:r>
      <w:r w:rsidR="00423612" w:rsidRPr="00423612">
        <w:t>Loans</w:t>
      </w:r>
      <w:r w:rsidR="00423612" w:rsidRPr="00423612" w:rsidDel="00423612">
        <w:t xml:space="preserve"> </w:t>
      </w:r>
    </w:p>
    <w:p w14:paraId="0FB25306" w14:textId="77777777" w:rsidR="00B27FE0" w:rsidRPr="002A0B87" w:rsidRDefault="00B27FE0" w:rsidP="00B27FE0">
      <w:pPr>
        <w:pStyle w:val="NoSpacing"/>
        <w:rPr>
          <w:lang w:val="de-DE"/>
        </w:rPr>
      </w:pPr>
    </w:p>
    <w:tbl>
      <w:tblPr>
        <w:tblW w:w="0" w:type="auto"/>
        <w:tblInd w:w="720" w:type="dxa"/>
        <w:tblLayout w:type="fixed"/>
        <w:tblLook w:val="04A0" w:firstRow="1" w:lastRow="0" w:firstColumn="1" w:lastColumn="0" w:noHBand="0" w:noVBand="1"/>
      </w:tblPr>
      <w:tblGrid>
        <w:gridCol w:w="1128"/>
        <w:gridCol w:w="1662"/>
        <w:gridCol w:w="1710"/>
        <w:gridCol w:w="1800"/>
        <w:gridCol w:w="1864"/>
      </w:tblGrid>
      <w:tr w:rsidR="00B27FE0" w:rsidRPr="002A0B87" w14:paraId="250829D5" w14:textId="77777777" w:rsidTr="000071F4">
        <w:trPr>
          <w:trHeight w:val="20"/>
        </w:trPr>
        <w:tc>
          <w:tcPr>
            <w:tcW w:w="1128" w:type="dxa"/>
            <w:vAlign w:val="bottom"/>
          </w:tcPr>
          <w:p w14:paraId="4727C4B4" w14:textId="77777777" w:rsidR="00B27FE0" w:rsidRPr="002A0B87" w:rsidRDefault="00B27FE0" w:rsidP="006E6ED0">
            <w:pPr>
              <w:widowControl w:val="0"/>
              <w:ind w:left="-115"/>
              <w:rPr>
                <w:rFonts w:cs="Arial"/>
                <w:i/>
                <w:lang w:val="nl-NL"/>
              </w:rPr>
            </w:pPr>
          </w:p>
        </w:tc>
        <w:tc>
          <w:tcPr>
            <w:tcW w:w="3372" w:type="dxa"/>
            <w:gridSpan w:val="2"/>
            <w:vAlign w:val="bottom"/>
            <w:hideMark/>
          </w:tcPr>
          <w:p w14:paraId="5BB1F7B8" w14:textId="3743E8C7" w:rsidR="00B27FE0" w:rsidRPr="002A0B87" w:rsidRDefault="00444F36" w:rsidP="00254501">
            <w:pPr>
              <w:widowControl w:val="0"/>
              <w:pBdr>
                <w:bottom w:val="single" w:sz="4" w:space="0" w:color="auto"/>
              </w:pBdr>
              <w:ind w:right="-85"/>
              <w:jc w:val="center"/>
              <w:rPr>
                <w:rFonts w:cs="Arial"/>
                <w:i/>
                <w:iCs/>
                <w:lang w:val="nl-NL"/>
              </w:rPr>
            </w:pPr>
            <w:r w:rsidRPr="00444F36">
              <w:rPr>
                <w:rFonts w:cs="Arial"/>
                <w:i/>
                <w:iCs/>
                <w:lang w:val="nl-NL"/>
              </w:rPr>
              <w:t>Ending balance</w:t>
            </w:r>
          </w:p>
        </w:tc>
        <w:tc>
          <w:tcPr>
            <w:tcW w:w="3664" w:type="dxa"/>
            <w:gridSpan w:val="2"/>
            <w:vAlign w:val="bottom"/>
            <w:hideMark/>
          </w:tcPr>
          <w:p w14:paraId="55792EE0" w14:textId="4345F0FC" w:rsidR="00B27FE0" w:rsidRPr="002A0B87" w:rsidRDefault="00793ECE" w:rsidP="00254501">
            <w:pPr>
              <w:widowControl w:val="0"/>
              <w:pBdr>
                <w:bottom w:val="single" w:sz="4" w:space="0" w:color="auto"/>
              </w:pBdr>
              <w:ind w:right="-85"/>
              <w:jc w:val="center"/>
              <w:rPr>
                <w:rFonts w:cs="Arial"/>
                <w:i/>
                <w:iCs/>
                <w:lang w:val="en-GB"/>
              </w:rPr>
            </w:pPr>
            <w:r w:rsidRPr="00793ECE">
              <w:rPr>
                <w:rFonts w:cs="Arial"/>
                <w:i/>
                <w:iCs/>
                <w:lang w:val="nl-NL"/>
              </w:rPr>
              <w:t>Opening balance</w:t>
            </w:r>
          </w:p>
        </w:tc>
      </w:tr>
      <w:tr w:rsidR="00B27FE0" w:rsidRPr="002A0B87" w14:paraId="3B084AC4" w14:textId="77777777" w:rsidTr="000071F4">
        <w:trPr>
          <w:trHeight w:val="20"/>
        </w:trPr>
        <w:tc>
          <w:tcPr>
            <w:tcW w:w="1128" w:type="dxa"/>
            <w:vAlign w:val="bottom"/>
          </w:tcPr>
          <w:p w14:paraId="45399DC8" w14:textId="77777777" w:rsidR="00B27FE0" w:rsidRPr="002A0B87" w:rsidRDefault="00B27FE0" w:rsidP="006E6ED0">
            <w:pPr>
              <w:widowControl w:val="0"/>
              <w:spacing w:before="120"/>
              <w:ind w:left="-115"/>
              <w:rPr>
                <w:rFonts w:cs="Arial"/>
                <w:lang w:val="en-GB"/>
              </w:rPr>
            </w:pPr>
          </w:p>
        </w:tc>
        <w:tc>
          <w:tcPr>
            <w:tcW w:w="1662" w:type="dxa"/>
            <w:vAlign w:val="bottom"/>
            <w:hideMark/>
          </w:tcPr>
          <w:p w14:paraId="4E66CD7C" w14:textId="6D3AD374" w:rsidR="00B27FE0" w:rsidRPr="002A0B87" w:rsidRDefault="00793ECE" w:rsidP="00254501">
            <w:pPr>
              <w:widowControl w:val="0"/>
              <w:pBdr>
                <w:bottom w:val="single" w:sz="4" w:space="0" w:color="auto"/>
              </w:pBdr>
              <w:spacing w:before="120"/>
              <w:ind w:right="-85"/>
              <w:jc w:val="right"/>
              <w:rPr>
                <w:rFonts w:cs="Arial"/>
                <w:i/>
              </w:rPr>
            </w:pPr>
            <w:r>
              <w:rPr>
                <w:rFonts w:cs="Arial"/>
                <w:i/>
              </w:rPr>
              <w:t>Cost</w:t>
            </w:r>
          </w:p>
          <w:p w14:paraId="58E5E0FE" w14:textId="77777777" w:rsidR="00B27FE0" w:rsidRPr="002A0B87" w:rsidRDefault="00B27FE0" w:rsidP="00254501">
            <w:pPr>
              <w:widowControl w:val="0"/>
              <w:pBdr>
                <w:bottom w:val="single" w:sz="4" w:space="0" w:color="auto"/>
              </w:pBdr>
              <w:ind w:right="-85"/>
              <w:jc w:val="right"/>
              <w:rPr>
                <w:rFonts w:cs="Arial"/>
                <w:i/>
              </w:rPr>
            </w:pPr>
            <w:r w:rsidRPr="002A0B87">
              <w:rPr>
                <w:rFonts w:cs="Arial"/>
                <w:i/>
              </w:rPr>
              <w:t>VND</w:t>
            </w:r>
          </w:p>
        </w:tc>
        <w:tc>
          <w:tcPr>
            <w:tcW w:w="1710" w:type="dxa"/>
            <w:vAlign w:val="bottom"/>
            <w:hideMark/>
          </w:tcPr>
          <w:p w14:paraId="05F54D0A" w14:textId="04CEF62A" w:rsidR="00B27FE0" w:rsidRPr="002A0B87" w:rsidRDefault="00793ECE" w:rsidP="00254501">
            <w:pPr>
              <w:widowControl w:val="0"/>
              <w:pBdr>
                <w:bottom w:val="single" w:sz="4" w:space="0" w:color="auto"/>
              </w:pBdr>
              <w:spacing w:before="120"/>
              <w:ind w:right="-85"/>
              <w:jc w:val="right"/>
              <w:rPr>
                <w:rFonts w:cs="Arial"/>
                <w:i/>
                <w:lang w:val="en-GB"/>
              </w:rPr>
            </w:pPr>
            <w:r>
              <w:rPr>
                <w:rFonts w:cs="Arial"/>
                <w:i/>
              </w:rPr>
              <w:t>Fair value</w:t>
            </w:r>
            <w:r w:rsidR="001E17EC">
              <w:rPr>
                <w:rFonts w:cs="Arial"/>
                <w:i/>
              </w:rPr>
              <w:br/>
            </w:r>
            <w:r w:rsidR="00B27FE0" w:rsidRPr="002A0B87">
              <w:rPr>
                <w:rFonts w:cs="Arial"/>
                <w:i/>
              </w:rPr>
              <w:t xml:space="preserve"> VND</w:t>
            </w:r>
          </w:p>
        </w:tc>
        <w:tc>
          <w:tcPr>
            <w:tcW w:w="1800" w:type="dxa"/>
            <w:vAlign w:val="bottom"/>
            <w:hideMark/>
          </w:tcPr>
          <w:p w14:paraId="2E99272A" w14:textId="12C667D3" w:rsidR="00B27FE0" w:rsidRPr="002A0B87" w:rsidRDefault="00793ECE" w:rsidP="00254501">
            <w:pPr>
              <w:widowControl w:val="0"/>
              <w:pBdr>
                <w:bottom w:val="single" w:sz="4" w:space="0" w:color="auto"/>
              </w:pBdr>
              <w:spacing w:before="120"/>
              <w:ind w:right="-85"/>
              <w:jc w:val="right"/>
              <w:rPr>
                <w:rFonts w:cs="Arial"/>
                <w:i/>
              </w:rPr>
            </w:pPr>
            <w:r>
              <w:rPr>
                <w:rFonts w:cs="Arial"/>
                <w:i/>
              </w:rPr>
              <w:t>Cost</w:t>
            </w:r>
          </w:p>
          <w:p w14:paraId="44804861" w14:textId="77777777" w:rsidR="00B27FE0" w:rsidRPr="002A0B87" w:rsidRDefault="00B27FE0" w:rsidP="00254501">
            <w:pPr>
              <w:widowControl w:val="0"/>
              <w:pBdr>
                <w:bottom w:val="single" w:sz="4" w:space="0" w:color="auto"/>
              </w:pBdr>
              <w:ind w:right="-85"/>
              <w:jc w:val="right"/>
              <w:rPr>
                <w:rFonts w:cs="Arial"/>
                <w:i/>
              </w:rPr>
            </w:pPr>
            <w:r w:rsidRPr="002A0B87">
              <w:rPr>
                <w:rFonts w:cs="Arial"/>
                <w:i/>
              </w:rPr>
              <w:t>VND</w:t>
            </w:r>
          </w:p>
        </w:tc>
        <w:tc>
          <w:tcPr>
            <w:tcW w:w="1864" w:type="dxa"/>
            <w:vAlign w:val="bottom"/>
            <w:hideMark/>
          </w:tcPr>
          <w:p w14:paraId="08658E14" w14:textId="71977CA3" w:rsidR="00B27FE0" w:rsidRPr="002A0B87" w:rsidRDefault="006E2183" w:rsidP="00254501">
            <w:pPr>
              <w:widowControl w:val="0"/>
              <w:pBdr>
                <w:bottom w:val="single" w:sz="4" w:space="0" w:color="auto"/>
              </w:pBdr>
              <w:spacing w:before="120"/>
              <w:ind w:right="-85"/>
              <w:jc w:val="right"/>
              <w:rPr>
                <w:rFonts w:cs="Arial"/>
                <w:i/>
              </w:rPr>
            </w:pPr>
            <w:r>
              <w:rPr>
                <w:rFonts w:cs="Arial"/>
                <w:i/>
              </w:rPr>
              <w:t xml:space="preserve">Fair value </w:t>
            </w:r>
            <w:r w:rsidR="00B27FE0" w:rsidRPr="002A0B87">
              <w:rPr>
                <w:rFonts w:cs="Arial"/>
                <w:i/>
              </w:rPr>
              <w:t xml:space="preserve"> </w:t>
            </w:r>
            <w:r w:rsidR="00825FD1">
              <w:rPr>
                <w:rFonts w:cs="Arial"/>
                <w:i/>
              </w:rPr>
              <w:t xml:space="preserve">   </w:t>
            </w:r>
            <w:r w:rsidR="00B27FE0" w:rsidRPr="002A0B87">
              <w:rPr>
                <w:rFonts w:cs="Arial"/>
                <w:i/>
              </w:rPr>
              <w:t>VND</w:t>
            </w:r>
          </w:p>
        </w:tc>
      </w:tr>
      <w:tr w:rsidR="000071F4" w:rsidRPr="002A0B87" w14:paraId="77B803EA" w14:textId="77777777" w:rsidTr="000071F4">
        <w:trPr>
          <w:trHeight w:val="20"/>
        </w:trPr>
        <w:tc>
          <w:tcPr>
            <w:tcW w:w="1128" w:type="dxa"/>
            <w:vAlign w:val="bottom"/>
            <w:hideMark/>
          </w:tcPr>
          <w:p w14:paraId="6A391B19" w14:textId="5235ED77" w:rsidR="000071F4" w:rsidRPr="002A0B87" w:rsidRDefault="000071F4" w:rsidP="000071F4">
            <w:pPr>
              <w:widowControl w:val="0"/>
              <w:ind w:left="-115"/>
              <w:jc w:val="left"/>
              <w:rPr>
                <w:rFonts w:cs="Arial"/>
              </w:rPr>
            </w:pPr>
            <w:r w:rsidRPr="00500F0C">
              <w:rPr>
                <w:rFonts w:cs="Arial"/>
              </w:rPr>
              <w:t>Loans from margin activities</w:t>
            </w:r>
          </w:p>
        </w:tc>
        <w:tc>
          <w:tcPr>
            <w:tcW w:w="1662" w:type="dxa"/>
          </w:tcPr>
          <w:p w14:paraId="2BD18CCA" w14:textId="0E76D584" w:rsidR="000071F4" w:rsidRPr="002A0B87" w:rsidRDefault="000071F4" w:rsidP="000071F4">
            <w:pPr>
              <w:widowControl w:val="0"/>
              <w:spacing w:before="120"/>
              <w:ind w:right="-85"/>
              <w:jc w:val="right"/>
              <w:rPr>
                <w:rFonts w:cs="Arial"/>
                <w:highlight w:val="yellow"/>
                <w:lang w:val="en-GB"/>
              </w:rPr>
            </w:pPr>
            <w:r w:rsidRPr="00414D7C">
              <w:t>811</w:t>
            </w:r>
            <w:r w:rsidR="009D272D">
              <w:t>,</w:t>
            </w:r>
            <w:r w:rsidRPr="00414D7C">
              <w:t>640</w:t>
            </w:r>
            <w:r w:rsidR="009D272D">
              <w:t>,</w:t>
            </w:r>
            <w:r w:rsidRPr="00414D7C">
              <w:t>939</w:t>
            </w:r>
            <w:r w:rsidR="009D272D">
              <w:t>,</w:t>
            </w:r>
            <w:r w:rsidRPr="00414D7C">
              <w:t xml:space="preserve">298 </w:t>
            </w:r>
          </w:p>
        </w:tc>
        <w:tc>
          <w:tcPr>
            <w:tcW w:w="1710" w:type="dxa"/>
          </w:tcPr>
          <w:p w14:paraId="2112DAC8" w14:textId="0FA86377" w:rsidR="000071F4" w:rsidRPr="002A0B87" w:rsidRDefault="000071F4" w:rsidP="000071F4">
            <w:pPr>
              <w:widowControl w:val="0"/>
              <w:spacing w:before="120"/>
              <w:ind w:right="-85"/>
              <w:jc w:val="right"/>
              <w:rPr>
                <w:rFonts w:cs="Arial"/>
                <w:highlight w:val="yellow"/>
                <w:lang w:val="en-GB"/>
              </w:rPr>
            </w:pPr>
            <w:r w:rsidRPr="00414D7C">
              <w:t>804</w:t>
            </w:r>
            <w:r w:rsidR="009D272D">
              <w:t>,</w:t>
            </w:r>
            <w:r w:rsidRPr="00414D7C">
              <w:t>159</w:t>
            </w:r>
            <w:r w:rsidR="009D272D">
              <w:t>,</w:t>
            </w:r>
            <w:r w:rsidRPr="00414D7C">
              <w:t>316</w:t>
            </w:r>
            <w:r w:rsidR="009D272D">
              <w:t>,</w:t>
            </w:r>
            <w:r w:rsidRPr="00414D7C">
              <w:t>627</w:t>
            </w:r>
          </w:p>
        </w:tc>
        <w:tc>
          <w:tcPr>
            <w:tcW w:w="1800" w:type="dxa"/>
          </w:tcPr>
          <w:p w14:paraId="6B5FE360" w14:textId="3FB222D8" w:rsidR="000071F4" w:rsidRPr="002A0B87" w:rsidRDefault="000071F4" w:rsidP="000071F4">
            <w:pPr>
              <w:widowControl w:val="0"/>
              <w:spacing w:before="120"/>
              <w:ind w:right="-85"/>
              <w:jc w:val="right"/>
              <w:rPr>
                <w:rFonts w:cs="Arial"/>
                <w:lang w:val="en-GB"/>
              </w:rPr>
            </w:pPr>
            <w:r w:rsidRPr="00414D7C">
              <w:t>1</w:t>
            </w:r>
            <w:r w:rsidR="009D272D">
              <w:t>,</w:t>
            </w:r>
            <w:r w:rsidRPr="00414D7C">
              <w:t>067</w:t>
            </w:r>
            <w:r w:rsidR="009D272D">
              <w:t>,</w:t>
            </w:r>
            <w:r w:rsidRPr="00414D7C">
              <w:t>983</w:t>
            </w:r>
            <w:r w:rsidR="009D272D">
              <w:t>,</w:t>
            </w:r>
            <w:r w:rsidRPr="00414D7C">
              <w:t>368</w:t>
            </w:r>
            <w:r w:rsidR="009D272D">
              <w:t>,</w:t>
            </w:r>
            <w:r w:rsidRPr="00414D7C">
              <w:t xml:space="preserve">976 </w:t>
            </w:r>
          </w:p>
        </w:tc>
        <w:tc>
          <w:tcPr>
            <w:tcW w:w="1864" w:type="dxa"/>
          </w:tcPr>
          <w:p w14:paraId="58A2C6F8" w14:textId="43CF3D08" w:rsidR="000071F4" w:rsidRPr="002A0B87" w:rsidRDefault="000071F4" w:rsidP="000071F4">
            <w:pPr>
              <w:widowControl w:val="0"/>
              <w:spacing w:before="120"/>
              <w:ind w:right="-85"/>
              <w:jc w:val="right"/>
              <w:rPr>
                <w:rFonts w:cs="Arial"/>
                <w:lang w:val="en-GB"/>
              </w:rPr>
            </w:pPr>
            <w:r w:rsidRPr="00414D7C">
              <w:t>1</w:t>
            </w:r>
            <w:r w:rsidR="009D272D">
              <w:t>,</w:t>
            </w:r>
            <w:r w:rsidRPr="00414D7C">
              <w:t>060</w:t>
            </w:r>
            <w:r w:rsidR="009D272D">
              <w:t>,</w:t>
            </w:r>
            <w:r w:rsidRPr="00414D7C">
              <w:t>501</w:t>
            </w:r>
            <w:r w:rsidR="009D272D">
              <w:t>,</w:t>
            </w:r>
            <w:r w:rsidRPr="00414D7C">
              <w:t>746</w:t>
            </w:r>
            <w:r w:rsidR="009D272D">
              <w:t>,</w:t>
            </w:r>
            <w:r w:rsidRPr="00414D7C">
              <w:t xml:space="preserve">305 </w:t>
            </w:r>
          </w:p>
        </w:tc>
      </w:tr>
      <w:tr w:rsidR="000071F4" w:rsidRPr="002A0B87" w14:paraId="1DAE6A5F" w14:textId="77777777" w:rsidTr="000071F4">
        <w:trPr>
          <w:trHeight w:val="20"/>
        </w:trPr>
        <w:tc>
          <w:tcPr>
            <w:tcW w:w="1128" w:type="dxa"/>
            <w:vAlign w:val="bottom"/>
          </w:tcPr>
          <w:p w14:paraId="31333A70" w14:textId="226DA187" w:rsidR="000071F4" w:rsidRPr="002A0B87" w:rsidRDefault="000071F4" w:rsidP="000071F4">
            <w:pPr>
              <w:widowControl w:val="0"/>
              <w:ind w:left="-115"/>
              <w:jc w:val="left"/>
              <w:rPr>
                <w:rFonts w:cs="Arial"/>
              </w:rPr>
            </w:pPr>
            <w:r w:rsidRPr="004B47AC">
              <w:rPr>
                <w:rFonts w:cs="Arial"/>
              </w:rPr>
              <w:t>Loans from advance activities</w:t>
            </w:r>
          </w:p>
        </w:tc>
        <w:tc>
          <w:tcPr>
            <w:tcW w:w="1662" w:type="dxa"/>
          </w:tcPr>
          <w:p w14:paraId="15559DAD" w14:textId="134A8B55" w:rsidR="000071F4" w:rsidRPr="002A0B87" w:rsidRDefault="000071F4" w:rsidP="000071F4">
            <w:pPr>
              <w:widowControl w:val="0"/>
              <w:pBdr>
                <w:bottom w:val="single" w:sz="4" w:space="0" w:color="auto"/>
              </w:pBdr>
              <w:ind w:right="-85"/>
              <w:jc w:val="right"/>
              <w:rPr>
                <w:rFonts w:cs="Arial"/>
                <w:color w:val="000000"/>
              </w:rPr>
            </w:pPr>
            <w:r w:rsidRPr="00414D7C">
              <w:t>48</w:t>
            </w:r>
            <w:r w:rsidR="009D272D">
              <w:t>,</w:t>
            </w:r>
            <w:r w:rsidRPr="00414D7C">
              <w:t>367</w:t>
            </w:r>
            <w:r w:rsidR="009D272D">
              <w:t>,</w:t>
            </w:r>
            <w:r w:rsidRPr="00414D7C">
              <w:t>213</w:t>
            </w:r>
            <w:r w:rsidR="009D272D">
              <w:t>,</w:t>
            </w:r>
            <w:r w:rsidRPr="00414D7C">
              <w:t xml:space="preserve">972 </w:t>
            </w:r>
          </w:p>
        </w:tc>
        <w:tc>
          <w:tcPr>
            <w:tcW w:w="1710" w:type="dxa"/>
          </w:tcPr>
          <w:p w14:paraId="108EB82A" w14:textId="1AAC002A" w:rsidR="000071F4" w:rsidRPr="002A0B87" w:rsidRDefault="000071F4" w:rsidP="000071F4">
            <w:pPr>
              <w:widowControl w:val="0"/>
              <w:pBdr>
                <w:bottom w:val="single" w:sz="4" w:space="0" w:color="auto"/>
              </w:pBdr>
              <w:ind w:right="-85"/>
              <w:jc w:val="right"/>
              <w:rPr>
                <w:rFonts w:cs="Arial"/>
                <w:color w:val="000000"/>
              </w:rPr>
            </w:pPr>
            <w:r w:rsidRPr="00414D7C">
              <w:t>48</w:t>
            </w:r>
            <w:r w:rsidR="009D272D">
              <w:t>,</w:t>
            </w:r>
            <w:r w:rsidRPr="00414D7C">
              <w:t>367</w:t>
            </w:r>
            <w:r w:rsidR="009D272D">
              <w:t>,</w:t>
            </w:r>
            <w:r w:rsidRPr="00414D7C">
              <w:t>213</w:t>
            </w:r>
            <w:r w:rsidR="009D272D">
              <w:t>,</w:t>
            </w:r>
            <w:r w:rsidRPr="00414D7C">
              <w:t>972</w:t>
            </w:r>
          </w:p>
        </w:tc>
        <w:tc>
          <w:tcPr>
            <w:tcW w:w="1800" w:type="dxa"/>
          </w:tcPr>
          <w:p w14:paraId="4E3BCD38" w14:textId="362C37F9" w:rsidR="000071F4" w:rsidRPr="002A0B87" w:rsidRDefault="000071F4" w:rsidP="000071F4">
            <w:pPr>
              <w:widowControl w:val="0"/>
              <w:pBdr>
                <w:bottom w:val="single" w:sz="4" w:space="0" w:color="auto"/>
              </w:pBdr>
              <w:ind w:right="-85"/>
              <w:jc w:val="right"/>
              <w:rPr>
                <w:rFonts w:cs="Arial"/>
                <w:lang w:val="en-GB"/>
              </w:rPr>
            </w:pPr>
            <w:r w:rsidRPr="00414D7C">
              <w:t>13</w:t>
            </w:r>
            <w:r w:rsidR="009D272D">
              <w:t>,</w:t>
            </w:r>
            <w:r w:rsidRPr="00414D7C">
              <w:t>030</w:t>
            </w:r>
            <w:r w:rsidR="009D272D">
              <w:t>,</w:t>
            </w:r>
            <w:r w:rsidRPr="00414D7C">
              <w:t>813</w:t>
            </w:r>
            <w:r w:rsidR="009D272D">
              <w:t>,</w:t>
            </w:r>
            <w:r w:rsidRPr="00414D7C">
              <w:t xml:space="preserve">358 </w:t>
            </w:r>
          </w:p>
        </w:tc>
        <w:tc>
          <w:tcPr>
            <w:tcW w:w="1864" w:type="dxa"/>
          </w:tcPr>
          <w:p w14:paraId="673CAC64" w14:textId="6B1BE0A6" w:rsidR="000071F4" w:rsidRPr="002A0B87" w:rsidRDefault="000071F4" w:rsidP="000071F4">
            <w:pPr>
              <w:widowControl w:val="0"/>
              <w:pBdr>
                <w:bottom w:val="single" w:sz="4" w:space="0" w:color="auto"/>
              </w:pBdr>
              <w:ind w:right="-85"/>
              <w:jc w:val="right"/>
              <w:rPr>
                <w:rFonts w:cs="Arial"/>
                <w:color w:val="000000"/>
              </w:rPr>
            </w:pPr>
            <w:r w:rsidRPr="00414D7C">
              <w:t>13</w:t>
            </w:r>
            <w:r w:rsidR="009D272D">
              <w:t>,</w:t>
            </w:r>
            <w:r w:rsidRPr="00414D7C">
              <w:t>030</w:t>
            </w:r>
            <w:r w:rsidR="009D272D">
              <w:t>,</w:t>
            </w:r>
            <w:r w:rsidRPr="00414D7C">
              <w:t>813</w:t>
            </w:r>
            <w:r w:rsidR="009D272D">
              <w:t>,</w:t>
            </w:r>
            <w:r w:rsidRPr="00414D7C">
              <w:t xml:space="preserve">358 </w:t>
            </w:r>
          </w:p>
        </w:tc>
      </w:tr>
      <w:tr w:rsidR="000071F4" w:rsidRPr="002A0B87" w14:paraId="74217BCC" w14:textId="77777777" w:rsidTr="000071F4">
        <w:trPr>
          <w:trHeight w:val="20"/>
        </w:trPr>
        <w:tc>
          <w:tcPr>
            <w:tcW w:w="1128" w:type="dxa"/>
            <w:vAlign w:val="bottom"/>
            <w:hideMark/>
          </w:tcPr>
          <w:p w14:paraId="47338385" w14:textId="5E77FF94" w:rsidR="000071F4" w:rsidRPr="002A0B87" w:rsidRDefault="000071F4" w:rsidP="000071F4">
            <w:pPr>
              <w:widowControl w:val="0"/>
              <w:spacing w:before="120"/>
              <w:ind w:left="-115"/>
              <w:rPr>
                <w:rFonts w:cs="Arial"/>
                <w:b/>
              </w:rPr>
            </w:pPr>
            <w:r w:rsidRPr="00766C59">
              <w:rPr>
                <w:rFonts w:cs="Arial"/>
                <w:b/>
              </w:rPr>
              <w:t>Total</w:t>
            </w:r>
          </w:p>
        </w:tc>
        <w:tc>
          <w:tcPr>
            <w:tcW w:w="1662" w:type="dxa"/>
          </w:tcPr>
          <w:p w14:paraId="1E496A52" w14:textId="79BF4045" w:rsidR="000071F4" w:rsidRPr="009D272D" w:rsidRDefault="000071F4" w:rsidP="000071F4">
            <w:pPr>
              <w:widowControl w:val="0"/>
              <w:pBdr>
                <w:bottom w:val="double" w:sz="4" w:space="0" w:color="auto"/>
              </w:pBdr>
              <w:spacing w:before="120"/>
              <w:ind w:right="-85"/>
              <w:jc w:val="right"/>
              <w:rPr>
                <w:rFonts w:eastAsia="Batang" w:cs="Arial"/>
                <w:b/>
                <w:bCs/>
                <w:highlight w:val="yellow"/>
                <w:lang w:eastAsia="ko-KR"/>
              </w:rPr>
            </w:pPr>
            <w:r w:rsidRPr="009D272D">
              <w:rPr>
                <w:b/>
                <w:bCs/>
              </w:rPr>
              <w:t>860</w:t>
            </w:r>
            <w:r w:rsidR="009D272D" w:rsidRPr="009D272D">
              <w:rPr>
                <w:b/>
                <w:bCs/>
              </w:rPr>
              <w:t>,</w:t>
            </w:r>
            <w:r w:rsidRPr="009D272D">
              <w:rPr>
                <w:b/>
                <w:bCs/>
              </w:rPr>
              <w:t>008</w:t>
            </w:r>
            <w:r w:rsidR="009D272D" w:rsidRPr="009D272D">
              <w:rPr>
                <w:b/>
                <w:bCs/>
              </w:rPr>
              <w:t>,</w:t>
            </w:r>
            <w:r w:rsidRPr="009D272D">
              <w:rPr>
                <w:b/>
                <w:bCs/>
              </w:rPr>
              <w:t>153</w:t>
            </w:r>
            <w:r w:rsidR="009D272D" w:rsidRPr="009D272D">
              <w:rPr>
                <w:b/>
                <w:bCs/>
              </w:rPr>
              <w:t>,</w:t>
            </w:r>
            <w:r w:rsidRPr="009D272D">
              <w:rPr>
                <w:b/>
                <w:bCs/>
              </w:rPr>
              <w:t xml:space="preserve">270 </w:t>
            </w:r>
          </w:p>
        </w:tc>
        <w:tc>
          <w:tcPr>
            <w:tcW w:w="1710" w:type="dxa"/>
          </w:tcPr>
          <w:p w14:paraId="01809FF0" w14:textId="49CF82A2" w:rsidR="000071F4" w:rsidRPr="009D272D" w:rsidRDefault="000071F4" w:rsidP="000071F4">
            <w:pPr>
              <w:widowControl w:val="0"/>
              <w:pBdr>
                <w:bottom w:val="double" w:sz="4" w:space="0" w:color="auto"/>
              </w:pBdr>
              <w:spacing w:before="120"/>
              <w:ind w:right="-85"/>
              <w:jc w:val="right"/>
              <w:rPr>
                <w:rFonts w:eastAsia="Batang" w:cs="Arial"/>
                <w:b/>
                <w:bCs/>
                <w:highlight w:val="yellow"/>
                <w:lang w:eastAsia="ko-KR"/>
              </w:rPr>
            </w:pPr>
            <w:r w:rsidRPr="009D272D">
              <w:rPr>
                <w:b/>
                <w:bCs/>
              </w:rPr>
              <w:t>852</w:t>
            </w:r>
            <w:r w:rsidR="009D272D" w:rsidRPr="009D272D">
              <w:rPr>
                <w:b/>
                <w:bCs/>
              </w:rPr>
              <w:t>,</w:t>
            </w:r>
            <w:r w:rsidRPr="009D272D">
              <w:rPr>
                <w:b/>
                <w:bCs/>
              </w:rPr>
              <w:t>526</w:t>
            </w:r>
            <w:r w:rsidR="009D272D" w:rsidRPr="009D272D">
              <w:rPr>
                <w:b/>
                <w:bCs/>
              </w:rPr>
              <w:t>,</w:t>
            </w:r>
            <w:r w:rsidRPr="009D272D">
              <w:rPr>
                <w:b/>
                <w:bCs/>
              </w:rPr>
              <w:t>530</w:t>
            </w:r>
            <w:r w:rsidR="009D272D" w:rsidRPr="009D272D">
              <w:rPr>
                <w:b/>
                <w:bCs/>
              </w:rPr>
              <w:t>,</w:t>
            </w:r>
            <w:r w:rsidRPr="009D272D">
              <w:rPr>
                <w:b/>
                <w:bCs/>
              </w:rPr>
              <w:t>599</w:t>
            </w:r>
          </w:p>
        </w:tc>
        <w:tc>
          <w:tcPr>
            <w:tcW w:w="1800" w:type="dxa"/>
          </w:tcPr>
          <w:p w14:paraId="3E846CFD" w14:textId="40D284EC" w:rsidR="000071F4" w:rsidRPr="009D272D" w:rsidRDefault="000071F4" w:rsidP="000071F4">
            <w:pPr>
              <w:widowControl w:val="0"/>
              <w:pBdr>
                <w:bottom w:val="double" w:sz="4" w:space="0" w:color="auto"/>
              </w:pBdr>
              <w:spacing w:before="120"/>
              <w:ind w:right="-85"/>
              <w:jc w:val="right"/>
              <w:rPr>
                <w:rFonts w:eastAsia="Batang" w:cs="Arial"/>
                <w:b/>
                <w:bCs/>
                <w:lang w:eastAsia="ko-KR"/>
              </w:rPr>
            </w:pPr>
            <w:r w:rsidRPr="009D272D">
              <w:rPr>
                <w:b/>
                <w:bCs/>
              </w:rPr>
              <w:t>1</w:t>
            </w:r>
            <w:r w:rsidR="009D272D" w:rsidRPr="009D272D">
              <w:rPr>
                <w:b/>
                <w:bCs/>
              </w:rPr>
              <w:t>,</w:t>
            </w:r>
            <w:r w:rsidRPr="009D272D">
              <w:rPr>
                <w:b/>
                <w:bCs/>
              </w:rPr>
              <w:t>081</w:t>
            </w:r>
            <w:r w:rsidR="009D272D" w:rsidRPr="009D272D">
              <w:rPr>
                <w:b/>
                <w:bCs/>
              </w:rPr>
              <w:t>,</w:t>
            </w:r>
            <w:r w:rsidRPr="009D272D">
              <w:rPr>
                <w:b/>
                <w:bCs/>
              </w:rPr>
              <w:t>014</w:t>
            </w:r>
            <w:r w:rsidR="009D272D" w:rsidRPr="009D272D">
              <w:rPr>
                <w:b/>
                <w:bCs/>
              </w:rPr>
              <w:t>,</w:t>
            </w:r>
            <w:r w:rsidRPr="009D272D">
              <w:rPr>
                <w:b/>
                <w:bCs/>
              </w:rPr>
              <w:t>182</w:t>
            </w:r>
            <w:r w:rsidR="009D272D" w:rsidRPr="009D272D">
              <w:rPr>
                <w:b/>
                <w:bCs/>
              </w:rPr>
              <w:t>,</w:t>
            </w:r>
            <w:r w:rsidRPr="009D272D">
              <w:rPr>
                <w:b/>
                <w:bCs/>
              </w:rPr>
              <w:t xml:space="preserve">334 </w:t>
            </w:r>
          </w:p>
        </w:tc>
        <w:tc>
          <w:tcPr>
            <w:tcW w:w="1864" w:type="dxa"/>
          </w:tcPr>
          <w:p w14:paraId="79560597" w14:textId="6928DE0A" w:rsidR="000071F4" w:rsidRPr="009D272D" w:rsidRDefault="000071F4" w:rsidP="000071F4">
            <w:pPr>
              <w:widowControl w:val="0"/>
              <w:pBdr>
                <w:bottom w:val="double" w:sz="4" w:space="0" w:color="auto"/>
              </w:pBdr>
              <w:spacing w:before="120"/>
              <w:ind w:right="-85"/>
              <w:jc w:val="right"/>
              <w:rPr>
                <w:rFonts w:eastAsia="Batang" w:cs="Arial"/>
                <w:b/>
                <w:bCs/>
                <w:lang w:eastAsia="ko-KR"/>
              </w:rPr>
            </w:pPr>
            <w:r w:rsidRPr="009D272D">
              <w:rPr>
                <w:b/>
                <w:bCs/>
              </w:rPr>
              <w:t>1</w:t>
            </w:r>
            <w:r w:rsidR="009D272D" w:rsidRPr="009D272D">
              <w:rPr>
                <w:b/>
                <w:bCs/>
              </w:rPr>
              <w:t>,</w:t>
            </w:r>
            <w:r w:rsidRPr="009D272D">
              <w:rPr>
                <w:b/>
                <w:bCs/>
              </w:rPr>
              <w:t>073</w:t>
            </w:r>
            <w:r w:rsidR="009D272D" w:rsidRPr="009D272D">
              <w:rPr>
                <w:b/>
                <w:bCs/>
              </w:rPr>
              <w:t>,</w:t>
            </w:r>
            <w:r w:rsidRPr="009D272D">
              <w:rPr>
                <w:b/>
                <w:bCs/>
              </w:rPr>
              <w:t>532</w:t>
            </w:r>
            <w:r w:rsidR="009D272D" w:rsidRPr="009D272D">
              <w:rPr>
                <w:b/>
                <w:bCs/>
              </w:rPr>
              <w:t>,</w:t>
            </w:r>
            <w:r w:rsidRPr="009D272D">
              <w:rPr>
                <w:b/>
                <w:bCs/>
              </w:rPr>
              <w:t>559</w:t>
            </w:r>
            <w:r w:rsidR="009D272D" w:rsidRPr="009D272D">
              <w:rPr>
                <w:b/>
                <w:bCs/>
              </w:rPr>
              <w:t>,</w:t>
            </w:r>
            <w:r w:rsidRPr="009D272D">
              <w:rPr>
                <w:b/>
                <w:bCs/>
              </w:rPr>
              <w:t xml:space="preserve">663 </w:t>
            </w:r>
          </w:p>
        </w:tc>
      </w:tr>
    </w:tbl>
    <w:p w14:paraId="43972A62" w14:textId="77777777" w:rsidR="00B27FE0" w:rsidRPr="002A0B87" w:rsidRDefault="00B27FE0" w:rsidP="00B27FE0">
      <w:pPr>
        <w:pStyle w:val="NoSpacing"/>
      </w:pPr>
    </w:p>
    <w:p w14:paraId="1941D363" w14:textId="1BF3DC48" w:rsidR="00B27FE0" w:rsidRPr="002A0B87" w:rsidRDefault="00864479" w:rsidP="00B27FE0">
      <w:pPr>
        <w:pStyle w:val="NoSpacing"/>
      </w:pPr>
      <w:r w:rsidRPr="00864479">
        <w:t>The fair value of loans is measured at cost less provision for doubtful debts.</w:t>
      </w:r>
    </w:p>
    <w:p w14:paraId="2A289AB5" w14:textId="77777777" w:rsidR="00307188" w:rsidRPr="002A0B87" w:rsidRDefault="00307188" w:rsidP="00C90B5D">
      <w:pPr>
        <w:pStyle w:val="NoSpacing"/>
        <w:rPr>
          <w:lang w:val="de-DE"/>
        </w:rPr>
      </w:pPr>
    </w:p>
    <w:p w14:paraId="72C3D676" w14:textId="12105BA5" w:rsidR="00307188" w:rsidRPr="002A0B87" w:rsidRDefault="00307188" w:rsidP="00C90B5D">
      <w:pPr>
        <w:pStyle w:val="Heading2"/>
      </w:pPr>
      <w:r w:rsidRPr="002A0B87">
        <w:t>7.</w:t>
      </w:r>
      <w:r w:rsidR="002B2D59">
        <w:t>4</w:t>
      </w:r>
      <w:r w:rsidRPr="002A0B87">
        <w:tab/>
      </w:r>
      <w:r w:rsidR="001D3F0E" w:rsidRPr="001D3F0E">
        <w:t>Provision for impairment of financial assets</w:t>
      </w:r>
      <w:r w:rsidR="001D3F0E" w:rsidRPr="001D3F0E" w:rsidDel="001D3F0E">
        <w:t xml:space="preserve"> </w:t>
      </w:r>
    </w:p>
    <w:p w14:paraId="5E075C5C" w14:textId="77777777" w:rsidR="00307188" w:rsidRPr="002A0B87" w:rsidRDefault="00307188" w:rsidP="00C90B5D">
      <w:pPr>
        <w:pStyle w:val="NoSpacing"/>
        <w:rPr>
          <w:lang w:val="de-DE"/>
        </w:rPr>
      </w:pPr>
    </w:p>
    <w:tbl>
      <w:tblPr>
        <w:tblW w:w="0" w:type="auto"/>
        <w:tblInd w:w="720" w:type="dxa"/>
        <w:tblLayout w:type="fixed"/>
        <w:tblLook w:val="01E0" w:firstRow="1" w:lastRow="1" w:firstColumn="1" w:lastColumn="1" w:noHBand="0" w:noVBand="0"/>
      </w:tblPr>
      <w:tblGrid>
        <w:gridCol w:w="4586"/>
        <w:gridCol w:w="1788"/>
        <w:gridCol w:w="1788"/>
      </w:tblGrid>
      <w:tr w:rsidR="00307188" w:rsidRPr="002A0B87" w14:paraId="2E71ECA3" w14:textId="77777777" w:rsidTr="00254501">
        <w:trPr>
          <w:trHeight w:val="20"/>
          <w:tblHeader/>
        </w:trPr>
        <w:tc>
          <w:tcPr>
            <w:tcW w:w="4586" w:type="dxa"/>
            <w:vAlign w:val="bottom"/>
          </w:tcPr>
          <w:p w14:paraId="5B6F1A0D" w14:textId="77777777" w:rsidR="00307188" w:rsidRPr="002A0B87" w:rsidRDefault="00307188" w:rsidP="00CE21D3">
            <w:pPr>
              <w:widowControl w:val="0"/>
              <w:overflowPunct/>
              <w:autoSpaceDE/>
              <w:autoSpaceDN/>
              <w:adjustRightInd/>
              <w:ind w:left="-115"/>
              <w:textAlignment w:val="auto"/>
              <w:rPr>
                <w:rFonts w:eastAsia="Batang" w:cs="Arial"/>
                <w:i/>
                <w:lang w:val="es-ES"/>
              </w:rPr>
            </w:pPr>
          </w:p>
        </w:tc>
        <w:tc>
          <w:tcPr>
            <w:tcW w:w="1788" w:type="dxa"/>
            <w:vAlign w:val="bottom"/>
            <w:hideMark/>
          </w:tcPr>
          <w:p w14:paraId="50473C63" w14:textId="1898766D" w:rsidR="00307188" w:rsidRPr="002A0B87" w:rsidRDefault="00FB2E76" w:rsidP="00CC4417">
            <w:pPr>
              <w:widowControl w:val="0"/>
              <w:pBdr>
                <w:bottom w:val="single" w:sz="4" w:space="0" w:color="auto"/>
              </w:pBdr>
              <w:ind w:left="58" w:right="-85"/>
              <w:jc w:val="right"/>
              <w:rPr>
                <w:rFonts w:eastAsia="Batang" w:cs="Arial"/>
                <w:bCs/>
                <w:i/>
              </w:rPr>
            </w:pPr>
            <w:r w:rsidRPr="00FB2E76">
              <w:rPr>
                <w:rFonts w:eastAsia="Batang" w:cs="Arial"/>
                <w:bCs/>
                <w:i/>
              </w:rPr>
              <w:t>Current year</w:t>
            </w:r>
          </w:p>
          <w:p w14:paraId="57E48FBC" w14:textId="77777777" w:rsidR="00307188" w:rsidRPr="002A0B87" w:rsidRDefault="00307188" w:rsidP="00CC4417">
            <w:pPr>
              <w:widowControl w:val="0"/>
              <w:pBdr>
                <w:bottom w:val="single" w:sz="4" w:space="0" w:color="auto"/>
              </w:pBdr>
              <w:ind w:left="58" w:right="-85"/>
              <w:jc w:val="right"/>
              <w:rPr>
                <w:rFonts w:cs="Arial"/>
                <w:bCs/>
                <w:i/>
              </w:rPr>
            </w:pPr>
            <w:r w:rsidRPr="002A0B87">
              <w:rPr>
                <w:rFonts w:eastAsia="Batang" w:cs="Arial"/>
                <w:i/>
                <w:iCs/>
              </w:rPr>
              <w:t>VND</w:t>
            </w:r>
          </w:p>
        </w:tc>
        <w:tc>
          <w:tcPr>
            <w:tcW w:w="1788" w:type="dxa"/>
            <w:vAlign w:val="bottom"/>
            <w:hideMark/>
          </w:tcPr>
          <w:p w14:paraId="766AFD1B" w14:textId="39AACFA0" w:rsidR="00307188" w:rsidRPr="002A0B87" w:rsidRDefault="00912F97" w:rsidP="00CC4417">
            <w:pPr>
              <w:widowControl w:val="0"/>
              <w:pBdr>
                <w:bottom w:val="single" w:sz="4" w:space="0" w:color="auto"/>
              </w:pBdr>
              <w:ind w:left="58" w:right="-85"/>
              <w:jc w:val="right"/>
              <w:rPr>
                <w:rFonts w:eastAsia="Batang" w:cs="Arial"/>
                <w:bCs/>
                <w:i/>
              </w:rPr>
            </w:pPr>
            <w:r w:rsidRPr="00912F97">
              <w:rPr>
                <w:rFonts w:eastAsia="Batang" w:cs="Arial"/>
                <w:bCs/>
                <w:i/>
              </w:rPr>
              <w:t>Previous year</w:t>
            </w:r>
          </w:p>
          <w:p w14:paraId="017CDE89" w14:textId="77777777" w:rsidR="00307188" w:rsidRPr="002A0B87" w:rsidRDefault="00307188" w:rsidP="00CC4417">
            <w:pPr>
              <w:widowControl w:val="0"/>
              <w:pBdr>
                <w:bottom w:val="single" w:sz="4" w:space="0" w:color="auto"/>
              </w:pBdr>
              <w:ind w:left="58" w:right="-85"/>
              <w:jc w:val="right"/>
              <w:rPr>
                <w:rFonts w:cs="Arial"/>
                <w:bCs/>
                <w:i/>
              </w:rPr>
            </w:pPr>
            <w:r w:rsidRPr="002A0B87">
              <w:rPr>
                <w:rFonts w:eastAsia="Batang" w:cs="Arial"/>
                <w:i/>
                <w:iCs/>
              </w:rPr>
              <w:t xml:space="preserve">VND </w:t>
            </w:r>
          </w:p>
        </w:tc>
      </w:tr>
      <w:tr w:rsidR="00307188" w:rsidRPr="002A0B87" w14:paraId="1B075A60" w14:textId="77777777" w:rsidTr="00254501">
        <w:trPr>
          <w:trHeight w:val="20"/>
        </w:trPr>
        <w:tc>
          <w:tcPr>
            <w:tcW w:w="4586" w:type="dxa"/>
            <w:vAlign w:val="bottom"/>
            <w:hideMark/>
          </w:tcPr>
          <w:p w14:paraId="638FEBE6" w14:textId="3EB7C73A" w:rsidR="00307188" w:rsidRPr="002A0B87" w:rsidRDefault="00AB6AFF" w:rsidP="00CE21D3">
            <w:pPr>
              <w:widowControl w:val="0"/>
              <w:spacing w:before="120"/>
              <w:ind w:left="-115"/>
              <w:rPr>
                <w:rFonts w:cs="Arial"/>
                <w:b/>
              </w:rPr>
            </w:pPr>
            <w:r w:rsidRPr="00AB6AFF">
              <w:rPr>
                <w:rFonts w:cs="Arial"/>
                <w:b/>
              </w:rPr>
              <w:t>Opening balance</w:t>
            </w:r>
          </w:p>
        </w:tc>
        <w:tc>
          <w:tcPr>
            <w:tcW w:w="1788" w:type="dxa"/>
            <w:vAlign w:val="bottom"/>
          </w:tcPr>
          <w:p w14:paraId="2359D539" w14:textId="756D2A8E" w:rsidR="00307188" w:rsidRPr="002A0B87" w:rsidRDefault="00B84FB1" w:rsidP="00CC4417">
            <w:pPr>
              <w:widowControl w:val="0"/>
              <w:spacing w:before="120"/>
              <w:ind w:left="58" w:right="-85"/>
              <w:jc w:val="right"/>
              <w:rPr>
                <w:rFonts w:eastAsia="Batang" w:cs="Arial"/>
                <w:b/>
                <w:lang w:eastAsia="ko-KR"/>
              </w:rPr>
            </w:pPr>
            <w:r w:rsidRPr="00164639">
              <w:rPr>
                <w:rFonts w:eastAsia="Batang" w:cs="Arial"/>
                <w:b/>
                <w:lang w:eastAsia="ko-KR"/>
              </w:rPr>
              <w:t>7</w:t>
            </w:r>
            <w:r>
              <w:rPr>
                <w:rFonts w:eastAsia="Batang" w:cs="Arial"/>
                <w:b/>
                <w:lang w:eastAsia="ko-KR"/>
              </w:rPr>
              <w:t>,</w:t>
            </w:r>
            <w:r w:rsidRPr="00164639">
              <w:rPr>
                <w:rFonts w:eastAsia="Batang" w:cs="Arial"/>
                <w:b/>
                <w:lang w:eastAsia="ko-KR"/>
              </w:rPr>
              <w:t>481</w:t>
            </w:r>
            <w:r>
              <w:rPr>
                <w:rFonts w:eastAsia="Batang" w:cs="Arial"/>
                <w:b/>
                <w:lang w:eastAsia="ko-KR"/>
              </w:rPr>
              <w:t>,</w:t>
            </w:r>
            <w:r w:rsidRPr="00164639">
              <w:rPr>
                <w:rFonts w:eastAsia="Batang" w:cs="Arial"/>
                <w:b/>
                <w:lang w:eastAsia="ko-KR"/>
              </w:rPr>
              <w:t>622</w:t>
            </w:r>
            <w:r>
              <w:rPr>
                <w:rFonts w:eastAsia="Batang" w:cs="Arial"/>
                <w:b/>
                <w:lang w:eastAsia="ko-KR"/>
              </w:rPr>
              <w:t>,</w:t>
            </w:r>
            <w:r w:rsidRPr="00164639">
              <w:rPr>
                <w:rFonts w:eastAsia="Batang" w:cs="Arial"/>
                <w:b/>
                <w:lang w:eastAsia="ko-KR"/>
              </w:rPr>
              <w:t xml:space="preserve">671 </w:t>
            </w:r>
          </w:p>
        </w:tc>
        <w:tc>
          <w:tcPr>
            <w:tcW w:w="1788" w:type="dxa"/>
            <w:vAlign w:val="bottom"/>
          </w:tcPr>
          <w:p w14:paraId="4855B4D6" w14:textId="0FE27F07" w:rsidR="00307188" w:rsidRPr="002A0B87" w:rsidRDefault="00B84FB1" w:rsidP="00CC4417">
            <w:pPr>
              <w:widowControl w:val="0"/>
              <w:spacing w:before="120"/>
              <w:ind w:left="58" w:right="-85"/>
              <w:jc w:val="right"/>
              <w:rPr>
                <w:rFonts w:eastAsia="Batang" w:cs="Arial"/>
                <w:b/>
                <w:lang w:eastAsia="ko-KR"/>
              </w:rPr>
            </w:pPr>
            <w:r>
              <w:rPr>
                <w:rFonts w:eastAsia="Batang" w:cs="Arial"/>
                <w:b/>
                <w:lang w:eastAsia="ko-KR"/>
              </w:rPr>
              <w:t>7,076,150,055</w:t>
            </w:r>
          </w:p>
        </w:tc>
      </w:tr>
      <w:tr w:rsidR="00307188" w:rsidRPr="002A0B87" w14:paraId="11EA5F7B" w14:textId="77777777" w:rsidTr="00254501">
        <w:trPr>
          <w:trHeight w:val="20"/>
        </w:trPr>
        <w:tc>
          <w:tcPr>
            <w:tcW w:w="4586" w:type="dxa"/>
            <w:vAlign w:val="bottom"/>
            <w:hideMark/>
          </w:tcPr>
          <w:p w14:paraId="0422C62F" w14:textId="458C0377" w:rsidR="00307188" w:rsidRPr="002A0B87" w:rsidRDefault="00F85D47" w:rsidP="00CE21D3">
            <w:pPr>
              <w:widowControl w:val="0"/>
              <w:ind w:left="-115"/>
              <w:rPr>
                <w:rFonts w:cs="Arial"/>
              </w:rPr>
            </w:pPr>
            <w:r w:rsidRPr="00F85D47">
              <w:rPr>
                <w:rFonts w:cs="Arial"/>
              </w:rPr>
              <w:t>Provision made during the year</w:t>
            </w:r>
          </w:p>
        </w:tc>
        <w:tc>
          <w:tcPr>
            <w:tcW w:w="1788" w:type="dxa"/>
            <w:vAlign w:val="bottom"/>
          </w:tcPr>
          <w:p w14:paraId="45199A1E" w14:textId="7F2FF406" w:rsidR="00307188" w:rsidRPr="002A0B87" w:rsidRDefault="00B84FB1" w:rsidP="00CC4417">
            <w:pPr>
              <w:widowControl w:val="0"/>
              <w:pBdr>
                <w:bottom w:val="single" w:sz="4" w:space="0" w:color="auto"/>
              </w:pBdr>
              <w:ind w:left="58" w:right="-85"/>
              <w:jc w:val="right"/>
              <w:rPr>
                <w:rFonts w:eastAsia="Batang" w:cs="Arial"/>
                <w:highlight w:val="yellow"/>
                <w:lang w:eastAsia="ko-KR"/>
              </w:rPr>
            </w:pPr>
            <w:r w:rsidRPr="00164639">
              <w:rPr>
                <w:rFonts w:eastAsia="Batang" w:cs="Arial"/>
                <w:lang w:eastAsia="ko-KR"/>
              </w:rPr>
              <w:t xml:space="preserve">- </w:t>
            </w:r>
          </w:p>
        </w:tc>
        <w:tc>
          <w:tcPr>
            <w:tcW w:w="1788" w:type="dxa"/>
            <w:vAlign w:val="bottom"/>
          </w:tcPr>
          <w:p w14:paraId="023A4EB6" w14:textId="7E0EDA7D" w:rsidR="00307188" w:rsidRPr="002A0B87" w:rsidRDefault="00B84FB1" w:rsidP="00CC4417">
            <w:pPr>
              <w:widowControl w:val="0"/>
              <w:pBdr>
                <w:bottom w:val="single" w:sz="4" w:space="0" w:color="auto"/>
              </w:pBdr>
              <w:ind w:left="58" w:right="-85"/>
              <w:jc w:val="right"/>
              <w:rPr>
                <w:rFonts w:eastAsia="Batang" w:cs="Arial"/>
                <w:lang w:eastAsia="ko-KR"/>
              </w:rPr>
            </w:pPr>
            <w:r>
              <w:rPr>
                <w:rFonts w:eastAsia="Batang" w:cs="Arial"/>
                <w:lang w:eastAsia="ko-KR"/>
              </w:rPr>
              <w:t>405,472,616</w:t>
            </w:r>
          </w:p>
        </w:tc>
      </w:tr>
      <w:tr w:rsidR="00307188" w:rsidRPr="002A0B87" w14:paraId="4148C874" w14:textId="77777777" w:rsidTr="00254501">
        <w:trPr>
          <w:trHeight w:val="20"/>
        </w:trPr>
        <w:tc>
          <w:tcPr>
            <w:tcW w:w="4586" w:type="dxa"/>
            <w:vAlign w:val="bottom"/>
          </w:tcPr>
          <w:p w14:paraId="675DB079" w14:textId="424C5F5F" w:rsidR="00307188" w:rsidRPr="002A0B87" w:rsidRDefault="00465A1E" w:rsidP="00CE21D3">
            <w:pPr>
              <w:widowControl w:val="0"/>
              <w:spacing w:before="120"/>
              <w:ind w:left="-115"/>
              <w:rPr>
                <w:rFonts w:cs="Arial"/>
                <w:b/>
              </w:rPr>
            </w:pPr>
            <w:r w:rsidRPr="00465A1E">
              <w:rPr>
                <w:rFonts w:cs="Arial"/>
                <w:b/>
              </w:rPr>
              <w:t>Ending balance</w:t>
            </w:r>
          </w:p>
        </w:tc>
        <w:tc>
          <w:tcPr>
            <w:tcW w:w="1788" w:type="dxa"/>
            <w:vAlign w:val="bottom"/>
          </w:tcPr>
          <w:p w14:paraId="10480B0B" w14:textId="766AE6C7" w:rsidR="00307188" w:rsidRPr="002A0B87" w:rsidRDefault="00B84FB1" w:rsidP="00CC4417">
            <w:pPr>
              <w:widowControl w:val="0"/>
              <w:pBdr>
                <w:bottom w:val="double" w:sz="4" w:space="0" w:color="auto"/>
              </w:pBdr>
              <w:spacing w:before="120"/>
              <w:ind w:left="58" w:right="-85"/>
              <w:jc w:val="right"/>
              <w:rPr>
                <w:rFonts w:eastAsia="Batang" w:cs="Arial"/>
                <w:b/>
                <w:bCs/>
                <w:highlight w:val="yellow"/>
                <w:lang w:eastAsia="ko-KR"/>
              </w:rPr>
            </w:pPr>
            <w:r w:rsidRPr="00164639">
              <w:rPr>
                <w:rFonts w:eastAsia="Batang" w:cs="Arial"/>
                <w:b/>
                <w:lang w:eastAsia="ko-KR"/>
              </w:rPr>
              <w:t>7</w:t>
            </w:r>
            <w:r>
              <w:rPr>
                <w:rFonts w:eastAsia="Batang" w:cs="Arial"/>
                <w:b/>
                <w:lang w:eastAsia="ko-KR"/>
              </w:rPr>
              <w:t>,</w:t>
            </w:r>
            <w:r w:rsidRPr="00164639">
              <w:rPr>
                <w:rFonts w:eastAsia="Batang" w:cs="Arial"/>
                <w:b/>
                <w:lang w:eastAsia="ko-KR"/>
              </w:rPr>
              <w:t>481</w:t>
            </w:r>
            <w:r>
              <w:rPr>
                <w:rFonts w:eastAsia="Batang" w:cs="Arial"/>
                <w:b/>
                <w:lang w:eastAsia="ko-KR"/>
              </w:rPr>
              <w:t>,</w:t>
            </w:r>
            <w:r w:rsidRPr="00164639">
              <w:rPr>
                <w:rFonts w:eastAsia="Batang" w:cs="Arial"/>
                <w:b/>
                <w:lang w:eastAsia="ko-KR"/>
              </w:rPr>
              <w:t>622</w:t>
            </w:r>
            <w:r>
              <w:rPr>
                <w:rFonts w:eastAsia="Batang" w:cs="Arial"/>
                <w:b/>
                <w:lang w:eastAsia="ko-KR"/>
              </w:rPr>
              <w:t>,</w:t>
            </w:r>
            <w:r w:rsidRPr="00164639">
              <w:rPr>
                <w:rFonts w:eastAsia="Batang" w:cs="Arial"/>
                <w:b/>
                <w:lang w:eastAsia="ko-KR"/>
              </w:rPr>
              <w:t xml:space="preserve">671 </w:t>
            </w:r>
          </w:p>
        </w:tc>
        <w:tc>
          <w:tcPr>
            <w:tcW w:w="1788" w:type="dxa"/>
            <w:vAlign w:val="bottom"/>
          </w:tcPr>
          <w:p w14:paraId="36DC6CDA" w14:textId="612156AE" w:rsidR="00307188" w:rsidRPr="002A0B87" w:rsidRDefault="00B84FB1" w:rsidP="00CC4417">
            <w:pPr>
              <w:widowControl w:val="0"/>
              <w:pBdr>
                <w:bottom w:val="double" w:sz="4" w:space="0" w:color="auto"/>
              </w:pBdr>
              <w:spacing w:before="120"/>
              <w:ind w:left="58" w:right="-85"/>
              <w:jc w:val="right"/>
              <w:rPr>
                <w:rFonts w:cs="Arial"/>
                <w:b/>
                <w:bCs/>
              </w:rPr>
            </w:pPr>
            <w:r>
              <w:rPr>
                <w:rFonts w:eastAsia="Batang" w:cs="Arial"/>
                <w:b/>
                <w:lang w:eastAsia="ko-KR"/>
              </w:rPr>
              <w:t>7,481,622,671</w:t>
            </w:r>
          </w:p>
        </w:tc>
      </w:tr>
    </w:tbl>
    <w:p w14:paraId="24D568F7" w14:textId="77777777" w:rsidR="00307188" w:rsidRPr="00F03B25" w:rsidRDefault="00307188" w:rsidP="00F03B25">
      <w:pPr>
        <w:pStyle w:val="NoSpacing"/>
      </w:pPr>
    </w:p>
    <w:p w14:paraId="4DAA5F11" w14:textId="7604A422" w:rsidR="00307188" w:rsidRDefault="00B23626" w:rsidP="00FB035C">
      <w:pPr>
        <w:pStyle w:val="NoSpacing"/>
      </w:pPr>
      <w:r w:rsidRPr="00B23626">
        <w:t>Details of provision for impairment of financial assets as at the end of the year are as follows:</w:t>
      </w:r>
    </w:p>
    <w:p w14:paraId="3AB59CE8" w14:textId="64514639" w:rsidR="00FB035C" w:rsidRDefault="00FB035C" w:rsidP="0090306A">
      <w:pPr>
        <w:pStyle w:val="NoSpacing"/>
      </w:pPr>
    </w:p>
    <w:tbl>
      <w:tblPr>
        <w:tblW w:w="8161" w:type="dxa"/>
        <w:tblInd w:w="720" w:type="dxa"/>
        <w:tblLayout w:type="fixed"/>
        <w:tblLook w:val="01E0" w:firstRow="1" w:lastRow="1" w:firstColumn="1" w:lastColumn="1" w:noHBand="0" w:noVBand="0"/>
      </w:tblPr>
      <w:tblGrid>
        <w:gridCol w:w="2836"/>
        <w:gridCol w:w="1754"/>
        <w:gridCol w:w="1800"/>
        <w:gridCol w:w="1771"/>
      </w:tblGrid>
      <w:tr w:rsidR="00312700" w:rsidRPr="002A0B87" w14:paraId="5B3F8CAB" w14:textId="13CD686B" w:rsidTr="00254501">
        <w:trPr>
          <w:trHeight w:val="20"/>
          <w:tblHeader/>
        </w:trPr>
        <w:tc>
          <w:tcPr>
            <w:tcW w:w="2836" w:type="dxa"/>
            <w:vAlign w:val="bottom"/>
          </w:tcPr>
          <w:p w14:paraId="2B15FCF6" w14:textId="77777777" w:rsidR="00312700" w:rsidRPr="002A0B87" w:rsidRDefault="00312700" w:rsidP="00CE21D3">
            <w:pPr>
              <w:widowControl w:val="0"/>
              <w:overflowPunct/>
              <w:autoSpaceDE/>
              <w:autoSpaceDN/>
              <w:adjustRightInd/>
              <w:ind w:left="-115"/>
              <w:textAlignment w:val="auto"/>
              <w:rPr>
                <w:rFonts w:eastAsia="Batang" w:cs="Arial"/>
                <w:i/>
                <w:lang w:val="es-ES"/>
              </w:rPr>
            </w:pPr>
          </w:p>
        </w:tc>
        <w:tc>
          <w:tcPr>
            <w:tcW w:w="1754" w:type="dxa"/>
            <w:vAlign w:val="bottom"/>
            <w:hideMark/>
          </w:tcPr>
          <w:p w14:paraId="05963354" w14:textId="300A6841" w:rsidR="00312700" w:rsidRPr="002A0B87" w:rsidRDefault="008E70C2" w:rsidP="00CC4417">
            <w:pPr>
              <w:widowControl w:val="0"/>
              <w:pBdr>
                <w:bottom w:val="single" w:sz="4" w:space="0" w:color="auto"/>
              </w:pBdr>
              <w:ind w:left="58" w:right="-85"/>
              <w:jc w:val="right"/>
              <w:rPr>
                <w:rFonts w:eastAsia="Batang" w:cs="Arial"/>
                <w:bCs/>
                <w:i/>
              </w:rPr>
            </w:pPr>
            <w:r w:rsidRPr="008E70C2">
              <w:rPr>
                <w:rFonts w:eastAsia="Batang" w:cs="Arial"/>
                <w:bCs/>
                <w:i/>
              </w:rPr>
              <w:t xml:space="preserve">Current </w:t>
            </w:r>
            <w:proofErr w:type="gramStart"/>
            <w:r w:rsidRPr="008E70C2">
              <w:rPr>
                <w:rFonts w:eastAsia="Batang" w:cs="Arial"/>
                <w:bCs/>
                <w:i/>
              </w:rPr>
              <w:t>year book</w:t>
            </w:r>
            <w:proofErr w:type="gramEnd"/>
            <w:r w:rsidRPr="008E70C2">
              <w:rPr>
                <w:rFonts w:eastAsia="Batang" w:cs="Arial"/>
                <w:bCs/>
                <w:i/>
              </w:rPr>
              <w:t xml:space="preserve"> value</w:t>
            </w:r>
          </w:p>
          <w:p w14:paraId="6E3BC0D8" w14:textId="77777777" w:rsidR="00312700" w:rsidRPr="002A0B87" w:rsidRDefault="00312700" w:rsidP="00CC4417">
            <w:pPr>
              <w:widowControl w:val="0"/>
              <w:pBdr>
                <w:bottom w:val="single" w:sz="4" w:space="0" w:color="auto"/>
              </w:pBdr>
              <w:ind w:left="58" w:right="-85"/>
              <w:jc w:val="right"/>
              <w:rPr>
                <w:rFonts w:cs="Arial"/>
                <w:bCs/>
                <w:i/>
              </w:rPr>
            </w:pPr>
            <w:r w:rsidRPr="002A0B87">
              <w:rPr>
                <w:rFonts w:eastAsia="Batang" w:cs="Arial"/>
                <w:i/>
                <w:iCs/>
              </w:rPr>
              <w:t>VND</w:t>
            </w:r>
          </w:p>
        </w:tc>
        <w:tc>
          <w:tcPr>
            <w:tcW w:w="1800" w:type="dxa"/>
            <w:vAlign w:val="bottom"/>
            <w:hideMark/>
          </w:tcPr>
          <w:p w14:paraId="0561FDD2" w14:textId="54340FAE" w:rsidR="00312700" w:rsidRPr="002A0B87" w:rsidRDefault="00BA799B" w:rsidP="00CC4417">
            <w:pPr>
              <w:widowControl w:val="0"/>
              <w:pBdr>
                <w:bottom w:val="single" w:sz="4" w:space="0" w:color="auto"/>
              </w:pBdr>
              <w:ind w:left="58" w:right="-85"/>
              <w:jc w:val="right"/>
              <w:rPr>
                <w:rFonts w:eastAsia="Batang" w:cs="Arial"/>
                <w:bCs/>
                <w:i/>
              </w:rPr>
            </w:pPr>
            <w:r w:rsidRPr="00BA799B">
              <w:rPr>
                <w:rFonts w:eastAsia="Batang" w:cs="Arial"/>
                <w:bCs/>
                <w:i/>
              </w:rPr>
              <w:t>Current year provision balance</w:t>
            </w:r>
          </w:p>
          <w:p w14:paraId="1B5306FB" w14:textId="77777777" w:rsidR="00312700" w:rsidRPr="002A0B87" w:rsidRDefault="00312700" w:rsidP="00CC4417">
            <w:pPr>
              <w:widowControl w:val="0"/>
              <w:pBdr>
                <w:bottom w:val="single" w:sz="4" w:space="0" w:color="auto"/>
              </w:pBdr>
              <w:ind w:left="58" w:right="-85"/>
              <w:jc w:val="right"/>
              <w:rPr>
                <w:rFonts w:cs="Arial"/>
                <w:bCs/>
                <w:i/>
              </w:rPr>
            </w:pPr>
            <w:r w:rsidRPr="002A0B87">
              <w:rPr>
                <w:rFonts w:eastAsia="Batang" w:cs="Arial"/>
                <w:i/>
                <w:iCs/>
              </w:rPr>
              <w:t xml:space="preserve">VND </w:t>
            </w:r>
          </w:p>
        </w:tc>
        <w:tc>
          <w:tcPr>
            <w:tcW w:w="1771" w:type="dxa"/>
            <w:vAlign w:val="bottom"/>
          </w:tcPr>
          <w:p w14:paraId="577BBA38" w14:textId="034E6100" w:rsidR="00312700" w:rsidRPr="002A0B87" w:rsidRDefault="00B46778" w:rsidP="00CC4417">
            <w:pPr>
              <w:widowControl w:val="0"/>
              <w:pBdr>
                <w:bottom w:val="single" w:sz="4" w:space="0" w:color="auto"/>
              </w:pBdr>
              <w:ind w:left="58" w:right="-85"/>
              <w:jc w:val="right"/>
              <w:rPr>
                <w:rFonts w:eastAsia="Batang" w:cs="Arial"/>
                <w:bCs/>
                <w:i/>
              </w:rPr>
            </w:pPr>
            <w:r w:rsidRPr="00B46778">
              <w:rPr>
                <w:rFonts w:eastAsia="Batang" w:cs="Arial"/>
                <w:bCs/>
                <w:i/>
              </w:rPr>
              <w:t>Previous year provision balance</w:t>
            </w:r>
          </w:p>
          <w:p w14:paraId="4249C72C" w14:textId="40A3DD85" w:rsidR="00312700" w:rsidRDefault="00312700" w:rsidP="00CC4417">
            <w:pPr>
              <w:widowControl w:val="0"/>
              <w:pBdr>
                <w:bottom w:val="single" w:sz="4" w:space="0" w:color="auto"/>
              </w:pBdr>
              <w:ind w:left="58" w:right="-85"/>
              <w:jc w:val="right"/>
              <w:rPr>
                <w:rFonts w:eastAsia="Batang" w:cs="Arial"/>
                <w:bCs/>
                <w:i/>
              </w:rPr>
            </w:pPr>
            <w:r w:rsidRPr="002A0B87">
              <w:rPr>
                <w:rFonts w:eastAsia="Batang" w:cs="Arial"/>
                <w:i/>
                <w:iCs/>
              </w:rPr>
              <w:t xml:space="preserve">VND </w:t>
            </w:r>
          </w:p>
        </w:tc>
      </w:tr>
      <w:tr w:rsidR="00E9132F" w:rsidRPr="002A0B87" w14:paraId="043E07AD" w14:textId="03449337" w:rsidTr="00254501">
        <w:trPr>
          <w:trHeight w:val="20"/>
        </w:trPr>
        <w:tc>
          <w:tcPr>
            <w:tcW w:w="2836" w:type="dxa"/>
            <w:vAlign w:val="bottom"/>
            <w:hideMark/>
          </w:tcPr>
          <w:p w14:paraId="300472E2" w14:textId="70EBF0C6" w:rsidR="00E9132F" w:rsidRPr="0090306A" w:rsidRDefault="00C07469" w:rsidP="00E9132F">
            <w:pPr>
              <w:widowControl w:val="0"/>
              <w:spacing w:before="120"/>
              <w:ind w:left="-115"/>
              <w:rPr>
                <w:rFonts w:cs="Arial"/>
                <w:bCs/>
              </w:rPr>
            </w:pPr>
            <w:r w:rsidRPr="00C07469">
              <w:rPr>
                <w:rFonts w:cs="Arial"/>
                <w:bCs/>
              </w:rPr>
              <w:t>Mr. Pham Duc Tam</w:t>
            </w:r>
          </w:p>
        </w:tc>
        <w:tc>
          <w:tcPr>
            <w:tcW w:w="1754" w:type="dxa"/>
            <w:vAlign w:val="bottom"/>
          </w:tcPr>
          <w:p w14:paraId="35B81E1F" w14:textId="2F62F0F8" w:rsidR="00E9132F" w:rsidRPr="0090306A" w:rsidRDefault="00677A1F" w:rsidP="00E9132F">
            <w:pPr>
              <w:widowControl w:val="0"/>
              <w:spacing w:before="120"/>
              <w:ind w:left="58" w:right="-85"/>
              <w:jc w:val="right"/>
              <w:rPr>
                <w:rFonts w:eastAsia="Batang" w:cs="Arial"/>
                <w:bCs/>
                <w:lang w:eastAsia="ko-KR"/>
              </w:rPr>
            </w:pPr>
            <w:r w:rsidRPr="00265F80">
              <w:rPr>
                <w:rFonts w:eastAsia="Batang" w:cs="Arial"/>
                <w:bCs/>
                <w:lang w:eastAsia="ko-KR"/>
              </w:rPr>
              <w:t>2</w:t>
            </w:r>
            <w:r>
              <w:rPr>
                <w:rFonts w:eastAsia="Batang" w:cs="Arial"/>
                <w:bCs/>
                <w:lang w:eastAsia="ko-KR"/>
              </w:rPr>
              <w:t>,</w:t>
            </w:r>
            <w:r w:rsidRPr="00265F80">
              <w:rPr>
                <w:rFonts w:eastAsia="Batang" w:cs="Arial"/>
                <w:bCs/>
                <w:lang w:eastAsia="ko-KR"/>
              </w:rPr>
              <w:t>739</w:t>
            </w:r>
            <w:r>
              <w:rPr>
                <w:rFonts w:eastAsia="Batang" w:cs="Arial"/>
                <w:bCs/>
                <w:lang w:eastAsia="ko-KR"/>
              </w:rPr>
              <w:t>,</w:t>
            </w:r>
            <w:r w:rsidRPr="00265F80">
              <w:rPr>
                <w:rFonts w:eastAsia="Batang" w:cs="Arial"/>
                <w:bCs/>
                <w:lang w:eastAsia="ko-KR"/>
              </w:rPr>
              <w:t>213</w:t>
            </w:r>
            <w:r>
              <w:rPr>
                <w:rFonts w:eastAsia="Batang" w:cs="Arial"/>
                <w:bCs/>
                <w:lang w:eastAsia="ko-KR"/>
              </w:rPr>
              <w:t>,</w:t>
            </w:r>
            <w:r w:rsidRPr="00265F80">
              <w:rPr>
                <w:rFonts w:eastAsia="Batang" w:cs="Arial"/>
                <w:bCs/>
                <w:lang w:eastAsia="ko-KR"/>
              </w:rPr>
              <w:t>514</w:t>
            </w:r>
          </w:p>
        </w:tc>
        <w:tc>
          <w:tcPr>
            <w:tcW w:w="1800" w:type="dxa"/>
            <w:vAlign w:val="bottom"/>
          </w:tcPr>
          <w:p w14:paraId="736852D1" w14:textId="01630A94" w:rsidR="00E9132F" w:rsidRPr="0090306A" w:rsidRDefault="00677A1F" w:rsidP="00E9132F">
            <w:pPr>
              <w:widowControl w:val="0"/>
              <w:spacing w:before="120"/>
              <w:ind w:left="58" w:right="-85"/>
              <w:jc w:val="right"/>
              <w:rPr>
                <w:rFonts w:eastAsia="Batang" w:cs="Arial"/>
                <w:bCs/>
                <w:lang w:eastAsia="ko-KR"/>
              </w:rPr>
            </w:pPr>
            <w:r w:rsidRPr="00265F80">
              <w:rPr>
                <w:rFonts w:eastAsia="Batang" w:cs="Arial"/>
                <w:bCs/>
                <w:lang w:eastAsia="ko-KR"/>
              </w:rPr>
              <w:t>2</w:t>
            </w:r>
            <w:r>
              <w:rPr>
                <w:rFonts w:eastAsia="Batang" w:cs="Arial"/>
                <w:bCs/>
                <w:lang w:eastAsia="ko-KR"/>
              </w:rPr>
              <w:t>,</w:t>
            </w:r>
            <w:r w:rsidRPr="00265F80">
              <w:rPr>
                <w:rFonts w:eastAsia="Batang" w:cs="Arial"/>
                <w:bCs/>
                <w:lang w:eastAsia="ko-KR"/>
              </w:rPr>
              <w:t>739</w:t>
            </w:r>
            <w:r>
              <w:rPr>
                <w:rFonts w:eastAsia="Batang" w:cs="Arial"/>
                <w:bCs/>
                <w:lang w:eastAsia="ko-KR"/>
              </w:rPr>
              <w:t>,</w:t>
            </w:r>
            <w:r w:rsidRPr="00265F80">
              <w:rPr>
                <w:rFonts w:eastAsia="Batang" w:cs="Arial"/>
                <w:bCs/>
                <w:lang w:eastAsia="ko-KR"/>
              </w:rPr>
              <w:t>213</w:t>
            </w:r>
            <w:r>
              <w:rPr>
                <w:rFonts w:eastAsia="Batang" w:cs="Arial"/>
                <w:bCs/>
                <w:lang w:eastAsia="ko-KR"/>
              </w:rPr>
              <w:t>,</w:t>
            </w:r>
            <w:r w:rsidRPr="00265F80">
              <w:rPr>
                <w:rFonts w:eastAsia="Batang" w:cs="Arial"/>
                <w:bCs/>
                <w:lang w:eastAsia="ko-KR"/>
              </w:rPr>
              <w:t>514</w:t>
            </w:r>
          </w:p>
        </w:tc>
        <w:tc>
          <w:tcPr>
            <w:tcW w:w="1771" w:type="dxa"/>
            <w:vAlign w:val="bottom"/>
          </w:tcPr>
          <w:p w14:paraId="52F16445" w14:textId="6B3736FC" w:rsidR="00E9132F" w:rsidRPr="00312700" w:rsidRDefault="00677A1F" w:rsidP="00E9132F">
            <w:pPr>
              <w:widowControl w:val="0"/>
              <w:spacing w:before="120"/>
              <w:ind w:left="58" w:right="-85"/>
              <w:jc w:val="right"/>
              <w:rPr>
                <w:rFonts w:eastAsia="Batang" w:cs="Arial"/>
                <w:bCs/>
                <w:lang w:eastAsia="ko-KR"/>
              </w:rPr>
            </w:pPr>
            <w:r w:rsidRPr="00265F80">
              <w:rPr>
                <w:rFonts w:eastAsia="Batang" w:cs="Arial"/>
                <w:bCs/>
                <w:lang w:eastAsia="ko-KR"/>
              </w:rPr>
              <w:t>2</w:t>
            </w:r>
            <w:r>
              <w:rPr>
                <w:rFonts w:eastAsia="Batang" w:cs="Arial"/>
                <w:bCs/>
                <w:lang w:eastAsia="ko-KR"/>
              </w:rPr>
              <w:t>,</w:t>
            </w:r>
            <w:r w:rsidRPr="00265F80">
              <w:rPr>
                <w:rFonts w:eastAsia="Batang" w:cs="Arial"/>
                <w:bCs/>
                <w:lang w:eastAsia="ko-KR"/>
              </w:rPr>
              <w:t>739</w:t>
            </w:r>
            <w:r>
              <w:rPr>
                <w:rFonts w:eastAsia="Batang" w:cs="Arial"/>
                <w:bCs/>
                <w:lang w:eastAsia="ko-KR"/>
              </w:rPr>
              <w:t>,</w:t>
            </w:r>
            <w:r w:rsidRPr="00265F80">
              <w:rPr>
                <w:rFonts w:eastAsia="Batang" w:cs="Arial"/>
                <w:bCs/>
                <w:lang w:eastAsia="ko-KR"/>
              </w:rPr>
              <w:t>213</w:t>
            </w:r>
            <w:r>
              <w:rPr>
                <w:rFonts w:eastAsia="Batang" w:cs="Arial"/>
                <w:bCs/>
                <w:lang w:eastAsia="ko-KR"/>
              </w:rPr>
              <w:t>,</w:t>
            </w:r>
            <w:r w:rsidRPr="00265F80">
              <w:rPr>
                <w:rFonts w:eastAsia="Batang" w:cs="Arial"/>
                <w:bCs/>
                <w:lang w:eastAsia="ko-KR"/>
              </w:rPr>
              <w:t>514</w:t>
            </w:r>
          </w:p>
        </w:tc>
      </w:tr>
      <w:tr w:rsidR="00E9132F" w:rsidRPr="002A0B87" w14:paraId="360D814F" w14:textId="48F3F534" w:rsidTr="00254501">
        <w:trPr>
          <w:trHeight w:val="20"/>
        </w:trPr>
        <w:tc>
          <w:tcPr>
            <w:tcW w:w="2836" w:type="dxa"/>
            <w:vAlign w:val="bottom"/>
            <w:hideMark/>
          </w:tcPr>
          <w:p w14:paraId="5AB9331D" w14:textId="0DB17881" w:rsidR="00E9132F" w:rsidRPr="002A0B87" w:rsidRDefault="00BA131F" w:rsidP="00E9132F">
            <w:pPr>
              <w:widowControl w:val="0"/>
              <w:ind w:left="-115"/>
              <w:rPr>
                <w:rFonts w:cs="Arial"/>
              </w:rPr>
            </w:pPr>
            <w:r w:rsidRPr="00BA131F">
              <w:rPr>
                <w:rFonts w:cs="Arial"/>
                <w:bCs/>
              </w:rPr>
              <w:t xml:space="preserve">Mr. Nguyen </w:t>
            </w:r>
            <w:proofErr w:type="spellStart"/>
            <w:r w:rsidRPr="00BA131F">
              <w:rPr>
                <w:rFonts w:cs="Arial"/>
                <w:bCs/>
              </w:rPr>
              <w:t>Manh</w:t>
            </w:r>
            <w:proofErr w:type="spellEnd"/>
            <w:r w:rsidRPr="00BA131F">
              <w:rPr>
                <w:rFonts w:cs="Arial"/>
                <w:bCs/>
              </w:rPr>
              <w:t xml:space="preserve"> Tung</w:t>
            </w:r>
          </w:p>
        </w:tc>
        <w:tc>
          <w:tcPr>
            <w:tcW w:w="1754" w:type="dxa"/>
            <w:vAlign w:val="bottom"/>
          </w:tcPr>
          <w:p w14:paraId="0DEAD361" w14:textId="57A2D6B2" w:rsidR="00E9132F" w:rsidRPr="002A0B87" w:rsidRDefault="00677A1F" w:rsidP="00E9132F">
            <w:pPr>
              <w:widowControl w:val="0"/>
              <w:pBdr>
                <w:bottom w:val="single" w:sz="4" w:space="0" w:color="auto"/>
              </w:pBdr>
              <w:ind w:left="58" w:right="-85"/>
              <w:jc w:val="right"/>
              <w:rPr>
                <w:rFonts w:eastAsia="Batang" w:cs="Arial"/>
                <w:highlight w:val="yellow"/>
                <w:lang w:eastAsia="ko-KR"/>
              </w:rPr>
            </w:pPr>
            <w:r w:rsidRPr="00265F80">
              <w:rPr>
                <w:rFonts w:eastAsia="Batang" w:cs="Arial"/>
                <w:lang w:eastAsia="ko-KR"/>
              </w:rPr>
              <w:t>4</w:t>
            </w:r>
            <w:r>
              <w:rPr>
                <w:rFonts w:eastAsia="Batang" w:cs="Arial"/>
                <w:lang w:eastAsia="ko-KR"/>
              </w:rPr>
              <w:t>,</w:t>
            </w:r>
            <w:r w:rsidRPr="00265F80">
              <w:rPr>
                <w:rFonts w:eastAsia="Batang" w:cs="Arial"/>
                <w:lang w:eastAsia="ko-KR"/>
              </w:rPr>
              <w:t>742</w:t>
            </w:r>
            <w:r>
              <w:rPr>
                <w:rFonts w:eastAsia="Batang" w:cs="Arial"/>
                <w:lang w:eastAsia="ko-KR"/>
              </w:rPr>
              <w:t>,</w:t>
            </w:r>
            <w:r w:rsidRPr="00265F80">
              <w:rPr>
                <w:rFonts w:eastAsia="Batang" w:cs="Arial"/>
                <w:lang w:eastAsia="ko-KR"/>
              </w:rPr>
              <w:t>409</w:t>
            </w:r>
            <w:r>
              <w:rPr>
                <w:rFonts w:eastAsia="Batang" w:cs="Arial"/>
                <w:lang w:eastAsia="ko-KR"/>
              </w:rPr>
              <w:t>,</w:t>
            </w:r>
            <w:r w:rsidRPr="00265F80">
              <w:rPr>
                <w:rFonts w:eastAsia="Batang" w:cs="Arial"/>
                <w:lang w:eastAsia="ko-KR"/>
              </w:rPr>
              <w:t>157</w:t>
            </w:r>
          </w:p>
        </w:tc>
        <w:tc>
          <w:tcPr>
            <w:tcW w:w="1800" w:type="dxa"/>
            <w:vAlign w:val="bottom"/>
          </w:tcPr>
          <w:p w14:paraId="04BBDCAD" w14:textId="7B36C1AE" w:rsidR="00E9132F" w:rsidRPr="002A0B87" w:rsidRDefault="00677A1F" w:rsidP="00E9132F">
            <w:pPr>
              <w:widowControl w:val="0"/>
              <w:pBdr>
                <w:bottom w:val="single" w:sz="4" w:space="0" w:color="auto"/>
              </w:pBdr>
              <w:ind w:left="58" w:right="-85"/>
              <w:jc w:val="right"/>
              <w:rPr>
                <w:rFonts w:eastAsia="Batang" w:cs="Arial"/>
                <w:lang w:eastAsia="ko-KR"/>
              </w:rPr>
            </w:pPr>
            <w:r w:rsidRPr="00265F80">
              <w:rPr>
                <w:rFonts w:eastAsia="Batang" w:cs="Arial"/>
                <w:lang w:eastAsia="ko-KR"/>
              </w:rPr>
              <w:t>4</w:t>
            </w:r>
            <w:r>
              <w:rPr>
                <w:rFonts w:eastAsia="Batang" w:cs="Arial"/>
                <w:lang w:eastAsia="ko-KR"/>
              </w:rPr>
              <w:t>,</w:t>
            </w:r>
            <w:r w:rsidRPr="00265F80">
              <w:rPr>
                <w:rFonts w:eastAsia="Batang" w:cs="Arial"/>
                <w:lang w:eastAsia="ko-KR"/>
              </w:rPr>
              <w:t>742</w:t>
            </w:r>
            <w:r>
              <w:rPr>
                <w:rFonts w:eastAsia="Batang" w:cs="Arial"/>
                <w:lang w:eastAsia="ko-KR"/>
              </w:rPr>
              <w:t>,</w:t>
            </w:r>
            <w:r w:rsidRPr="00265F80">
              <w:rPr>
                <w:rFonts w:eastAsia="Batang" w:cs="Arial"/>
                <w:lang w:eastAsia="ko-KR"/>
              </w:rPr>
              <w:t>409</w:t>
            </w:r>
            <w:r>
              <w:rPr>
                <w:rFonts w:eastAsia="Batang" w:cs="Arial"/>
                <w:lang w:eastAsia="ko-KR"/>
              </w:rPr>
              <w:t>,</w:t>
            </w:r>
            <w:r w:rsidRPr="00265F80">
              <w:rPr>
                <w:rFonts w:eastAsia="Batang" w:cs="Arial"/>
                <w:lang w:eastAsia="ko-KR"/>
              </w:rPr>
              <w:t>157</w:t>
            </w:r>
          </w:p>
        </w:tc>
        <w:tc>
          <w:tcPr>
            <w:tcW w:w="1771" w:type="dxa"/>
            <w:vAlign w:val="bottom"/>
          </w:tcPr>
          <w:p w14:paraId="0E8E54F2" w14:textId="1C98C69E" w:rsidR="00E9132F" w:rsidRPr="002A0B87" w:rsidRDefault="00677A1F" w:rsidP="00E9132F">
            <w:pPr>
              <w:widowControl w:val="0"/>
              <w:pBdr>
                <w:bottom w:val="single" w:sz="4" w:space="0" w:color="auto"/>
              </w:pBdr>
              <w:ind w:left="58" w:right="-85"/>
              <w:jc w:val="right"/>
              <w:rPr>
                <w:rFonts w:eastAsia="Batang" w:cs="Arial"/>
                <w:lang w:eastAsia="ko-KR"/>
              </w:rPr>
            </w:pPr>
            <w:r w:rsidRPr="00265F80">
              <w:rPr>
                <w:rFonts w:eastAsia="Batang" w:cs="Arial"/>
                <w:lang w:eastAsia="ko-KR"/>
              </w:rPr>
              <w:t>4</w:t>
            </w:r>
            <w:r>
              <w:rPr>
                <w:rFonts w:eastAsia="Batang" w:cs="Arial"/>
                <w:lang w:eastAsia="ko-KR"/>
              </w:rPr>
              <w:t>,</w:t>
            </w:r>
            <w:r w:rsidRPr="00265F80">
              <w:rPr>
                <w:rFonts w:eastAsia="Batang" w:cs="Arial"/>
                <w:lang w:eastAsia="ko-KR"/>
              </w:rPr>
              <w:t>742</w:t>
            </w:r>
            <w:r>
              <w:rPr>
                <w:rFonts w:eastAsia="Batang" w:cs="Arial"/>
                <w:lang w:eastAsia="ko-KR"/>
              </w:rPr>
              <w:t>,</w:t>
            </w:r>
            <w:r w:rsidRPr="00265F80">
              <w:rPr>
                <w:rFonts w:eastAsia="Batang" w:cs="Arial"/>
                <w:lang w:eastAsia="ko-KR"/>
              </w:rPr>
              <w:t>409</w:t>
            </w:r>
            <w:r>
              <w:rPr>
                <w:rFonts w:eastAsia="Batang" w:cs="Arial"/>
                <w:lang w:eastAsia="ko-KR"/>
              </w:rPr>
              <w:t>,</w:t>
            </w:r>
            <w:r w:rsidRPr="00265F80">
              <w:rPr>
                <w:rFonts w:eastAsia="Batang" w:cs="Arial"/>
                <w:lang w:eastAsia="ko-KR"/>
              </w:rPr>
              <w:t>157</w:t>
            </w:r>
          </w:p>
        </w:tc>
      </w:tr>
      <w:tr w:rsidR="00E9132F" w:rsidRPr="002A0B87" w14:paraId="625D9837" w14:textId="32D403EF" w:rsidTr="00254501">
        <w:trPr>
          <w:trHeight w:val="20"/>
        </w:trPr>
        <w:tc>
          <w:tcPr>
            <w:tcW w:w="2836" w:type="dxa"/>
            <w:vAlign w:val="bottom"/>
          </w:tcPr>
          <w:p w14:paraId="3F2690D6" w14:textId="007D5969" w:rsidR="00E9132F" w:rsidRPr="002A0B87" w:rsidRDefault="00DD48CA" w:rsidP="00E9132F">
            <w:pPr>
              <w:widowControl w:val="0"/>
              <w:spacing w:before="120"/>
              <w:ind w:left="-115"/>
              <w:rPr>
                <w:rFonts w:cs="Arial"/>
                <w:b/>
              </w:rPr>
            </w:pPr>
            <w:r w:rsidRPr="00DD48CA">
              <w:rPr>
                <w:rFonts w:cs="Arial"/>
                <w:b/>
              </w:rPr>
              <w:t>Loans from margin activities</w:t>
            </w:r>
          </w:p>
        </w:tc>
        <w:tc>
          <w:tcPr>
            <w:tcW w:w="1754" w:type="dxa"/>
            <w:vAlign w:val="bottom"/>
          </w:tcPr>
          <w:p w14:paraId="458F331D" w14:textId="6FD7FA85" w:rsidR="00E9132F" w:rsidRPr="002A0B87" w:rsidRDefault="00677A1F" w:rsidP="00E9132F">
            <w:pPr>
              <w:widowControl w:val="0"/>
              <w:pBdr>
                <w:bottom w:val="double" w:sz="4" w:space="0" w:color="auto"/>
              </w:pBdr>
              <w:spacing w:before="120"/>
              <w:ind w:left="58" w:right="-85"/>
              <w:jc w:val="right"/>
              <w:rPr>
                <w:rFonts w:eastAsia="Batang" w:cs="Arial"/>
                <w:b/>
                <w:bCs/>
                <w:highlight w:val="yellow"/>
                <w:lang w:eastAsia="ko-KR"/>
              </w:rPr>
            </w:pPr>
            <w:r w:rsidRPr="00583892">
              <w:rPr>
                <w:rFonts w:eastAsia="Batang" w:cs="Arial"/>
                <w:b/>
                <w:lang w:eastAsia="ko-KR"/>
              </w:rPr>
              <w:t>7</w:t>
            </w:r>
            <w:r>
              <w:rPr>
                <w:rFonts w:eastAsia="Batang" w:cs="Arial"/>
                <w:b/>
                <w:lang w:eastAsia="ko-KR"/>
              </w:rPr>
              <w:t>,</w:t>
            </w:r>
            <w:r w:rsidRPr="00583892">
              <w:rPr>
                <w:rFonts w:eastAsia="Batang" w:cs="Arial"/>
                <w:b/>
                <w:lang w:eastAsia="ko-KR"/>
              </w:rPr>
              <w:t>481</w:t>
            </w:r>
            <w:r>
              <w:rPr>
                <w:rFonts w:eastAsia="Batang" w:cs="Arial"/>
                <w:b/>
                <w:lang w:eastAsia="ko-KR"/>
              </w:rPr>
              <w:t>,</w:t>
            </w:r>
            <w:r w:rsidRPr="00583892">
              <w:rPr>
                <w:rFonts w:eastAsia="Batang" w:cs="Arial"/>
                <w:b/>
                <w:lang w:eastAsia="ko-KR"/>
              </w:rPr>
              <w:t>622</w:t>
            </w:r>
            <w:r>
              <w:rPr>
                <w:rFonts w:eastAsia="Batang" w:cs="Arial"/>
                <w:b/>
                <w:lang w:eastAsia="ko-KR"/>
              </w:rPr>
              <w:t>,</w:t>
            </w:r>
            <w:r w:rsidRPr="00583892">
              <w:rPr>
                <w:rFonts w:eastAsia="Batang" w:cs="Arial"/>
                <w:b/>
                <w:lang w:eastAsia="ko-KR"/>
              </w:rPr>
              <w:t>671</w:t>
            </w:r>
          </w:p>
        </w:tc>
        <w:tc>
          <w:tcPr>
            <w:tcW w:w="1800" w:type="dxa"/>
            <w:vAlign w:val="bottom"/>
          </w:tcPr>
          <w:p w14:paraId="21A8C36B" w14:textId="28B17B59" w:rsidR="00E9132F" w:rsidRPr="002A0B87" w:rsidRDefault="00677A1F" w:rsidP="00E9132F">
            <w:pPr>
              <w:widowControl w:val="0"/>
              <w:pBdr>
                <w:bottom w:val="double" w:sz="4" w:space="0" w:color="auto"/>
              </w:pBdr>
              <w:spacing w:before="120"/>
              <w:ind w:left="58" w:right="-85"/>
              <w:jc w:val="right"/>
              <w:rPr>
                <w:rFonts w:cs="Arial"/>
                <w:b/>
                <w:bCs/>
              </w:rPr>
            </w:pPr>
            <w:r w:rsidRPr="00583892">
              <w:rPr>
                <w:rFonts w:eastAsia="Batang" w:cs="Arial"/>
                <w:b/>
                <w:lang w:eastAsia="ko-KR"/>
              </w:rPr>
              <w:t>7</w:t>
            </w:r>
            <w:r>
              <w:rPr>
                <w:rFonts w:eastAsia="Batang" w:cs="Arial"/>
                <w:b/>
                <w:lang w:eastAsia="ko-KR"/>
              </w:rPr>
              <w:t>,</w:t>
            </w:r>
            <w:r w:rsidRPr="00583892">
              <w:rPr>
                <w:rFonts w:eastAsia="Batang" w:cs="Arial"/>
                <w:b/>
                <w:lang w:eastAsia="ko-KR"/>
              </w:rPr>
              <w:t>481</w:t>
            </w:r>
            <w:r>
              <w:rPr>
                <w:rFonts w:eastAsia="Batang" w:cs="Arial"/>
                <w:b/>
                <w:lang w:eastAsia="ko-KR"/>
              </w:rPr>
              <w:t>,</w:t>
            </w:r>
            <w:r w:rsidRPr="00583892">
              <w:rPr>
                <w:rFonts w:eastAsia="Batang" w:cs="Arial"/>
                <w:b/>
                <w:lang w:eastAsia="ko-KR"/>
              </w:rPr>
              <w:t>622</w:t>
            </w:r>
            <w:r>
              <w:rPr>
                <w:rFonts w:eastAsia="Batang" w:cs="Arial"/>
                <w:b/>
                <w:lang w:eastAsia="ko-KR"/>
              </w:rPr>
              <w:t>,</w:t>
            </w:r>
            <w:r w:rsidRPr="00583892">
              <w:rPr>
                <w:rFonts w:eastAsia="Batang" w:cs="Arial"/>
                <w:b/>
                <w:lang w:eastAsia="ko-KR"/>
              </w:rPr>
              <w:t>671</w:t>
            </w:r>
          </w:p>
        </w:tc>
        <w:tc>
          <w:tcPr>
            <w:tcW w:w="1771" w:type="dxa"/>
            <w:vAlign w:val="bottom"/>
          </w:tcPr>
          <w:p w14:paraId="6FDA6B69" w14:textId="238B94C8" w:rsidR="00E9132F" w:rsidRPr="002A0B87" w:rsidRDefault="00677A1F" w:rsidP="00E9132F">
            <w:pPr>
              <w:widowControl w:val="0"/>
              <w:pBdr>
                <w:bottom w:val="double" w:sz="4" w:space="0" w:color="auto"/>
              </w:pBdr>
              <w:spacing w:before="120"/>
              <w:ind w:left="58" w:right="-85"/>
              <w:jc w:val="right"/>
              <w:rPr>
                <w:rFonts w:eastAsia="Batang" w:cs="Arial"/>
                <w:b/>
                <w:lang w:eastAsia="ko-KR"/>
              </w:rPr>
            </w:pPr>
            <w:r w:rsidRPr="00583892">
              <w:rPr>
                <w:rFonts w:eastAsia="Batang" w:cs="Arial"/>
                <w:b/>
                <w:lang w:eastAsia="ko-KR"/>
              </w:rPr>
              <w:t>7</w:t>
            </w:r>
            <w:r>
              <w:rPr>
                <w:rFonts w:eastAsia="Batang" w:cs="Arial"/>
                <w:b/>
                <w:lang w:eastAsia="ko-KR"/>
              </w:rPr>
              <w:t>,</w:t>
            </w:r>
            <w:r w:rsidRPr="00583892">
              <w:rPr>
                <w:rFonts w:eastAsia="Batang" w:cs="Arial"/>
                <w:b/>
                <w:lang w:eastAsia="ko-KR"/>
              </w:rPr>
              <w:t>481</w:t>
            </w:r>
            <w:r>
              <w:rPr>
                <w:rFonts w:eastAsia="Batang" w:cs="Arial"/>
                <w:b/>
                <w:lang w:eastAsia="ko-KR"/>
              </w:rPr>
              <w:t>,</w:t>
            </w:r>
            <w:r w:rsidRPr="00583892">
              <w:rPr>
                <w:rFonts w:eastAsia="Batang" w:cs="Arial"/>
                <w:b/>
                <w:lang w:eastAsia="ko-KR"/>
              </w:rPr>
              <w:t>622</w:t>
            </w:r>
            <w:r>
              <w:rPr>
                <w:rFonts w:eastAsia="Batang" w:cs="Arial"/>
                <w:b/>
                <w:lang w:eastAsia="ko-KR"/>
              </w:rPr>
              <w:t>,</w:t>
            </w:r>
            <w:r w:rsidRPr="00583892">
              <w:rPr>
                <w:rFonts w:eastAsia="Batang" w:cs="Arial"/>
                <w:b/>
                <w:lang w:eastAsia="ko-KR"/>
              </w:rPr>
              <w:t>671</w:t>
            </w:r>
          </w:p>
        </w:tc>
      </w:tr>
    </w:tbl>
    <w:p w14:paraId="0EFA29B2" w14:textId="77777777" w:rsidR="00273D7E" w:rsidRDefault="00273D7E" w:rsidP="003F6004">
      <w:pPr>
        <w:pStyle w:val="NoSpacing"/>
      </w:pPr>
    </w:p>
    <w:p w14:paraId="3CE5CD5C" w14:textId="6E8C1478" w:rsidR="00273D7E" w:rsidRPr="00273D7E" w:rsidRDefault="00273D7E" w:rsidP="00DE1243">
      <w:pPr>
        <w:pStyle w:val="NoSpacing"/>
        <w:sectPr w:rsidR="00273D7E" w:rsidRPr="00273D7E" w:rsidSect="00CE21D3">
          <w:pgSz w:w="11909" w:h="16834" w:code="9"/>
          <w:pgMar w:top="1440" w:right="1440" w:bottom="864" w:left="1584" w:header="720" w:footer="576" w:gutter="0"/>
          <w:cols w:space="720"/>
          <w:docGrid w:linePitch="272"/>
        </w:sectPr>
      </w:pPr>
    </w:p>
    <w:p w14:paraId="59EC0CC7" w14:textId="28BD21C0" w:rsidR="00B409E2" w:rsidRPr="002A0B87" w:rsidRDefault="00B409E2" w:rsidP="00B409E2">
      <w:pPr>
        <w:ind w:left="720" w:hanging="720"/>
        <w:rPr>
          <w:rFonts w:cs="Arial"/>
          <w:bCs/>
        </w:rPr>
      </w:pPr>
      <w:r w:rsidRPr="002A0B87">
        <w:rPr>
          <w:rFonts w:cs="Arial"/>
          <w:b/>
          <w:bCs/>
        </w:rPr>
        <w:lastRenderedPageBreak/>
        <w:t>7.</w:t>
      </w:r>
      <w:r w:rsidRPr="002A0B87">
        <w:rPr>
          <w:rFonts w:cs="Arial"/>
          <w:b/>
          <w:bCs/>
        </w:rPr>
        <w:tab/>
      </w:r>
      <w:r w:rsidR="00CB5EFD" w:rsidRPr="00CB5EFD">
        <w:rPr>
          <w:rFonts w:cs="Arial"/>
          <w:b/>
          <w:bCs/>
        </w:rPr>
        <w:t xml:space="preserve">FINANCIAL ASSETS </w:t>
      </w:r>
      <w:r w:rsidR="00CB5EFD" w:rsidRPr="00FA28E4">
        <w:rPr>
          <w:rFonts w:cs="Arial"/>
        </w:rPr>
        <w:t>(continued)</w:t>
      </w:r>
    </w:p>
    <w:p w14:paraId="69362614" w14:textId="77777777" w:rsidR="00554B8E" w:rsidRPr="002A0B87" w:rsidRDefault="00554B8E" w:rsidP="00554B8E">
      <w:pPr>
        <w:pStyle w:val="NoSpacing"/>
      </w:pPr>
    </w:p>
    <w:p w14:paraId="5D5FAC20" w14:textId="7AC482F6" w:rsidR="00554B8E" w:rsidRPr="002A0B87" w:rsidRDefault="00554B8E" w:rsidP="00554B8E">
      <w:pPr>
        <w:pStyle w:val="Heading2"/>
      </w:pPr>
      <w:r w:rsidRPr="002A0B87">
        <w:t>7.</w:t>
      </w:r>
      <w:r>
        <w:t>5</w:t>
      </w:r>
      <w:r w:rsidRPr="002A0B87">
        <w:tab/>
      </w:r>
      <w:r w:rsidR="00A63A55" w:rsidRPr="00A63A55">
        <w:t>Changes in fair value of financial assets</w:t>
      </w:r>
      <w:r w:rsidR="00A63A55" w:rsidRPr="00A63A55" w:rsidDel="00A63A55">
        <w:t xml:space="preserve"> </w:t>
      </w:r>
    </w:p>
    <w:p w14:paraId="3A5B1FD1" w14:textId="77777777" w:rsidR="00554B8E" w:rsidRPr="002A0B87" w:rsidRDefault="00554B8E" w:rsidP="00554B8E">
      <w:pPr>
        <w:pStyle w:val="NoSpacing"/>
        <w:rPr>
          <w:lang w:val="de-DE"/>
        </w:rPr>
      </w:pPr>
    </w:p>
    <w:p w14:paraId="54E066BF" w14:textId="6AE92677" w:rsidR="00554B8E" w:rsidRPr="002A0B87" w:rsidRDefault="00F3407F" w:rsidP="00554B8E">
      <w:pPr>
        <w:pStyle w:val="NoSpacing"/>
        <w:rPr>
          <w:lang w:val="de-DE"/>
        </w:rPr>
      </w:pPr>
      <w:r w:rsidRPr="00F3407F">
        <w:rPr>
          <w:lang w:val="de-DE"/>
        </w:rPr>
        <w:t>Changes in fair value of financial assets as at 31 December 2021 are as follows:</w:t>
      </w:r>
    </w:p>
    <w:p w14:paraId="3FD294B7" w14:textId="77777777" w:rsidR="00554B8E" w:rsidRPr="002A0B87" w:rsidRDefault="00554B8E" w:rsidP="00554B8E">
      <w:pPr>
        <w:pStyle w:val="NoSpacing"/>
        <w:rPr>
          <w:lang w:val="de-DE"/>
        </w:rPr>
      </w:pPr>
    </w:p>
    <w:tbl>
      <w:tblPr>
        <w:tblW w:w="8164" w:type="dxa"/>
        <w:tblInd w:w="720" w:type="dxa"/>
        <w:tblLayout w:type="fixed"/>
        <w:tblLook w:val="04A0" w:firstRow="1" w:lastRow="0" w:firstColumn="1" w:lastColumn="0" w:noHBand="0" w:noVBand="1"/>
      </w:tblPr>
      <w:tblGrid>
        <w:gridCol w:w="1368"/>
        <w:gridCol w:w="1699"/>
        <w:gridCol w:w="1699"/>
        <w:gridCol w:w="1699"/>
        <w:gridCol w:w="1699"/>
      </w:tblGrid>
      <w:tr w:rsidR="00554B8E" w:rsidRPr="002A0B87" w14:paraId="33BE9192" w14:textId="77777777" w:rsidTr="000A1EE5">
        <w:trPr>
          <w:trHeight w:val="20"/>
        </w:trPr>
        <w:tc>
          <w:tcPr>
            <w:tcW w:w="1368" w:type="dxa"/>
            <w:vMerge w:val="restart"/>
            <w:vAlign w:val="bottom"/>
          </w:tcPr>
          <w:p w14:paraId="0D65943C" w14:textId="16203AF4" w:rsidR="00554B8E" w:rsidRPr="002A0B87" w:rsidRDefault="00803DCE" w:rsidP="000A1EE5">
            <w:pPr>
              <w:widowControl w:val="0"/>
              <w:pBdr>
                <w:bottom w:val="single" w:sz="4" w:space="0" w:color="auto"/>
              </w:pBdr>
              <w:ind w:left="-115"/>
              <w:rPr>
                <w:rFonts w:cs="Arial"/>
                <w:i/>
                <w:lang w:val="en-GB"/>
              </w:rPr>
            </w:pPr>
            <w:r w:rsidRPr="00803DCE">
              <w:rPr>
                <w:rFonts w:cs="Arial"/>
                <w:i/>
                <w:lang w:val="en-GB"/>
              </w:rPr>
              <w:t>Financial assets</w:t>
            </w:r>
          </w:p>
        </w:tc>
        <w:tc>
          <w:tcPr>
            <w:tcW w:w="1699" w:type="dxa"/>
            <w:vMerge w:val="restart"/>
            <w:vAlign w:val="bottom"/>
          </w:tcPr>
          <w:p w14:paraId="0CF47979" w14:textId="6D824FF8" w:rsidR="00554B8E" w:rsidRDefault="00803DCE" w:rsidP="000A1EE5">
            <w:pPr>
              <w:widowControl w:val="0"/>
              <w:pBdr>
                <w:bottom w:val="single" w:sz="4" w:space="0" w:color="auto"/>
              </w:pBdr>
              <w:ind w:left="58" w:right="-86"/>
              <w:jc w:val="right"/>
              <w:rPr>
                <w:rFonts w:cs="Arial"/>
                <w:i/>
              </w:rPr>
            </w:pPr>
            <w:r>
              <w:rPr>
                <w:rFonts w:cs="Arial"/>
                <w:i/>
              </w:rPr>
              <w:t>Cost</w:t>
            </w:r>
          </w:p>
          <w:p w14:paraId="19E4C8DD" w14:textId="77777777" w:rsidR="00554B8E" w:rsidRPr="002A0B87" w:rsidRDefault="00554B8E" w:rsidP="000A1EE5">
            <w:pPr>
              <w:widowControl w:val="0"/>
              <w:pBdr>
                <w:bottom w:val="single" w:sz="4" w:space="0" w:color="auto"/>
              </w:pBdr>
              <w:ind w:left="58" w:right="-86"/>
              <w:jc w:val="right"/>
              <w:rPr>
                <w:rFonts w:cs="Arial"/>
                <w:i/>
              </w:rPr>
            </w:pPr>
            <w:r>
              <w:rPr>
                <w:rFonts w:cs="Arial"/>
                <w:i/>
              </w:rPr>
              <w:t>VND</w:t>
            </w:r>
          </w:p>
        </w:tc>
        <w:tc>
          <w:tcPr>
            <w:tcW w:w="3398" w:type="dxa"/>
            <w:gridSpan w:val="2"/>
            <w:vAlign w:val="bottom"/>
          </w:tcPr>
          <w:p w14:paraId="78FA78B5" w14:textId="3B42D92D" w:rsidR="00554B8E" w:rsidRPr="002A0B87" w:rsidRDefault="00B90811" w:rsidP="000A1EE5">
            <w:pPr>
              <w:widowControl w:val="0"/>
              <w:pBdr>
                <w:bottom w:val="single" w:sz="4" w:space="0" w:color="auto"/>
              </w:pBdr>
              <w:ind w:left="58" w:right="-86"/>
              <w:jc w:val="center"/>
              <w:rPr>
                <w:rFonts w:cs="Arial"/>
                <w:i/>
              </w:rPr>
            </w:pPr>
            <w:r w:rsidRPr="00B90811">
              <w:rPr>
                <w:rFonts w:cs="Arial"/>
                <w:i/>
              </w:rPr>
              <w:t>Revaluation difference</w:t>
            </w:r>
          </w:p>
        </w:tc>
        <w:tc>
          <w:tcPr>
            <w:tcW w:w="1699" w:type="dxa"/>
            <w:vMerge w:val="restart"/>
            <w:vAlign w:val="bottom"/>
          </w:tcPr>
          <w:p w14:paraId="3BF5C153" w14:textId="0E926566" w:rsidR="00554B8E" w:rsidRDefault="00BA00CB" w:rsidP="000A1EE5">
            <w:pPr>
              <w:widowControl w:val="0"/>
              <w:ind w:left="-144" w:right="-86"/>
              <w:jc w:val="right"/>
              <w:rPr>
                <w:rFonts w:cs="Arial"/>
                <w:i/>
              </w:rPr>
            </w:pPr>
            <w:r>
              <w:rPr>
                <w:rFonts w:cs="Arial"/>
                <w:i/>
              </w:rPr>
              <w:t>Revaluation value</w:t>
            </w:r>
          </w:p>
          <w:p w14:paraId="5E065382" w14:textId="77777777" w:rsidR="00554B8E" w:rsidRPr="002A0B87" w:rsidRDefault="00554B8E" w:rsidP="000A1EE5">
            <w:pPr>
              <w:widowControl w:val="0"/>
              <w:pBdr>
                <w:bottom w:val="single" w:sz="4" w:space="0" w:color="auto"/>
              </w:pBdr>
              <w:ind w:left="58" w:right="-86"/>
              <w:jc w:val="right"/>
              <w:rPr>
                <w:rFonts w:cs="Arial"/>
                <w:i/>
              </w:rPr>
            </w:pPr>
            <w:r>
              <w:rPr>
                <w:rFonts w:cs="Arial"/>
                <w:i/>
              </w:rPr>
              <w:t xml:space="preserve">VND </w:t>
            </w:r>
          </w:p>
        </w:tc>
      </w:tr>
      <w:tr w:rsidR="00554B8E" w:rsidRPr="002A0B87" w14:paraId="3293C32B" w14:textId="77777777" w:rsidTr="000A1EE5">
        <w:trPr>
          <w:trHeight w:val="20"/>
        </w:trPr>
        <w:tc>
          <w:tcPr>
            <w:tcW w:w="1368" w:type="dxa"/>
            <w:vMerge/>
            <w:vAlign w:val="bottom"/>
          </w:tcPr>
          <w:p w14:paraId="30E364BB" w14:textId="77777777" w:rsidR="00554B8E" w:rsidRPr="002A0B87" w:rsidRDefault="00554B8E" w:rsidP="000A1EE5">
            <w:pPr>
              <w:widowControl w:val="0"/>
              <w:pBdr>
                <w:bottom w:val="single" w:sz="4" w:space="0" w:color="auto"/>
              </w:pBdr>
              <w:spacing w:before="120"/>
              <w:ind w:left="-115"/>
              <w:rPr>
                <w:rFonts w:cs="Arial"/>
                <w:i/>
                <w:lang w:val="en-GB"/>
              </w:rPr>
            </w:pPr>
          </w:p>
        </w:tc>
        <w:tc>
          <w:tcPr>
            <w:tcW w:w="1699" w:type="dxa"/>
            <w:vMerge/>
            <w:vAlign w:val="bottom"/>
            <w:hideMark/>
          </w:tcPr>
          <w:p w14:paraId="1E9C39D8" w14:textId="77777777" w:rsidR="00554B8E" w:rsidRPr="002A0B87" w:rsidRDefault="00554B8E" w:rsidP="000A1EE5">
            <w:pPr>
              <w:widowControl w:val="0"/>
              <w:pBdr>
                <w:bottom w:val="single" w:sz="4" w:space="0" w:color="auto"/>
              </w:pBdr>
              <w:ind w:left="58" w:right="-86"/>
              <w:jc w:val="right"/>
              <w:rPr>
                <w:rFonts w:cs="Arial"/>
                <w:i/>
              </w:rPr>
            </w:pPr>
          </w:p>
        </w:tc>
        <w:tc>
          <w:tcPr>
            <w:tcW w:w="1699" w:type="dxa"/>
            <w:vAlign w:val="bottom"/>
            <w:hideMark/>
          </w:tcPr>
          <w:p w14:paraId="6A63DA20" w14:textId="2148A990" w:rsidR="00554B8E" w:rsidRPr="002A0B87" w:rsidRDefault="00BA00CB" w:rsidP="000A1EE5">
            <w:pPr>
              <w:widowControl w:val="0"/>
              <w:pBdr>
                <w:bottom w:val="single" w:sz="4" w:space="0" w:color="auto"/>
              </w:pBdr>
              <w:spacing w:before="120"/>
              <w:ind w:left="58" w:right="-86"/>
              <w:jc w:val="right"/>
              <w:rPr>
                <w:rFonts w:cs="Arial"/>
                <w:i/>
              </w:rPr>
            </w:pPr>
            <w:r>
              <w:rPr>
                <w:rFonts w:cs="Arial"/>
                <w:i/>
              </w:rPr>
              <w:t>Increase</w:t>
            </w:r>
          </w:p>
          <w:p w14:paraId="13B3E27B" w14:textId="77777777" w:rsidR="00554B8E" w:rsidRPr="002A0B87" w:rsidRDefault="00554B8E" w:rsidP="000A1EE5">
            <w:pPr>
              <w:widowControl w:val="0"/>
              <w:pBdr>
                <w:bottom w:val="single" w:sz="4" w:space="0" w:color="auto"/>
              </w:pBdr>
              <w:ind w:left="58" w:right="-86"/>
              <w:jc w:val="right"/>
              <w:rPr>
                <w:rFonts w:cs="Arial"/>
                <w:i/>
                <w:lang w:val="en-GB"/>
              </w:rPr>
            </w:pPr>
            <w:r w:rsidRPr="002A0B87">
              <w:rPr>
                <w:rFonts w:cs="Arial"/>
                <w:i/>
              </w:rPr>
              <w:t>VND</w:t>
            </w:r>
          </w:p>
        </w:tc>
        <w:tc>
          <w:tcPr>
            <w:tcW w:w="1699" w:type="dxa"/>
            <w:vAlign w:val="bottom"/>
            <w:hideMark/>
          </w:tcPr>
          <w:p w14:paraId="77044EE3" w14:textId="7B9DB2EE" w:rsidR="00554B8E" w:rsidRPr="002A0B87" w:rsidRDefault="00BA00CB" w:rsidP="000A1EE5">
            <w:pPr>
              <w:widowControl w:val="0"/>
              <w:pBdr>
                <w:bottom w:val="single" w:sz="4" w:space="0" w:color="auto"/>
              </w:pBdr>
              <w:spacing w:before="120"/>
              <w:ind w:left="58" w:right="-86"/>
              <w:jc w:val="right"/>
              <w:rPr>
                <w:rFonts w:cs="Arial"/>
                <w:i/>
              </w:rPr>
            </w:pPr>
            <w:r>
              <w:rPr>
                <w:rFonts w:cs="Arial"/>
                <w:i/>
              </w:rPr>
              <w:t>Decrease</w:t>
            </w:r>
          </w:p>
          <w:p w14:paraId="7B53623B" w14:textId="77777777" w:rsidR="00554B8E" w:rsidRPr="002A0B87" w:rsidRDefault="00554B8E" w:rsidP="000A1EE5">
            <w:pPr>
              <w:widowControl w:val="0"/>
              <w:pBdr>
                <w:bottom w:val="single" w:sz="4" w:space="0" w:color="auto"/>
              </w:pBdr>
              <w:ind w:left="58" w:right="-86"/>
              <w:jc w:val="right"/>
              <w:rPr>
                <w:rFonts w:cs="Arial"/>
                <w:i/>
              </w:rPr>
            </w:pPr>
            <w:r w:rsidRPr="002A0B87">
              <w:rPr>
                <w:rFonts w:cs="Arial"/>
                <w:i/>
              </w:rPr>
              <w:t>VND</w:t>
            </w:r>
          </w:p>
        </w:tc>
        <w:tc>
          <w:tcPr>
            <w:tcW w:w="1699" w:type="dxa"/>
            <w:vMerge/>
            <w:vAlign w:val="bottom"/>
            <w:hideMark/>
          </w:tcPr>
          <w:p w14:paraId="48EC76BB" w14:textId="77777777" w:rsidR="00554B8E" w:rsidRPr="002A0B87" w:rsidRDefault="00554B8E" w:rsidP="000A1EE5">
            <w:pPr>
              <w:widowControl w:val="0"/>
              <w:pBdr>
                <w:bottom w:val="single" w:sz="4" w:space="0" w:color="auto"/>
              </w:pBdr>
              <w:ind w:left="58" w:right="-86"/>
              <w:jc w:val="right"/>
              <w:rPr>
                <w:rFonts w:cs="Arial"/>
                <w:i/>
              </w:rPr>
            </w:pPr>
          </w:p>
        </w:tc>
      </w:tr>
      <w:tr w:rsidR="00554B8E" w:rsidRPr="002A0B87" w14:paraId="24257BB4" w14:textId="77777777" w:rsidTr="000A1EE5">
        <w:trPr>
          <w:trHeight w:val="20"/>
        </w:trPr>
        <w:tc>
          <w:tcPr>
            <w:tcW w:w="1368" w:type="dxa"/>
            <w:vAlign w:val="bottom"/>
          </w:tcPr>
          <w:p w14:paraId="69B31D4A" w14:textId="77777777" w:rsidR="00554B8E" w:rsidRPr="002A0B87" w:rsidRDefault="00554B8E" w:rsidP="000A1EE5">
            <w:pPr>
              <w:widowControl w:val="0"/>
              <w:spacing w:before="120"/>
              <w:ind w:left="-115"/>
              <w:rPr>
                <w:rFonts w:cs="Arial"/>
                <w:b/>
              </w:rPr>
            </w:pPr>
            <w:r w:rsidRPr="002A0B87">
              <w:rPr>
                <w:rFonts w:cs="Arial"/>
                <w:b/>
              </w:rPr>
              <w:t>FVTPL</w:t>
            </w:r>
          </w:p>
        </w:tc>
        <w:tc>
          <w:tcPr>
            <w:tcW w:w="1699" w:type="dxa"/>
            <w:vAlign w:val="bottom"/>
          </w:tcPr>
          <w:p w14:paraId="17778377" w14:textId="77777777" w:rsidR="00554B8E" w:rsidRPr="002A0B87" w:rsidRDefault="00554B8E" w:rsidP="000A1EE5">
            <w:pPr>
              <w:widowControl w:val="0"/>
              <w:spacing w:before="120"/>
              <w:ind w:left="58" w:right="-86"/>
              <w:jc w:val="right"/>
              <w:rPr>
                <w:rFonts w:cs="Arial"/>
                <w:b/>
                <w:highlight w:val="yellow"/>
                <w:lang w:val="en-GB"/>
              </w:rPr>
            </w:pPr>
          </w:p>
        </w:tc>
        <w:tc>
          <w:tcPr>
            <w:tcW w:w="1699" w:type="dxa"/>
            <w:vAlign w:val="bottom"/>
          </w:tcPr>
          <w:p w14:paraId="5EFB2F11" w14:textId="77777777" w:rsidR="00554B8E" w:rsidRPr="002A0B87" w:rsidRDefault="00554B8E" w:rsidP="000A1EE5">
            <w:pPr>
              <w:widowControl w:val="0"/>
              <w:spacing w:before="120"/>
              <w:ind w:left="58" w:right="-86"/>
              <w:jc w:val="right"/>
              <w:rPr>
                <w:rFonts w:eastAsia="Batang" w:cs="Arial"/>
                <w:b/>
                <w:color w:val="000000"/>
                <w:highlight w:val="yellow"/>
                <w:lang w:eastAsia="ko-KR"/>
              </w:rPr>
            </w:pPr>
          </w:p>
        </w:tc>
        <w:tc>
          <w:tcPr>
            <w:tcW w:w="1699" w:type="dxa"/>
            <w:vAlign w:val="bottom"/>
          </w:tcPr>
          <w:p w14:paraId="654979E9" w14:textId="77777777" w:rsidR="00554B8E" w:rsidRPr="002A0B87" w:rsidRDefault="00554B8E" w:rsidP="000A1EE5">
            <w:pPr>
              <w:widowControl w:val="0"/>
              <w:spacing w:before="120"/>
              <w:ind w:left="58" w:right="-86"/>
              <w:jc w:val="right"/>
              <w:rPr>
                <w:rFonts w:cs="Arial"/>
                <w:b/>
                <w:lang w:val="en-GB"/>
              </w:rPr>
            </w:pPr>
          </w:p>
        </w:tc>
        <w:tc>
          <w:tcPr>
            <w:tcW w:w="1699" w:type="dxa"/>
            <w:vAlign w:val="bottom"/>
          </w:tcPr>
          <w:p w14:paraId="4ED6DE93" w14:textId="77777777" w:rsidR="00554B8E" w:rsidRPr="002A0B87" w:rsidRDefault="00554B8E" w:rsidP="000A1EE5">
            <w:pPr>
              <w:widowControl w:val="0"/>
              <w:spacing w:before="120"/>
              <w:ind w:left="58" w:right="-86"/>
              <w:jc w:val="right"/>
              <w:rPr>
                <w:rFonts w:eastAsia="Batang" w:cs="Arial"/>
                <w:b/>
                <w:color w:val="000000"/>
                <w:lang w:eastAsia="ko-KR"/>
              </w:rPr>
            </w:pPr>
          </w:p>
        </w:tc>
      </w:tr>
      <w:tr w:rsidR="00B95FA2" w:rsidRPr="002A0B87" w14:paraId="4B526156" w14:textId="77777777" w:rsidTr="00200929">
        <w:trPr>
          <w:trHeight w:val="20"/>
        </w:trPr>
        <w:tc>
          <w:tcPr>
            <w:tcW w:w="1368" w:type="dxa"/>
            <w:vAlign w:val="bottom"/>
          </w:tcPr>
          <w:p w14:paraId="330ACF64" w14:textId="602F1C3F" w:rsidR="00B95FA2" w:rsidRPr="002A0B87" w:rsidRDefault="00B95FA2" w:rsidP="00B95FA2">
            <w:pPr>
              <w:widowControl w:val="0"/>
              <w:ind w:left="-115" w:right="-86"/>
              <w:jc w:val="left"/>
              <w:rPr>
                <w:rFonts w:cs="Arial"/>
              </w:rPr>
            </w:pPr>
            <w:r w:rsidRPr="00FE078C">
              <w:rPr>
                <w:rFonts w:cs="Arial"/>
                <w:bCs/>
              </w:rPr>
              <w:t>Listed shares</w:t>
            </w:r>
          </w:p>
        </w:tc>
        <w:tc>
          <w:tcPr>
            <w:tcW w:w="1699" w:type="dxa"/>
          </w:tcPr>
          <w:p w14:paraId="40C31096" w14:textId="46C18180" w:rsidR="00B95FA2" w:rsidRPr="002A0B87" w:rsidRDefault="00B95FA2" w:rsidP="00B95FA2">
            <w:pPr>
              <w:widowControl w:val="0"/>
              <w:ind w:left="58" w:right="-86"/>
              <w:jc w:val="right"/>
              <w:rPr>
                <w:rFonts w:cs="Arial"/>
                <w:highlight w:val="yellow"/>
                <w:lang w:val="en-GB"/>
              </w:rPr>
            </w:pPr>
            <w:r w:rsidRPr="00813EED">
              <w:t>375</w:t>
            </w:r>
            <w:r>
              <w:t>,</w:t>
            </w:r>
            <w:r w:rsidRPr="00813EED">
              <w:t>953</w:t>
            </w:r>
            <w:r>
              <w:t>,</w:t>
            </w:r>
            <w:r w:rsidRPr="00813EED">
              <w:t>425</w:t>
            </w:r>
          </w:p>
        </w:tc>
        <w:tc>
          <w:tcPr>
            <w:tcW w:w="1699" w:type="dxa"/>
          </w:tcPr>
          <w:p w14:paraId="16601B7E" w14:textId="0DCE2E44" w:rsidR="00B95FA2" w:rsidRPr="002A0B87" w:rsidRDefault="00B95FA2" w:rsidP="00B95FA2">
            <w:pPr>
              <w:widowControl w:val="0"/>
              <w:ind w:left="58" w:right="-86"/>
              <w:jc w:val="right"/>
              <w:rPr>
                <w:rFonts w:cs="Arial"/>
                <w:highlight w:val="yellow"/>
                <w:lang w:val="en-GB"/>
              </w:rPr>
            </w:pPr>
            <w:r w:rsidRPr="00813EED">
              <w:t>6</w:t>
            </w:r>
            <w:r>
              <w:t>,</w:t>
            </w:r>
            <w:r w:rsidRPr="00813EED">
              <w:t>098</w:t>
            </w:r>
            <w:r>
              <w:t>,</w:t>
            </w:r>
            <w:r w:rsidRPr="00813EED">
              <w:t>286</w:t>
            </w:r>
          </w:p>
        </w:tc>
        <w:tc>
          <w:tcPr>
            <w:tcW w:w="1699" w:type="dxa"/>
          </w:tcPr>
          <w:p w14:paraId="000B71D1" w14:textId="5A811CB1" w:rsidR="00B95FA2" w:rsidRPr="002A0B87" w:rsidRDefault="00B95FA2" w:rsidP="00B95FA2">
            <w:pPr>
              <w:widowControl w:val="0"/>
              <w:ind w:left="58" w:right="-86"/>
              <w:jc w:val="right"/>
              <w:rPr>
                <w:rFonts w:cs="Arial"/>
                <w:highlight w:val="yellow"/>
                <w:lang w:val="en-GB"/>
              </w:rPr>
            </w:pPr>
            <w:r w:rsidRPr="00813EED">
              <w:t>(134</w:t>
            </w:r>
            <w:r>
              <w:t>,</w:t>
            </w:r>
            <w:r w:rsidRPr="00813EED">
              <w:t>655</w:t>
            </w:r>
            <w:r>
              <w:t>,</w:t>
            </w:r>
            <w:r w:rsidRPr="00813EED">
              <w:t>591)</w:t>
            </w:r>
          </w:p>
        </w:tc>
        <w:tc>
          <w:tcPr>
            <w:tcW w:w="1699" w:type="dxa"/>
          </w:tcPr>
          <w:p w14:paraId="521A0583" w14:textId="41FF4DCC" w:rsidR="00B95FA2" w:rsidRPr="002A0B87" w:rsidRDefault="00B95FA2" w:rsidP="00B95FA2">
            <w:pPr>
              <w:widowControl w:val="0"/>
              <w:ind w:left="58" w:right="-86"/>
              <w:jc w:val="right"/>
              <w:rPr>
                <w:rFonts w:cs="Arial"/>
                <w:highlight w:val="yellow"/>
                <w:lang w:val="en-GB"/>
              </w:rPr>
            </w:pPr>
            <w:r w:rsidRPr="00813EED">
              <w:t>247</w:t>
            </w:r>
            <w:r>
              <w:t>,</w:t>
            </w:r>
            <w:r w:rsidRPr="00813EED">
              <w:t>396</w:t>
            </w:r>
            <w:r>
              <w:t>,</w:t>
            </w:r>
            <w:r w:rsidRPr="00813EED">
              <w:t>120</w:t>
            </w:r>
          </w:p>
        </w:tc>
      </w:tr>
      <w:tr w:rsidR="00B95FA2" w:rsidRPr="002A0B87" w14:paraId="2C8E8085" w14:textId="77777777" w:rsidTr="00200929">
        <w:trPr>
          <w:trHeight w:val="20"/>
        </w:trPr>
        <w:tc>
          <w:tcPr>
            <w:tcW w:w="1368" w:type="dxa"/>
            <w:vAlign w:val="bottom"/>
          </w:tcPr>
          <w:p w14:paraId="2E5C9CBC" w14:textId="7FAFCA82" w:rsidR="00B95FA2" w:rsidRPr="00FE078C" w:rsidRDefault="00B95FA2" w:rsidP="00B95FA2">
            <w:pPr>
              <w:widowControl w:val="0"/>
              <w:ind w:left="-115" w:right="-86"/>
              <w:jc w:val="left"/>
              <w:rPr>
                <w:rFonts w:cs="Arial"/>
                <w:bCs/>
              </w:rPr>
            </w:pPr>
            <w:r w:rsidRPr="00254501">
              <w:rPr>
                <w:rFonts w:cs="Arial"/>
                <w:bCs/>
              </w:rPr>
              <w:t>Non-listed shares</w:t>
            </w:r>
          </w:p>
        </w:tc>
        <w:tc>
          <w:tcPr>
            <w:tcW w:w="1699" w:type="dxa"/>
          </w:tcPr>
          <w:p w14:paraId="31F5A8D9" w14:textId="3C266235" w:rsidR="00B95FA2" w:rsidRDefault="00B95FA2" w:rsidP="00B95FA2">
            <w:pPr>
              <w:widowControl w:val="0"/>
              <w:ind w:left="58" w:right="-86"/>
              <w:jc w:val="right"/>
              <w:rPr>
                <w:rFonts w:cs="Arial"/>
                <w:lang w:val="en-GB"/>
              </w:rPr>
            </w:pPr>
            <w:r w:rsidRPr="00813EED">
              <w:t>3</w:t>
            </w:r>
            <w:r>
              <w:t>,</w:t>
            </w:r>
            <w:r w:rsidRPr="00813EED">
              <w:t>647</w:t>
            </w:r>
            <w:r>
              <w:t>,</w:t>
            </w:r>
            <w:r w:rsidRPr="00813EED">
              <w:t>500</w:t>
            </w:r>
          </w:p>
        </w:tc>
        <w:tc>
          <w:tcPr>
            <w:tcW w:w="1699" w:type="dxa"/>
          </w:tcPr>
          <w:p w14:paraId="385B4A6D" w14:textId="5AFB77AC" w:rsidR="00B95FA2" w:rsidRPr="00E9132F" w:rsidRDefault="00B95FA2" w:rsidP="00B95FA2">
            <w:pPr>
              <w:widowControl w:val="0"/>
              <w:ind w:left="58" w:right="-86"/>
              <w:jc w:val="right"/>
              <w:rPr>
                <w:rFonts w:cs="Arial"/>
                <w:lang w:val="en-GB"/>
              </w:rPr>
            </w:pPr>
            <w:r w:rsidRPr="00813EED">
              <w:t>-</w:t>
            </w:r>
          </w:p>
        </w:tc>
        <w:tc>
          <w:tcPr>
            <w:tcW w:w="1699" w:type="dxa"/>
          </w:tcPr>
          <w:p w14:paraId="2142F6EA" w14:textId="65C7AC2F" w:rsidR="00B95FA2" w:rsidRDefault="00B95FA2" w:rsidP="00B95FA2">
            <w:pPr>
              <w:widowControl w:val="0"/>
              <w:ind w:left="58" w:right="-86"/>
              <w:jc w:val="right"/>
              <w:rPr>
                <w:rFonts w:cs="Arial"/>
                <w:lang w:val="en-GB"/>
              </w:rPr>
            </w:pPr>
            <w:r w:rsidRPr="00813EED">
              <w:t>(2</w:t>
            </w:r>
            <w:r>
              <w:t>,</w:t>
            </w:r>
            <w:r w:rsidRPr="00813EED">
              <w:t>967</w:t>
            </w:r>
            <w:r>
              <w:t>,</w:t>
            </w:r>
            <w:r w:rsidRPr="00813EED">
              <w:t>300)</w:t>
            </w:r>
          </w:p>
        </w:tc>
        <w:tc>
          <w:tcPr>
            <w:tcW w:w="1699" w:type="dxa"/>
          </w:tcPr>
          <w:p w14:paraId="21073525" w14:textId="0E00B74D" w:rsidR="00B95FA2" w:rsidRDefault="00B95FA2" w:rsidP="00B95FA2">
            <w:pPr>
              <w:widowControl w:val="0"/>
              <w:ind w:left="58" w:right="-86"/>
              <w:jc w:val="right"/>
              <w:rPr>
                <w:rFonts w:cs="Arial"/>
                <w:lang w:val="en-GB"/>
              </w:rPr>
            </w:pPr>
            <w:r w:rsidRPr="00813EED">
              <w:t>680</w:t>
            </w:r>
            <w:r>
              <w:t>,</w:t>
            </w:r>
            <w:r w:rsidRPr="00813EED">
              <w:t>200</w:t>
            </w:r>
          </w:p>
        </w:tc>
      </w:tr>
      <w:tr w:rsidR="00B95FA2" w:rsidRPr="00EE44AB" w14:paraId="01CE097E" w14:textId="77777777" w:rsidTr="00200929">
        <w:trPr>
          <w:trHeight w:val="20"/>
        </w:trPr>
        <w:tc>
          <w:tcPr>
            <w:tcW w:w="1368" w:type="dxa"/>
            <w:vAlign w:val="bottom"/>
          </w:tcPr>
          <w:p w14:paraId="186C15AB" w14:textId="35EDD693" w:rsidR="00B95FA2" w:rsidRPr="00254501" w:rsidRDefault="00B95FA2" w:rsidP="00B95FA2">
            <w:pPr>
              <w:widowControl w:val="0"/>
              <w:ind w:left="-115"/>
              <w:jc w:val="left"/>
              <w:rPr>
                <w:rFonts w:cs="Arial"/>
                <w:bCs/>
              </w:rPr>
            </w:pPr>
            <w:r>
              <w:rPr>
                <w:rFonts w:cs="Arial"/>
                <w:bCs/>
              </w:rPr>
              <w:t>Fund certificate</w:t>
            </w:r>
          </w:p>
        </w:tc>
        <w:tc>
          <w:tcPr>
            <w:tcW w:w="1699" w:type="dxa"/>
          </w:tcPr>
          <w:p w14:paraId="05880742" w14:textId="3A4CC7E9" w:rsidR="00B95FA2" w:rsidRPr="00254501" w:rsidRDefault="00B95FA2" w:rsidP="00B95FA2">
            <w:pPr>
              <w:widowControl w:val="0"/>
              <w:pBdr>
                <w:bottom w:val="single" w:sz="4" w:space="1" w:color="auto"/>
              </w:pBdr>
              <w:ind w:left="57" w:right="-85"/>
              <w:jc w:val="right"/>
              <w:rPr>
                <w:rFonts w:cs="Arial"/>
                <w:bCs/>
              </w:rPr>
            </w:pPr>
            <w:r w:rsidRPr="00813EED">
              <w:t>125</w:t>
            </w:r>
            <w:r>
              <w:t>,</w:t>
            </w:r>
            <w:r w:rsidRPr="00813EED">
              <w:t>000</w:t>
            </w:r>
            <w:r>
              <w:t>,</w:t>
            </w:r>
            <w:r w:rsidRPr="00813EED">
              <w:t>000</w:t>
            </w:r>
            <w:r>
              <w:t>,</w:t>
            </w:r>
            <w:r w:rsidRPr="00813EED">
              <w:t>000</w:t>
            </w:r>
          </w:p>
        </w:tc>
        <w:tc>
          <w:tcPr>
            <w:tcW w:w="1699" w:type="dxa"/>
          </w:tcPr>
          <w:p w14:paraId="4E8B230D" w14:textId="6B8FF1D6" w:rsidR="00B95FA2" w:rsidRPr="00254501" w:rsidRDefault="00B95FA2" w:rsidP="00B95FA2">
            <w:pPr>
              <w:widowControl w:val="0"/>
              <w:pBdr>
                <w:bottom w:val="single" w:sz="4" w:space="1" w:color="auto"/>
              </w:pBdr>
              <w:ind w:left="57" w:right="-85"/>
              <w:jc w:val="right"/>
              <w:rPr>
                <w:rFonts w:cs="Arial"/>
                <w:bCs/>
              </w:rPr>
            </w:pPr>
            <w:r w:rsidRPr="00813EED">
              <w:t>1</w:t>
            </w:r>
            <w:r>
              <w:t>,</w:t>
            </w:r>
            <w:r w:rsidRPr="00813EED">
              <w:t>345</w:t>
            </w:r>
            <w:r>
              <w:t>,</w:t>
            </w:r>
            <w:r w:rsidRPr="00813EED">
              <w:t>625</w:t>
            </w:r>
            <w:r>
              <w:t>,</w:t>
            </w:r>
            <w:r w:rsidRPr="00813EED">
              <w:t>000</w:t>
            </w:r>
          </w:p>
        </w:tc>
        <w:tc>
          <w:tcPr>
            <w:tcW w:w="1699" w:type="dxa"/>
          </w:tcPr>
          <w:p w14:paraId="4ACC8CC7" w14:textId="7003870E" w:rsidR="00B95FA2" w:rsidRPr="00254501" w:rsidRDefault="00B95FA2" w:rsidP="00B95FA2">
            <w:pPr>
              <w:widowControl w:val="0"/>
              <w:pBdr>
                <w:bottom w:val="single" w:sz="4" w:space="1" w:color="auto"/>
              </w:pBdr>
              <w:ind w:left="57" w:right="-85"/>
              <w:jc w:val="right"/>
              <w:rPr>
                <w:rFonts w:cs="Arial"/>
                <w:bCs/>
              </w:rPr>
            </w:pPr>
            <w:r w:rsidRPr="00813EED">
              <w:t>-</w:t>
            </w:r>
          </w:p>
        </w:tc>
        <w:tc>
          <w:tcPr>
            <w:tcW w:w="1699" w:type="dxa"/>
          </w:tcPr>
          <w:p w14:paraId="24418D14" w14:textId="6E11F34E" w:rsidR="00B95FA2" w:rsidRPr="00254501" w:rsidRDefault="00B95FA2" w:rsidP="00B95FA2">
            <w:pPr>
              <w:widowControl w:val="0"/>
              <w:pBdr>
                <w:bottom w:val="single" w:sz="4" w:space="1" w:color="auto"/>
              </w:pBdr>
              <w:ind w:left="57" w:right="-85"/>
              <w:jc w:val="right"/>
              <w:rPr>
                <w:rFonts w:cs="Arial"/>
                <w:bCs/>
              </w:rPr>
            </w:pPr>
            <w:r w:rsidRPr="00813EED">
              <w:t>126</w:t>
            </w:r>
            <w:r>
              <w:t>,</w:t>
            </w:r>
            <w:r w:rsidRPr="00813EED">
              <w:t>345</w:t>
            </w:r>
            <w:r>
              <w:t>,</w:t>
            </w:r>
            <w:r w:rsidRPr="00813EED">
              <w:t>625</w:t>
            </w:r>
            <w:r>
              <w:t>,</w:t>
            </w:r>
            <w:r w:rsidRPr="00813EED">
              <w:t>000</w:t>
            </w:r>
          </w:p>
        </w:tc>
      </w:tr>
      <w:tr w:rsidR="00B95FA2" w:rsidRPr="002A0B87" w14:paraId="5E6CDB0D" w14:textId="77777777" w:rsidTr="00200929">
        <w:trPr>
          <w:trHeight w:val="20"/>
        </w:trPr>
        <w:tc>
          <w:tcPr>
            <w:tcW w:w="1368" w:type="dxa"/>
            <w:vAlign w:val="bottom"/>
            <w:hideMark/>
          </w:tcPr>
          <w:p w14:paraId="326CF330" w14:textId="526FA408" w:rsidR="00B95FA2" w:rsidRPr="002A0B87" w:rsidRDefault="00B95FA2" w:rsidP="00B95FA2">
            <w:pPr>
              <w:widowControl w:val="0"/>
              <w:spacing w:before="120"/>
              <w:ind w:left="-115"/>
              <w:rPr>
                <w:rFonts w:cs="Arial"/>
                <w:b/>
              </w:rPr>
            </w:pPr>
            <w:r w:rsidRPr="001B4E0D">
              <w:rPr>
                <w:rFonts w:cs="Arial"/>
                <w:b/>
              </w:rPr>
              <w:t>Total</w:t>
            </w:r>
          </w:p>
        </w:tc>
        <w:tc>
          <w:tcPr>
            <w:tcW w:w="1699" w:type="dxa"/>
          </w:tcPr>
          <w:p w14:paraId="18BA5534" w14:textId="11161EA9" w:rsidR="00B95FA2" w:rsidRPr="00B95FA2" w:rsidRDefault="00B95FA2" w:rsidP="00B95FA2">
            <w:pPr>
              <w:widowControl w:val="0"/>
              <w:pBdr>
                <w:bottom w:val="double" w:sz="4" w:space="0" w:color="auto"/>
              </w:pBdr>
              <w:spacing w:before="120"/>
              <w:ind w:left="58" w:right="-86"/>
              <w:jc w:val="right"/>
              <w:rPr>
                <w:rFonts w:eastAsia="Batang" w:cs="Arial"/>
                <w:b/>
                <w:bCs/>
                <w:highlight w:val="yellow"/>
                <w:lang w:eastAsia="ko-KR"/>
              </w:rPr>
            </w:pPr>
            <w:r w:rsidRPr="00B95FA2">
              <w:rPr>
                <w:b/>
                <w:bCs/>
              </w:rPr>
              <w:t>125,379,600,925</w:t>
            </w:r>
          </w:p>
        </w:tc>
        <w:tc>
          <w:tcPr>
            <w:tcW w:w="1699" w:type="dxa"/>
          </w:tcPr>
          <w:p w14:paraId="3F635A6C" w14:textId="29F4E3A9" w:rsidR="00B95FA2" w:rsidRPr="00B95FA2" w:rsidRDefault="00B95FA2" w:rsidP="00B95FA2">
            <w:pPr>
              <w:widowControl w:val="0"/>
              <w:pBdr>
                <w:bottom w:val="double" w:sz="4" w:space="0" w:color="auto"/>
              </w:pBdr>
              <w:spacing w:before="120"/>
              <w:ind w:left="58" w:right="-86"/>
              <w:jc w:val="right"/>
              <w:rPr>
                <w:rFonts w:eastAsia="Batang" w:cs="Arial"/>
                <w:b/>
                <w:bCs/>
                <w:highlight w:val="yellow"/>
                <w:lang w:eastAsia="ko-KR"/>
              </w:rPr>
            </w:pPr>
            <w:r w:rsidRPr="00B95FA2">
              <w:rPr>
                <w:b/>
                <w:bCs/>
              </w:rPr>
              <w:t>1,351,723,286</w:t>
            </w:r>
          </w:p>
        </w:tc>
        <w:tc>
          <w:tcPr>
            <w:tcW w:w="1699" w:type="dxa"/>
          </w:tcPr>
          <w:p w14:paraId="6190B35B" w14:textId="2508E4F5" w:rsidR="00B95FA2" w:rsidRPr="00B95FA2" w:rsidRDefault="00B95FA2" w:rsidP="00B95FA2">
            <w:pPr>
              <w:widowControl w:val="0"/>
              <w:pBdr>
                <w:bottom w:val="double" w:sz="4" w:space="0" w:color="auto"/>
              </w:pBdr>
              <w:spacing w:before="120"/>
              <w:ind w:left="58" w:right="-86"/>
              <w:jc w:val="right"/>
              <w:rPr>
                <w:rFonts w:eastAsia="Batang" w:cs="Arial"/>
                <w:b/>
                <w:bCs/>
                <w:highlight w:val="yellow"/>
                <w:lang w:eastAsia="ko-KR"/>
              </w:rPr>
            </w:pPr>
            <w:r w:rsidRPr="00B95FA2">
              <w:rPr>
                <w:b/>
                <w:bCs/>
              </w:rPr>
              <w:t>(137,622,891)</w:t>
            </w:r>
          </w:p>
        </w:tc>
        <w:tc>
          <w:tcPr>
            <w:tcW w:w="1699" w:type="dxa"/>
          </w:tcPr>
          <w:p w14:paraId="073D86E6" w14:textId="3C39C8A2" w:rsidR="00B95FA2" w:rsidRPr="00B95FA2" w:rsidRDefault="00B95FA2" w:rsidP="00B95FA2">
            <w:pPr>
              <w:widowControl w:val="0"/>
              <w:pBdr>
                <w:bottom w:val="double" w:sz="4" w:space="0" w:color="auto"/>
              </w:pBdr>
              <w:spacing w:before="120"/>
              <w:ind w:left="58" w:right="-86"/>
              <w:jc w:val="right"/>
              <w:rPr>
                <w:rFonts w:eastAsia="Batang" w:cs="Arial"/>
                <w:b/>
                <w:bCs/>
                <w:highlight w:val="yellow"/>
                <w:lang w:eastAsia="ko-KR"/>
              </w:rPr>
            </w:pPr>
            <w:r w:rsidRPr="00B95FA2">
              <w:rPr>
                <w:b/>
                <w:bCs/>
              </w:rPr>
              <w:t>126,593,701,320</w:t>
            </w:r>
          </w:p>
        </w:tc>
      </w:tr>
    </w:tbl>
    <w:p w14:paraId="1F15950A" w14:textId="1A03765A" w:rsidR="00227140" w:rsidRPr="00227140" w:rsidRDefault="00227140">
      <w:pPr>
        <w:pStyle w:val="NoSpacing"/>
        <w:rPr>
          <w:lang w:val="de-DE"/>
        </w:rPr>
      </w:pPr>
    </w:p>
    <w:p w14:paraId="59CD2B5F" w14:textId="0911C147" w:rsidR="006D1A52" w:rsidRPr="002A0B87" w:rsidRDefault="0044065A" w:rsidP="00C90B5D">
      <w:pPr>
        <w:pStyle w:val="NoSpacing"/>
        <w:rPr>
          <w:lang w:val="de-DE"/>
        </w:rPr>
      </w:pPr>
      <w:r w:rsidRPr="0044065A">
        <w:rPr>
          <w:lang w:val="de-DE"/>
        </w:rPr>
        <w:t>Changes in fair value of financial assets as at 1 January 2021 are as follows:</w:t>
      </w:r>
    </w:p>
    <w:p w14:paraId="0A417AC0" w14:textId="77777777" w:rsidR="00B27FE0" w:rsidRPr="002A0B87" w:rsidRDefault="00B27FE0" w:rsidP="00B27FE0">
      <w:pPr>
        <w:pStyle w:val="NoSpacing"/>
        <w:rPr>
          <w:lang w:val="de-DE"/>
        </w:rPr>
      </w:pPr>
    </w:p>
    <w:tbl>
      <w:tblPr>
        <w:tblW w:w="8164" w:type="dxa"/>
        <w:tblInd w:w="720" w:type="dxa"/>
        <w:tblLayout w:type="fixed"/>
        <w:tblLook w:val="04A0" w:firstRow="1" w:lastRow="0" w:firstColumn="1" w:lastColumn="0" w:noHBand="0" w:noVBand="1"/>
      </w:tblPr>
      <w:tblGrid>
        <w:gridCol w:w="1368"/>
        <w:gridCol w:w="1699"/>
        <w:gridCol w:w="1699"/>
        <w:gridCol w:w="1699"/>
        <w:gridCol w:w="1699"/>
      </w:tblGrid>
      <w:tr w:rsidR="003F6004" w:rsidRPr="002A0B87" w14:paraId="793EC6ED" w14:textId="77777777" w:rsidTr="003F6004">
        <w:trPr>
          <w:trHeight w:val="20"/>
        </w:trPr>
        <w:tc>
          <w:tcPr>
            <w:tcW w:w="1368" w:type="dxa"/>
            <w:vMerge w:val="restart"/>
            <w:vAlign w:val="bottom"/>
          </w:tcPr>
          <w:p w14:paraId="61EFF873" w14:textId="3B6C84E1" w:rsidR="003F6004" w:rsidRPr="002A0B87" w:rsidRDefault="00A94D61" w:rsidP="007E72C2">
            <w:pPr>
              <w:widowControl w:val="0"/>
              <w:pBdr>
                <w:bottom w:val="single" w:sz="4" w:space="0" w:color="auto"/>
              </w:pBdr>
              <w:ind w:left="-115"/>
              <w:jc w:val="left"/>
              <w:rPr>
                <w:rFonts w:cs="Arial"/>
                <w:i/>
                <w:lang w:val="en-GB"/>
              </w:rPr>
            </w:pPr>
            <w:r w:rsidRPr="00A94D61">
              <w:rPr>
                <w:rFonts w:cs="Arial"/>
                <w:i/>
                <w:lang w:val="en-GB"/>
              </w:rPr>
              <w:t>Financial assets</w:t>
            </w:r>
          </w:p>
        </w:tc>
        <w:tc>
          <w:tcPr>
            <w:tcW w:w="1699" w:type="dxa"/>
            <w:vMerge w:val="restart"/>
            <w:vAlign w:val="bottom"/>
          </w:tcPr>
          <w:p w14:paraId="2FB95006" w14:textId="4D3272EB" w:rsidR="003F6004" w:rsidRDefault="00A94D61" w:rsidP="003F6004">
            <w:pPr>
              <w:widowControl w:val="0"/>
              <w:pBdr>
                <w:bottom w:val="single" w:sz="4" w:space="0" w:color="auto"/>
              </w:pBdr>
              <w:ind w:left="58" w:right="-86"/>
              <w:jc w:val="right"/>
              <w:rPr>
                <w:rFonts w:cs="Arial"/>
                <w:i/>
              </w:rPr>
            </w:pPr>
            <w:r>
              <w:rPr>
                <w:rFonts w:cs="Arial"/>
                <w:i/>
              </w:rPr>
              <w:t>Cost</w:t>
            </w:r>
          </w:p>
          <w:p w14:paraId="4E1B4CF0" w14:textId="44764A90" w:rsidR="003F6004" w:rsidRPr="002A0B87" w:rsidRDefault="003F6004" w:rsidP="003F6004">
            <w:pPr>
              <w:widowControl w:val="0"/>
              <w:pBdr>
                <w:bottom w:val="single" w:sz="4" w:space="0" w:color="auto"/>
              </w:pBdr>
              <w:ind w:left="58" w:right="-86"/>
              <w:jc w:val="right"/>
              <w:rPr>
                <w:rFonts w:cs="Arial"/>
                <w:i/>
              </w:rPr>
            </w:pPr>
            <w:r>
              <w:rPr>
                <w:rFonts w:cs="Arial"/>
                <w:i/>
              </w:rPr>
              <w:t>VND</w:t>
            </w:r>
          </w:p>
        </w:tc>
        <w:tc>
          <w:tcPr>
            <w:tcW w:w="3398" w:type="dxa"/>
            <w:gridSpan w:val="2"/>
            <w:vAlign w:val="bottom"/>
          </w:tcPr>
          <w:p w14:paraId="67B3EA39" w14:textId="0A0CB34E" w:rsidR="003F6004" w:rsidRPr="002A0B87" w:rsidRDefault="003501B5" w:rsidP="003F6004">
            <w:pPr>
              <w:widowControl w:val="0"/>
              <w:pBdr>
                <w:bottom w:val="single" w:sz="4" w:space="0" w:color="auto"/>
              </w:pBdr>
              <w:ind w:left="58" w:right="-86"/>
              <w:jc w:val="center"/>
              <w:rPr>
                <w:rFonts w:cs="Arial"/>
                <w:i/>
              </w:rPr>
            </w:pPr>
            <w:r w:rsidRPr="003501B5">
              <w:rPr>
                <w:rFonts w:cs="Arial"/>
                <w:i/>
              </w:rPr>
              <w:t>Revaluation difference</w:t>
            </w:r>
          </w:p>
        </w:tc>
        <w:tc>
          <w:tcPr>
            <w:tcW w:w="1699" w:type="dxa"/>
            <w:vMerge w:val="restart"/>
            <w:vAlign w:val="bottom"/>
          </w:tcPr>
          <w:p w14:paraId="61EF051E" w14:textId="24477501" w:rsidR="003F6004" w:rsidRDefault="00A94D61" w:rsidP="007E72C2">
            <w:pPr>
              <w:widowControl w:val="0"/>
              <w:ind w:left="-144" w:right="-86"/>
              <w:jc w:val="right"/>
              <w:rPr>
                <w:rFonts w:cs="Arial"/>
                <w:i/>
              </w:rPr>
            </w:pPr>
            <w:r>
              <w:rPr>
                <w:rFonts w:cs="Arial"/>
                <w:i/>
              </w:rPr>
              <w:t>Revaluation value</w:t>
            </w:r>
          </w:p>
          <w:p w14:paraId="7C2D8470" w14:textId="3CDA3896" w:rsidR="003F6004" w:rsidRPr="002A0B87" w:rsidRDefault="003F6004" w:rsidP="003F6004">
            <w:pPr>
              <w:widowControl w:val="0"/>
              <w:pBdr>
                <w:bottom w:val="single" w:sz="4" w:space="0" w:color="auto"/>
              </w:pBdr>
              <w:ind w:left="58" w:right="-86"/>
              <w:jc w:val="right"/>
              <w:rPr>
                <w:rFonts w:cs="Arial"/>
                <w:i/>
              </w:rPr>
            </w:pPr>
            <w:r>
              <w:rPr>
                <w:rFonts w:cs="Arial"/>
                <w:i/>
              </w:rPr>
              <w:t>VND</w:t>
            </w:r>
          </w:p>
        </w:tc>
      </w:tr>
      <w:tr w:rsidR="003F6004" w:rsidRPr="002A0B87" w14:paraId="63B1BEEB" w14:textId="77777777" w:rsidTr="000A1EE5">
        <w:trPr>
          <w:trHeight w:val="20"/>
        </w:trPr>
        <w:tc>
          <w:tcPr>
            <w:tcW w:w="1368" w:type="dxa"/>
            <w:vMerge/>
            <w:vAlign w:val="bottom"/>
          </w:tcPr>
          <w:p w14:paraId="5D7FE416" w14:textId="33FC49AE" w:rsidR="003F6004" w:rsidRPr="002A0B87" w:rsidRDefault="003F6004" w:rsidP="003F6004">
            <w:pPr>
              <w:widowControl w:val="0"/>
              <w:pBdr>
                <w:bottom w:val="single" w:sz="4" w:space="0" w:color="auto"/>
              </w:pBdr>
              <w:spacing w:before="120"/>
              <w:ind w:left="-115"/>
              <w:jc w:val="left"/>
              <w:rPr>
                <w:rFonts w:cs="Arial"/>
                <w:i/>
                <w:lang w:val="en-GB"/>
              </w:rPr>
            </w:pPr>
          </w:p>
        </w:tc>
        <w:tc>
          <w:tcPr>
            <w:tcW w:w="1699" w:type="dxa"/>
            <w:vMerge/>
            <w:vAlign w:val="bottom"/>
            <w:hideMark/>
          </w:tcPr>
          <w:p w14:paraId="0E5E194E" w14:textId="77777777" w:rsidR="003F6004" w:rsidRPr="002A0B87" w:rsidRDefault="003F6004" w:rsidP="003F6004">
            <w:pPr>
              <w:widowControl w:val="0"/>
              <w:pBdr>
                <w:bottom w:val="single" w:sz="4" w:space="0" w:color="auto"/>
              </w:pBdr>
              <w:ind w:left="58" w:right="-86"/>
              <w:jc w:val="right"/>
              <w:rPr>
                <w:rFonts w:cs="Arial"/>
                <w:i/>
              </w:rPr>
            </w:pPr>
          </w:p>
        </w:tc>
        <w:tc>
          <w:tcPr>
            <w:tcW w:w="1699" w:type="dxa"/>
            <w:vAlign w:val="bottom"/>
            <w:hideMark/>
          </w:tcPr>
          <w:p w14:paraId="4AFD7BBC" w14:textId="64606DA5" w:rsidR="003F6004" w:rsidRPr="002A0B87" w:rsidRDefault="00A94D61" w:rsidP="003F6004">
            <w:pPr>
              <w:widowControl w:val="0"/>
              <w:pBdr>
                <w:bottom w:val="single" w:sz="4" w:space="0" w:color="auto"/>
              </w:pBdr>
              <w:spacing w:before="120"/>
              <w:ind w:left="58" w:right="-86"/>
              <w:jc w:val="right"/>
              <w:rPr>
                <w:rFonts w:cs="Arial"/>
                <w:i/>
              </w:rPr>
            </w:pPr>
            <w:r>
              <w:rPr>
                <w:rFonts w:cs="Arial"/>
                <w:i/>
              </w:rPr>
              <w:t>Increase</w:t>
            </w:r>
          </w:p>
          <w:p w14:paraId="7980B030" w14:textId="77777777" w:rsidR="003F6004" w:rsidRPr="002A0B87" w:rsidRDefault="003F6004" w:rsidP="003F6004">
            <w:pPr>
              <w:widowControl w:val="0"/>
              <w:pBdr>
                <w:bottom w:val="single" w:sz="4" w:space="0" w:color="auto"/>
              </w:pBdr>
              <w:ind w:left="58" w:right="-86"/>
              <w:jc w:val="right"/>
              <w:rPr>
                <w:rFonts w:cs="Arial"/>
                <w:i/>
                <w:lang w:val="en-GB"/>
              </w:rPr>
            </w:pPr>
            <w:r w:rsidRPr="002A0B87">
              <w:rPr>
                <w:rFonts w:cs="Arial"/>
                <w:i/>
              </w:rPr>
              <w:t>VND</w:t>
            </w:r>
          </w:p>
        </w:tc>
        <w:tc>
          <w:tcPr>
            <w:tcW w:w="1699" w:type="dxa"/>
            <w:vAlign w:val="bottom"/>
            <w:hideMark/>
          </w:tcPr>
          <w:p w14:paraId="58F419EC" w14:textId="625B3B51" w:rsidR="003F6004" w:rsidRPr="002A0B87" w:rsidRDefault="00A94D61" w:rsidP="003F6004">
            <w:pPr>
              <w:widowControl w:val="0"/>
              <w:pBdr>
                <w:bottom w:val="single" w:sz="4" w:space="0" w:color="auto"/>
              </w:pBdr>
              <w:spacing w:before="120"/>
              <w:ind w:left="58" w:right="-86"/>
              <w:jc w:val="right"/>
              <w:rPr>
                <w:rFonts w:cs="Arial"/>
                <w:i/>
              </w:rPr>
            </w:pPr>
            <w:r>
              <w:rPr>
                <w:rFonts w:cs="Arial"/>
                <w:i/>
              </w:rPr>
              <w:t>Decrease</w:t>
            </w:r>
          </w:p>
          <w:p w14:paraId="27934F93" w14:textId="77777777" w:rsidR="003F6004" w:rsidRPr="002A0B87" w:rsidRDefault="003F6004" w:rsidP="003F6004">
            <w:pPr>
              <w:widowControl w:val="0"/>
              <w:pBdr>
                <w:bottom w:val="single" w:sz="4" w:space="0" w:color="auto"/>
              </w:pBdr>
              <w:ind w:left="58" w:right="-86"/>
              <w:jc w:val="right"/>
              <w:rPr>
                <w:rFonts w:cs="Arial"/>
                <w:i/>
              </w:rPr>
            </w:pPr>
            <w:r w:rsidRPr="002A0B87">
              <w:rPr>
                <w:rFonts w:cs="Arial"/>
                <w:i/>
              </w:rPr>
              <w:t>VND</w:t>
            </w:r>
          </w:p>
        </w:tc>
        <w:tc>
          <w:tcPr>
            <w:tcW w:w="1699" w:type="dxa"/>
            <w:vMerge/>
            <w:vAlign w:val="bottom"/>
            <w:hideMark/>
          </w:tcPr>
          <w:p w14:paraId="59606FE6" w14:textId="77777777" w:rsidR="003F6004" w:rsidRPr="002A0B87" w:rsidRDefault="003F6004" w:rsidP="003F6004">
            <w:pPr>
              <w:widowControl w:val="0"/>
              <w:pBdr>
                <w:bottom w:val="single" w:sz="4" w:space="0" w:color="auto"/>
              </w:pBdr>
              <w:ind w:left="58" w:right="-86"/>
              <w:jc w:val="right"/>
              <w:rPr>
                <w:rFonts w:cs="Arial"/>
                <w:i/>
              </w:rPr>
            </w:pPr>
          </w:p>
        </w:tc>
      </w:tr>
      <w:tr w:rsidR="00B27FE0" w:rsidRPr="002A0B87" w14:paraId="54E8DCC9" w14:textId="77777777" w:rsidTr="003F6004">
        <w:trPr>
          <w:trHeight w:val="20"/>
        </w:trPr>
        <w:tc>
          <w:tcPr>
            <w:tcW w:w="1368" w:type="dxa"/>
            <w:vAlign w:val="bottom"/>
          </w:tcPr>
          <w:p w14:paraId="34F61A95" w14:textId="77777777" w:rsidR="00B27FE0" w:rsidRPr="002A0B87" w:rsidRDefault="00B27FE0" w:rsidP="003F6004">
            <w:pPr>
              <w:widowControl w:val="0"/>
              <w:spacing w:before="120"/>
              <w:ind w:left="-115"/>
              <w:jc w:val="left"/>
              <w:rPr>
                <w:rFonts w:cs="Arial"/>
                <w:b/>
              </w:rPr>
            </w:pPr>
            <w:r w:rsidRPr="002A0B87">
              <w:rPr>
                <w:rFonts w:cs="Arial"/>
                <w:b/>
              </w:rPr>
              <w:t>FVTPL</w:t>
            </w:r>
          </w:p>
        </w:tc>
        <w:tc>
          <w:tcPr>
            <w:tcW w:w="1699" w:type="dxa"/>
            <w:vAlign w:val="bottom"/>
          </w:tcPr>
          <w:p w14:paraId="60669E78" w14:textId="77777777" w:rsidR="00B27FE0" w:rsidRPr="002A0B87" w:rsidRDefault="00B27FE0" w:rsidP="003F6004">
            <w:pPr>
              <w:widowControl w:val="0"/>
              <w:spacing w:before="120"/>
              <w:ind w:left="58" w:right="-86"/>
              <w:jc w:val="right"/>
              <w:rPr>
                <w:rFonts w:cs="Arial"/>
                <w:b/>
                <w:highlight w:val="yellow"/>
                <w:lang w:val="en-GB"/>
              </w:rPr>
            </w:pPr>
          </w:p>
        </w:tc>
        <w:tc>
          <w:tcPr>
            <w:tcW w:w="1699" w:type="dxa"/>
            <w:vAlign w:val="bottom"/>
          </w:tcPr>
          <w:p w14:paraId="5BDA415A" w14:textId="77777777" w:rsidR="00B27FE0" w:rsidRPr="002A0B87" w:rsidRDefault="00B27FE0" w:rsidP="003F6004">
            <w:pPr>
              <w:widowControl w:val="0"/>
              <w:spacing w:before="120"/>
              <w:ind w:left="58" w:right="-86"/>
              <w:jc w:val="right"/>
              <w:rPr>
                <w:rFonts w:eastAsia="Batang" w:cs="Arial"/>
                <w:b/>
                <w:color w:val="000000"/>
                <w:highlight w:val="yellow"/>
                <w:lang w:eastAsia="ko-KR"/>
              </w:rPr>
            </w:pPr>
          </w:p>
        </w:tc>
        <w:tc>
          <w:tcPr>
            <w:tcW w:w="1699" w:type="dxa"/>
            <w:vAlign w:val="bottom"/>
          </w:tcPr>
          <w:p w14:paraId="5F09F8C7" w14:textId="77777777" w:rsidR="00B27FE0" w:rsidRPr="002A0B87" w:rsidRDefault="00B27FE0" w:rsidP="003F6004">
            <w:pPr>
              <w:widowControl w:val="0"/>
              <w:spacing w:before="120"/>
              <w:ind w:left="58" w:right="-86"/>
              <w:jc w:val="right"/>
              <w:rPr>
                <w:rFonts w:cs="Arial"/>
                <w:b/>
                <w:lang w:val="en-GB"/>
              </w:rPr>
            </w:pPr>
          </w:p>
        </w:tc>
        <w:tc>
          <w:tcPr>
            <w:tcW w:w="1699" w:type="dxa"/>
            <w:vAlign w:val="bottom"/>
          </w:tcPr>
          <w:p w14:paraId="1C99D764" w14:textId="77777777" w:rsidR="00B27FE0" w:rsidRPr="002A0B87" w:rsidRDefault="00B27FE0" w:rsidP="003F6004">
            <w:pPr>
              <w:widowControl w:val="0"/>
              <w:spacing w:before="120"/>
              <w:ind w:left="58" w:right="-86"/>
              <w:jc w:val="right"/>
              <w:rPr>
                <w:rFonts w:eastAsia="Batang" w:cs="Arial"/>
                <w:b/>
                <w:color w:val="000000"/>
                <w:lang w:eastAsia="ko-KR"/>
              </w:rPr>
            </w:pPr>
          </w:p>
        </w:tc>
      </w:tr>
      <w:tr w:rsidR="00174B5A" w:rsidRPr="002A0B87" w14:paraId="3667C4F7" w14:textId="77777777" w:rsidTr="00174B5A">
        <w:trPr>
          <w:trHeight w:val="20"/>
        </w:trPr>
        <w:tc>
          <w:tcPr>
            <w:tcW w:w="1368" w:type="dxa"/>
            <w:vAlign w:val="bottom"/>
          </w:tcPr>
          <w:p w14:paraId="7B54509E" w14:textId="459E22D8" w:rsidR="00174B5A" w:rsidRPr="002A0B87" w:rsidRDefault="00174B5A" w:rsidP="00174B5A">
            <w:pPr>
              <w:widowControl w:val="0"/>
              <w:ind w:left="-115" w:right="-86"/>
              <w:jc w:val="left"/>
              <w:rPr>
                <w:rFonts w:cs="Arial"/>
              </w:rPr>
            </w:pPr>
            <w:r w:rsidRPr="00B47373">
              <w:rPr>
                <w:rFonts w:cs="Arial"/>
              </w:rPr>
              <w:t>Listed shares</w:t>
            </w:r>
          </w:p>
        </w:tc>
        <w:tc>
          <w:tcPr>
            <w:tcW w:w="1699" w:type="dxa"/>
            <w:vAlign w:val="bottom"/>
          </w:tcPr>
          <w:p w14:paraId="6CA5C89D" w14:textId="550069A8" w:rsidR="00174B5A" w:rsidRPr="002A0B87" w:rsidRDefault="00174B5A" w:rsidP="00174B5A">
            <w:pPr>
              <w:widowControl w:val="0"/>
              <w:ind w:left="58" w:right="-86"/>
              <w:jc w:val="right"/>
              <w:rPr>
                <w:rFonts w:cs="Arial"/>
                <w:highlight w:val="yellow"/>
                <w:lang w:val="en-GB"/>
              </w:rPr>
            </w:pPr>
            <w:r w:rsidRPr="00B54678">
              <w:t>269</w:t>
            </w:r>
            <w:r w:rsidR="002E3C25">
              <w:t>,</w:t>
            </w:r>
            <w:r w:rsidRPr="00B54678">
              <w:t>652</w:t>
            </w:r>
            <w:r w:rsidR="002E3C25">
              <w:t>,</w:t>
            </w:r>
            <w:r w:rsidRPr="00B54678">
              <w:t>393</w:t>
            </w:r>
          </w:p>
        </w:tc>
        <w:tc>
          <w:tcPr>
            <w:tcW w:w="1699" w:type="dxa"/>
            <w:vAlign w:val="bottom"/>
          </w:tcPr>
          <w:p w14:paraId="2F0E1BC2" w14:textId="43717C60" w:rsidR="00174B5A" w:rsidRPr="002A0B87" w:rsidRDefault="00174B5A" w:rsidP="00174B5A">
            <w:pPr>
              <w:widowControl w:val="0"/>
              <w:ind w:left="58" w:right="-86"/>
              <w:jc w:val="right"/>
              <w:rPr>
                <w:rFonts w:cs="Arial"/>
                <w:highlight w:val="yellow"/>
                <w:lang w:val="en-GB"/>
              </w:rPr>
            </w:pPr>
            <w:r w:rsidRPr="00B54678">
              <w:t>33</w:t>
            </w:r>
            <w:r w:rsidR="002E3C25">
              <w:t>,</w:t>
            </w:r>
            <w:r w:rsidRPr="00B54678">
              <w:t>918</w:t>
            </w:r>
            <w:r w:rsidR="002E3C25">
              <w:t>,</w:t>
            </w:r>
            <w:r w:rsidRPr="00B54678">
              <w:t xml:space="preserve">987 </w:t>
            </w:r>
          </w:p>
        </w:tc>
        <w:tc>
          <w:tcPr>
            <w:tcW w:w="1699" w:type="dxa"/>
            <w:vAlign w:val="bottom"/>
          </w:tcPr>
          <w:p w14:paraId="4B4BAA88" w14:textId="6BDDB55E" w:rsidR="00174B5A" w:rsidRPr="002A0B87" w:rsidRDefault="00174B5A" w:rsidP="00174B5A">
            <w:pPr>
              <w:widowControl w:val="0"/>
              <w:ind w:left="58" w:right="-86"/>
              <w:jc w:val="right"/>
              <w:rPr>
                <w:rFonts w:cs="Arial"/>
                <w:highlight w:val="yellow"/>
                <w:lang w:val="en-GB"/>
              </w:rPr>
            </w:pPr>
            <w:r w:rsidRPr="00B54678">
              <w:t>(3</w:t>
            </w:r>
            <w:r w:rsidR="002E3C25">
              <w:t>,</w:t>
            </w:r>
            <w:r w:rsidRPr="00B54678">
              <w:t>245</w:t>
            </w:r>
            <w:r w:rsidR="002E3C25">
              <w:t>,</w:t>
            </w:r>
            <w:r w:rsidRPr="00B54678">
              <w:t>430)</w:t>
            </w:r>
          </w:p>
        </w:tc>
        <w:tc>
          <w:tcPr>
            <w:tcW w:w="1699" w:type="dxa"/>
            <w:vAlign w:val="bottom"/>
          </w:tcPr>
          <w:p w14:paraId="30DA0111" w14:textId="0DA6F4AF" w:rsidR="00174B5A" w:rsidRPr="002A0B87" w:rsidRDefault="00174B5A" w:rsidP="00174B5A">
            <w:pPr>
              <w:widowControl w:val="0"/>
              <w:ind w:left="58" w:right="-86"/>
              <w:jc w:val="right"/>
              <w:rPr>
                <w:rFonts w:cs="Arial"/>
                <w:highlight w:val="yellow"/>
                <w:lang w:val="en-GB"/>
              </w:rPr>
            </w:pPr>
            <w:r w:rsidRPr="00B54678">
              <w:t>300</w:t>
            </w:r>
            <w:r w:rsidR="002E3C25">
              <w:t>,</w:t>
            </w:r>
            <w:r w:rsidRPr="00B54678">
              <w:t>325</w:t>
            </w:r>
            <w:r w:rsidR="002E3C25">
              <w:t>,</w:t>
            </w:r>
            <w:r w:rsidRPr="00B54678">
              <w:t>950</w:t>
            </w:r>
          </w:p>
        </w:tc>
      </w:tr>
      <w:tr w:rsidR="00174B5A" w:rsidRPr="002A0B87" w14:paraId="5CD8B163" w14:textId="77777777" w:rsidTr="00174B5A">
        <w:trPr>
          <w:trHeight w:val="20"/>
        </w:trPr>
        <w:tc>
          <w:tcPr>
            <w:tcW w:w="1368" w:type="dxa"/>
            <w:vAlign w:val="bottom"/>
          </w:tcPr>
          <w:p w14:paraId="4A52BC05" w14:textId="06288526" w:rsidR="00174B5A" w:rsidRPr="00B47373" w:rsidRDefault="00174B5A" w:rsidP="00174B5A">
            <w:pPr>
              <w:widowControl w:val="0"/>
              <w:ind w:left="-115" w:right="-86"/>
              <w:jc w:val="left"/>
              <w:rPr>
                <w:rFonts w:cs="Arial"/>
              </w:rPr>
            </w:pPr>
            <w:r>
              <w:rPr>
                <w:rFonts w:cs="Arial"/>
              </w:rPr>
              <w:t>Non-listed shares</w:t>
            </w:r>
          </w:p>
        </w:tc>
        <w:tc>
          <w:tcPr>
            <w:tcW w:w="1699" w:type="dxa"/>
            <w:vAlign w:val="bottom"/>
          </w:tcPr>
          <w:p w14:paraId="6303D8C4" w14:textId="19735065" w:rsidR="00174B5A" w:rsidRDefault="00174B5A" w:rsidP="00174B5A">
            <w:pPr>
              <w:widowControl w:val="0"/>
              <w:pBdr>
                <w:bottom w:val="single" w:sz="4" w:space="0" w:color="auto"/>
              </w:pBdr>
              <w:ind w:left="58" w:right="-86"/>
              <w:jc w:val="right"/>
              <w:rPr>
                <w:rFonts w:cs="Arial"/>
                <w:lang w:val="en-GB"/>
              </w:rPr>
            </w:pPr>
            <w:r w:rsidRPr="00B54678">
              <w:t>3</w:t>
            </w:r>
            <w:r w:rsidR="002E3C25">
              <w:t>,</w:t>
            </w:r>
            <w:r w:rsidRPr="00B54678">
              <w:t>297</w:t>
            </w:r>
            <w:r w:rsidR="002E3C25">
              <w:t>,</w:t>
            </w:r>
            <w:r w:rsidRPr="00B54678">
              <w:t>500</w:t>
            </w:r>
          </w:p>
        </w:tc>
        <w:tc>
          <w:tcPr>
            <w:tcW w:w="1699" w:type="dxa"/>
            <w:vAlign w:val="bottom"/>
          </w:tcPr>
          <w:p w14:paraId="259FC5F3" w14:textId="3EB019CD" w:rsidR="00174B5A" w:rsidRDefault="00174B5A" w:rsidP="00174B5A">
            <w:pPr>
              <w:widowControl w:val="0"/>
              <w:pBdr>
                <w:bottom w:val="single" w:sz="4" w:space="0" w:color="auto"/>
              </w:pBdr>
              <w:ind w:left="58" w:right="-86"/>
              <w:jc w:val="right"/>
              <w:rPr>
                <w:rFonts w:cs="Arial"/>
                <w:lang w:val="en-GB"/>
              </w:rPr>
            </w:pPr>
            <w:r w:rsidRPr="00B54678">
              <w:t>-</w:t>
            </w:r>
          </w:p>
        </w:tc>
        <w:tc>
          <w:tcPr>
            <w:tcW w:w="1699" w:type="dxa"/>
            <w:vAlign w:val="bottom"/>
          </w:tcPr>
          <w:p w14:paraId="7D79C095" w14:textId="279BAE5A" w:rsidR="00174B5A" w:rsidRDefault="00174B5A" w:rsidP="00174B5A">
            <w:pPr>
              <w:widowControl w:val="0"/>
              <w:pBdr>
                <w:bottom w:val="single" w:sz="4" w:space="0" w:color="auto"/>
              </w:pBdr>
              <w:ind w:left="58" w:right="-86"/>
              <w:jc w:val="right"/>
              <w:rPr>
                <w:rFonts w:cs="Arial"/>
                <w:lang w:val="en-GB"/>
              </w:rPr>
            </w:pPr>
            <w:r w:rsidRPr="00B54678">
              <w:t>(2</w:t>
            </w:r>
            <w:r w:rsidR="002E3C25">
              <w:t>,</w:t>
            </w:r>
            <w:r w:rsidRPr="00B54678">
              <w:t>578</w:t>
            </w:r>
            <w:r w:rsidR="002E3C25">
              <w:t>,</w:t>
            </w:r>
            <w:r w:rsidRPr="00B54678">
              <w:t>200)</w:t>
            </w:r>
          </w:p>
        </w:tc>
        <w:tc>
          <w:tcPr>
            <w:tcW w:w="1699" w:type="dxa"/>
            <w:vAlign w:val="bottom"/>
          </w:tcPr>
          <w:p w14:paraId="42DE1501" w14:textId="31FDF0EF" w:rsidR="00174B5A" w:rsidRDefault="00174B5A" w:rsidP="00174B5A">
            <w:pPr>
              <w:widowControl w:val="0"/>
              <w:pBdr>
                <w:bottom w:val="single" w:sz="4" w:space="0" w:color="auto"/>
              </w:pBdr>
              <w:ind w:left="58" w:right="-86"/>
              <w:jc w:val="right"/>
              <w:rPr>
                <w:rFonts w:cs="Arial"/>
                <w:lang w:val="en-GB"/>
              </w:rPr>
            </w:pPr>
            <w:r w:rsidRPr="00B54678">
              <w:t>719</w:t>
            </w:r>
            <w:r w:rsidR="002E3C25">
              <w:t>,</w:t>
            </w:r>
            <w:r w:rsidRPr="00B54678">
              <w:t>300</w:t>
            </w:r>
          </w:p>
        </w:tc>
      </w:tr>
      <w:tr w:rsidR="00174B5A" w:rsidRPr="002A0B87" w14:paraId="2824AB6F" w14:textId="77777777" w:rsidTr="00174B5A">
        <w:trPr>
          <w:trHeight w:val="20"/>
        </w:trPr>
        <w:tc>
          <w:tcPr>
            <w:tcW w:w="1368" w:type="dxa"/>
            <w:vAlign w:val="bottom"/>
            <w:hideMark/>
          </w:tcPr>
          <w:p w14:paraId="45FBFEC3" w14:textId="4FE232F8" w:rsidR="00174B5A" w:rsidRPr="002A0B87" w:rsidRDefault="00174B5A" w:rsidP="00174B5A">
            <w:pPr>
              <w:widowControl w:val="0"/>
              <w:spacing w:before="120"/>
              <w:ind w:left="-115"/>
              <w:jc w:val="left"/>
              <w:rPr>
                <w:rFonts w:cs="Arial"/>
                <w:b/>
              </w:rPr>
            </w:pPr>
            <w:r w:rsidRPr="00483162">
              <w:rPr>
                <w:rFonts w:cs="Arial"/>
                <w:b/>
              </w:rPr>
              <w:t>Total</w:t>
            </w:r>
          </w:p>
        </w:tc>
        <w:tc>
          <w:tcPr>
            <w:tcW w:w="1699" w:type="dxa"/>
            <w:vAlign w:val="bottom"/>
          </w:tcPr>
          <w:p w14:paraId="6F69602B" w14:textId="103C72F4" w:rsidR="00174B5A" w:rsidRPr="002E3C25" w:rsidRDefault="00174B5A" w:rsidP="00174B5A">
            <w:pPr>
              <w:widowControl w:val="0"/>
              <w:pBdr>
                <w:bottom w:val="double" w:sz="4" w:space="0" w:color="auto"/>
              </w:pBdr>
              <w:spacing w:before="120"/>
              <w:ind w:left="58" w:right="-86"/>
              <w:jc w:val="right"/>
              <w:rPr>
                <w:rFonts w:eastAsia="Batang" w:cs="Arial"/>
                <w:b/>
                <w:bCs/>
                <w:highlight w:val="yellow"/>
                <w:lang w:eastAsia="ko-KR"/>
              </w:rPr>
            </w:pPr>
            <w:r w:rsidRPr="002E3C25">
              <w:rPr>
                <w:b/>
                <w:bCs/>
              </w:rPr>
              <w:t>272</w:t>
            </w:r>
            <w:r w:rsidR="002E3C25" w:rsidRPr="002E3C25">
              <w:rPr>
                <w:b/>
                <w:bCs/>
              </w:rPr>
              <w:t>,</w:t>
            </w:r>
            <w:r w:rsidRPr="002E3C25">
              <w:rPr>
                <w:b/>
                <w:bCs/>
              </w:rPr>
              <w:t>949</w:t>
            </w:r>
            <w:r w:rsidR="002E3C25" w:rsidRPr="002E3C25">
              <w:rPr>
                <w:b/>
                <w:bCs/>
              </w:rPr>
              <w:t>,</w:t>
            </w:r>
            <w:r w:rsidRPr="002E3C25">
              <w:rPr>
                <w:b/>
                <w:bCs/>
              </w:rPr>
              <w:t xml:space="preserve">893 </w:t>
            </w:r>
          </w:p>
        </w:tc>
        <w:tc>
          <w:tcPr>
            <w:tcW w:w="1699" w:type="dxa"/>
            <w:vAlign w:val="bottom"/>
          </w:tcPr>
          <w:p w14:paraId="389B4FF3" w14:textId="19B39820" w:rsidR="00174B5A" w:rsidRPr="002E3C25" w:rsidRDefault="00174B5A" w:rsidP="00174B5A">
            <w:pPr>
              <w:widowControl w:val="0"/>
              <w:pBdr>
                <w:bottom w:val="double" w:sz="4" w:space="0" w:color="auto"/>
              </w:pBdr>
              <w:spacing w:before="120"/>
              <w:ind w:left="58" w:right="-86"/>
              <w:jc w:val="right"/>
              <w:rPr>
                <w:rFonts w:eastAsia="Batang" w:cs="Arial"/>
                <w:b/>
                <w:bCs/>
                <w:highlight w:val="yellow"/>
                <w:lang w:eastAsia="ko-KR"/>
              </w:rPr>
            </w:pPr>
            <w:r w:rsidRPr="002E3C25">
              <w:rPr>
                <w:b/>
                <w:bCs/>
              </w:rPr>
              <w:t>33</w:t>
            </w:r>
            <w:r w:rsidR="002E3C25" w:rsidRPr="002E3C25">
              <w:rPr>
                <w:b/>
                <w:bCs/>
              </w:rPr>
              <w:t>,</w:t>
            </w:r>
            <w:r w:rsidRPr="002E3C25">
              <w:rPr>
                <w:b/>
                <w:bCs/>
              </w:rPr>
              <w:t>918</w:t>
            </w:r>
            <w:r w:rsidR="002E3C25" w:rsidRPr="002E3C25">
              <w:rPr>
                <w:b/>
                <w:bCs/>
              </w:rPr>
              <w:t>,</w:t>
            </w:r>
            <w:r w:rsidRPr="002E3C25">
              <w:rPr>
                <w:b/>
                <w:bCs/>
              </w:rPr>
              <w:t xml:space="preserve">987 </w:t>
            </w:r>
          </w:p>
        </w:tc>
        <w:tc>
          <w:tcPr>
            <w:tcW w:w="1699" w:type="dxa"/>
            <w:vAlign w:val="bottom"/>
          </w:tcPr>
          <w:p w14:paraId="395700B5" w14:textId="6899E18A" w:rsidR="00174B5A" w:rsidRPr="002E3C25" w:rsidRDefault="00174B5A" w:rsidP="00174B5A">
            <w:pPr>
              <w:widowControl w:val="0"/>
              <w:pBdr>
                <w:bottom w:val="double" w:sz="4" w:space="0" w:color="auto"/>
              </w:pBdr>
              <w:spacing w:before="120"/>
              <w:ind w:left="58" w:right="-86"/>
              <w:jc w:val="right"/>
              <w:rPr>
                <w:rFonts w:eastAsia="Batang" w:cs="Arial"/>
                <w:b/>
                <w:bCs/>
                <w:highlight w:val="yellow"/>
                <w:lang w:eastAsia="ko-KR"/>
              </w:rPr>
            </w:pPr>
            <w:r w:rsidRPr="002E3C25">
              <w:rPr>
                <w:b/>
                <w:bCs/>
              </w:rPr>
              <w:t>(5</w:t>
            </w:r>
            <w:r w:rsidR="002E3C25" w:rsidRPr="002E3C25">
              <w:rPr>
                <w:b/>
                <w:bCs/>
              </w:rPr>
              <w:t>,</w:t>
            </w:r>
            <w:r w:rsidRPr="002E3C25">
              <w:rPr>
                <w:b/>
                <w:bCs/>
              </w:rPr>
              <w:t>823</w:t>
            </w:r>
            <w:r w:rsidR="002E3C25" w:rsidRPr="002E3C25">
              <w:rPr>
                <w:b/>
                <w:bCs/>
              </w:rPr>
              <w:t>,</w:t>
            </w:r>
            <w:r w:rsidRPr="002E3C25">
              <w:rPr>
                <w:b/>
                <w:bCs/>
              </w:rPr>
              <w:t xml:space="preserve">630) </w:t>
            </w:r>
          </w:p>
        </w:tc>
        <w:tc>
          <w:tcPr>
            <w:tcW w:w="1699" w:type="dxa"/>
            <w:vAlign w:val="bottom"/>
          </w:tcPr>
          <w:p w14:paraId="59C2FB04" w14:textId="3E8D135C" w:rsidR="00174B5A" w:rsidRPr="002E3C25" w:rsidRDefault="00174B5A" w:rsidP="00174B5A">
            <w:pPr>
              <w:widowControl w:val="0"/>
              <w:pBdr>
                <w:bottom w:val="double" w:sz="4" w:space="0" w:color="auto"/>
              </w:pBdr>
              <w:spacing w:before="120"/>
              <w:ind w:left="58" w:right="-86"/>
              <w:jc w:val="right"/>
              <w:rPr>
                <w:rFonts w:eastAsia="Batang" w:cs="Arial"/>
                <w:b/>
                <w:bCs/>
                <w:highlight w:val="yellow"/>
                <w:lang w:eastAsia="ko-KR"/>
              </w:rPr>
            </w:pPr>
            <w:r w:rsidRPr="002E3C25">
              <w:rPr>
                <w:b/>
                <w:bCs/>
              </w:rPr>
              <w:t>301</w:t>
            </w:r>
            <w:r w:rsidR="002E3C25" w:rsidRPr="002E3C25">
              <w:rPr>
                <w:b/>
                <w:bCs/>
              </w:rPr>
              <w:t>,</w:t>
            </w:r>
            <w:r w:rsidRPr="002E3C25">
              <w:rPr>
                <w:b/>
                <w:bCs/>
              </w:rPr>
              <w:t>045</w:t>
            </w:r>
            <w:r w:rsidR="002E3C25" w:rsidRPr="002E3C25">
              <w:rPr>
                <w:b/>
                <w:bCs/>
              </w:rPr>
              <w:t>,</w:t>
            </w:r>
            <w:r w:rsidRPr="002E3C25">
              <w:rPr>
                <w:b/>
                <w:bCs/>
              </w:rPr>
              <w:t xml:space="preserve">250 </w:t>
            </w:r>
          </w:p>
        </w:tc>
      </w:tr>
    </w:tbl>
    <w:p w14:paraId="0A6E3CE2" w14:textId="56553398" w:rsidR="0096442F" w:rsidRDefault="0096442F" w:rsidP="00C90B5D">
      <w:pPr>
        <w:pStyle w:val="NoSpacing"/>
        <w:rPr>
          <w:lang w:val="de-DE"/>
        </w:rPr>
      </w:pPr>
    </w:p>
    <w:p w14:paraId="1DA93FBD" w14:textId="77777777" w:rsidR="00285E38" w:rsidRPr="00285E38" w:rsidRDefault="00285E38" w:rsidP="00285E38">
      <w:pPr>
        <w:pStyle w:val="NoSpacing"/>
        <w:rPr>
          <w:lang w:val="de-DE"/>
        </w:rPr>
      </w:pPr>
    </w:p>
    <w:p w14:paraId="029611F9" w14:textId="730C0EFB" w:rsidR="00A55970" w:rsidRPr="002A0B87" w:rsidRDefault="00CB2A06" w:rsidP="00A55970">
      <w:pPr>
        <w:pStyle w:val="BodyText"/>
        <w:ind w:left="720" w:hanging="720"/>
        <w:textAlignment w:val="auto"/>
        <w:outlineLvl w:val="0"/>
        <w:rPr>
          <w:rFonts w:ascii="Arial" w:hAnsi="Arial" w:cs="Arial"/>
          <w:b/>
          <w:bCs/>
        </w:rPr>
      </w:pPr>
      <w:r w:rsidRPr="002A0B87">
        <w:rPr>
          <w:rFonts w:ascii="Arial" w:hAnsi="Arial" w:cs="Arial"/>
          <w:b/>
          <w:bCs/>
        </w:rPr>
        <w:t>8</w:t>
      </w:r>
      <w:r w:rsidR="00A55970" w:rsidRPr="002A0B87">
        <w:rPr>
          <w:rFonts w:ascii="Arial" w:hAnsi="Arial" w:cs="Arial"/>
          <w:b/>
          <w:bCs/>
        </w:rPr>
        <w:t>.</w:t>
      </w:r>
      <w:r w:rsidR="00A55970" w:rsidRPr="002A0B87">
        <w:rPr>
          <w:rFonts w:ascii="Arial" w:hAnsi="Arial" w:cs="Arial"/>
          <w:b/>
          <w:bCs/>
        </w:rPr>
        <w:tab/>
      </w:r>
      <w:r w:rsidR="00087122" w:rsidRPr="00087122">
        <w:rPr>
          <w:rFonts w:ascii="Arial" w:hAnsi="Arial" w:cs="Arial"/>
          <w:b/>
          <w:bCs/>
        </w:rPr>
        <w:t>RECEIVABLES</w:t>
      </w:r>
      <w:r w:rsidR="00087122" w:rsidRPr="00087122" w:rsidDel="00087122">
        <w:rPr>
          <w:rFonts w:ascii="Arial" w:hAnsi="Arial" w:cs="Arial"/>
          <w:b/>
          <w:bCs/>
        </w:rPr>
        <w:t xml:space="preserve"> </w:t>
      </w:r>
    </w:p>
    <w:p w14:paraId="1208CF3A" w14:textId="5D1B4534" w:rsidR="00BE088A" w:rsidRPr="002A0B87" w:rsidRDefault="00BE088A" w:rsidP="00914455">
      <w:pPr>
        <w:pStyle w:val="NoSpacing"/>
      </w:pPr>
    </w:p>
    <w:p w14:paraId="7A3AD08D" w14:textId="30A7A680" w:rsidR="00B16260" w:rsidRPr="002A0B87" w:rsidRDefault="00B16260" w:rsidP="004C4A00">
      <w:pPr>
        <w:pStyle w:val="Heading2"/>
      </w:pPr>
      <w:r w:rsidRPr="002A0B87">
        <w:t>8.</w:t>
      </w:r>
      <w:r w:rsidR="003F6004">
        <w:t>1</w:t>
      </w:r>
      <w:r w:rsidRPr="002A0B87">
        <w:tab/>
      </w:r>
      <w:r w:rsidR="00EE1E15" w:rsidRPr="00EE1E15">
        <w:t>Receivables and accruals from dividend and interest income</w:t>
      </w:r>
      <w:r w:rsidR="00EE1E15" w:rsidRPr="00EE1E15" w:rsidDel="00EE1E15">
        <w:t xml:space="preserve"> </w:t>
      </w:r>
    </w:p>
    <w:p w14:paraId="6EA7001B" w14:textId="77777777" w:rsidR="00BE088A" w:rsidRPr="002A0B87" w:rsidRDefault="00BE088A" w:rsidP="00914455">
      <w:pPr>
        <w:pStyle w:val="NoSpacing"/>
      </w:pPr>
    </w:p>
    <w:tbl>
      <w:tblPr>
        <w:tblW w:w="8160" w:type="dxa"/>
        <w:tblInd w:w="720" w:type="dxa"/>
        <w:tblLayout w:type="fixed"/>
        <w:tblLook w:val="01E0" w:firstRow="1" w:lastRow="1" w:firstColumn="1" w:lastColumn="1" w:noHBand="0" w:noVBand="0"/>
      </w:tblPr>
      <w:tblGrid>
        <w:gridCol w:w="4656"/>
        <w:gridCol w:w="1735"/>
        <w:gridCol w:w="1769"/>
      </w:tblGrid>
      <w:tr w:rsidR="00562D45" w:rsidRPr="002A0B87" w14:paraId="6E9A716E" w14:textId="77777777" w:rsidTr="00254501">
        <w:trPr>
          <w:trHeight w:val="20"/>
          <w:tblHeader/>
        </w:trPr>
        <w:tc>
          <w:tcPr>
            <w:tcW w:w="4656" w:type="dxa"/>
            <w:vAlign w:val="bottom"/>
          </w:tcPr>
          <w:p w14:paraId="37BFA7C0" w14:textId="77777777" w:rsidR="00562D45" w:rsidRPr="002A0B87" w:rsidRDefault="00562D45">
            <w:pPr>
              <w:widowControl w:val="0"/>
              <w:overflowPunct/>
              <w:autoSpaceDE/>
              <w:autoSpaceDN/>
              <w:adjustRightInd/>
              <w:ind w:left="-115"/>
              <w:textAlignment w:val="auto"/>
              <w:rPr>
                <w:rFonts w:eastAsia="Batang" w:cs="Arial"/>
                <w:i/>
                <w:lang w:val="es-ES"/>
              </w:rPr>
            </w:pPr>
          </w:p>
        </w:tc>
        <w:tc>
          <w:tcPr>
            <w:tcW w:w="1735" w:type="dxa"/>
            <w:vAlign w:val="bottom"/>
            <w:hideMark/>
          </w:tcPr>
          <w:p w14:paraId="4E93480A" w14:textId="5AD83C41" w:rsidR="00562D45" w:rsidRPr="002A0B87" w:rsidRDefault="00A0655A" w:rsidP="00562D45">
            <w:pPr>
              <w:widowControl w:val="0"/>
              <w:pBdr>
                <w:bottom w:val="single" w:sz="4" w:space="0" w:color="auto"/>
              </w:pBdr>
              <w:overflowPunct/>
              <w:autoSpaceDE/>
              <w:autoSpaceDN/>
              <w:adjustRightInd/>
              <w:ind w:left="57" w:right="-85"/>
              <w:jc w:val="right"/>
              <w:textAlignment w:val="auto"/>
              <w:rPr>
                <w:rFonts w:eastAsia="Batang" w:cs="Arial"/>
                <w:bCs/>
                <w:i/>
              </w:rPr>
            </w:pPr>
            <w:r w:rsidRPr="00A0655A">
              <w:rPr>
                <w:rFonts w:eastAsia="Batang" w:cs="Arial"/>
                <w:bCs/>
                <w:i/>
              </w:rPr>
              <w:t>Ending balance</w:t>
            </w:r>
          </w:p>
          <w:p w14:paraId="033F98EE" w14:textId="77777777" w:rsidR="00562D45" w:rsidRPr="002A0B87" w:rsidRDefault="00562D45" w:rsidP="00562D45">
            <w:pPr>
              <w:widowControl w:val="0"/>
              <w:pBdr>
                <w:bottom w:val="single" w:sz="4" w:space="0" w:color="auto"/>
              </w:pBdr>
              <w:ind w:left="57" w:right="-85"/>
              <w:jc w:val="right"/>
              <w:rPr>
                <w:rFonts w:cs="Arial"/>
                <w:bCs/>
                <w:i/>
              </w:rPr>
            </w:pPr>
            <w:r w:rsidRPr="002A0B87">
              <w:rPr>
                <w:rFonts w:eastAsia="Batang" w:cs="Arial"/>
                <w:i/>
                <w:iCs/>
              </w:rPr>
              <w:t>VND</w:t>
            </w:r>
          </w:p>
        </w:tc>
        <w:tc>
          <w:tcPr>
            <w:tcW w:w="1769" w:type="dxa"/>
            <w:vAlign w:val="bottom"/>
            <w:hideMark/>
          </w:tcPr>
          <w:p w14:paraId="39DA8827" w14:textId="35240A9F" w:rsidR="00562D45" w:rsidRPr="002A0B87" w:rsidRDefault="00F04F15" w:rsidP="00562D45">
            <w:pPr>
              <w:widowControl w:val="0"/>
              <w:pBdr>
                <w:bottom w:val="single" w:sz="4" w:space="0" w:color="auto"/>
              </w:pBdr>
              <w:overflowPunct/>
              <w:autoSpaceDE/>
              <w:autoSpaceDN/>
              <w:adjustRightInd/>
              <w:ind w:left="57" w:right="-85"/>
              <w:jc w:val="right"/>
              <w:textAlignment w:val="auto"/>
              <w:rPr>
                <w:rFonts w:eastAsia="Batang" w:cs="Arial"/>
                <w:bCs/>
                <w:i/>
              </w:rPr>
            </w:pPr>
            <w:r w:rsidRPr="00F04F15">
              <w:rPr>
                <w:rFonts w:eastAsia="Batang" w:cs="Arial"/>
                <w:bCs/>
                <w:i/>
              </w:rPr>
              <w:t>Opening balance</w:t>
            </w:r>
          </w:p>
          <w:p w14:paraId="0FA601A9" w14:textId="77777777" w:rsidR="00562D45" w:rsidRPr="002A0B87" w:rsidRDefault="00562D45" w:rsidP="00562D45">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B613F3" w:rsidRPr="002A0B87" w14:paraId="2BF345B6" w14:textId="77777777" w:rsidTr="00B613F3">
        <w:trPr>
          <w:trHeight w:val="20"/>
        </w:trPr>
        <w:tc>
          <w:tcPr>
            <w:tcW w:w="4656" w:type="dxa"/>
            <w:vAlign w:val="bottom"/>
          </w:tcPr>
          <w:p w14:paraId="78C2C4F2" w14:textId="42B85705" w:rsidR="00B613F3" w:rsidRPr="002A0B87" w:rsidRDefault="00B613F3" w:rsidP="00B613F3">
            <w:pPr>
              <w:widowControl w:val="0"/>
              <w:spacing w:before="120"/>
              <w:ind w:left="-115"/>
              <w:rPr>
                <w:rFonts w:cs="Arial"/>
              </w:rPr>
            </w:pPr>
            <w:r w:rsidRPr="003725D3">
              <w:rPr>
                <w:rFonts w:cs="Arial"/>
              </w:rPr>
              <w:t>Accrued interest from margin lending</w:t>
            </w:r>
          </w:p>
        </w:tc>
        <w:tc>
          <w:tcPr>
            <w:tcW w:w="1735" w:type="dxa"/>
            <w:vAlign w:val="bottom"/>
          </w:tcPr>
          <w:p w14:paraId="630A695B" w14:textId="682B5800" w:rsidR="00B613F3" w:rsidRPr="002A0B87" w:rsidRDefault="00B613F3" w:rsidP="00B613F3">
            <w:pPr>
              <w:widowControl w:val="0"/>
              <w:spacing w:before="120"/>
              <w:ind w:left="57" w:right="-85"/>
              <w:jc w:val="right"/>
              <w:rPr>
                <w:rFonts w:eastAsia="Batang" w:cs="Arial"/>
                <w:highlight w:val="yellow"/>
                <w:lang w:eastAsia="ko-KR"/>
              </w:rPr>
            </w:pPr>
            <w:r w:rsidRPr="00293BC5">
              <w:t>4</w:t>
            </w:r>
            <w:r>
              <w:t>,</w:t>
            </w:r>
            <w:r w:rsidRPr="00293BC5">
              <w:t>872</w:t>
            </w:r>
            <w:r>
              <w:t>,</w:t>
            </w:r>
            <w:r w:rsidRPr="00293BC5">
              <w:t>381</w:t>
            </w:r>
            <w:r>
              <w:t>,</w:t>
            </w:r>
            <w:r w:rsidRPr="00293BC5">
              <w:t xml:space="preserve">124 </w:t>
            </w:r>
          </w:p>
        </w:tc>
        <w:tc>
          <w:tcPr>
            <w:tcW w:w="1769" w:type="dxa"/>
            <w:vAlign w:val="bottom"/>
          </w:tcPr>
          <w:p w14:paraId="2178A233" w14:textId="2610F902" w:rsidR="00B613F3" w:rsidRPr="002A0B87" w:rsidRDefault="00B613F3" w:rsidP="00B613F3">
            <w:pPr>
              <w:widowControl w:val="0"/>
              <w:spacing w:before="120"/>
              <w:ind w:left="57" w:right="-85"/>
              <w:jc w:val="right"/>
              <w:rPr>
                <w:rFonts w:eastAsia="Batang" w:cs="Arial"/>
                <w:lang w:eastAsia="ko-KR"/>
              </w:rPr>
            </w:pPr>
            <w:r w:rsidRPr="00293BC5">
              <w:t>5</w:t>
            </w:r>
            <w:r>
              <w:t>,</w:t>
            </w:r>
            <w:r w:rsidRPr="00293BC5">
              <w:t>103</w:t>
            </w:r>
            <w:r>
              <w:t>,</w:t>
            </w:r>
            <w:r w:rsidRPr="00293BC5">
              <w:t>853</w:t>
            </w:r>
            <w:r>
              <w:t>,</w:t>
            </w:r>
            <w:r w:rsidRPr="00293BC5">
              <w:t xml:space="preserve">767 </w:t>
            </w:r>
          </w:p>
        </w:tc>
      </w:tr>
      <w:tr w:rsidR="00B613F3" w:rsidRPr="002A0B87" w14:paraId="4D5006A2" w14:textId="77777777" w:rsidTr="00B613F3">
        <w:trPr>
          <w:trHeight w:val="20"/>
        </w:trPr>
        <w:tc>
          <w:tcPr>
            <w:tcW w:w="4656" w:type="dxa"/>
            <w:vAlign w:val="bottom"/>
            <w:hideMark/>
          </w:tcPr>
          <w:p w14:paraId="707EE5C0" w14:textId="31AF25EE" w:rsidR="00B613F3" w:rsidRPr="002A0B87" w:rsidRDefault="00B613F3" w:rsidP="00B613F3">
            <w:pPr>
              <w:widowControl w:val="0"/>
              <w:ind w:left="-115"/>
              <w:rPr>
                <w:rFonts w:cs="Arial"/>
              </w:rPr>
            </w:pPr>
            <w:r w:rsidRPr="00F9571B">
              <w:rPr>
                <w:rFonts w:cs="Arial"/>
              </w:rPr>
              <w:t>Accrued interest from term deposits</w:t>
            </w:r>
          </w:p>
        </w:tc>
        <w:tc>
          <w:tcPr>
            <w:tcW w:w="1735" w:type="dxa"/>
            <w:vAlign w:val="bottom"/>
          </w:tcPr>
          <w:p w14:paraId="4F40F142" w14:textId="0BA2A038" w:rsidR="00B613F3" w:rsidRPr="002A0B87" w:rsidRDefault="00B613F3" w:rsidP="00B613F3">
            <w:pPr>
              <w:widowControl w:val="0"/>
              <w:pBdr>
                <w:bottom w:val="single" w:sz="4" w:space="0" w:color="auto"/>
              </w:pBdr>
              <w:ind w:left="57" w:right="-85"/>
              <w:jc w:val="right"/>
              <w:rPr>
                <w:rFonts w:eastAsia="Batang" w:cs="Arial"/>
                <w:highlight w:val="yellow"/>
                <w:lang w:eastAsia="ko-KR"/>
              </w:rPr>
            </w:pPr>
            <w:r w:rsidRPr="00293BC5">
              <w:t>46</w:t>
            </w:r>
            <w:r>
              <w:t>,</w:t>
            </w:r>
            <w:r w:rsidRPr="00293BC5">
              <w:t>593</w:t>
            </w:r>
            <w:r>
              <w:t>,</w:t>
            </w:r>
            <w:r w:rsidRPr="00293BC5">
              <w:t>740</w:t>
            </w:r>
            <w:r>
              <w:t>,</w:t>
            </w:r>
            <w:r w:rsidRPr="00293BC5">
              <w:t xml:space="preserve">990 </w:t>
            </w:r>
          </w:p>
        </w:tc>
        <w:tc>
          <w:tcPr>
            <w:tcW w:w="1769" w:type="dxa"/>
            <w:vAlign w:val="bottom"/>
            <w:hideMark/>
          </w:tcPr>
          <w:p w14:paraId="09744A38" w14:textId="4B86D799" w:rsidR="00B613F3" w:rsidRPr="002A0B87" w:rsidRDefault="00B613F3" w:rsidP="00B613F3">
            <w:pPr>
              <w:widowControl w:val="0"/>
              <w:pBdr>
                <w:bottom w:val="single" w:sz="4" w:space="0" w:color="auto"/>
              </w:pBdr>
              <w:ind w:left="57" w:right="-85"/>
              <w:jc w:val="right"/>
              <w:rPr>
                <w:rFonts w:eastAsia="Batang" w:cs="Arial"/>
                <w:lang w:eastAsia="ko-KR"/>
              </w:rPr>
            </w:pPr>
            <w:r w:rsidRPr="00293BC5">
              <w:t>36</w:t>
            </w:r>
            <w:r>
              <w:t>,</w:t>
            </w:r>
            <w:r w:rsidRPr="00293BC5">
              <w:t>858</w:t>
            </w:r>
            <w:r>
              <w:t>,</w:t>
            </w:r>
            <w:r w:rsidRPr="00293BC5">
              <w:t>520</w:t>
            </w:r>
            <w:r>
              <w:t>,</w:t>
            </w:r>
            <w:r w:rsidRPr="00293BC5">
              <w:t xml:space="preserve">544 </w:t>
            </w:r>
          </w:p>
        </w:tc>
      </w:tr>
      <w:tr w:rsidR="00B613F3" w:rsidRPr="002A0B87" w14:paraId="2CD29D3E" w14:textId="77777777" w:rsidTr="00B613F3">
        <w:trPr>
          <w:trHeight w:val="20"/>
        </w:trPr>
        <w:tc>
          <w:tcPr>
            <w:tcW w:w="4656" w:type="dxa"/>
            <w:vAlign w:val="bottom"/>
          </w:tcPr>
          <w:p w14:paraId="121B48D9" w14:textId="77777777" w:rsidR="00B613F3" w:rsidRPr="002A0B87" w:rsidRDefault="00B613F3" w:rsidP="00B613F3">
            <w:pPr>
              <w:widowControl w:val="0"/>
              <w:spacing w:before="120"/>
              <w:ind w:left="-115"/>
              <w:rPr>
                <w:rFonts w:cs="Arial"/>
                <w:b/>
              </w:rPr>
            </w:pPr>
          </w:p>
        </w:tc>
        <w:tc>
          <w:tcPr>
            <w:tcW w:w="1735" w:type="dxa"/>
            <w:vAlign w:val="bottom"/>
          </w:tcPr>
          <w:p w14:paraId="3BC67810" w14:textId="006F11BB" w:rsidR="00B613F3" w:rsidRPr="00B613F3" w:rsidRDefault="00B613F3" w:rsidP="00B613F3">
            <w:pPr>
              <w:widowControl w:val="0"/>
              <w:pBdr>
                <w:bottom w:val="double" w:sz="4" w:space="0" w:color="auto"/>
              </w:pBdr>
              <w:spacing w:before="120"/>
              <w:ind w:left="57" w:right="-85"/>
              <w:jc w:val="right"/>
              <w:rPr>
                <w:rFonts w:eastAsia="Batang" w:cs="Arial"/>
                <w:b/>
                <w:bCs/>
                <w:highlight w:val="yellow"/>
                <w:lang w:eastAsia="ko-KR"/>
              </w:rPr>
            </w:pPr>
            <w:r w:rsidRPr="00B613F3">
              <w:rPr>
                <w:b/>
                <w:bCs/>
              </w:rPr>
              <w:t xml:space="preserve">51,466,122,114 </w:t>
            </w:r>
          </w:p>
        </w:tc>
        <w:tc>
          <w:tcPr>
            <w:tcW w:w="1769" w:type="dxa"/>
            <w:vAlign w:val="bottom"/>
            <w:hideMark/>
          </w:tcPr>
          <w:p w14:paraId="47F8BF60" w14:textId="1AF2E125" w:rsidR="00B613F3" w:rsidRPr="00B613F3" w:rsidRDefault="00B613F3" w:rsidP="00B613F3">
            <w:pPr>
              <w:widowControl w:val="0"/>
              <w:pBdr>
                <w:bottom w:val="double" w:sz="4" w:space="0" w:color="auto"/>
              </w:pBdr>
              <w:spacing w:before="120"/>
              <w:ind w:left="57" w:right="-85"/>
              <w:jc w:val="right"/>
              <w:rPr>
                <w:rFonts w:cs="Arial"/>
                <w:b/>
                <w:bCs/>
              </w:rPr>
            </w:pPr>
            <w:r w:rsidRPr="00B613F3">
              <w:rPr>
                <w:b/>
                <w:bCs/>
              </w:rPr>
              <w:t xml:space="preserve">41,962,374,311 </w:t>
            </w:r>
          </w:p>
        </w:tc>
      </w:tr>
    </w:tbl>
    <w:p w14:paraId="448734B0" w14:textId="77777777" w:rsidR="005A4C6E" w:rsidRPr="002A0B87" w:rsidRDefault="005A4C6E" w:rsidP="00C90B5D">
      <w:pPr>
        <w:pStyle w:val="NoSpacing"/>
        <w:rPr>
          <w:lang w:val="de-DE"/>
        </w:rPr>
      </w:pPr>
    </w:p>
    <w:p w14:paraId="11FD16D0" w14:textId="35A033EF" w:rsidR="005A4C6E" w:rsidRPr="002A0B87" w:rsidRDefault="00B16260" w:rsidP="004C4A00">
      <w:pPr>
        <w:pStyle w:val="Heading2"/>
      </w:pPr>
      <w:r w:rsidRPr="002A0B87">
        <w:t>8.</w:t>
      </w:r>
      <w:r w:rsidR="003F6004">
        <w:t>2</w:t>
      </w:r>
      <w:r w:rsidR="005A4C6E" w:rsidRPr="002A0B87">
        <w:tab/>
      </w:r>
      <w:r w:rsidR="00706B8B" w:rsidRPr="00706B8B">
        <w:t>Receivables from services provided by the Company</w:t>
      </w:r>
      <w:r w:rsidR="00706B8B" w:rsidRPr="00706B8B" w:rsidDel="00706B8B">
        <w:t xml:space="preserve"> </w:t>
      </w:r>
    </w:p>
    <w:p w14:paraId="3560D8FE" w14:textId="77777777" w:rsidR="005A4C6E" w:rsidRPr="002A0B87" w:rsidRDefault="005A4C6E" w:rsidP="00C90B5D">
      <w:pPr>
        <w:pStyle w:val="NoSpacing"/>
      </w:pPr>
    </w:p>
    <w:tbl>
      <w:tblPr>
        <w:tblW w:w="8160" w:type="dxa"/>
        <w:tblInd w:w="720" w:type="dxa"/>
        <w:tblLayout w:type="fixed"/>
        <w:tblLook w:val="01E0" w:firstRow="1" w:lastRow="1" w:firstColumn="1" w:lastColumn="1" w:noHBand="0" w:noVBand="0"/>
      </w:tblPr>
      <w:tblGrid>
        <w:gridCol w:w="4656"/>
        <w:gridCol w:w="1734"/>
        <w:gridCol w:w="1770"/>
      </w:tblGrid>
      <w:tr w:rsidR="005A4C6E" w:rsidRPr="002A0B87" w14:paraId="6DB24CE2" w14:textId="77777777" w:rsidTr="00254501">
        <w:trPr>
          <w:trHeight w:val="20"/>
          <w:tblHeader/>
        </w:trPr>
        <w:tc>
          <w:tcPr>
            <w:tcW w:w="4656" w:type="dxa"/>
            <w:vAlign w:val="bottom"/>
          </w:tcPr>
          <w:p w14:paraId="5F716149" w14:textId="77777777" w:rsidR="005A4C6E" w:rsidRPr="002A0B87" w:rsidRDefault="005A4C6E" w:rsidP="000B000B">
            <w:pPr>
              <w:widowControl w:val="0"/>
              <w:overflowPunct/>
              <w:autoSpaceDE/>
              <w:autoSpaceDN/>
              <w:adjustRightInd/>
              <w:ind w:left="-115"/>
              <w:textAlignment w:val="auto"/>
              <w:rPr>
                <w:rFonts w:eastAsia="Batang" w:cs="Arial"/>
                <w:i/>
                <w:lang w:val="es-ES"/>
              </w:rPr>
            </w:pPr>
          </w:p>
        </w:tc>
        <w:tc>
          <w:tcPr>
            <w:tcW w:w="1734" w:type="dxa"/>
            <w:vAlign w:val="bottom"/>
            <w:hideMark/>
          </w:tcPr>
          <w:p w14:paraId="1BAE25A2" w14:textId="3D73307C" w:rsidR="005A4C6E" w:rsidRPr="002A0B87" w:rsidRDefault="007A0DC7" w:rsidP="004C4D08">
            <w:pPr>
              <w:widowControl w:val="0"/>
              <w:pBdr>
                <w:bottom w:val="single" w:sz="4" w:space="0" w:color="auto"/>
              </w:pBdr>
              <w:overflowPunct/>
              <w:autoSpaceDE/>
              <w:autoSpaceDN/>
              <w:adjustRightInd/>
              <w:ind w:left="57" w:right="-85"/>
              <w:jc w:val="right"/>
              <w:textAlignment w:val="auto"/>
              <w:rPr>
                <w:rFonts w:eastAsia="Batang" w:cs="Arial"/>
                <w:bCs/>
                <w:i/>
              </w:rPr>
            </w:pPr>
            <w:r w:rsidRPr="007A0DC7">
              <w:rPr>
                <w:rFonts w:eastAsia="Batang" w:cs="Arial"/>
                <w:bCs/>
                <w:i/>
              </w:rPr>
              <w:t>Ending balance</w:t>
            </w:r>
          </w:p>
          <w:p w14:paraId="02E671DA" w14:textId="77777777" w:rsidR="005A4C6E" w:rsidRPr="002A0B87" w:rsidRDefault="005A4C6E" w:rsidP="004C4D08">
            <w:pPr>
              <w:widowControl w:val="0"/>
              <w:pBdr>
                <w:bottom w:val="single" w:sz="4" w:space="0" w:color="auto"/>
              </w:pBdr>
              <w:ind w:left="57" w:right="-85"/>
              <w:jc w:val="right"/>
              <w:rPr>
                <w:rFonts w:cs="Arial"/>
                <w:bCs/>
                <w:i/>
              </w:rPr>
            </w:pPr>
            <w:r w:rsidRPr="002A0B87">
              <w:rPr>
                <w:rFonts w:eastAsia="Batang" w:cs="Arial"/>
                <w:i/>
                <w:iCs/>
              </w:rPr>
              <w:t>VND</w:t>
            </w:r>
          </w:p>
        </w:tc>
        <w:tc>
          <w:tcPr>
            <w:tcW w:w="1770" w:type="dxa"/>
            <w:vAlign w:val="bottom"/>
            <w:hideMark/>
          </w:tcPr>
          <w:p w14:paraId="5DAA5BEF" w14:textId="37345ADB" w:rsidR="005A4C6E" w:rsidRPr="002A0B87" w:rsidRDefault="00F842E6" w:rsidP="004C4D08">
            <w:pPr>
              <w:widowControl w:val="0"/>
              <w:pBdr>
                <w:bottom w:val="single" w:sz="4" w:space="0" w:color="auto"/>
              </w:pBdr>
              <w:overflowPunct/>
              <w:autoSpaceDE/>
              <w:autoSpaceDN/>
              <w:adjustRightInd/>
              <w:ind w:left="57" w:right="-85"/>
              <w:jc w:val="right"/>
              <w:textAlignment w:val="auto"/>
              <w:rPr>
                <w:rFonts w:eastAsia="Batang" w:cs="Arial"/>
                <w:bCs/>
                <w:i/>
              </w:rPr>
            </w:pPr>
            <w:r w:rsidRPr="00F842E6">
              <w:rPr>
                <w:rFonts w:eastAsia="Batang" w:cs="Arial"/>
                <w:bCs/>
                <w:i/>
              </w:rPr>
              <w:t>Opening balance</w:t>
            </w:r>
          </w:p>
          <w:p w14:paraId="6B95D251" w14:textId="77777777" w:rsidR="005A4C6E" w:rsidRPr="002A0B87" w:rsidRDefault="005A4C6E" w:rsidP="004C4D08">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0B50E4" w:rsidRPr="002A0B87" w14:paraId="092EB459" w14:textId="77777777" w:rsidTr="00254501">
        <w:trPr>
          <w:trHeight w:val="20"/>
        </w:trPr>
        <w:tc>
          <w:tcPr>
            <w:tcW w:w="4656" w:type="dxa"/>
            <w:vAlign w:val="bottom"/>
            <w:hideMark/>
          </w:tcPr>
          <w:p w14:paraId="2C2ECF75" w14:textId="6329ABB0" w:rsidR="000B50E4" w:rsidRPr="002A0B87" w:rsidRDefault="00190D5A" w:rsidP="000B50E4">
            <w:pPr>
              <w:widowControl w:val="0"/>
              <w:spacing w:before="120"/>
              <w:ind w:left="-115"/>
              <w:rPr>
                <w:rFonts w:cs="Arial"/>
              </w:rPr>
            </w:pPr>
            <w:r w:rsidRPr="00190D5A">
              <w:rPr>
                <w:rFonts w:cs="Arial"/>
              </w:rPr>
              <w:t>Receivables from securities brokerage activities</w:t>
            </w:r>
          </w:p>
        </w:tc>
        <w:tc>
          <w:tcPr>
            <w:tcW w:w="1734" w:type="dxa"/>
            <w:vAlign w:val="bottom"/>
          </w:tcPr>
          <w:p w14:paraId="1AD99725" w14:textId="368B8E52" w:rsidR="000B50E4" w:rsidRPr="002A0B87" w:rsidRDefault="00106ACC" w:rsidP="000B50E4">
            <w:pPr>
              <w:widowControl w:val="0"/>
              <w:pBdr>
                <w:bottom w:val="single" w:sz="4" w:space="0" w:color="auto"/>
              </w:pBdr>
              <w:spacing w:before="120"/>
              <w:ind w:left="57" w:right="-85"/>
              <w:jc w:val="right"/>
              <w:rPr>
                <w:rFonts w:eastAsia="Batang" w:cs="Arial"/>
                <w:highlight w:val="yellow"/>
                <w:lang w:eastAsia="ko-KR"/>
              </w:rPr>
            </w:pPr>
            <w:r>
              <w:rPr>
                <w:rFonts w:cs="Arial"/>
              </w:rPr>
              <w:t>210,539</w:t>
            </w:r>
            <w:r w:rsidR="00FB646D" w:rsidRPr="00403E39">
              <w:rPr>
                <w:rFonts w:cs="Arial"/>
              </w:rPr>
              <w:t xml:space="preserve"> </w:t>
            </w:r>
          </w:p>
        </w:tc>
        <w:tc>
          <w:tcPr>
            <w:tcW w:w="1770" w:type="dxa"/>
            <w:vAlign w:val="bottom"/>
            <w:hideMark/>
          </w:tcPr>
          <w:p w14:paraId="28881F8A" w14:textId="7F89E703" w:rsidR="000B50E4" w:rsidRPr="002A0B87" w:rsidRDefault="00106ACC" w:rsidP="000B50E4">
            <w:pPr>
              <w:widowControl w:val="0"/>
              <w:pBdr>
                <w:bottom w:val="single" w:sz="4" w:space="0" w:color="auto"/>
              </w:pBdr>
              <w:spacing w:before="120"/>
              <w:ind w:left="57" w:right="-85"/>
              <w:jc w:val="right"/>
              <w:rPr>
                <w:rFonts w:eastAsia="Batang" w:cs="Arial"/>
                <w:lang w:eastAsia="ko-KR"/>
              </w:rPr>
            </w:pPr>
            <w:r>
              <w:rPr>
                <w:rFonts w:cs="Arial"/>
              </w:rPr>
              <w:t>584,338</w:t>
            </w:r>
          </w:p>
        </w:tc>
      </w:tr>
      <w:tr w:rsidR="000F126C" w:rsidRPr="002A0B87" w14:paraId="5514218C" w14:textId="77777777" w:rsidTr="00254501">
        <w:trPr>
          <w:trHeight w:val="20"/>
        </w:trPr>
        <w:tc>
          <w:tcPr>
            <w:tcW w:w="4656" w:type="dxa"/>
            <w:vAlign w:val="bottom"/>
          </w:tcPr>
          <w:p w14:paraId="5FC96B2F" w14:textId="77777777" w:rsidR="000F126C" w:rsidRPr="002A0B87" w:rsidRDefault="000F126C" w:rsidP="000F126C">
            <w:pPr>
              <w:widowControl w:val="0"/>
              <w:spacing w:before="120"/>
              <w:ind w:left="-115"/>
              <w:rPr>
                <w:rFonts w:cs="Arial"/>
                <w:b/>
              </w:rPr>
            </w:pPr>
          </w:p>
        </w:tc>
        <w:tc>
          <w:tcPr>
            <w:tcW w:w="1734" w:type="dxa"/>
            <w:vAlign w:val="bottom"/>
          </w:tcPr>
          <w:p w14:paraId="4D21D466" w14:textId="6735F12E" w:rsidR="000F126C" w:rsidRPr="002A0B87" w:rsidRDefault="00106ACC" w:rsidP="000F126C">
            <w:pPr>
              <w:widowControl w:val="0"/>
              <w:pBdr>
                <w:bottom w:val="double" w:sz="4" w:space="0" w:color="auto"/>
              </w:pBdr>
              <w:spacing w:before="120"/>
              <w:ind w:left="57" w:right="-85"/>
              <w:jc w:val="right"/>
              <w:rPr>
                <w:rFonts w:eastAsia="Batang" w:cs="Arial"/>
                <w:b/>
                <w:bCs/>
                <w:highlight w:val="yellow"/>
                <w:lang w:eastAsia="ko-KR"/>
              </w:rPr>
            </w:pPr>
            <w:r>
              <w:rPr>
                <w:rFonts w:cs="Arial"/>
                <w:b/>
                <w:bCs/>
              </w:rPr>
              <w:t>210</w:t>
            </w:r>
            <w:r w:rsidR="00FB646D">
              <w:rPr>
                <w:rFonts w:cs="Arial"/>
                <w:b/>
                <w:bCs/>
              </w:rPr>
              <w:t>,</w:t>
            </w:r>
            <w:r>
              <w:rPr>
                <w:rFonts w:cs="Arial"/>
                <w:b/>
                <w:bCs/>
              </w:rPr>
              <w:t>539</w:t>
            </w:r>
            <w:r w:rsidR="00FB646D" w:rsidRPr="00403E39">
              <w:rPr>
                <w:rFonts w:cs="Arial"/>
                <w:b/>
                <w:bCs/>
              </w:rPr>
              <w:t xml:space="preserve"> </w:t>
            </w:r>
          </w:p>
        </w:tc>
        <w:tc>
          <w:tcPr>
            <w:tcW w:w="1770" w:type="dxa"/>
            <w:vAlign w:val="bottom"/>
            <w:hideMark/>
          </w:tcPr>
          <w:p w14:paraId="25DE1D3B" w14:textId="2F492643" w:rsidR="000F126C" w:rsidRPr="002A0B87" w:rsidRDefault="00106ACC" w:rsidP="000F126C">
            <w:pPr>
              <w:widowControl w:val="0"/>
              <w:pBdr>
                <w:bottom w:val="double" w:sz="4" w:space="0" w:color="auto"/>
              </w:pBdr>
              <w:spacing w:before="120"/>
              <w:ind w:left="57" w:right="-85"/>
              <w:jc w:val="right"/>
              <w:rPr>
                <w:rFonts w:cs="Arial"/>
                <w:b/>
                <w:bCs/>
              </w:rPr>
            </w:pPr>
            <w:r>
              <w:rPr>
                <w:rFonts w:cs="Arial"/>
                <w:b/>
                <w:bCs/>
              </w:rPr>
              <w:t>584,338</w:t>
            </w:r>
          </w:p>
        </w:tc>
      </w:tr>
    </w:tbl>
    <w:p w14:paraId="5C2B451A" w14:textId="0306EFAF" w:rsidR="003827E8" w:rsidRPr="002A0B87" w:rsidRDefault="003827E8" w:rsidP="00C90B5D">
      <w:pPr>
        <w:pStyle w:val="NoSpacing"/>
        <w:rPr>
          <w:lang w:val="de-DE"/>
        </w:rPr>
      </w:pPr>
    </w:p>
    <w:p w14:paraId="6956B856" w14:textId="6832CEB8" w:rsidR="003827E8" w:rsidRPr="002A0B87" w:rsidRDefault="00B16260" w:rsidP="004C4A00">
      <w:pPr>
        <w:pStyle w:val="Heading2"/>
        <w:rPr>
          <w:rFonts w:cs="Arial"/>
          <w:bCs/>
        </w:rPr>
      </w:pPr>
      <w:r w:rsidRPr="002A0B87">
        <w:rPr>
          <w:rFonts w:cs="Arial"/>
          <w:bCs/>
        </w:rPr>
        <w:t>8.</w:t>
      </w:r>
      <w:r w:rsidR="003F6004">
        <w:rPr>
          <w:rFonts w:cs="Arial"/>
          <w:bCs/>
        </w:rPr>
        <w:t>3</w:t>
      </w:r>
      <w:r w:rsidR="003827E8" w:rsidRPr="002A0B87">
        <w:rPr>
          <w:rFonts w:cs="Arial"/>
          <w:bCs/>
        </w:rPr>
        <w:tab/>
      </w:r>
      <w:r w:rsidR="006B253D" w:rsidRPr="006B253D">
        <w:rPr>
          <w:rFonts w:cs="Arial"/>
          <w:bCs/>
        </w:rPr>
        <w:t>Other receivables</w:t>
      </w:r>
      <w:r w:rsidR="006B253D" w:rsidRPr="006B253D" w:rsidDel="006B253D">
        <w:rPr>
          <w:rFonts w:cs="Arial"/>
          <w:bCs/>
        </w:rPr>
        <w:t xml:space="preserve"> </w:t>
      </w:r>
    </w:p>
    <w:p w14:paraId="3EEA98E7" w14:textId="77777777" w:rsidR="003827E8" w:rsidRPr="002A0B87" w:rsidRDefault="003827E8" w:rsidP="00C90B5D">
      <w:pPr>
        <w:pStyle w:val="NoSpacing"/>
      </w:pPr>
    </w:p>
    <w:tbl>
      <w:tblPr>
        <w:tblW w:w="8160" w:type="dxa"/>
        <w:tblInd w:w="720" w:type="dxa"/>
        <w:tblLayout w:type="fixed"/>
        <w:tblLook w:val="01E0" w:firstRow="1" w:lastRow="1" w:firstColumn="1" w:lastColumn="1" w:noHBand="0" w:noVBand="0"/>
      </w:tblPr>
      <w:tblGrid>
        <w:gridCol w:w="4670"/>
        <w:gridCol w:w="1720"/>
        <w:gridCol w:w="1770"/>
      </w:tblGrid>
      <w:tr w:rsidR="003827E8" w:rsidRPr="002A0B87" w14:paraId="1EE7EF2D" w14:textId="77777777" w:rsidTr="00254501">
        <w:trPr>
          <w:trHeight w:val="20"/>
          <w:tblHeader/>
        </w:trPr>
        <w:tc>
          <w:tcPr>
            <w:tcW w:w="4670" w:type="dxa"/>
            <w:vAlign w:val="bottom"/>
          </w:tcPr>
          <w:p w14:paraId="48F8B1B4" w14:textId="77777777" w:rsidR="003827E8" w:rsidRPr="002A0B87" w:rsidRDefault="003827E8" w:rsidP="000B000B">
            <w:pPr>
              <w:widowControl w:val="0"/>
              <w:overflowPunct/>
              <w:autoSpaceDE/>
              <w:autoSpaceDN/>
              <w:adjustRightInd/>
              <w:ind w:left="-115"/>
              <w:textAlignment w:val="auto"/>
              <w:rPr>
                <w:rFonts w:eastAsia="Batang" w:cs="Arial"/>
                <w:i/>
                <w:lang w:val="es-ES"/>
              </w:rPr>
            </w:pPr>
          </w:p>
        </w:tc>
        <w:tc>
          <w:tcPr>
            <w:tcW w:w="1720" w:type="dxa"/>
            <w:vAlign w:val="bottom"/>
            <w:hideMark/>
          </w:tcPr>
          <w:p w14:paraId="07C633CA" w14:textId="55C0D83E" w:rsidR="003827E8" w:rsidRPr="002A0B87" w:rsidRDefault="003C1E48" w:rsidP="00606C2F">
            <w:pPr>
              <w:widowControl w:val="0"/>
              <w:pBdr>
                <w:bottom w:val="single" w:sz="4" w:space="0" w:color="auto"/>
              </w:pBdr>
              <w:overflowPunct/>
              <w:autoSpaceDE/>
              <w:autoSpaceDN/>
              <w:adjustRightInd/>
              <w:ind w:left="57" w:right="-85"/>
              <w:jc w:val="right"/>
              <w:textAlignment w:val="auto"/>
              <w:rPr>
                <w:rFonts w:eastAsia="Batang" w:cs="Arial"/>
                <w:bCs/>
                <w:i/>
              </w:rPr>
            </w:pPr>
            <w:r w:rsidRPr="003C1E48">
              <w:rPr>
                <w:rFonts w:eastAsia="Batang" w:cs="Arial"/>
                <w:bCs/>
                <w:i/>
              </w:rPr>
              <w:t>Ending balance</w:t>
            </w:r>
          </w:p>
          <w:p w14:paraId="59BD875A" w14:textId="77777777" w:rsidR="003827E8" w:rsidRPr="002A0B87" w:rsidRDefault="003827E8" w:rsidP="00606C2F">
            <w:pPr>
              <w:widowControl w:val="0"/>
              <w:pBdr>
                <w:bottom w:val="single" w:sz="4" w:space="0" w:color="auto"/>
              </w:pBdr>
              <w:ind w:left="57" w:right="-85"/>
              <w:jc w:val="right"/>
              <w:rPr>
                <w:rFonts w:cs="Arial"/>
                <w:bCs/>
                <w:i/>
              </w:rPr>
            </w:pPr>
            <w:r w:rsidRPr="002A0B87">
              <w:rPr>
                <w:rFonts w:eastAsia="Batang" w:cs="Arial"/>
                <w:i/>
                <w:iCs/>
              </w:rPr>
              <w:t>VND</w:t>
            </w:r>
          </w:p>
        </w:tc>
        <w:tc>
          <w:tcPr>
            <w:tcW w:w="1770" w:type="dxa"/>
            <w:vAlign w:val="bottom"/>
            <w:hideMark/>
          </w:tcPr>
          <w:p w14:paraId="56FE5FA9" w14:textId="25F8F3F2" w:rsidR="003827E8" w:rsidRPr="002A0B87" w:rsidRDefault="000A0DA1" w:rsidP="00606C2F">
            <w:pPr>
              <w:widowControl w:val="0"/>
              <w:pBdr>
                <w:bottom w:val="single" w:sz="4" w:space="0" w:color="auto"/>
              </w:pBdr>
              <w:overflowPunct/>
              <w:autoSpaceDE/>
              <w:autoSpaceDN/>
              <w:adjustRightInd/>
              <w:ind w:left="57" w:right="-85"/>
              <w:jc w:val="right"/>
              <w:textAlignment w:val="auto"/>
              <w:rPr>
                <w:rFonts w:eastAsia="Batang" w:cs="Arial"/>
                <w:bCs/>
                <w:i/>
              </w:rPr>
            </w:pPr>
            <w:r w:rsidRPr="000A0DA1">
              <w:rPr>
                <w:rFonts w:eastAsia="Batang" w:cs="Arial"/>
                <w:bCs/>
                <w:i/>
              </w:rPr>
              <w:t>Opening balance</w:t>
            </w:r>
          </w:p>
          <w:p w14:paraId="77A8B9AC" w14:textId="77777777" w:rsidR="003827E8" w:rsidRPr="002A0B87" w:rsidRDefault="003827E8" w:rsidP="00606C2F">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0F126C" w:rsidRPr="002A0B87" w14:paraId="05E2A5E1" w14:textId="77777777" w:rsidTr="00254501">
        <w:trPr>
          <w:trHeight w:val="20"/>
        </w:trPr>
        <w:tc>
          <w:tcPr>
            <w:tcW w:w="4670" w:type="dxa"/>
            <w:vAlign w:val="bottom"/>
            <w:hideMark/>
          </w:tcPr>
          <w:p w14:paraId="5DDF9191" w14:textId="5AB35D42" w:rsidR="000F126C" w:rsidRPr="002A0B87" w:rsidRDefault="00365EE0" w:rsidP="00CE21D3">
            <w:pPr>
              <w:widowControl w:val="0"/>
              <w:spacing w:before="120"/>
              <w:ind w:left="-115"/>
              <w:rPr>
                <w:rFonts w:cs="Arial"/>
              </w:rPr>
            </w:pPr>
            <w:r w:rsidRPr="00365EE0">
              <w:rPr>
                <w:rFonts w:cs="Arial"/>
              </w:rPr>
              <w:t>Others</w:t>
            </w:r>
          </w:p>
        </w:tc>
        <w:tc>
          <w:tcPr>
            <w:tcW w:w="1720" w:type="dxa"/>
            <w:vAlign w:val="bottom"/>
          </w:tcPr>
          <w:p w14:paraId="64E042A3" w14:textId="11759659" w:rsidR="000F126C" w:rsidRPr="002A0B87" w:rsidRDefault="00F123A8" w:rsidP="00CE21D3">
            <w:pPr>
              <w:widowControl w:val="0"/>
              <w:pBdr>
                <w:bottom w:val="single" w:sz="4" w:space="0" w:color="auto"/>
              </w:pBdr>
              <w:spacing w:before="120"/>
              <w:ind w:left="57" w:right="-85"/>
              <w:jc w:val="right"/>
              <w:rPr>
                <w:rFonts w:eastAsia="Batang" w:cs="Arial"/>
                <w:highlight w:val="yellow"/>
                <w:lang w:eastAsia="ko-KR"/>
              </w:rPr>
            </w:pPr>
            <w:r w:rsidRPr="00403E39">
              <w:rPr>
                <w:rFonts w:cs="Arial"/>
              </w:rPr>
              <w:t>250</w:t>
            </w:r>
            <w:r>
              <w:rPr>
                <w:rFonts w:cs="Arial"/>
              </w:rPr>
              <w:t>,</w:t>
            </w:r>
            <w:r w:rsidRPr="00403E39">
              <w:rPr>
                <w:rFonts w:cs="Arial"/>
              </w:rPr>
              <w:t xml:space="preserve">000 </w:t>
            </w:r>
          </w:p>
        </w:tc>
        <w:tc>
          <w:tcPr>
            <w:tcW w:w="1770" w:type="dxa"/>
            <w:vAlign w:val="bottom"/>
            <w:hideMark/>
          </w:tcPr>
          <w:p w14:paraId="0A6954B0" w14:textId="4325917E" w:rsidR="000F126C" w:rsidRPr="002A0B87" w:rsidRDefault="00F123A8" w:rsidP="00CE21D3">
            <w:pPr>
              <w:widowControl w:val="0"/>
              <w:pBdr>
                <w:bottom w:val="single" w:sz="4" w:space="0" w:color="auto"/>
              </w:pBdr>
              <w:spacing w:before="120"/>
              <w:ind w:left="57" w:right="-85"/>
              <w:jc w:val="right"/>
              <w:rPr>
                <w:rFonts w:eastAsia="Batang" w:cs="Arial"/>
                <w:lang w:eastAsia="ko-KR"/>
              </w:rPr>
            </w:pPr>
            <w:r>
              <w:rPr>
                <w:rFonts w:cs="Arial"/>
              </w:rPr>
              <w:t>250,000</w:t>
            </w:r>
          </w:p>
        </w:tc>
      </w:tr>
      <w:tr w:rsidR="000F126C" w:rsidRPr="002A0B87" w14:paraId="2ABFF088" w14:textId="77777777" w:rsidTr="00254501">
        <w:trPr>
          <w:trHeight w:val="20"/>
        </w:trPr>
        <w:tc>
          <w:tcPr>
            <w:tcW w:w="4670" w:type="dxa"/>
            <w:vAlign w:val="bottom"/>
          </w:tcPr>
          <w:p w14:paraId="63025638" w14:textId="77777777" w:rsidR="000F126C" w:rsidRPr="002A0B87" w:rsidRDefault="000F126C" w:rsidP="000F126C">
            <w:pPr>
              <w:widowControl w:val="0"/>
              <w:spacing w:before="120"/>
              <w:ind w:left="-115"/>
              <w:rPr>
                <w:rFonts w:cs="Arial"/>
                <w:b/>
              </w:rPr>
            </w:pPr>
          </w:p>
        </w:tc>
        <w:tc>
          <w:tcPr>
            <w:tcW w:w="1720" w:type="dxa"/>
            <w:vAlign w:val="bottom"/>
          </w:tcPr>
          <w:p w14:paraId="6BB285FF" w14:textId="0B3F1134" w:rsidR="000F126C" w:rsidRPr="002A0B87" w:rsidRDefault="00F123A8" w:rsidP="000F126C">
            <w:pPr>
              <w:widowControl w:val="0"/>
              <w:pBdr>
                <w:bottom w:val="double" w:sz="4" w:space="0" w:color="auto"/>
              </w:pBdr>
              <w:spacing w:before="120"/>
              <w:ind w:left="57" w:right="-85"/>
              <w:jc w:val="right"/>
              <w:rPr>
                <w:rFonts w:eastAsia="Batang" w:cs="Arial"/>
                <w:b/>
                <w:bCs/>
                <w:highlight w:val="yellow"/>
                <w:lang w:eastAsia="ko-KR"/>
              </w:rPr>
            </w:pPr>
            <w:r w:rsidRPr="00403E39">
              <w:rPr>
                <w:rFonts w:cs="Arial"/>
                <w:b/>
                <w:bCs/>
              </w:rPr>
              <w:t>250</w:t>
            </w:r>
            <w:r>
              <w:rPr>
                <w:rFonts w:cs="Arial"/>
                <w:b/>
                <w:bCs/>
              </w:rPr>
              <w:t>,</w:t>
            </w:r>
            <w:r w:rsidRPr="00403E39">
              <w:rPr>
                <w:rFonts w:cs="Arial"/>
                <w:b/>
                <w:bCs/>
              </w:rPr>
              <w:t xml:space="preserve">000 </w:t>
            </w:r>
          </w:p>
        </w:tc>
        <w:tc>
          <w:tcPr>
            <w:tcW w:w="1770" w:type="dxa"/>
            <w:vAlign w:val="bottom"/>
            <w:hideMark/>
          </w:tcPr>
          <w:p w14:paraId="3ACB77CE" w14:textId="134B54C2" w:rsidR="000F126C" w:rsidRPr="002A0B87" w:rsidRDefault="00F123A8" w:rsidP="000F126C">
            <w:pPr>
              <w:widowControl w:val="0"/>
              <w:pBdr>
                <w:bottom w:val="double" w:sz="4" w:space="0" w:color="auto"/>
              </w:pBdr>
              <w:spacing w:before="120"/>
              <w:ind w:left="57" w:right="-85"/>
              <w:jc w:val="right"/>
              <w:rPr>
                <w:rFonts w:cs="Arial"/>
                <w:b/>
                <w:bCs/>
              </w:rPr>
            </w:pPr>
            <w:r>
              <w:rPr>
                <w:rFonts w:cs="Arial"/>
                <w:b/>
                <w:bCs/>
              </w:rPr>
              <w:t>250,000</w:t>
            </w:r>
          </w:p>
        </w:tc>
      </w:tr>
    </w:tbl>
    <w:p w14:paraId="664C6596" w14:textId="6B275019" w:rsidR="00B16260" w:rsidRPr="002A0B87" w:rsidRDefault="00B16260" w:rsidP="00AD2EBB">
      <w:pPr>
        <w:overflowPunct/>
        <w:autoSpaceDE/>
        <w:autoSpaceDN/>
        <w:adjustRightInd/>
        <w:ind w:left="720"/>
        <w:textAlignment w:val="auto"/>
        <w:rPr>
          <w:rFonts w:cs="Arial"/>
        </w:rPr>
        <w:sectPr w:rsidR="00B16260" w:rsidRPr="002A0B87" w:rsidSect="009032CF">
          <w:pgSz w:w="11909" w:h="16834" w:code="9"/>
          <w:pgMar w:top="1440" w:right="1440" w:bottom="862" w:left="1582" w:header="720" w:footer="578" w:gutter="0"/>
          <w:cols w:space="720"/>
          <w:docGrid w:linePitch="272"/>
        </w:sectPr>
      </w:pPr>
    </w:p>
    <w:p w14:paraId="0891A8DC" w14:textId="1E1F73EE" w:rsidR="00721F27" w:rsidRPr="002A0B87" w:rsidRDefault="006465D2" w:rsidP="00721F27">
      <w:pPr>
        <w:pStyle w:val="BodyText"/>
        <w:ind w:left="720" w:hanging="720"/>
        <w:textAlignment w:val="auto"/>
        <w:outlineLvl w:val="0"/>
        <w:rPr>
          <w:rFonts w:ascii="Arial" w:hAnsi="Arial" w:cs="Arial"/>
          <w:b/>
          <w:bCs/>
        </w:rPr>
      </w:pPr>
      <w:r>
        <w:rPr>
          <w:rFonts w:ascii="Arial" w:hAnsi="Arial" w:cs="Arial"/>
          <w:b/>
          <w:bCs/>
        </w:rPr>
        <w:lastRenderedPageBreak/>
        <w:t>9</w:t>
      </w:r>
      <w:r w:rsidR="00721F27" w:rsidRPr="002A0B87">
        <w:rPr>
          <w:rFonts w:ascii="Arial" w:hAnsi="Arial" w:cs="Arial"/>
          <w:b/>
          <w:bCs/>
        </w:rPr>
        <w:t>.</w:t>
      </w:r>
      <w:r w:rsidR="00721F27" w:rsidRPr="002A0B87">
        <w:rPr>
          <w:rFonts w:ascii="Arial" w:hAnsi="Arial" w:cs="Arial"/>
          <w:b/>
          <w:bCs/>
        </w:rPr>
        <w:tab/>
      </w:r>
      <w:r w:rsidR="00004DCE" w:rsidRPr="00004DCE">
        <w:rPr>
          <w:rFonts w:ascii="Arial" w:hAnsi="Arial" w:cs="Arial"/>
          <w:b/>
          <w:bCs/>
        </w:rPr>
        <w:t>TANGIBLE FIXED ASSETS</w:t>
      </w:r>
      <w:r w:rsidR="00004DCE" w:rsidRPr="00004DCE" w:rsidDel="00004DCE">
        <w:rPr>
          <w:rFonts w:ascii="Arial" w:hAnsi="Arial" w:cs="Arial"/>
          <w:b/>
          <w:bCs/>
        </w:rPr>
        <w:t xml:space="preserve"> </w:t>
      </w:r>
    </w:p>
    <w:p w14:paraId="69EFECB5" w14:textId="3458BA64" w:rsidR="00721F27" w:rsidRPr="002A0B87" w:rsidRDefault="00721F27" w:rsidP="00C90B5D">
      <w:pPr>
        <w:pStyle w:val="NoSpacing"/>
      </w:pPr>
    </w:p>
    <w:tbl>
      <w:tblPr>
        <w:tblW w:w="8179" w:type="dxa"/>
        <w:tblInd w:w="720" w:type="dxa"/>
        <w:tblLayout w:type="fixed"/>
        <w:tblLook w:val="01E0" w:firstRow="1" w:lastRow="1" w:firstColumn="1" w:lastColumn="1" w:noHBand="0" w:noVBand="0"/>
      </w:tblPr>
      <w:tblGrid>
        <w:gridCol w:w="3082"/>
        <w:gridCol w:w="1699"/>
        <w:gridCol w:w="1699"/>
        <w:gridCol w:w="1699"/>
      </w:tblGrid>
      <w:tr w:rsidR="00506D05" w:rsidRPr="002A0B87" w14:paraId="60559132" w14:textId="77777777" w:rsidTr="00B90DAA">
        <w:trPr>
          <w:trHeight w:val="20"/>
          <w:tblHeader/>
        </w:trPr>
        <w:tc>
          <w:tcPr>
            <w:tcW w:w="3082" w:type="dxa"/>
            <w:vAlign w:val="bottom"/>
          </w:tcPr>
          <w:p w14:paraId="0320F912" w14:textId="77777777" w:rsidR="00506D05" w:rsidRPr="002A0B87" w:rsidRDefault="00506D05" w:rsidP="00721F27">
            <w:pPr>
              <w:widowControl w:val="0"/>
              <w:ind w:left="-115"/>
              <w:rPr>
                <w:rFonts w:cs="Arial"/>
                <w:i/>
              </w:rPr>
            </w:pPr>
          </w:p>
        </w:tc>
        <w:tc>
          <w:tcPr>
            <w:tcW w:w="1699" w:type="dxa"/>
            <w:vAlign w:val="bottom"/>
            <w:hideMark/>
          </w:tcPr>
          <w:p w14:paraId="22FFE5BB" w14:textId="52640C62" w:rsidR="00506D05" w:rsidRPr="002A0B87" w:rsidRDefault="00A04B54" w:rsidP="00721F27">
            <w:pPr>
              <w:widowControl w:val="0"/>
              <w:pBdr>
                <w:bottom w:val="single" w:sz="4" w:space="0" w:color="auto"/>
              </w:pBdr>
              <w:ind w:left="58" w:right="-86"/>
              <w:jc w:val="right"/>
              <w:rPr>
                <w:rFonts w:cs="Arial"/>
                <w:bCs/>
                <w:i/>
                <w:lang w:val="nl-NL"/>
              </w:rPr>
            </w:pPr>
            <w:r w:rsidRPr="00A04B54">
              <w:rPr>
                <w:rFonts w:cs="Arial"/>
                <w:bCs/>
                <w:i/>
                <w:lang w:val="nl-NL"/>
              </w:rPr>
              <w:t>Buildings and improvements</w:t>
            </w:r>
          </w:p>
          <w:p w14:paraId="4E1D07A2" w14:textId="2C5B0DC3" w:rsidR="00506D05" w:rsidRPr="002A0B87" w:rsidRDefault="00506D05" w:rsidP="00721F27">
            <w:pPr>
              <w:widowControl w:val="0"/>
              <w:pBdr>
                <w:bottom w:val="single" w:sz="4" w:space="0" w:color="auto"/>
              </w:pBdr>
              <w:ind w:left="58" w:right="-86"/>
              <w:jc w:val="right"/>
              <w:rPr>
                <w:rFonts w:cs="Arial"/>
                <w:i/>
                <w:lang w:val="nl-NL"/>
              </w:rPr>
            </w:pPr>
            <w:r w:rsidRPr="002A0B87">
              <w:rPr>
                <w:rFonts w:eastAsia="Batang" w:cs="Arial"/>
                <w:i/>
                <w:iCs/>
              </w:rPr>
              <w:t>VND</w:t>
            </w:r>
          </w:p>
        </w:tc>
        <w:tc>
          <w:tcPr>
            <w:tcW w:w="1699" w:type="dxa"/>
            <w:vAlign w:val="bottom"/>
            <w:hideMark/>
          </w:tcPr>
          <w:p w14:paraId="4ABAB462" w14:textId="0FD4FDDD" w:rsidR="00506D05" w:rsidRPr="002A0B87" w:rsidRDefault="00642555" w:rsidP="00721F27">
            <w:pPr>
              <w:widowControl w:val="0"/>
              <w:pBdr>
                <w:bottom w:val="single" w:sz="4" w:space="0" w:color="auto"/>
              </w:pBdr>
              <w:ind w:left="58" w:right="-86"/>
              <w:jc w:val="right"/>
              <w:rPr>
                <w:rFonts w:cs="Arial"/>
                <w:bCs/>
                <w:i/>
                <w:lang w:val="nl-NL"/>
              </w:rPr>
            </w:pPr>
            <w:r w:rsidRPr="00642555">
              <w:rPr>
                <w:rFonts w:cs="Arial"/>
                <w:bCs/>
                <w:i/>
                <w:lang w:val="nl-NL"/>
              </w:rPr>
              <w:t>Machine and equipment</w:t>
            </w:r>
          </w:p>
          <w:p w14:paraId="77A6E7F8" w14:textId="62667E2A" w:rsidR="00506D05" w:rsidRPr="002A0B87" w:rsidRDefault="00506D05" w:rsidP="00721F27">
            <w:pPr>
              <w:widowControl w:val="0"/>
              <w:pBdr>
                <w:bottom w:val="single" w:sz="4" w:space="0" w:color="auto"/>
              </w:pBdr>
              <w:ind w:left="58" w:right="-86"/>
              <w:jc w:val="right"/>
              <w:rPr>
                <w:rFonts w:cs="Arial"/>
                <w:i/>
                <w:lang w:val="nl-NL"/>
              </w:rPr>
            </w:pPr>
            <w:r w:rsidRPr="002A0B87">
              <w:rPr>
                <w:rFonts w:eastAsia="Batang" w:cs="Arial"/>
                <w:i/>
                <w:iCs/>
              </w:rPr>
              <w:t>VND</w:t>
            </w:r>
          </w:p>
        </w:tc>
        <w:tc>
          <w:tcPr>
            <w:tcW w:w="1699" w:type="dxa"/>
            <w:vAlign w:val="bottom"/>
            <w:hideMark/>
          </w:tcPr>
          <w:p w14:paraId="2B35FEA7" w14:textId="791BC6E5" w:rsidR="00506D05" w:rsidRPr="002A0B87" w:rsidRDefault="001550A0" w:rsidP="00721F27">
            <w:pPr>
              <w:widowControl w:val="0"/>
              <w:pBdr>
                <w:bottom w:val="single" w:sz="4" w:space="0" w:color="auto"/>
              </w:pBdr>
              <w:ind w:left="58" w:right="-86"/>
              <w:jc w:val="right"/>
              <w:rPr>
                <w:rFonts w:cs="Arial"/>
                <w:bCs/>
                <w:i/>
                <w:lang w:val="nl-NL"/>
              </w:rPr>
            </w:pPr>
            <w:r w:rsidRPr="001550A0">
              <w:rPr>
                <w:rFonts w:cs="Arial"/>
                <w:bCs/>
                <w:i/>
                <w:lang w:val="nl-NL"/>
              </w:rPr>
              <w:t>Total</w:t>
            </w:r>
          </w:p>
          <w:p w14:paraId="51771460" w14:textId="6ADE9EAC" w:rsidR="00506D05" w:rsidRPr="002A0B87" w:rsidRDefault="00506D05" w:rsidP="00721F27">
            <w:pPr>
              <w:widowControl w:val="0"/>
              <w:pBdr>
                <w:bottom w:val="single" w:sz="4" w:space="0" w:color="auto"/>
              </w:pBdr>
              <w:ind w:left="58" w:right="-86"/>
              <w:jc w:val="right"/>
              <w:rPr>
                <w:rFonts w:cs="Arial"/>
                <w:i/>
                <w:lang w:val="nl-NL"/>
              </w:rPr>
            </w:pPr>
            <w:r w:rsidRPr="002A0B87">
              <w:rPr>
                <w:rFonts w:eastAsia="Batang" w:cs="Arial"/>
                <w:i/>
                <w:iCs/>
              </w:rPr>
              <w:t>VND</w:t>
            </w:r>
          </w:p>
        </w:tc>
      </w:tr>
      <w:tr w:rsidR="00506D05" w:rsidRPr="002A0B87" w14:paraId="4FAA903E" w14:textId="77777777" w:rsidTr="00B90DAA">
        <w:trPr>
          <w:trHeight w:val="20"/>
        </w:trPr>
        <w:tc>
          <w:tcPr>
            <w:tcW w:w="3082" w:type="dxa"/>
            <w:vAlign w:val="bottom"/>
            <w:hideMark/>
          </w:tcPr>
          <w:p w14:paraId="4DB021B3" w14:textId="39AA4790" w:rsidR="00506D05" w:rsidRPr="002A0B87" w:rsidRDefault="0034237F" w:rsidP="00721F27">
            <w:pPr>
              <w:widowControl w:val="0"/>
              <w:spacing w:before="120"/>
              <w:ind w:left="-115"/>
              <w:rPr>
                <w:rFonts w:cs="Arial"/>
                <w:b/>
                <w:lang w:val="nl-NL"/>
              </w:rPr>
            </w:pPr>
            <w:r w:rsidRPr="0034237F">
              <w:rPr>
                <w:rFonts w:cs="Arial"/>
                <w:b/>
                <w:lang w:val="nl-NL"/>
              </w:rPr>
              <w:t>Cost</w:t>
            </w:r>
          </w:p>
        </w:tc>
        <w:tc>
          <w:tcPr>
            <w:tcW w:w="1699" w:type="dxa"/>
            <w:vAlign w:val="bottom"/>
          </w:tcPr>
          <w:p w14:paraId="7909B780" w14:textId="77777777" w:rsidR="00506D05" w:rsidRPr="002A0B87" w:rsidRDefault="00506D05" w:rsidP="00721F27">
            <w:pPr>
              <w:widowControl w:val="0"/>
              <w:spacing w:before="120"/>
              <w:ind w:left="58" w:right="-86"/>
              <w:jc w:val="right"/>
              <w:rPr>
                <w:rFonts w:cs="Arial"/>
                <w:lang w:val="nl-NL"/>
              </w:rPr>
            </w:pPr>
          </w:p>
        </w:tc>
        <w:tc>
          <w:tcPr>
            <w:tcW w:w="1699" w:type="dxa"/>
            <w:vAlign w:val="bottom"/>
          </w:tcPr>
          <w:p w14:paraId="04D1A3C9" w14:textId="77777777" w:rsidR="00506D05" w:rsidRPr="002A0B87" w:rsidRDefault="00506D05" w:rsidP="00721F27">
            <w:pPr>
              <w:widowControl w:val="0"/>
              <w:spacing w:before="120"/>
              <w:ind w:left="58" w:right="-86"/>
              <w:jc w:val="right"/>
              <w:rPr>
                <w:rFonts w:cs="Arial"/>
                <w:lang w:val="nl-NL"/>
              </w:rPr>
            </w:pPr>
          </w:p>
        </w:tc>
        <w:tc>
          <w:tcPr>
            <w:tcW w:w="1699" w:type="dxa"/>
            <w:vAlign w:val="bottom"/>
          </w:tcPr>
          <w:p w14:paraId="05A96C40" w14:textId="05589B1E" w:rsidR="00506D05" w:rsidRPr="002A0B87" w:rsidRDefault="00506D05" w:rsidP="00721F27">
            <w:pPr>
              <w:widowControl w:val="0"/>
              <w:spacing w:before="120"/>
              <w:ind w:left="58" w:right="-86"/>
              <w:jc w:val="right"/>
              <w:rPr>
                <w:rFonts w:cs="Arial"/>
                <w:lang w:val="nl-NL"/>
              </w:rPr>
            </w:pPr>
          </w:p>
        </w:tc>
      </w:tr>
      <w:tr w:rsidR="008F7F94" w:rsidRPr="002A0B87" w14:paraId="266180F8" w14:textId="77777777" w:rsidTr="007C4864">
        <w:trPr>
          <w:trHeight w:val="141"/>
          <w:tblHeader/>
        </w:trPr>
        <w:tc>
          <w:tcPr>
            <w:tcW w:w="3082" w:type="dxa"/>
            <w:vAlign w:val="bottom"/>
            <w:hideMark/>
          </w:tcPr>
          <w:p w14:paraId="1A82EA79" w14:textId="06A3FA43" w:rsidR="008F7F94" w:rsidRPr="002A0B87" w:rsidRDefault="008F7F94" w:rsidP="008F7F94">
            <w:pPr>
              <w:widowControl w:val="0"/>
              <w:spacing w:before="120"/>
              <w:ind w:left="-115"/>
              <w:rPr>
                <w:rFonts w:cs="Arial"/>
                <w:lang w:val="nl-NL"/>
              </w:rPr>
            </w:pPr>
            <w:r w:rsidRPr="0080400C">
              <w:rPr>
                <w:rFonts w:cs="Arial"/>
                <w:lang w:val="nl-NL"/>
              </w:rPr>
              <w:t>Opening balance</w:t>
            </w:r>
          </w:p>
        </w:tc>
        <w:tc>
          <w:tcPr>
            <w:tcW w:w="1699" w:type="dxa"/>
          </w:tcPr>
          <w:p w14:paraId="2B69F5B5" w14:textId="7C4D4220" w:rsidR="008F7F94" w:rsidRPr="002A0B87" w:rsidRDefault="008F7F94" w:rsidP="008F7F94">
            <w:pPr>
              <w:widowControl w:val="0"/>
              <w:overflowPunct/>
              <w:autoSpaceDE/>
              <w:autoSpaceDN/>
              <w:adjustRightInd/>
              <w:spacing w:before="120"/>
              <w:ind w:left="58" w:right="-86"/>
              <w:jc w:val="right"/>
              <w:textAlignment w:val="auto"/>
              <w:rPr>
                <w:rFonts w:eastAsia="Batang" w:cs="Arial"/>
                <w:highlight w:val="yellow"/>
                <w:lang w:eastAsia="ko-KR"/>
              </w:rPr>
            </w:pPr>
            <w:r w:rsidRPr="007239D6">
              <w:t>1</w:t>
            </w:r>
            <w:r>
              <w:t>,</w:t>
            </w:r>
            <w:r w:rsidRPr="007239D6">
              <w:t>574</w:t>
            </w:r>
            <w:r>
              <w:t>,</w:t>
            </w:r>
            <w:r w:rsidRPr="007239D6">
              <w:t>550</w:t>
            </w:r>
            <w:r>
              <w:t>,</w:t>
            </w:r>
            <w:r w:rsidRPr="007239D6">
              <w:t>903</w:t>
            </w:r>
          </w:p>
        </w:tc>
        <w:tc>
          <w:tcPr>
            <w:tcW w:w="1699" w:type="dxa"/>
          </w:tcPr>
          <w:p w14:paraId="1B03DAC0" w14:textId="0B46E1A9" w:rsidR="008F7F94" w:rsidRPr="002A0B87" w:rsidRDefault="008F7F94" w:rsidP="008F7F94">
            <w:pPr>
              <w:widowControl w:val="0"/>
              <w:overflowPunct/>
              <w:autoSpaceDE/>
              <w:autoSpaceDN/>
              <w:adjustRightInd/>
              <w:spacing w:before="120"/>
              <w:ind w:left="58" w:right="-86"/>
              <w:jc w:val="right"/>
              <w:textAlignment w:val="auto"/>
              <w:rPr>
                <w:rFonts w:eastAsia="Batang" w:cs="Arial"/>
                <w:highlight w:val="yellow"/>
                <w:lang w:eastAsia="ko-KR"/>
              </w:rPr>
            </w:pPr>
            <w:r w:rsidRPr="007239D6">
              <w:t>16</w:t>
            </w:r>
            <w:r>
              <w:t>,</w:t>
            </w:r>
            <w:r w:rsidRPr="007239D6">
              <w:t>438</w:t>
            </w:r>
            <w:r>
              <w:t>,</w:t>
            </w:r>
            <w:r w:rsidRPr="007239D6">
              <w:t>247</w:t>
            </w:r>
            <w:r>
              <w:t>,</w:t>
            </w:r>
            <w:r w:rsidRPr="007239D6">
              <w:t>371</w:t>
            </w:r>
          </w:p>
        </w:tc>
        <w:tc>
          <w:tcPr>
            <w:tcW w:w="1699" w:type="dxa"/>
          </w:tcPr>
          <w:p w14:paraId="2A9EBA65" w14:textId="1ED34818" w:rsidR="008F7F94" w:rsidRPr="002A0B87" w:rsidRDefault="008F7F94" w:rsidP="008F7F94">
            <w:pPr>
              <w:widowControl w:val="0"/>
              <w:overflowPunct/>
              <w:autoSpaceDE/>
              <w:autoSpaceDN/>
              <w:adjustRightInd/>
              <w:spacing w:before="120"/>
              <w:ind w:left="58" w:right="-86"/>
              <w:jc w:val="right"/>
              <w:textAlignment w:val="auto"/>
              <w:rPr>
                <w:rFonts w:eastAsia="Batang" w:cs="Arial"/>
                <w:highlight w:val="yellow"/>
                <w:lang w:eastAsia="ko-KR"/>
              </w:rPr>
            </w:pPr>
            <w:r w:rsidRPr="007239D6">
              <w:t>18</w:t>
            </w:r>
            <w:r>
              <w:t>,</w:t>
            </w:r>
            <w:r w:rsidRPr="007239D6">
              <w:t>012</w:t>
            </w:r>
            <w:r>
              <w:t>,</w:t>
            </w:r>
            <w:r w:rsidRPr="007239D6">
              <w:t>798</w:t>
            </w:r>
            <w:r>
              <w:t>,</w:t>
            </w:r>
            <w:r w:rsidRPr="007239D6">
              <w:t>274</w:t>
            </w:r>
          </w:p>
        </w:tc>
      </w:tr>
      <w:tr w:rsidR="008F7F94" w:rsidRPr="002A0B87" w14:paraId="16C61B95" w14:textId="77777777" w:rsidTr="007C4864">
        <w:trPr>
          <w:trHeight w:val="141"/>
          <w:tblHeader/>
        </w:trPr>
        <w:tc>
          <w:tcPr>
            <w:tcW w:w="3082" w:type="dxa"/>
            <w:vAlign w:val="bottom"/>
          </w:tcPr>
          <w:p w14:paraId="3C9E469A" w14:textId="20DD676A" w:rsidR="008F7F94" w:rsidRPr="0080400C" w:rsidRDefault="008F7F94" w:rsidP="008F7F94">
            <w:pPr>
              <w:widowControl w:val="0"/>
              <w:spacing w:before="120"/>
              <w:ind w:left="-115"/>
              <w:rPr>
                <w:rFonts w:cs="Arial"/>
                <w:lang w:val="nl-NL"/>
              </w:rPr>
            </w:pPr>
            <w:r>
              <w:rPr>
                <w:rFonts w:cs="Arial"/>
                <w:lang w:val="nl-NL"/>
              </w:rPr>
              <w:t>Addition</w:t>
            </w:r>
          </w:p>
        </w:tc>
        <w:tc>
          <w:tcPr>
            <w:tcW w:w="1699" w:type="dxa"/>
          </w:tcPr>
          <w:p w14:paraId="1F076095" w14:textId="77AF70AB" w:rsidR="008F7F94" w:rsidRDefault="008F7F94" w:rsidP="008F7F94">
            <w:pPr>
              <w:widowControl w:val="0"/>
              <w:pBdr>
                <w:bottom w:val="single" w:sz="4" w:space="1" w:color="auto"/>
              </w:pBdr>
              <w:overflowPunct/>
              <w:autoSpaceDE/>
              <w:autoSpaceDN/>
              <w:adjustRightInd/>
              <w:spacing w:before="120"/>
              <w:ind w:left="58" w:right="-86"/>
              <w:jc w:val="right"/>
              <w:textAlignment w:val="auto"/>
              <w:rPr>
                <w:rFonts w:eastAsia="Batang" w:cs="Arial"/>
                <w:lang w:eastAsia="ko-KR"/>
              </w:rPr>
            </w:pPr>
            <w:r w:rsidRPr="007239D6">
              <w:t>-</w:t>
            </w:r>
          </w:p>
        </w:tc>
        <w:tc>
          <w:tcPr>
            <w:tcW w:w="1699" w:type="dxa"/>
          </w:tcPr>
          <w:p w14:paraId="7910F769" w14:textId="7554BCF7" w:rsidR="008F7F94" w:rsidRDefault="008F7F94" w:rsidP="008F7F94">
            <w:pPr>
              <w:widowControl w:val="0"/>
              <w:pBdr>
                <w:bottom w:val="single" w:sz="4" w:space="1" w:color="auto"/>
              </w:pBdr>
              <w:overflowPunct/>
              <w:autoSpaceDE/>
              <w:autoSpaceDN/>
              <w:adjustRightInd/>
              <w:spacing w:before="120"/>
              <w:ind w:left="58" w:right="-86"/>
              <w:jc w:val="right"/>
              <w:textAlignment w:val="auto"/>
              <w:rPr>
                <w:rFonts w:eastAsia="Batang" w:cs="Arial"/>
                <w:lang w:eastAsia="ko-KR"/>
              </w:rPr>
            </w:pPr>
            <w:r w:rsidRPr="007239D6">
              <w:t>703</w:t>
            </w:r>
            <w:r>
              <w:t>,</w:t>
            </w:r>
            <w:r w:rsidRPr="007239D6">
              <w:t>087</w:t>
            </w:r>
            <w:r>
              <w:t>,</w:t>
            </w:r>
            <w:r w:rsidRPr="007239D6">
              <w:t>800</w:t>
            </w:r>
          </w:p>
        </w:tc>
        <w:tc>
          <w:tcPr>
            <w:tcW w:w="1699" w:type="dxa"/>
          </w:tcPr>
          <w:p w14:paraId="1AF07BB2" w14:textId="4C70FEF7" w:rsidR="008F7F94" w:rsidRDefault="008F7F94" w:rsidP="008F7F94">
            <w:pPr>
              <w:widowControl w:val="0"/>
              <w:pBdr>
                <w:bottom w:val="single" w:sz="4" w:space="1" w:color="auto"/>
              </w:pBdr>
              <w:overflowPunct/>
              <w:autoSpaceDE/>
              <w:autoSpaceDN/>
              <w:adjustRightInd/>
              <w:spacing w:before="120"/>
              <w:ind w:left="58" w:right="-86"/>
              <w:jc w:val="right"/>
              <w:textAlignment w:val="auto"/>
              <w:rPr>
                <w:rFonts w:eastAsia="Batang" w:cs="Arial"/>
                <w:lang w:eastAsia="ko-KR"/>
              </w:rPr>
            </w:pPr>
            <w:r w:rsidRPr="007239D6">
              <w:t>703</w:t>
            </w:r>
            <w:r>
              <w:t>,</w:t>
            </w:r>
            <w:r w:rsidRPr="007239D6">
              <w:t>087</w:t>
            </w:r>
            <w:r>
              <w:t>,</w:t>
            </w:r>
            <w:r w:rsidRPr="007239D6">
              <w:t>800</w:t>
            </w:r>
          </w:p>
        </w:tc>
      </w:tr>
      <w:tr w:rsidR="008F7F94" w:rsidRPr="002A0B87" w14:paraId="14D7937C" w14:textId="77777777" w:rsidTr="007C4864">
        <w:trPr>
          <w:trHeight w:val="20"/>
          <w:tblHeader/>
        </w:trPr>
        <w:tc>
          <w:tcPr>
            <w:tcW w:w="3082" w:type="dxa"/>
            <w:vAlign w:val="bottom"/>
            <w:hideMark/>
          </w:tcPr>
          <w:p w14:paraId="059D807D" w14:textId="61B5F97B" w:rsidR="008F7F94" w:rsidRPr="002A0B87" w:rsidRDefault="008F7F94" w:rsidP="008F7F94">
            <w:pPr>
              <w:widowControl w:val="0"/>
              <w:spacing w:before="120"/>
              <w:ind w:left="-115"/>
              <w:rPr>
                <w:rFonts w:cs="Arial"/>
                <w:lang w:val="nl-NL"/>
              </w:rPr>
            </w:pPr>
            <w:r w:rsidRPr="00C71EDD">
              <w:rPr>
                <w:rFonts w:cs="Arial"/>
                <w:lang w:val="nl-NL"/>
              </w:rPr>
              <w:t>Closing balance</w:t>
            </w:r>
          </w:p>
        </w:tc>
        <w:tc>
          <w:tcPr>
            <w:tcW w:w="1699" w:type="dxa"/>
          </w:tcPr>
          <w:p w14:paraId="0656FF73" w14:textId="6BFDF859" w:rsidR="008F7F94" w:rsidRPr="002A0B87" w:rsidRDefault="008F7F94" w:rsidP="008F7F94">
            <w:pPr>
              <w:widowControl w:val="0"/>
              <w:pBdr>
                <w:bottom w:val="single" w:sz="4" w:space="0" w:color="auto"/>
              </w:pBdr>
              <w:spacing w:before="120"/>
              <w:ind w:left="58" w:right="-86"/>
              <w:jc w:val="right"/>
              <w:rPr>
                <w:rFonts w:eastAsia="Batang" w:cs="Arial"/>
                <w:highlight w:val="yellow"/>
                <w:lang w:eastAsia="ko-KR"/>
              </w:rPr>
            </w:pPr>
            <w:r w:rsidRPr="007239D6">
              <w:t>1</w:t>
            </w:r>
            <w:r>
              <w:t>,</w:t>
            </w:r>
            <w:r w:rsidRPr="007239D6">
              <w:t>574</w:t>
            </w:r>
            <w:r>
              <w:t>,</w:t>
            </w:r>
            <w:r w:rsidRPr="007239D6">
              <w:t>550</w:t>
            </w:r>
            <w:r>
              <w:t>,</w:t>
            </w:r>
            <w:r w:rsidRPr="007239D6">
              <w:t xml:space="preserve">903 </w:t>
            </w:r>
          </w:p>
        </w:tc>
        <w:tc>
          <w:tcPr>
            <w:tcW w:w="1699" w:type="dxa"/>
          </w:tcPr>
          <w:p w14:paraId="52928F8E" w14:textId="600494DD" w:rsidR="008F7F94" w:rsidRPr="002A0B87" w:rsidRDefault="008F7F94" w:rsidP="008F7F94">
            <w:pPr>
              <w:widowControl w:val="0"/>
              <w:pBdr>
                <w:bottom w:val="single" w:sz="4" w:space="0" w:color="auto"/>
              </w:pBdr>
              <w:spacing w:before="120"/>
              <w:ind w:left="58" w:right="-86"/>
              <w:jc w:val="right"/>
              <w:rPr>
                <w:rFonts w:eastAsia="Batang" w:cs="Arial"/>
                <w:highlight w:val="yellow"/>
                <w:lang w:eastAsia="ko-KR"/>
              </w:rPr>
            </w:pPr>
            <w:r w:rsidRPr="007239D6">
              <w:t>17</w:t>
            </w:r>
            <w:r>
              <w:t>,</w:t>
            </w:r>
            <w:r w:rsidRPr="007239D6">
              <w:t>141</w:t>
            </w:r>
            <w:r>
              <w:t>,</w:t>
            </w:r>
            <w:r w:rsidRPr="007239D6">
              <w:t>335</w:t>
            </w:r>
            <w:r>
              <w:t>,</w:t>
            </w:r>
            <w:r w:rsidRPr="007239D6">
              <w:t>171</w:t>
            </w:r>
          </w:p>
        </w:tc>
        <w:tc>
          <w:tcPr>
            <w:tcW w:w="1699" w:type="dxa"/>
          </w:tcPr>
          <w:p w14:paraId="16249793" w14:textId="7F2D6CDD" w:rsidR="008F7F94" w:rsidRPr="002A0B87" w:rsidRDefault="008F7F94" w:rsidP="008F7F94">
            <w:pPr>
              <w:widowControl w:val="0"/>
              <w:pBdr>
                <w:bottom w:val="single" w:sz="4" w:space="0" w:color="auto"/>
              </w:pBdr>
              <w:spacing w:before="120"/>
              <w:ind w:left="58" w:right="-86"/>
              <w:jc w:val="right"/>
              <w:rPr>
                <w:rFonts w:eastAsia="Batang" w:cs="Arial"/>
                <w:highlight w:val="yellow"/>
                <w:lang w:eastAsia="ko-KR"/>
              </w:rPr>
            </w:pPr>
            <w:r w:rsidRPr="007239D6">
              <w:t>18</w:t>
            </w:r>
            <w:r>
              <w:t>,</w:t>
            </w:r>
            <w:r w:rsidRPr="007239D6">
              <w:t>715</w:t>
            </w:r>
            <w:r>
              <w:t>,</w:t>
            </w:r>
            <w:r w:rsidRPr="007239D6">
              <w:t>886</w:t>
            </w:r>
            <w:r>
              <w:t>,</w:t>
            </w:r>
            <w:r w:rsidRPr="007239D6">
              <w:t>074</w:t>
            </w:r>
          </w:p>
        </w:tc>
      </w:tr>
      <w:tr w:rsidR="008F7F94" w:rsidRPr="002A0B87" w14:paraId="24FD14D6" w14:textId="77777777" w:rsidTr="007C4864">
        <w:trPr>
          <w:trHeight w:val="20"/>
          <w:tblHeader/>
        </w:trPr>
        <w:tc>
          <w:tcPr>
            <w:tcW w:w="3082" w:type="dxa"/>
            <w:vAlign w:val="bottom"/>
            <w:hideMark/>
          </w:tcPr>
          <w:p w14:paraId="7566F002" w14:textId="075BB7F1" w:rsidR="008F7F94" w:rsidRPr="002A0B87" w:rsidRDefault="008F7F94" w:rsidP="008F7F94">
            <w:pPr>
              <w:widowControl w:val="0"/>
              <w:spacing w:before="120"/>
              <w:ind w:left="-115"/>
              <w:rPr>
                <w:rFonts w:cs="Arial"/>
                <w:lang w:val="nl-NL"/>
              </w:rPr>
            </w:pPr>
            <w:r w:rsidRPr="00767CBD">
              <w:rPr>
                <w:rFonts w:cs="Arial"/>
                <w:b/>
                <w:lang w:val="nl-NL"/>
              </w:rPr>
              <w:t>Accumulated depreciation</w:t>
            </w:r>
          </w:p>
        </w:tc>
        <w:tc>
          <w:tcPr>
            <w:tcW w:w="1699" w:type="dxa"/>
          </w:tcPr>
          <w:p w14:paraId="091264CE" w14:textId="77777777" w:rsidR="008F7F94" w:rsidRPr="002A0B87" w:rsidRDefault="008F7F94" w:rsidP="008F7F94">
            <w:pPr>
              <w:widowControl w:val="0"/>
              <w:spacing w:before="120"/>
              <w:ind w:left="58" w:right="-86"/>
              <w:jc w:val="right"/>
              <w:rPr>
                <w:rFonts w:eastAsia="Batang" w:cs="Arial"/>
                <w:bCs/>
                <w:lang w:eastAsia="ko-KR"/>
              </w:rPr>
            </w:pPr>
          </w:p>
        </w:tc>
        <w:tc>
          <w:tcPr>
            <w:tcW w:w="1699" w:type="dxa"/>
          </w:tcPr>
          <w:p w14:paraId="21B1F1DA" w14:textId="77777777" w:rsidR="008F7F94" w:rsidRPr="002A0B87" w:rsidRDefault="008F7F94" w:rsidP="008F7F94">
            <w:pPr>
              <w:widowControl w:val="0"/>
              <w:spacing w:before="120"/>
              <w:ind w:left="58" w:right="-86"/>
              <w:jc w:val="right"/>
              <w:rPr>
                <w:rFonts w:eastAsia="Batang" w:cs="Arial"/>
                <w:bCs/>
                <w:lang w:eastAsia="ko-KR"/>
              </w:rPr>
            </w:pPr>
          </w:p>
        </w:tc>
        <w:tc>
          <w:tcPr>
            <w:tcW w:w="1699" w:type="dxa"/>
          </w:tcPr>
          <w:p w14:paraId="0A6D7A64" w14:textId="444C8832" w:rsidR="008F7F94" w:rsidRPr="002A0B87" w:rsidRDefault="008F7F94" w:rsidP="008F7F94">
            <w:pPr>
              <w:widowControl w:val="0"/>
              <w:spacing w:before="120"/>
              <w:ind w:left="58" w:right="-86"/>
              <w:jc w:val="right"/>
              <w:rPr>
                <w:rFonts w:eastAsia="Batang" w:cs="Arial"/>
                <w:bCs/>
                <w:lang w:eastAsia="ko-KR"/>
              </w:rPr>
            </w:pPr>
          </w:p>
        </w:tc>
      </w:tr>
      <w:tr w:rsidR="008F7F94" w:rsidRPr="002A0B87" w14:paraId="5B66182D" w14:textId="77777777" w:rsidTr="007C4864">
        <w:trPr>
          <w:trHeight w:val="20"/>
          <w:tblHeader/>
        </w:trPr>
        <w:tc>
          <w:tcPr>
            <w:tcW w:w="3082" w:type="dxa"/>
            <w:vAlign w:val="bottom"/>
            <w:hideMark/>
          </w:tcPr>
          <w:p w14:paraId="1C152CA9" w14:textId="4063806C" w:rsidR="008F7F94" w:rsidRPr="002A0B87" w:rsidRDefault="008F7F94" w:rsidP="008F7F94">
            <w:pPr>
              <w:widowControl w:val="0"/>
              <w:spacing w:before="120"/>
              <w:ind w:left="-115"/>
              <w:rPr>
                <w:rFonts w:cs="Arial"/>
                <w:lang w:val="nl-NL"/>
              </w:rPr>
            </w:pPr>
            <w:r w:rsidRPr="008673CC">
              <w:rPr>
                <w:rFonts w:cs="Arial"/>
                <w:lang w:val="nl-NL"/>
              </w:rPr>
              <w:t>Opening balance</w:t>
            </w:r>
          </w:p>
        </w:tc>
        <w:tc>
          <w:tcPr>
            <w:tcW w:w="1699" w:type="dxa"/>
          </w:tcPr>
          <w:p w14:paraId="735F1DD7" w14:textId="4924F306" w:rsidR="008F7F94" w:rsidRPr="002A0B87" w:rsidRDefault="008F7F94" w:rsidP="008F7F94">
            <w:pPr>
              <w:widowControl w:val="0"/>
              <w:spacing w:before="120"/>
              <w:ind w:left="58" w:right="-86"/>
              <w:jc w:val="right"/>
              <w:rPr>
                <w:rFonts w:eastAsia="Batang" w:cs="Arial"/>
                <w:lang w:eastAsia="ko-KR"/>
              </w:rPr>
            </w:pPr>
            <w:r w:rsidRPr="007239D6">
              <w:t>1</w:t>
            </w:r>
            <w:r>
              <w:t>,</w:t>
            </w:r>
            <w:r w:rsidRPr="007239D6">
              <w:t>105</w:t>
            </w:r>
            <w:r>
              <w:t>,</w:t>
            </w:r>
            <w:r w:rsidRPr="007239D6">
              <w:t>079</w:t>
            </w:r>
            <w:r>
              <w:t>,</w:t>
            </w:r>
            <w:r w:rsidRPr="007239D6">
              <w:t>747</w:t>
            </w:r>
          </w:p>
        </w:tc>
        <w:tc>
          <w:tcPr>
            <w:tcW w:w="1699" w:type="dxa"/>
          </w:tcPr>
          <w:p w14:paraId="2308C821" w14:textId="4B049746" w:rsidR="008F7F94" w:rsidRPr="002A0B87" w:rsidRDefault="008F7F94" w:rsidP="008F7F94">
            <w:pPr>
              <w:widowControl w:val="0"/>
              <w:spacing w:before="120"/>
              <w:ind w:left="58" w:right="-86"/>
              <w:jc w:val="right"/>
              <w:rPr>
                <w:rFonts w:eastAsia="Batang" w:cs="Arial"/>
                <w:lang w:eastAsia="ko-KR"/>
              </w:rPr>
            </w:pPr>
            <w:r w:rsidRPr="007239D6">
              <w:t>8</w:t>
            </w:r>
            <w:r>
              <w:t>,</w:t>
            </w:r>
            <w:r w:rsidRPr="007239D6">
              <w:t>295</w:t>
            </w:r>
            <w:r>
              <w:t>,</w:t>
            </w:r>
            <w:r w:rsidRPr="007239D6">
              <w:t>172</w:t>
            </w:r>
            <w:r>
              <w:t>,</w:t>
            </w:r>
            <w:r w:rsidRPr="007239D6">
              <w:t>464</w:t>
            </w:r>
          </w:p>
        </w:tc>
        <w:tc>
          <w:tcPr>
            <w:tcW w:w="1699" w:type="dxa"/>
          </w:tcPr>
          <w:p w14:paraId="6D291060" w14:textId="7F8D938B" w:rsidR="008F7F94" w:rsidRPr="002A0B87" w:rsidRDefault="008F7F94" w:rsidP="008F7F94">
            <w:pPr>
              <w:widowControl w:val="0"/>
              <w:spacing w:before="120"/>
              <w:ind w:left="58" w:right="-86"/>
              <w:jc w:val="right"/>
              <w:rPr>
                <w:rFonts w:eastAsia="Batang" w:cs="Arial"/>
                <w:lang w:eastAsia="ko-KR"/>
              </w:rPr>
            </w:pPr>
            <w:r w:rsidRPr="007239D6">
              <w:t>9</w:t>
            </w:r>
            <w:r>
              <w:t>,</w:t>
            </w:r>
            <w:r w:rsidRPr="007239D6">
              <w:t>400</w:t>
            </w:r>
            <w:r>
              <w:t>,</w:t>
            </w:r>
            <w:r w:rsidRPr="007239D6">
              <w:t>252</w:t>
            </w:r>
            <w:r>
              <w:t>,</w:t>
            </w:r>
            <w:r w:rsidRPr="007239D6">
              <w:t>211</w:t>
            </w:r>
          </w:p>
        </w:tc>
      </w:tr>
      <w:tr w:rsidR="008F7F94" w:rsidRPr="002A0B87" w14:paraId="2D5A6503" w14:textId="77777777" w:rsidTr="007C4864">
        <w:trPr>
          <w:trHeight w:val="216"/>
          <w:tblHeader/>
        </w:trPr>
        <w:tc>
          <w:tcPr>
            <w:tcW w:w="3082" w:type="dxa"/>
            <w:vAlign w:val="bottom"/>
            <w:hideMark/>
          </w:tcPr>
          <w:p w14:paraId="797CDF16" w14:textId="5885CDB4" w:rsidR="008F7F94" w:rsidRPr="002A0B87" w:rsidRDefault="008F7F94" w:rsidP="008F7F94">
            <w:pPr>
              <w:widowControl w:val="0"/>
              <w:ind w:left="-115"/>
              <w:rPr>
                <w:rFonts w:cs="Arial"/>
                <w:lang w:val="nl-NL"/>
              </w:rPr>
            </w:pPr>
            <w:r w:rsidRPr="00B3586F">
              <w:rPr>
                <w:rFonts w:cs="Arial"/>
                <w:lang w:val="nl-NL"/>
              </w:rPr>
              <w:t>Depreciation for the year</w:t>
            </w:r>
          </w:p>
        </w:tc>
        <w:tc>
          <w:tcPr>
            <w:tcW w:w="1699" w:type="dxa"/>
          </w:tcPr>
          <w:p w14:paraId="468735CB" w14:textId="3ECF8CC3" w:rsidR="008F7F94" w:rsidRPr="002A0B87" w:rsidRDefault="008F7F94" w:rsidP="008F7F94">
            <w:pPr>
              <w:widowControl w:val="0"/>
              <w:pBdr>
                <w:bottom w:val="single" w:sz="4" w:space="0" w:color="auto"/>
              </w:pBdr>
              <w:ind w:left="58" w:right="-86"/>
              <w:jc w:val="right"/>
              <w:rPr>
                <w:rFonts w:eastAsia="Batang" w:cs="Arial"/>
                <w:highlight w:val="yellow"/>
                <w:lang w:eastAsia="ko-KR"/>
              </w:rPr>
            </w:pPr>
            <w:r w:rsidRPr="007239D6">
              <w:t>277</w:t>
            </w:r>
            <w:r>
              <w:t>,</w:t>
            </w:r>
            <w:r w:rsidRPr="007239D6">
              <w:t>189</w:t>
            </w:r>
            <w:r>
              <w:t>,</w:t>
            </w:r>
            <w:r w:rsidRPr="007239D6">
              <w:t>896</w:t>
            </w:r>
          </w:p>
        </w:tc>
        <w:tc>
          <w:tcPr>
            <w:tcW w:w="1699" w:type="dxa"/>
          </w:tcPr>
          <w:p w14:paraId="4C278EAD" w14:textId="6628B466" w:rsidR="008F7F94" w:rsidRPr="002A0B87" w:rsidRDefault="008F7F94" w:rsidP="008F7F94">
            <w:pPr>
              <w:widowControl w:val="0"/>
              <w:pBdr>
                <w:bottom w:val="single" w:sz="4" w:space="0" w:color="auto"/>
              </w:pBdr>
              <w:ind w:left="58" w:right="-86"/>
              <w:jc w:val="right"/>
              <w:rPr>
                <w:rFonts w:eastAsia="Batang" w:cs="Arial"/>
                <w:highlight w:val="yellow"/>
                <w:lang w:eastAsia="ko-KR"/>
              </w:rPr>
            </w:pPr>
            <w:r w:rsidRPr="007239D6">
              <w:t>1</w:t>
            </w:r>
            <w:r>
              <w:t>,</w:t>
            </w:r>
            <w:r w:rsidRPr="007239D6">
              <w:t>753</w:t>
            </w:r>
            <w:r>
              <w:t>,</w:t>
            </w:r>
            <w:r w:rsidRPr="007239D6">
              <w:t>551</w:t>
            </w:r>
            <w:r>
              <w:t>,</w:t>
            </w:r>
            <w:r w:rsidRPr="007239D6">
              <w:t>835</w:t>
            </w:r>
          </w:p>
        </w:tc>
        <w:tc>
          <w:tcPr>
            <w:tcW w:w="1699" w:type="dxa"/>
          </w:tcPr>
          <w:p w14:paraId="0DEBE26F" w14:textId="72E328BB" w:rsidR="008F7F94" w:rsidRPr="002A0B87" w:rsidRDefault="008F7F94" w:rsidP="008F7F94">
            <w:pPr>
              <w:widowControl w:val="0"/>
              <w:pBdr>
                <w:bottom w:val="single" w:sz="4" w:space="0" w:color="auto"/>
              </w:pBdr>
              <w:overflowPunct/>
              <w:autoSpaceDE/>
              <w:autoSpaceDN/>
              <w:adjustRightInd/>
              <w:ind w:left="58" w:right="-86"/>
              <w:jc w:val="right"/>
              <w:textAlignment w:val="auto"/>
              <w:rPr>
                <w:rFonts w:eastAsia="Batang" w:cs="Arial"/>
                <w:highlight w:val="yellow"/>
                <w:lang w:eastAsia="ko-KR"/>
              </w:rPr>
            </w:pPr>
            <w:r w:rsidRPr="007239D6">
              <w:t>2</w:t>
            </w:r>
            <w:r>
              <w:t>,</w:t>
            </w:r>
            <w:r w:rsidRPr="007239D6">
              <w:t>020</w:t>
            </w:r>
            <w:r>
              <w:t>,</w:t>
            </w:r>
            <w:r w:rsidRPr="007239D6">
              <w:t>741</w:t>
            </w:r>
            <w:r>
              <w:t>,</w:t>
            </w:r>
            <w:r w:rsidRPr="007239D6">
              <w:t>731</w:t>
            </w:r>
          </w:p>
        </w:tc>
      </w:tr>
      <w:tr w:rsidR="008F7F94" w:rsidRPr="002A0B87" w14:paraId="042B2EAC" w14:textId="77777777" w:rsidTr="007C4864">
        <w:trPr>
          <w:trHeight w:val="20"/>
          <w:tblHeader/>
        </w:trPr>
        <w:tc>
          <w:tcPr>
            <w:tcW w:w="3082" w:type="dxa"/>
            <w:vAlign w:val="bottom"/>
            <w:hideMark/>
          </w:tcPr>
          <w:p w14:paraId="7FE1EFC4" w14:textId="7759D663" w:rsidR="008F7F94" w:rsidRPr="002A0B87" w:rsidRDefault="008F7F94" w:rsidP="008F7F94">
            <w:pPr>
              <w:widowControl w:val="0"/>
              <w:spacing w:before="120"/>
              <w:ind w:left="-115"/>
              <w:rPr>
                <w:rFonts w:cs="Arial"/>
                <w:lang w:val="nl-NL"/>
              </w:rPr>
            </w:pPr>
            <w:r w:rsidRPr="008E14C6">
              <w:rPr>
                <w:rFonts w:cs="Arial"/>
                <w:lang w:val="nl-NL"/>
              </w:rPr>
              <w:t>Closing balance</w:t>
            </w:r>
          </w:p>
        </w:tc>
        <w:tc>
          <w:tcPr>
            <w:tcW w:w="1699" w:type="dxa"/>
          </w:tcPr>
          <w:p w14:paraId="19B81D94" w14:textId="3458DF8E" w:rsidR="008F7F94" w:rsidRPr="002A0B87" w:rsidRDefault="008F7F94" w:rsidP="008F7F94">
            <w:pPr>
              <w:widowControl w:val="0"/>
              <w:pBdr>
                <w:bottom w:val="single" w:sz="4" w:space="0" w:color="auto"/>
              </w:pBdr>
              <w:spacing w:before="120"/>
              <w:ind w:left="58" w:right="-86"/>
              <w:jc w:val="right"/>
              <w:rPr>
                <w:rFonts w:eastAsia="Batang" w:cs="Arial"/>
                <w:highlight w:val="yellow"/>
                <w:lang w:eastAsia="ko-KR"/>
              </w:rPr>
            </w:pPr>
            <w:r w:rsidRPr="007239D6">
              <w:t>1</w:t>
            </w:r>
            <w:r>
              <w:t>,</w:t>
            </w:r>
            <w:r w:rsidRPr="007239D6">
              <w:t>382</w:t>
            </w:r>
            <w:r>
              <w:t>,</w:t>
            </w:r>
            <w:r w:rsidRPr="007239D6">
              <w:t>269</w:t>
            </w:r>
            <w:r>
              <w:t>,</w:t>
            </w:r>
            <w:r w:rsidRPr="007239D6">
              <w:t>643</w:t>
            </w:r>
          </w:p>
        </w:tc>
        <w:tc>
          <w:tcPr>
            <w:tcW w:w="1699" w:type="dxa"/>
          </w:tcPr>
          <w:p w14:paraId="4753757B" w14:textId="6FCE6ED4" w:rsidR="008F7F94" w:rsidRPr="002A0B87" w:rsidRDefault="008F7F94" w:rsidP="008F7F94">
            <w:pPr>
              <w:widowControl w:val="0"/>
              <w:pBdr>
                <w:bottom w:val="single" w:sz="4" w:space="0" w:color="auto"/>
              </w:pBdr>
              <w:spacing w:before="120"/>
              <w:ind w:left="58" w:right="-86"/>
              <w:jc w:val="right"/>
              <w:rPr>
                <w:rFonts w:eastAsia="Batang" w:cs="Arial"/>
                <w:highlight w:val="yellow"/>
                <w:lang w:eastAsia="ko-KR"/>
              </w:rPr>
            </w:pPr>
            <w:r w:rsidRPr="007239D6">
              <w:t>10</w:t>
            </w:r>
            <w:r>
              <w:t>,</w:t>
            </w:r>
            <w:r w:rsidRPr="007239D6">
              <w:t>048</w:t>
            </w:r>
            <w:r>
              <w:t>,</w:t>
            </w:r>
            <w:r w:rsidRPr="007239D6">
              <w:t>724</w:t>
            </w:r>
            <w:r>
              <w:t>,</w:t>
            </w:r>
            <w:r w:rsidRPr="007239D6">
              <w:t>299</w:t>
            </w:r>
          </w:p>
        </w:tc>
        <w:tc>
          <w:tcPr>
            <w:tcW w:w="1699" w:type="dxa"/>
          </w:tcPr>
          <w:p w14:paraId="4D9FBD3A" w14:textId="0B320003" w:rsidR="008F7F94" w:rsidRPr="002A0B87" w:rsidRDefault="008F7F94" w:rsidP="008F7F94">
            <w:pPr>
              <w:widowControl w:val="0"/>
              <w:pBdr>
                <w:bottom w:val="single" w:sz="4" w:space="0" w:color="auto"/>
              </w:pBdr>
              <w:spacing w:before="120"/>
              <w:ind w:left="58" w:right="-86"/>
              <w:jc w:val="right"/>
              <w:rPr>
                <w:rFonts w:eastAsia="Batang" w:cs="Arial"/>
                <w:highlight w:val="yellow"/>
                <w:lang w:eastAsia="ko-KR"/>
              </w:rPr>
            </w:pPr>
            <w:r w:rsidRPr="007239D6">
              <w:t>11</w:t>
            </w:r>
            <w:r>
              <w:t>,</w:t>
            </w:r>
            <w:r w:rsidRPr="007239D6">
              <w:t>430</w:t>
            </w:r>
            <w:r>
              <w:t>,</w:t>
            </w:r>
            <w:r w:rsidRPr="007239D6">
              <w:t>993</w:t>
            </w:r>
            <w:r>
              <w:t>,</w:t>
            </w:r>
            <w:r w:rsidRPr="007239D6">
              <w:t>942</w:t>
            </w:r>
          </w:p>
        </w:tc>
      </w:tr>
      <w:tr w:rsidR="008F7F94" w:rsidRPr="002A0B87" w14:paraId="5F997D52" w14:textId="77777777" w:rsidTr="007C4864">
        <w:trPr>
          <w:trHeight w:val="173"/>
          <w:tblHeader/>
        </w:trPr>
        <w:tc>
          <w:tcPr>
            <w:tcW w:w="3082" w:type="dxa"/>
            <w:vAlign w:val="bottom"/>
            <w:hideMark/>
          </w:tcPr>
          <w:p w14:paraId="07AA2360" w14:textId="38A58A3A" w:rsidR="008F7F94" w:rsidRPr="002A0B87" w:rsidRDefault="008F7F94" w:rsidP="008F7F94">
            <w:pPr>
              <w:widowControl w:val="0"/>
              <w:spacing w:before="120"/>
              <w:ind w:left="-115"/>
              <w:rPr>
                <w:rFonts w:cs="Arial"/>
                <w:lang w:val="nl-NL"/>
              </w:rPr>
            </w:pPr>
            <w:r w:rsidRPr="00887E4A">
              <w:rPr>
                <w:rFonts w:cs="Arial"/>
                <w:b/>
                <w:lang w:val="nl-NL"/>
              </w:rPr>
              <w:t>Net book value</w:t>
            </w:r>
          </w:p>
        </w:tc>
        <w:tc>
          <w:tcPr>
            <w:tcW w:w="1699" w:type="dxa"/>
          </w:tcPr>
          <w:p w14:paraId="251BD7C5" w14:textId="77777777" w:rsidR="008F7F94" w:rsidRPr="002A0B87" w:rsidRDefault="008F7F94" w:rsidP="008F7F94">
            <w:pPr>
              <w:widowControl w:val="0"/>
              <w:spacing w:before="120"/>
              <w:ind w:left="58" w:right="-86"/>
              <w:jc w:val="right"/>
              <w:rPr>
                <w:rFonts w:eastAsia="Batang" w:cs="Arial"/>
                <w:lang w:eastAsia="ko-KR"/>
              </w:rPr>
            </w:pPr>
          </w:p>
        </w:tc>
        <w:tc>
          <w:tcPr>
            <w:tcW w:w="1699" w:type="dxa"/>
          </w:tcPr>
          <w:p w14:paraId="38315564" w14:textId="77777777" w:rsidR="008F7F94" w:rsidRPr="002A0B87" w:rsidRDefault="008F7F94" w:rsidP="008F7F94">
            <w:pPr>
              <w:widowControl w:val="0"/>
              <w:spacing w:before="120"/>
              <w:ind w:left="58" w:right="-86"/>
              <w:jc w:val="right"/>
              <w:rPr>
                <w:rFonts w:eastAsia="Batang" w:cs="Arial"/>
                <w:lang w:eastAsia="ko-KR"/>
              </w:rPr>
            </w:pPr>
          </w:p>
        </w:tc>
        <w:tc>
          <w:tcPr>
            <w:tcW w:w="1699" w:type="dxa"/>
          </w:tcPr>
          <w:p w14:paraId="7D3B1B76" w14:textId="610E293B" w:rsidR="008F7F94" w:rsidRPr="002A0B87" w:rsidRDefault="008F7F94" w:rsidP="008F7F94">
            <w:pPr>
              <w:widowControl w:val="0"/>
              <w:spacing w:before="120"/>
              <w:ind w:left="58" w:right="-86"/>
              <w:jc w:val="right"/>
              <w:rPr>
                <w:rFonts w:eastAsia="Batang" w:cs="Arial"/>
                <w:lang w:eastAsia="ko-KR"/>
              </w:rPr>
            </w:pPr>
          </w:p>
        </w:tc>
      </w:tr>
      <w:tr w:rsidR="008F7F94" w:rsidRPr="002A0B87" w14:paraId="06E711CF" w14:textId="77777777" w:rsidTr="007C4864">
        <w:trPr>
          <w:trHeight w:val="173"/>
          <w:tblHeader/>
        </w:trPr>
        <w:tc>
          <w:tcPr>
            <w:tcW w:w="3082" w:type="dxa"/>
            <w:vAlign w:val="bottom"/>
            <w:hideMark/>
          </w:tcPr>
          <w:p w14:paraId="1E698B95" w14:textId="476F0573" w:rsidR="008F7F94" w:rsidRPr="002A0B87" w:rsidRDefault="008F7F94" w:rsidP="008F7F94">
            <w:pPr>
              <w:widowControl w:val="0"/>
              <w:spacing w:before="120"/>
              <w:ind w:left="-115"/>
              <w:rPr>
                <w:rFonts w:eastAsia="MS Mincho" w:cs="Arial"/>
                <w:lang w:val="nl-NL" w:eastAsia="ja-JP"/>
              </w:rPr>
            </w:pPr>
            <w:r w:rsidRPr="00FE2FED">
              <w:rPr>
                <w:rFonts w:cs="Arial"/>
                <w:lang w:val="nl-NL"/>
              </w:rPr>
              <w:t>Opening balance</w:t>
            </w:r>
          </w:p>
        </w:tc>
        <w:tc>
          <w:tcPr>
            <w:tcW w:w="1699" w:type="dxa"/>
          </w:tcPr>
          <w:p w14:paraId="521C8FF8" w14:textId="44B498B5" w:rsidR="008F7F94" w:rsidRPr="002A0B87" w:rsidRDefault="008F7F94" w:rsidP="008F7F94">
            <w:pPr>
              <w:widowControl w:val="0"/>
              <w:pBdr>
                <w:bottom w:val="single" w:sz="4" w:space="0" w:color="auto"/>
              </w:pBdr>
              <w:spacing w:before="120"/>
              <w:ind w:left="58" w:right="-86"/>
              <w:jc w:val="right"/>
              <w:rPr>
                <w:rFonts w:eastAsia="Batang" w:cs="Arial"/>
                <w:lang w:eastAsia="ko-KR"/>
              </w:rPr>
            </w:pPr>
            <w:r w:rsidRPr="007239D6">
              <w:t>469</w:t>
            </w:r>
            <w:r>
              <w:t>,</w:t>
            </w:r>
            <w:r w:rsidRPr="007239D6">
              <w:t>471</w:t>
            </w:r>
            <w:r>
              <w:t>,</w:t>
            </w:r>
            <w:r w:rsidRPr="007239D6">
              <w:t xml:space="preserve">156 </w:t>
            </w:r>
          </w:p>
        </w:tc>
        <w:tc>
          <w:tcPr>
            <w:tcW w:w="1699" w:type="dxa"/>
          </w:tcPr>
          <w:p w14:paraId="2CCC09D1" w14:textId="1FC93806" w:rsidR="008F7F94" w:rsidRPr="002A0B87" w:rsidRDefault="008F7F94" w:rsidP="008F7F94">
            <w:pPr>
              <w:widowControl w:val="0"/>
              <w:pBdr>
                <w:bottom w:val="single" w:sz="4" w:space="0" w:color="auto"/>
              </w:pBdr>
              <w:spacing w:before="120"/>
              <w:ind w:left="58" w:right="-86"/>
              <w:jc w:val="right"/>
              <w:rPr>
                <w:rFonts w:eastAsia="Batang" w:cs="Arial"/>
                <w:lang w:eastAsia="ko-KR"/>
              </w:rPr>
            </w:pPr>
            <w:r w:rsidRPr="007239D6">
              <w:t>8</w:t>
            </w:r>
            <w:r>
              <w:t>,</w:t>
            </w:r>
            <w:r w:rsidRPr="007239D6">
              <w:t>143</w:t>
            </w:r>
            <w:r>
              <w:t>,</w:t>
            </w:r>
            <w:r w:rsidRPr="007239D6">
              <w:t>074</w:t>
            </w:r>
            <w:r>
              <w:t>,</w:t>
            </w:r>
            <w:r w:rsidRPr="007239D6">
              <w:t xml:space="preserve">907 </w:t>
            </w:r>
          </w:p>
        </w:tc>
        <w:tc>
          <w:tcPr>
            <w:tcW w:w="1699" w:type="dxa"/>
          </w:tcPr>
          <w:p w14:paraId="092FB95E" w14:textId="0E73E759" w:rsidR="008F7F94" w:rsidRPr="002A0B87" w:rsidRDefault="008F7F94" w:rsidP="008F7F94">
            <w:pPr>
              <w:widowControl w:val="0"/>
              <w:pBdr>
                <w:bottom w:val="single" w:sz="4" w:space="0" w:color="auto"/>
              </w:pBdr>
              <w:spacing w:before="120"/>
              <w:ind w:left="58" w:right="-86"/>
              <w:jc w:val="right"/>
              <w:rPr>
                <w:rFonts w:eastAsia="Batang" w:cs="Arial"/>
                <w:lang w:eastAsia="ko-KR"/>
              </w:rPr>
            </w:pPr>
            <w:r w:rsidRPr="007239D6">
              <w:t>8</w:t>
            </w:r>
            <w:r>
              <w:t>,</w:t>
            </w:r>
            <w:r w:rsidRPr="007239D6">
              <w:t>612</w:t>
            </w:r>
            <w:r>
              <w:t>,</w:t>
            </w:r>
            <w:r w:rsidRPr="007239D6">
              <w:t>546</w:t>
            </w:r>
            <w:r>
              <w:t>,</w:t>
            </w:r>
            <w:r w:rsidRPr="007239D6">
              <w:t xml:space="preserve">063 </w:t>
            </w:r>
          </w:p>
        </w:tc>
      </w:tr>
      <w:tr w:rsidR="008F7F94" w:rsidRPr="002A0B87" w14:paraId="33291CAA" w14:textId="77777777" w:rsidTr="007C4864">
        <w:trPr>
          <w:trHeight w:val="173"/>
          <w:tblHeader/>
        </w:trPr>
        <w:tc>
          <w:tcPr>
            <w:tcW w:w="3082" w:type="dxa"/>
            <w:vAlign w:val="bottom"/>
            <w:hideMark/>
          </w:tcPr>
          <w:p w14:paraId="69A2F0B0" w14:textId="6F1E4414" w:rsidR="008F7F94" w:rsidRPr="002A0B87" w:rsidRDefault="008F7F94" w:rsidP="008F7F94">
            <w:pPr>
              <w:widowControl w:val="0"/>
              <w:spacing w:before="120"/>
              <w:ind w:left="-115"/>
              <w:rPr>
                <w:rFonts w:cs="Arial"/>
                <w:lang w:val="nl-NL"/>
              </w:rPr>
            </w:pPr>
            <w:r w:rsidRPr="003F3092">
              <w:rPr>
                <w:rFonts w:cs="Arial"/>
                <w:lang w:val="nl-NL"/>
              </w:rPr>
              <w:t>Closing balance</w:t>
            </w:r>
          </w:p>
        </w:tc>
        <w:tc>
          <w:tcPr>
            <w:tcW w:w="1699" w:type="dxa"/>
          </w:tcPr>
          <w:p w14:paraId="2AF87C83" w14:textId="40F5B2BD" w:rsidR="008F7F94" w:rsidRPr="002A0B87" w:rsidRDefault="008F7F94" w:rsidP="008F7F94">
            <w:pPr>
              <w:widowControl w:val="0"/>
              <w:pBdr>
                <w:bottom w:val="double" w:sz="4" w:space="0" w:color="auto"/>
              </w:pBdr>
              <w:spacing w:before="120"/>
              <w:ind w:left="58" w:right="-86"/>
              <w:jc w:val="right"/>
              <w:rPr>
                <w:rFonts w:eastAsia="Batang" w:cs="Arial"/>
                <w:highlight w:val="yellow"/>
                <w:lang w:eastAsia="ko-KR"/>
              </w:rPr>
            </w:pPr>
            <w:r w:rsidRPr="007239D6">
              <w:t>192</w:t>
            </w:r>
            <w:r>
              <w:t>,</w:t>
            </w:r>
            <w:r w:rsidRPr="007239D6">
              <w:t>281</w:t>
            </w:r>
            <w:r>
              <w:t>,</w:t>
            </w:r>
            <w:r w:rsidRPr="007239D6">
              <w:t xml:space="preserve">260 </w:t>
            </w:r>
          </w:p>
        </w:tc>
        <w:tc>
          <w:tcPr>
            <w:tcW w:w="1699" w:type="dxa"/>
          </w:tcPr>
          <w:p w14:paraId="19CD68A3" w14:textId="374A413D" w:rsidR="008F7F94" w:rsidRPr="002A0B87" w:rsidRDefault="008F7F94" w:rsidP="008F7F94">
            <w:pPr>
              <w:widowControl w:val="0"/>
              <w:pBdr>
                <w:bottom w:val="double" w:sz="4" w:space="0" w:color="auto"/>
              </w:pBdr>
              <w:spacing w:before="120"/>
              <w:ind w:left="58" w:right="-86"/>
              <w:jc w:val="right"/>
              <w:rPr>
                <w:rFonts w:eastAsia="Batang" w:cs="Arial"/>
                <w:highlight w:val="yellow"/>
                <w:lang w:eastAsia="ko-KR"/>
              </w:rPr>
            </w:pPr>
            <w:r w:rsidRPr="007239D6">
              <w:t>7</w:t>
            </w:r>
            <w:r>
              <w:t>,</w:t>
            </w:r>
            <w:r w:rsidRPr="007239D6">
              <w:t>092</w:t>
            </w:r>
            <w:r>
              <w:t>,</w:t>
            </w:r>
            <w:r w:rsidRPr="007239D6">
              <w:t>610</w:t>
            </w:r>
            <w:r>
              <w:t>,</w:t>
            </w:r>
            <w:r w:rsidRPr="007239D6">
              <w:t>872</w:t>
            </w:r>
          </w:p>
        </w:tc>
        <w:tc>
          <w:tcPr>
            <w:tcW w:w="1699" w:type="dxa"/>
          </w:tcPr>
          <w:p w14:paraId="65240D8F" w14:textId="652FF406" w:rsidR="008F7F94" w:rsidRPr="002A0B87" w:rsidRDefault="008F7F94" w:rsidP="008F7F94">
            <w:pPr>
              <w:widowControl w:val="0"/>
              <w:pBdr>
                <w:bottom w:val="double" w:sz="4" w:space="0" w:color="auto"/>
              </w:pBdr>
              <w:spacing w:before="120"/>
              <w:ind w:left="58" w:right="-86"/>
              <w:jc w:val="right"/>
              <w:rPr>
                <w:rFonts w:eastAsia="Batang" w:cs="Arial"/>
                <w:highlight w:val="yellow"/>
                <w:lang w:eastAsia="ko-KR"/>
              </w:rPr>
            </w:pPr>
            <w:r w:rsidRPr="007239D6">
              <w:t>7</w:t>
            </w:r>
            <w:r>
              <w:t>,</w:t>
            </w:r>
            <w:r w:rsidRPr="007239D6">
              <w:t>284</w:t>
            </w:r>
            <w:r>
              <w:t>,</w:t>
            </w:r>
            <w:r w:rsidRPr="007239D6">
              <w:t>892</w:t>
            </w:r>
            <w:r>
              <w:t>,</w:t>
            </w:r>
            <w:r w:rsidRPr="007239D6">
              <w:t>132</w:t>
            </w:r>
          </w:p>
        </w:tc>
      </w:tr>
    </w:tbl>
    <w:p w14:paraId="0EFC3AE4" w14:textId="482BC64E" w:rsidR="00E67C68" w:rsidRDefault="00E67C68" w:rsidP="008602E4">
      <w:pPr>
        <w:pStyle w:val="NoSpacing"/>
      </w:pPr>
    </w:p>
    <w:tbl>
      <w:tblPr>
        <w:tblStyle w:val="TableGrid"/>
        <w:tblW w:w="8179"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75"/>
        <w:gridCol w:w="1704"/>
      </w:tblGrid>
      <w:tr w:rsidR="008A6197" w14:paraId="25913F6E" w14:textId="77777777" w:rsidTr="00254501">
        <w:tc>
          <w:tcPr>
            <w:tcW w:w="6475" w:type="dxa"/>
          </w:tcPr>
          <w:p w14:paraId="4BCB6625" w14:textId="77777777" w:rsidR="008A6197" w:rsidRPr="0092575B" w:rsidRDefault="008A6197" w:rsidP="004E1CEC">
            <w:pPr>
              <w:pStyle w:val="NoSpacing"/>
              <w:ind w:left="-115"/>
              <w:rPr>
                <w:lang w:val="de-DE"/>
              </w:rPr>
            </w:pPr>
          </w:p>
        </w:tc>
        <w:tc>
          <w:tcPr>
            <w:tcW w:w="1704" w:type="dxa"/>
            <w:vAlign w:val="bottom"/>
          </w:tcPr>
          <w:p w14:paraId="551A663E" w14:textId="4C241919" w:rsidR="008A6197" w:rsidRPr="00BA07A6" w:rsidRDefault="005C55A7" w:rsidP="004E1CEC">
            <w:pPr>
              <w:pStyle w:val="NoSpacing"/>
              <w:pBdr>
                <w:bottom w:val="single" w:sz="4" w:space="0" w:color="auto"/>
              </w:pBdr>
              <w:ind w:left="58" w:right="-86"/>
              <w:jc w:val="right"/>
              <w:rPr>
                <w:i/>
                <w:iCs/>
                <w:lang w:val="de-DE"/>
              </w:rPr>
            </w:pPr>
            <w:r>
              <w:rPr>
                <w:i/>
                <w:iCs/>
                <w:lang w:val="de-DE"/>
              </w:rPr>
              <w:t>End</w:t>
            </w:r>
            <w:r w:rsidR="007D5CE6">
              <w:rPr>
                <w:i/>
                <w:iCs/>
                <w:lang w:val="de-DE"/>
              </w:rPr>
              <w:t>ing balance</w:t>
            </w:r>
          </w:p>
          <w:p w14:paraId="70D13954" w14:textId="77777777" w:rsidR="008A6197" w:rsidRPr="00BA07A6" w:rsidRDefault="008A6197" w:rsidP="004E1CEC">
            <w:pPr>
              <w:pBdr>
                <w:bottom w:val="single" w:sz="4" w:space="0" w:color="auto"/>
              </w:pBdr>
              <w:ind w:left="58" w:right="-86"/>
              <w:jc w:val="right"/>
              <w:rPr>
                <w:i/>
                <w:iCs/>
                <w:lang w:val="de-DE"/>
              </w:rPr>
            </w:pPr>
            <w:r w:rsidRPr="00BA07A6">
              <w:rPr>
                <w:i/>
                <w:iCs/>
                <w:lang w:val="de-DE"/>
              </w:rPr>
              <w:t>VND</w:t>
            </w:r>
          </w:p>
        </w:tc>
      </w:tr>
      <w:tr w:rsidR="008A6197" w14:paraId="6F367ED4" w14:textId="77777777" w:rsidTr="00254501">
        <w:tc>
          <w:tcPr>
            <w:tcW w:w="6475" w:type="dxa"/>
          </w:tcPr>
          <w:p w14:paraId="503B38CD" w14:textId="7123A779" w:rsidR="008A6197" w:rsidRDefault="00405028" w:rsidP="004E1CEC">
            <w:pPr>
              <w:pStyle w:val="NoSpacing"/>
              <w:spacing w:before="120"/>
              <w:ind w:left="-115"/>
              <w:rPr>
                <w:lang w:val="de-DE"/>
              </w:rPr>
            </w:pPr>
            <w:r>
              <w:rPr>
                <w:lang w:val="de-DE"/>
              </w:rPr>
              <w:t>Fully depreciated tangible assets in use</w:t>
            </w:r>
          </w:p>
        </w:tc>
        <w:tc>
          <w:tcPr>
            <w:tcW w:w="1704" w:type="dxa"/>
            <w:vAlign w:val="bottom"/>
          </w:tcPr>
          <w:p w14:paraId="0AFEE226" w14:textId="5544493A" w:rsidR="008A6197" w:rsidRPr="00BD21FC" w:rsidRDefault="00412D67" w:rsidP="004E1CEC">
            <w:pPr>
              <w:pStyle w:val="NoSpacing"/>
              <w:pBdr>
                <w:bottom w:val="double" w:sz="4" w:space="0" w:color="auto"/>
              </w:pBdr>
              <w:spacing w:before="120"/>
              <w:ind w:left="58" w:right="-86"/>
              <w:jc w:val="right"/>
              <w:rPr>
                <w:lang w:val="de-DE"/>
              </w:rPr>
            </w:pPr>
            <w:r>
              <w:rPr>
                <w:rFonts w:cs="Arial"/>
                <w:color w:val="000000"/>
              </w:rPr>
              <w:t>461</w:t>
            </w:r>
            <w:r w:rsidR="006D6DE5">
              <w:rPr>
                <w:rFonts w:cs="Arial"/>
                <w:color w:val="000000"/>
              </w:rPr>
              <w:t>,</w:t>
            </w:r>
            <w:r>
              <w:rPr>
                <w:rFonts w:cs="Arial"/>
                <w:color w:val="000000"/>
              </w:rPr>
              <w:t>919</w:t>
            </w:r>
            <w:r w:rsidR="006D6DE5">
              <w:rPr>
                <w:rFonts w:cs="Arial"/>
                <w:color w:val="000000"/>
              </w:rPr>
              <w:t>,</w:t>
            </w:r>
            <w:r>
              <w:rPr>
                <w:rFonts w:cs="Arial"/>
                <w:color w:val="000000"/>
              </w:rPr>
              <w:t>380</w:t>
            </w:r>
          </w:p>
        </w:tc>
      </w:tr>
    </w:tbl>
    <w:p w14:paraId="52636FF8" w14:textId="77777777" w:rsidR="008A6197" w:rsidRPr="00D62A65" w:rsidRDefault="008A6197" w:rsidP="00D33812"/>
    <w:p w14:paraId="7D98421C" w14:textId="77777777" w:rsidR="008602E4" w:rsidRPr="008602E4" w:rsidRDefault="008602E4" w:rsidP="008602E4">
      <w:pPr>
        <w:pStyle w:val="NoSpacing"/>
      </w:pPr>
    </w:p>
    <w:p w14:paraId="510C7F03" w14:textId="37BA2BC9" w:rsidR="00162A57" w:rsidRPr="002A0B87" w:rsidRDefault="00027CD2" w:rsidP="00162A57">
      <w:pPr>
        <w:pStyle w:val="BodyText"/>
        <w:ind w:left="720" w:hanging="720"/>
        <w:textAlignment w:val="auto"/>
        <w:outlineLvl w:val="0"/>
        <w:rPr>
          <w:rFonts w:ascii="Arial" w:hAnsi="Arial" w:cs="Arial"/>
          <w:b/>
          <w:bCs/>
        </w:rPr>
      </w:pPr>
      <w:r w:rsidRPr="002A0B87">
        <w:rPr>
          <w:rFonts w:ascii="Arial" w:hAnsi="Arial" w:cs="Arial"/>
          <w:b/>
          <w:bCs/>
        </w:rPr>
        <w:t>1</w:t>
      </w:r>
      <w:r w:rsidR="006465D2">
        <w:rPr>
          <w:rFonts w:ascii="Arial" w:hAnsi="Arial" w:cs="Arial"/>
          <w:b/>
          <w:bCs/>
        </w:rPr>
        <w:t>0</w:t>
      </w:r>
      <w:r w:rsidR="00162A57" w:rsidRPr="002A0B87">
        <w:rPr>
          <w:rFonts w:ascii="Arial" w:hAnsi="Arial" w:cs="Arial"/>
          <w:b/>
          <w:bCs/>
        </w:rPr>
        <w:t>.</w:t>
      </w:r>
      <w:r w:rsidR="00162A57" w:rsidRPr="002A0B87">
        <w:rPr>
          <w:rFonts w:ascii="Arial" w:hAnsi="Arial" w:cs="Arial"/>
          <w:b/>
          <w:bCs/>
        </w:rPr>
        <w:tab/>
      </w:r>
      <w:r w:rsidR="004117A5" w:rsidRPr="004117A5">
        <w:rPr>
          <w:rFonts w:ascii="Arial" w:hAnsi="Arial" w:cs="Arial"/>
          <w:b/>
          <w:bCs/>
        </w:rPr>
        <w:t>INTANGIBLE ASSETS</w:t>
      </w:r>
      <w:r w:rsidR="004117A5" w:rsidRPr="004117A5" w:rsidDel="004117A5">
        <w:rPr>
          <w:rFonts w:ascii="Arial" w:hAnsi="Arial" w:cs="Arial"/>
          <w:b/>
          <w:bCs/>
        </w:rPr>
        <w:t xml:space="preserve"> </w:t>
      </w:r>
    </w:p>
    <w:p w14:paraId="3E1F707B" w14:textId="2C78F09B" w:rsidR="00991039" w:rsidRPr="002A0B87" w:rsidRDefault="00991039" w:rsidP="00C90B5D">
      <w:pPr>
        <w:pStyle w:val="NoSpacing"/>
      </w:pPr>
    </w:p>
    <w:tbl>
      <w:tblPr>
        <w:tblW w:w="8179" w:type="dxa"/>
        <w:tblInd w:w="720" w:type="dxa"/>
        <w:tblLayout w:type="fixed"/>
        <w:tblLook w:val="04A0" w:firstRow="1" w:lastRow="0" w:firstColumn="1" w:lastColumn="0" w:noHBand="0" w:noVBand="1"/>
      </w:tblPr>
      <w:tblGrid>
        <w:gridCol w:w="3082"/>
        <w:gridCol w:w="1699"/>
        <w:gridCol w:w="1699"/>
        <w:gridCol w:w="1699"/>
      </w:tblGrid>
      <w:tr w:rsidR="00037BDF" w:rsidRPr="002A0B87" w14:paraId="7A0181FB" w14:textId="77777777" w:rsidTr="00CC4417">
        <w:trPr>
          <w:trHeight w:val="20"/>
        </w:trPr>
        <w:tc>
          <w:tcPr>
            <w:tcW w:w="3082" w:type="dxa"/>
            <w:vAlign w:val="bottom"/>
          </w:tcPr>
          <w:p w14:paraId="02F94241" w14:textId="77777777" w:rsidR="00037BDF" w:rsidRPr="00981F12" w:rsidRDefault="00037BDF" w:rsidP="002F1B2C">
            <w:pPr>
              <w:widowControl w:val="0"/>
              <w:ind w:left="-115"/>
              <w:rPr>
                <w:rFonts w:cs="Arial"/>
                <w:i/>
                <w:lang w:val="nl-NL"/>
              </w:rPr>
            </w:pPr>
          </w:p>
        </w:tc>
        <w:tc>
          <w:tcPr>
            <w:tcW w:w="1699" w:type="dxa"/>
            <w:vAlign w:val="bottom"/>
            <w:hideMark/>
          </w:tcPr>
          <w:p w14:paraId="3C74156B" w14:textId="1D2D1EA8" w:rsidR="00037BDF" w:rsidRPr="00981F12" w:rsidRDefault="003A1735" w:rsidP="008602E4">
            <w:pPr>
              <w:widowControl w:val="0"/>
              <w:ind w:left="58" w:right="-86"/>
              <w:jc w:val="right"/>
              <w:rPr>
                <w:rFonts w:cs="Arial"/>
                <w:i/>
                <w:iCs/>
                <w:lang w:val="nl-NL"/>
              </w:rPr>
            </w:pPr>
            <w:r w:rsidRPr="003A1735">
              <w:rPr>
                <w:rFonts w:cs="Arial"/>
                <w:i/>
                <w:iCs/>
                <w:lang w:val="nl-NL"/>
              </w:rPr>
              <w:t>Computer software</w:t>
            </w:r>
          </w:p>
          <w:p w14:paraId="2F6F71FC" w14:textId="4CFBFEBB" w:rsidR="00037BDF" w:rsidRPr="00981F12" w:rsidRDefault="00037BDF">
            <w:pPr>
              <w:widowControl w:val="0"/>
              <w:pBdr>
                <w:bottom w:val="single" w:sz="4" w:space="0" w:color="auto"/>
              </w:pBdr>
              <w:ind w:left="58" w:right="-86"/>
              <w:jc w:val="right"/>
              <w:rPr>
                <w:rFonts w:cs="Arial"/>
                <w:i/>
                <w:iCs/>
                <w:lang w:val="nl-NL"/>
              </w:rPr>
            </w:pPr>
            <w:r w:rsidRPr="00981F12">
              <w:rPr>
                <w:rFonts w:cs="Arial"/>
                <w:i/>
                <w:iCs/>
                <w:lang w:val="nl-NL"/>
              </w:rPr>
              <w:t xml:space="preserve">VND </w:t>
            </w:r>
          </w:p>
        </w:tc>
        <w:tc>
          <w:tcPr>
            <w:tcW w:w="1699" w:type="dxa"/>
            <w:vAlign w:val="bottom"/>
            <w:hideMark/>
          </w:tcPr>
          <w:p w14:paraId="089D8D2F" w14:textId="66FDE00E" w:rsidR="00037BDF" w:rsidRPr="00981F12" w:rsidRDefault="00394E5D" w:rsidP="00CC4417">
            <w:pPr>
              <w:widowControl w:val="0"/>
              <w:ind w:left="58" w:right="-86"/>
              <w:jc w:val="right"/>
              <w:rPr>
                <w:rFonts w:cs="Arial"/>
                <w:i/>
                <w:iCs/>
                <w:lang w:val="nl-NL"/>
              </w:rPr>
            </w:pPr>
            <w:r w:rsidRPr="00394E5D">
              <w:rPr>
                <w:rFonts w:cs="Arial"/>
                <w:i/>
                <w:iCs/>
                <w:lang w:val="nl-NL"/>
              </w:rPr>
              <w:t>Other intangible assets</w:t>
            </w:r>
          </w:p>
          <w:p w14:paraId="50D6C1E0" w14:textId="597D7A4B" w:rsidR="00037BDF" w:rsidRPr="00981F12" w:rsidRDefault="00037BDF">
            <w:pPr>
              <w:widowControl w:val="0"/>
              <w:pBdr>
                <w:bottom w:val="single" w:sz="4" w:space="0" w:color="auto"/>
              </w:pBdr>
              <w:ind w:left="58" w:right="-86"/>
              <w:jc w:val="right"/>
              <w:rPr>
                <w:rFonts w:cs="Arial"/>
                <w:i/>
                <w:iCs/>
                <w:lang w:val="nl-NL"/>
              </w:rPr>
            </w:pPr>
            <w:r w:rsidRPr="00981F12">
              <w:rPr>
                <w:rFonts w:cs="Arial"/>
                <w:i/>
                <w:iCs/>
                <w:lang w:val="nl-NL"/>
              </w:rPr>
              <w:t>VND</w:t>
            </w:r>
          </w:p>
        </w:tc>
        <w:tc>
          <w:tcPr>
            <w:tcW w:w="1699" w:type="dxa"/>
            <w:vAlign w:val="bottom"/>
            <w:hideMark/>
          </w:tcPr>
          <w:p w14:paraId="7712B1A6" w14:textId="34896ECD" w:rsidR="00037BDF" w:rsidRPr="00981F12" w:rsidRDefault="009D1E59">
            <w:pPr>
              <w:widowControl w:val="0"/>
              <w:pBdr>
                <w:bottom w:val="single" w:sz="4" w:space="0" w:color="auto"/>
              </w:pBdr>
              <w:ind w:left="58" w:right="-86"/>
              <w:jc w:val="right"/>
              <w:rPr>
                <w:rFonts w:cs="Arial"/>
                <w:i/>
                <w:iCs/>
                <w:lang w:val="en-GB"/>
              </w:rPr>
            </w:pPr>
            <w:r w:rsidRPr="009D1E59">
              <w:rPr>
                <w:rFonts w:cs="Arial"/>
                <w:i/>
                <w:iCs/>
                <w:lang w:val="en-GB"/>
              </w:rPr>
              <w:t>Total</w:t>
            </w:r>
          </w:p>
          <w:p w14:paraId="340D36F1" w14:textId="28E9CC83" w:rsidR="00037BDF" w:rsidRPr="00981F12" w:rsidRDefault="00037BDF">
            <w:pPr>
              <w:widowControl w:val="0"/>
              <w:pBdr>
                <w:bottom w:val="single" w:sz="4" w:space="0" w:color="auto"/>
              </w:pBdr>
              <w:ind w:left="58" w:right="-86"/>
              <w:jc w:val="right"/>
              <w:rPr>
                <w:rFonts w:cs="Arial"/>
                <w:i/>
                <w:iCs/>
                <w:lang w:val="en-GB"/>
              </w:rPr>
            </w:pPr>
            <w:r w:rsidRPr="00981F12">
              <w:rPr>
                <w:rFonts w:cs="Arial"/>
                <w:i/>
                <w:iCs/>
                <w:lang w:val="en-GB"/>
              </w:rPr>
              <w:t>VND</w:t>
            </w:r>
          </w:p>
        </w:tc>
      </w:tr>
      <w:tr w:rsidR="00037BDF" w:rsidRPr="002A0B87" w14:paraId="66C9C4B5" w14:textId="77777777" w:rsidTr="00CC4417">
        <w:trPr>
          <w:trHeight w:val="20"/>
        </w:trPr>
        <w:tc>
          <w:tcPr>
            <w:tcW w:w="3082" w:type="dxa"/>
            <w:vAlign w:val="bottom"/>
            <w:hideMark/>
          </w:tcPr>
          <w:p w14:paraId="54FC0452" w14:textId="176C6FAA" w:rsidR="00037BDF" w:rsidRPr="002A0B87" w:rsidRDefault="00116041" w:rsidP="002F1B2C">
            <w:pPr>
              <w:widowControl w:val="0"/>
              <w:spacing w:before="120"/>
              <w:ind w:left="-115"/>
              <w:rPr>
                <w:rFonts w:cs="Arial"/>
                <w:b/>
                <w:bCs/>
              </w:rPr>
            </w:pPr>
            <w:r w:rsidRPr="00116041">
              <w:rPr>
                <w:rFonts w:cs="Arial"/>
                <w:b/>
                <w:bCs/>
              </w:rPr>
              <w:t>Cost</w:t>
            </w:r>
          </w:p>
        </w:tc>
        <w:tc>
          <w:tcPr>
            <w:tcW w:w="1699" w:type="dxa"/>
            <w:vAlign w:val="bottom"/>
          </w:tcPr>
          <w:p w14:paraId="633EAB08" w14:textId="77777777" w:rsidR="00037BDF" w:rsidRPr="002A0B87" w:rsidRDefault="00037BDF">
            <w:pPr>
              <w:widowControl w:val="0"/>
              <w:spacing w:before="120"/>
              <w:ind w:left="58" w:right="-86"/>
              <w:jc w:val="right"/>
              <w:rPr>
                <w:rFonts w:cs="Arial"/>
                <w:lang w:val="en-GB"/>
              </w:rPr>
            </w:pPr>
          </w:p>
        </w:tc>
        <w:tc>
          <w:tcPr>
            <w:tcW w:w="1699" w:type="dxa"/>
            <w:vAlign w:val="bottom"/>
          </w:tcPr>
          <w:p w14:paraId="76344BA9" w14:textId="77777777" w:rsidR="00037BDF" w:rsidRPr="002A0B87" w:rsidRDefault="00037BDF">
            <w:pPr>
              <w:widowControl w:val="0"/>
              <w:spacing w:before="120"/>
              <w:ind w:left="58" w:right="-86"/>
              <w:jc w:val="right"/>
              <w:rPr>
                <w:rFonts w:cs="Arial"/>
                <w:lang w:val="en-GB"/>
              </w:rPr>
            </w:pPr>
          </w:p>
        </w:tc>
        <w:tc>
          <w:tcPr>
            <w:tcW w:w="1699" w:type="dxa"/>
            <w:vAlign w:val="bottom"/>
          </w:tcPr>
          <w:p w14:paraId="08C41E44" w14:textId="77777777" w:rsidR="00037BDF" w:rsidRPr="002A0B87" w:rsidRDefault="00037BDF">
            <w:pPr>
              <w:widowControl w:val="0"/>
              <w:spacing w:before="120"/>
              <w:ind w:left="58" w:right="-86"/>
              <w:jc w:val="right"/>
              <w:rPr>
                <w:rFonts w:cs="Arial"/>
                <w:lang w:val="en-GB"/>
              </w:rPr>
            </w:pPr>
          </w:p>
        </w:tc>
      </w:tr>
      <w:tr w:rsidR="00157C21" w:rsidRPr="002A0B87" w14:paraId="7F159727" w14:textId="77777777" w:rsidTr="007A11CB">
        <w:trPr>
          <w:trHeight w:val="20"/>
        </w:trPr>
        <w:tc>
          <w:tcPr>
            <w:tcW w:w="3082" w:type="dxa"/>
            <w:vAlign w:val="bottom"/>
            <w:hideMark/>
          </w:tcPr>
          <w:p w14:paraId="14AC05F6" w14:textId="65E08DA8" w:rsidR="00157C21" w:rsidRPr="002A0B87" w:rsidRDefault="00157C21" w:rsidP="00157C21">
            <w:pPr>
              <w:widowControl w:val="0"/>
              <w:spacing w:before="120"/>
              <w:ind w:left="-115"/>
              <w:rPr>
                <w:rFonts w:cs="Arial"/>
              </w:rPr>
            </w:pPr>
            <w:r w:rsidRPr="00AA29C0">
              <w:rPr>
                <w:rFonts w:cs="Arial"/>
                <w:lang w:val="nl-NL"/>
              </w:rPr>
              <w:t>Opening balance</w:t>
            </w:r>
          </w:p>
        </w:tc>
        <w:tc>
          <w:tcPr>
            <w:tcW w:w="1699" w:type="dxa"/>
          </w:tcPr>
          <w:p w14:paraId="266D77CC" w14:textId="1F41EFA2" w:rsidR="00157C21" w:rsidRPr="002A0B87" w:rsidRDefault="00157C21" w:rsidP="00157C21">
            <w:pPr>
              <w:widowControl w:val="0"/>
              <w:spacing w:before="120"/>
              <w:ind w:left="58" w:right="-86"/>
              <w:jc w:val="right"/>
              <w:rPr>
                <w:rFonts w:cs="Arial"/>
                <w:highlight w:val="yellow"/>
              </w:rPr>
            </w:pPr>
            <w:r w:rsidRPr="00271F7E">
              <w:t>70</w:t>
            </w:r>
            <w:r>
              <w:t>,</w:t>
            </w:r>
            <w:r w:rsidRPr="00271F7E">
              <w:t>858</w:t>
            </w:r>
            <w:r>
              <w:t>,</w:t>
            </w:r>
            <w:r w:rsidRPr="00271F7E">
              <w:t>644</w:t>
            </w:r>
            <w:r>
              <w:t>,</w:t>
            </w:r>
            <w:r w:rsidRPr="00271F7E">
              <w:t xml:space="preserve">214 </w:t>
            </w:r>
          </w:p>
        </w:tc>
        <w:tc>
          <w:tcPr>
            <w:tcW w:w="1699" w:type="dxa"/>
          </w:tcPr>
          <w:p w14:paraId="5099A73F" w14:textId="359D012D" w:rsidR="00157C21" w:rsidRPr="002A0B87" w:rsidRDefault="00157C21" w:rsidP="00157C21">
            <w:pPr>
              <w:widowControl w:val="0"/>
              <w:spacing w:before="120"/>
              <w:ind w:left="58" w:right="-86"/>
              <w:jc w:val="right"/>
              <w:rPr>
                <w:rFonts w:cs="Arial"/>
                <w:highlight w:val="yellow"/>
              </w:rPr>
            </w:pPr>
            <w:r w:rsidRPr="00271F7E">
              <w:t>359</w:t>
            </w:r>
            <w:r>
              <w:t>,</w:t>
            </w:r>
            <w:r w:rsidRPr="00271F7E">
              <w:t>470</w:t>
            </w:r>
            <w:r>
              <w:t>,</w:t>
            </w:r>
            <w:r w:rsidRPr="00271F7E">
              <w:t xml:space="preserve">000 </w:t>
            </w:r>
          </w:p>
        </w:tc>
        <w:tc>
          <w:tcPr>
            <w:tcW w:w="1699" w:type="dxa"/>
          </w:tcPr>
          <w:p w14:paraId="1620B03B" w14:textId="051E616A" w:rsidR="00157C21" w:rsidRPr="002A0B87" w:rsidRDefault="00157C21" w:rsidP="00157C21">
            <w:pPr>
              <w:widowControl w:val="0"/>
              <w:spacing w:before="120"/>
              <w:ind w:left="58" w:right="-86"/>
              <w:jc w:val="right"/>
              <w:rPr>
                <w:rFonts w:cs="Arial"/>
                <w:highlight w:val="yellow"/>
              </w:rPr>
            </w:pPr>
            <w:r w:rsidRPr="00271F7E">
              <w:t>71</w:t>
            </w:r>
            <w:r>
              <w:t>,</w:t>
            </w:r>
            <w:r w:rsidRPr="00271F7E">
              <w:t>218</w:t>
            </w:r>
            <w:r>
              <w:t>,</w:t>
            </w:r>
            <w:r w:rsidRPr="00271F7E">
              <w:t>114</w:t>
            </w:r>
            <w:r>
              <w:t>,</w:t>
            </w:r>
            <w:r w:rsidRPr="00271F7E">
              <w:t xml:space="preserve">214 </w:t>
            </w:r>
          </w:p>
        </w:tc>
      </w:tr>
      <w:tr w:rsidR="00157C21" w:rsidRPr="002A0B87" w14:paraId="342B127D" w14:textId="77777777" w:rsidTr="007A11CB">
        <w:trPr>
          <w:trHeight w:val="20"/>
        </w:trPr>
        <w:tc>
          <w:tcPr>
            <w:tcW w:w="3082" w:type="dxa"/>
            <w:vAlign w:val="bottom"/>
          </w:tcPr>
          <w:p w14:paraId="26CF3CBF" w14:textId="6CCD35FD" w:rsidR="00157C21" w:rsidRPr="002A0B87" w:rsidRDefault="00157C21" w:rsidP="00157C21">
            <w:pPr>
              <w:widowControl w:val="0"/>
              <w:spacing w:before="120"/>
              <w:ind w:left="-115"/>
              <w:rPr>
                <w:rFonts w:cs="Arial"/>
                <w:lang w:val="nl-NL"/>
              </w:rPr>
            </w:pPr>
            <w:r>
              <w:rPr>
                <w:rFonts w:cs="Arial"/>
                <w:lang w:val="nl-NL"/>
              </w:rPr>
              <w:t>Additions</w:t>
            </w:r>
          </w:p>
        </w:tc>
        <w:tc>
          <w:tcPr>
            <w:tcW w:w="1699" w:type="dxa"/>
          </w:tcPr>
          <w:p w14:paraId="775A2C6C" w14:textId="31ED0087" w:rsidR="00157C21" w:rsidRPr="007D4267" w:rsidRDefault="00157C21" w:rsidP="00157C21">
            <w:pPr>
              <w:widowControl w:val="0"/>
              <w:pBdr>
                <w:bottom w:val="single" w:sz="4" w:space="0" w:color="auto"/>
              </w:pBdr>
              <w:spacing w:before="120"/>
              <w:ind w:left="58" w:right="-86"/>
              <w:jc w:val="right"/>
              <w:rPr>
                <w:rFonts w:cs="Arial"/>
              </w:rPr>
            </w:pPr>
            <w:r w:rsidRPr="00271F7E">
              <w:t>1</w:t>
            </w:r>
            <w:r>
              <w:t>,</w:t>
            </w:r>
            <w:r w:rsidRPr="00271F7E">
              <w:t>325</w:t>
            </w:r>
            <w:r>
              <w:t>,</w:t>
            </w:r>
            <w:r w:rsidRPr="00271F7E">
              <w:t>265</w:t>
            </w:r>
            <w:r>
              <w:t>,</w:t>
            </w:r>
            <w:r w:rsidRPr="00271F7E">
              <w:t>000</w:t>
            </w:r>
          </w:p>
        </w:tc>
        <w:tc>
          <w:tcPr>
            <w:tcW w:w="1699" w:type="dxa"/>
          </w:tcPr>
          <w:p w14:paraId="59671E8C" w14:textId="25D309F3" w:rsidR="00157C21" w:rsidRPr="007D4267" w:rsidRDefault="00157C21" w:rsidP="00157C21">
            <w:pPr>
              <w:widowControl w:val="0"/>
              <w:pBdr>
                <w:bottom w:val="single" w:sz="4" w:space="0" w:color="auto"/>
              </w:pBdr>
              <w:spacing w:before="120"/>
              <w:ind w:left="58" w:right="-86"/>
              <w:jc w:val="right"/>
              <w:rPr>
                <w:rFonts w:cs="Arial"/>
              </w:rPr>
            </w:pPr>
            <w:r w:rsidRPr="00271F7E">
              <w:t>-</w:t>
            </w:r>
          </w:p>
        </w:tc>
        <w:tc>
          <w:tcPr>
            <w:tcW w:w="1699" w:type="dxa"/>
          </w:tcPr>
          <w:p w14:paraId="640BCFAD" w14:textId="426BC076" w:rsidR="00157C21" w:rsidRDefault="00157C21" w:rsidP="00157C21">
            <w:pPr>
              <w:widowControl w:val="0"/>
              <w:pBdr>
                <w:bottom w:val="single" w:sz="4" w:space="0" w:color="auto"/>
              </w:pBdr>
              <w:spacing w:before="120"/>
              <w:ind w:left="58" w:right="-86"/>
              <w:jc w:val="right"/>
              <w:rPr>
                <w:rFonts w:cs="Arial"/>
              </w:rPr>
            </w:pPr>
            <w:r w:rsidRPr="00271F7E">
              <w:t>1</w:t>
            </w:r>
            <w:r>
              <w:t>,</w:t>
            </w:r>
            <w:r w:rsidRPr="00271F7E">
              <w:t>325</w:t>
            </w:r>
            <w:r>
              <w:t>,</w:t>
            </w:r>
            <w:r w:rsidRPr="00271F7E">
              <w:t>265</w:t>
            </w:r>
            <w:r>
              <w:t>,</w:t>
            </w:r>
            <w:r w:rsidRPr="00271F7E">
              <w:t>000</w:t>
            </w:r>
          </w:p>
        </w:tc>
      </w:tr>
      <w:tr w:rsidR="00157C21" w:rsidRPr="002A0B87" w14:paraId="5B527ACD" w14:textId="77777777" w:rsidTr="007A11CB">
        <w:trPr>
          <w:trHeight w:val="20"/>
        </w:trPr>
        <w:tc>
          <w:tcPr>
            <w:tcW w:w="3082" w:type="dxa"/>
            <w:vAlign w:val="bottom"/>
            <w:hideMark/>
          </w:tcPr>
          <w:p w14:paraId="7A54BD8F" w14:textId="079C46BC" w:rsidR="00157C21" w:rsidRPr="002A0B87" w:rsidRDefault="00157C21" w:rsidP="00157C21">
            <w:pPr>
              <w:widowControl w:val="0"/>
              <w:spacing w:before="120"/>
              <w:ind w:left="-115"/>
              <w:rPr>
                <w:rFonts w:cs="Arial"/>
              </w:rPr>
            </w:pPr>
            <w:r w:rsidRPr="00733AD4">
              <w:rPr>
                <w:rFonts w:cs="Arial"/>
                <w:lang w:val="nl-NL"/>
              </w:rPr>
              <w:t>Closing balance</w:t>
            </w:r>
          </w:p>
        </w:tc>
        <w:tc>
          <w:tcPr>
            <w:tcW w:w="1699" w:type="dxa"/>
          </w:tcPr>
          <w:p w14:paraId="1FF903AC" w14:textId="7A5FD549" w:rsidR="00157C21" w:rsidRPr="002A0B87" w:rsidRDefault="00157C21" w:rsidP="00157C21">
            <w:pPr>
              <w:widowControl w:val="0"/>
              <w:pBdr>
                <w:bottom w:val="single" w:sz="4" w:space="0" w:color="auto"/>
              </w:pBdr>
              <w:spacing w:before="120"/>
              <w:ind w:left="58" w:right="-86"/>
              <w:jc w:val="right"/>
              <w:rPr>
                <w:rFonts w:eastAsia="Batang" w:cs="Arial"/>
                <w:highlight w:val="yellow"/>
                <w:lang w:eastAsia="ko-KR"/>
              </w:rPr>
            </w:pPr>
            <w:r w:rsidRPr="00271F7E">
              <w:t>72</w:t>
            </w:r>
            <w:r>
              <w:t>,</w:t>
            </w:r>
            <w:r w:rsidRPr="00271F7E">
              <w:t>183</w:t>
            </w:r>
            <w:r>
              <w:t>,</w:t>
            </w:r>
            <w:r w:rsidRPr="00271F7E">
              <w:t>909</w:t>
            </w:r>
            <w:r>
              <w:t>,</w:t>
            </w:r>
            <w:r w:rsidRPr="00271F7E">
              <w:t>214</w:t>
            </w:r>
          </w:p>
        </w:tc>
        <w:tc>
          <w:tcPr>
            <w:tcW w:w="1699" w:type="dxa"/>
          </w:tcPr>
          <w:p w14:paraId="2F0EA68A" w14:textId="714DFCFD" w:rsidR="00157C21" w:rsidRPr="002A0B87" w:rsidRDefault="00157C21" w:rsidP="00157C21">
            <w:pPr>
              <w:widowControl w:val="0"/>
              <w:pBdr>
                <w:bottom w:val="single" w:sz="4" w:space="0" w:color="auto"/>
              </w:pBdr>
              <w:spacing w:before="120"/>
              <w:ind w:left="58" w:right="-86"/>
              <w:jc w:val="right"/>
              <w:rPr>
                <w:rFonts w:eastAsia="Batang" w:cs="Arial"/>
                <w:highlight w:val="yellow"/>
                <w:lang w:eastAsia="ko-KR"/>
              </w:rPr>
            </w:pPr>
            <w:r w:rsidRPr="00271F7E">
              <w:t>359</w:t>
            </w:r>
            <w:r>
              <w:t>,</w:t>
            </w:r>
            <w:r w:rsidRPr="00271F7E">
              <w:t>470</w:t>
            </w:r>
            <w:r>
              <w:t>,</w:t>
            </w:r>
            <w:r w:rsidRPr="00271F7E">
              <w:t xml:space="preserve">000 </w:t>
            </w:r>
          </w:p>
        </w:tc>
        <w:tc>
          <w:tcPr>
            <w:tcW w:w="1699" w:type="dxa"/>
          </w:tcPr>
          <w:p w14:paraId="0E0B1C89" w14:textId="0C6E1797" w:rsidR="00157C21" w:rsidRPr="002A0B87" w:rsidRDefault="00157C21" w:rsidP="00157C21">
            <w:pPr>
              <w:widowControl w:val="0"/>
              <w:pBdr>
                <w:bottom w:val="single" w:sz="4" w:space="0" w:color="auto"/>
              </w:pBdr>
              <w:spacing w:before="120"/>
              <w:ind w:left="58" w:right="-86"/>
              <w:jc w:val="right"/>
              <w:rPr>
                <w:rFonts w:eastAsia="Batang" w:cs="Arial"/>
                <w:highlight w:val="yellow"/>
                <w:lang w:eastAsia="ko-KR"/>
              </w:rPr>
            </w:pPr>
            <w:r w:rsidRPr="00271F7E">
              <w:t>72</w:t>
            </w:r>
            <w:r>
              <w:t>,</w:t>
            </w:r>
            <w:r w:rsidRPr="00271F7E">
              <w:t>543</w:t>
            </w:r>
            <w:r>
              <w:t>,</w:t>
            </w:r>
            <w:r w:rsidRPr="00271F7E">
              <w:t>379</w:t>
            </w:r>
            <w:r>
              <w:t>,</w:t>
            </w:r>
            <w:r w:rsidRPr="00271F7E">
              <w:t>214</w:t>
            </w:r>
          </w:p>
        </w:tc>
      </w:tr>
      <w:tr w:rsidR="00157C21" w:rsidRPr="002A0B87" w14:paraId="244C967C" w14:textId="77777777" w:rsidTr="007A11CB">
        <w:trPr>
          <w:trHeight w:val="20"/>
        </w:trPr>
        <w:tc>
          <w:tcPr>
            <w:tcW w:w="3082" w:type="dxa"/>
            <w:vAlign w:val="bottom"/>
            <w:hideMark/>
          </w:tcPr>
          <w:p w14:paraId="4F2C43AC" w14:textId="4B4ECFC8" w:rsidR="00157C21" w:rsidRPr="002A0B87" w:rsidRDefault="00157C21" w:rsidP="00157C21">
            <w:pPr>
              <w:widowControl w:val="0"/>
              <w:spacing w:before="120"/>
              <w:ind w:left="-115"/>
              <w:rPr>
                <w:rFonts w:cs="Arial"/>
                <w:lang w:val="en-GB"/>
              </w:rPr>
            </w:pPr>
            <w:r w:rsidRPr="00B2265F">
              <w:rPr>
                <w:rFonts w:cs="Arial"/>
                <w:b/>
                <w:bCs/>
              </w:rPr>
              <w:t>Accumulated amortization</w:t>
            </w:r>
          </w:p>
        </w:tc>
        <w:tc>
          <w:tcPr>
            <w:tcW w:w="1699" w:type="dxa"/>
          </w:tcPr>
          <w:p w14:paraId="702CFA2B" w14:textId="77777777" w:rsidR="00157C21" w:rsidRPr="002A0B87" w:rsidRDefault="00157C21" w:rsidP="00157C21">
            <w:pPr>
              <w:widowControl w:val="0"/>
              <w:spacing w:before="120"/>
              <w:ind w:left="58" w:right="-86"/>
              <w:jc w:val="right"/>
              <w:rPr>
                <w:rFonts w:cs="Arial"/>
                <w:lang w:val="en-GB"/>
              </w:rPr>
            </w:pPr>
          </w:p>
        </w:tc>
        <w:tc>
          <w:tcPr>
            <w:tcW w:w="1699" w:type="dxa"/>
          </w:tcPr>
          <w:p w14:paraId="088637EA" w14:textId="77777777" w:rsidR="00157C21" w:rsidRPr="002A0B87" w:rsidRDefault="00157C21" w:rsidP="00157C21">
            <w:pPr>
              <w:widowControl w:val="0"/>
              <w:spacing w:before="120"/>
              <w:ind w:left="58" w:right="-86"/>
              <w:jc w:val="right"/>
              <w:rPr>
                <w:rFonts w:cs="Arial"/>
                <w:lang w:val="en-GB"/>
              </w:rPr>
            </w:pPr>
          </w:p>
        </w:tc>
        <w:tc>
          <w:tcPr>
            <w:tcW w:w="1699" w:type="dxa"/>
          </w:tcPr>
          <w:p w14:paraId="6303CFED" w14:textId="77777777" w:rsidR="00157C21" w:rsidRPr="002A0B87" w:rsidRDefault="00157C21" w:rsidP="00157C21">
            <w:pPr>
              <w:widowControl w:val="0"/>
              <w:spacing w:before="120"/>
              <w:ind w:left="58" w:right="-86"/>
              <w:jc w:val="right"/>
              <w:rPr>
                <w:rFonts w:cs="Arial"/>
                <w:lang w:val="en-GB"/>
              </w:rPr>
            </w:pPr>
          </w:p>
        </w:tc>
      </w:tr>
      <w:tr w:rsidR="00157C21" w:rsidRPr="002A0B87" w14:paraId="0DBFBB1E" w14:textId="77777777" w:rsidTr="007A11CB">
        <w:trPr>
          <w:trHeight w:val="20"/>
        </w:trPr>
        <w:tc>
          <w:tcPr>
            <w:tcW w:w="3082" w:type="dxa"/>
            <w:vAlign w:val="bottom"/>
            <w:hideMark/>
          </w:tcPr>
          <w:p w14:paraId="2935CF4A" w14:textId="18622139" w:rsidR="00157C21" w:rsidRPr="002A0B87" w:rsidRDefault="00157C21" w:rsidP="00157C21">
            <w:pPr>
              <w:widowControl w:val="0"/>
              <w:spacing w:before="120"/>
              <w:ind w:left="-115"/>
              <w:rPr>
                <w:rFonts w:cs="Arial"/>
                <w:lang w:val="en-GB"/>
              </w:rPr>
            </w:pPr>
            <w:r w:rsidRPr="00935018">
              <w:rPr>
                <w:rFonts w:cs="Arial"/>
                <w:lang w:val="nl-NL"/>
              </w:rPr>
              <w:t>Opening balance</w:t>
            </w:r>
          </w:p>
        </w:tc>
        <w:tc>
          <w:tcPr>
            <w:tcW w:w="1699" w:type="dxa"/>
          </w:tcPr>
          <w:p w14:paraId="105E2539" w14:textId="32BC7A23" w:rsidR="00157C21" w:rsidRPr="002A0B87" w:rsidRDefault="00157C21" w:rsidP="00157C21">
            <w:pPr>
              <w:widowControl w:val="0"/>
              <w:spacing w:before="120"/>
              <w:ind w:left="58" w:right="-86"/>
              <w:jc w:val="right"/>
              <w:rPr>
                <w:rFonts w:cs="Arial"/>
                <w:lang w:val="en-GB"/>
              </w:rPr>
            </w:pPr>
            <w:r w:rsidRPr="00271F7E">
              <w:t>30</w:t>
            </w:r>
            <w:r>
              <w:t>,</w:t>
            </w:r>
            <w:r w:rsidRPr="00271F7E">
              <w:t>246</w:t>
            </w:r>
            <w:r>
              <w:t>,</w:t>
            </w:r>
            <w:r w:rsidRPr="00271F7E">
              <w:t>771</w:t>
            </w:r>
            <w:r>
              <w:t>,</w:t>
            </w:r>
            <w:r w:rsidRPr="00271F7E">
              <w:t>373</w:t>
            </w:r>
          </w:p>
        </w:tc>
        <w:tc>
          <w:tcPr>
            <w:tcW w:w="1699" w:type="dxa"/>
          </w:tcPr>
          <w:p w14:paraId="06C6BF4C" w14:textId="091D0AE2" w:rsidR="00157C21" w:rsidRPr="002A0B87" w:rsidRDefault="00157C21" w:rsidP="00157C21">
            <w:pPr>
              <w:widowControl w:val="0"/>
              <w:spacing w:before="120"/>
              <w:ind w:left="58" w:right="-86"/>
              <w:jc w:val="right"/>
              <w:rPr>
                <w:rFonts w:cs="Arial"/>
                <w:lang w:val="en-GB"/>
              </w:rPr>
            </w:pPr>
            <w:r w:rsidRPr="00271F7E">
              <w:t>257</w:t>
            </w:r>
            <w:r>
              <w:t>,</w:t>
            </w:r>
            <w:r w:rsidRPr="00271F7E">
              <w:t>021</w:t>
            </w:r>
            <w:r>
              <w:t>,</w:t>
            </w:r>
            <w:r w:rsidRPr="00271F7E">
              <w:t xml:space="preserve">064 </w:t>
            </w:r>
          </w:p>
        </w:tc>
        <w:tc>
          <w:tcPr>
            <w:tcW w:w="1699" w:type="dxa"/>
          </w:tcPr>
          <w:p w14:paraId="135DBA46" w14:textId="77826BA8" w:rsidR="00157C21" w:rsidRPr="002A0B87" w:rsidRDefault="00157C21" w:rsidP="00157C21">
            <w:pPr>
              <w:widowControl w:val="0"/>
              <w:spacing w:before="120"/>
              <w:ind w:left="58" w:right="-86"/>
              <w:jc w:val="right"/>
              <w:rPr>
                <w:rFonts w:cs="Arial"/>
                <w:lang w:val="en-GB"/>
              </w:rPr>
            </w:pPr>
            <w:r w:rsidRPr="00271F7E">
              <w:t>30</w:t>
            </w:r>
            <w:r>
              <w:t>,</w:t>
            </w:r>
            <w:r w:rsidRPr="00271F7E">
              <w:t>503</w:t>
            </w:r>
            <w:r>
              <w:t>,</w:t>
            </w:r>
            <w:r w:rsidRPr="00271F7E">
              <w:t>792</w:t>
            </w:r>
            <w:r>
              <w:t>,</w:t>
            </w:r>
            <w:r w:rsidRPr="00271F7E">
              <w:t>437</w:t>
            </w:r>
          </w:p>
        </w:tc>
      </w:tr>
      <w:tr w:rsidR="00157C21" w:rsidRPr="002A0B87" w14:paraId="6566B069" w14:textId="77777777" w:rsidTr="007A11CB">
        <w:trPr>
          <w:trHeight w:val="20"/>
        </w:trPr>
        <w:tc>
          <w:tcPr>
            <w:tcW w:w="3082" w:type="dxa"/>
            <w:vAlign w:val="bottom"/>
            <w:hideMark/>
          </w:tcPr>
          <w:p w14:paraId="4572826F" w14:textId="6AE6E48A" w:rsidR="00157C21" w:rsidRPr="002A0B87" w:rsidRDefault="00157C21" w:rsidP="00157C21">
            <w:pPr>
              <w:widowControl w:val="0"/>
              <w:ind w:left="-115"/>
              <w:rPr>
                <w:rFonts w:cs="Arial"/>
              </w:rPr>
            </w:pPr>
            <w:r w:rsidRPr="00886989">
              <w:rPr>
                <w:rFonts w:cs="Arial"/>
                <w:lang w:val="nl-NL"/>
              </w:rPr>
              <w:t>Amortization for the year</w:t>
            </w:r>
          </w:p>
        </w:tc>
        <w:tc>
          <w:tcPr>
            <w:tcW w:w="1699" w:type="dxa"/>
          </w:tcPr>
          <w:p w14:paraId="5502BD5B" w14:textId="78BE8D77" w:rsidR="00157C21" w:rsidRPr="002A0B87" w:rsidRDefault="00157C21" w:rsidP="00157C21">
            <w:pPr>
              <w:widowControl w:val="0"/>
              <w:pBdr>
                <w:bottom w:val="single" w:sz="4" w:space="0" w:color="auto"/>
              </w:pBdr>
              <w:ind w:left="58" w:right="-86"/>
              <w:jc w:val="right"/>
              <w:rPr>
                <w:rFonts w:cs="Arial"/>
                <w:highlight w:val="yellow"/>
                <w:lang w:val="en-GB"/>
              </w:rPr>
            </w:pPr>
            <w:r w:rsidRPr="00271F7E">
              <w:t>6</w:t>
            </w:r>
            <w:r>
              <w:t>,</w:t>
            </w:r>
            <w:r w:rsidRPr="00271F7E">
              <w:t>048</w:t>
            </w:r>
            <w:r>
              <w:t>,</w:t>
            </w:r>
            <w:r w:rsidRPr="00271F7E">
              <w:t>262</w:t>
            </w:r>
            <w:r>
              <w:t>,</w:t>
            </w:r>
            <w:r w:rsidRPr="00271F7E">
              <w:t xml:space="preserve">071 </w:t>
            </w:r>
          </w:p>
        </w:tc>
        <w:tc>
          <w:tcPr>
            <w:tcW w:w="1699" w:type="dxa"/>
          </w:tcPr>
          <w:p w14:paraId="65272E83" w14:textId="2AD0A26B" w:rsidR="00157C21" w:rsidRPr="002A0B87" w:rsidRDefault="00157C21" w:rsidP="00157C21">
            <w:pPr>
              <w:widowControl w:val="0"/>
              <w:pBdr>
                <w:bottom w:val="single" w:sz="4" w:space="0" w:color="auto"/>
              </w:pBdr>
              <w:ind w:left="58" w:right="-86"/>
              <w:jc w:val="right"/>
              <w:rPr>
                <w:rFonts w:cs="Arial"/>
                <w:highlight w:val="yellow"/>
                <w:lang w:val="en-GB"/>
              </w:rPr>
            </w:pPr>
            <w:r w:rsidRPr="00271F7E">
              <w:t>71</w:t>
            </w:r>
            <w:r>
              <w:t>,</w:t>
            </w:r>
            <w:r w:rsidRPr="00271F7E">
              <w:t>894</w:t>
            </w:r>
            <w:r>
              <w:t>,</w:t>
            </w:r>
            <w:r w:rsidRPr="00271F7E">
              <w:t>004</w:t>
            </w:r>
          </w:p>
        </w:tc>
        <w:tc>
          <w:tcPr>
            <w:tcW w:w="1699" w:type="dxa"/>
          </w:tcPr>
          <w:p w14:paraId="76C7ADE2" w14:textId="298A7E12" w:rsidR="00157C21" w:rsidRPr="002A0B87" w:rsidRDefault="00157C21" w:rsidP="00157C21">
            <w:pPr>
              <w:widowControl w:val="0"/>
              <w:pBdr>
                <w:bottom w:val="single" w:sz="4" w:space="0" w:color="auto"/>
              </w:pBdr>
              <w:ind w:left="58" w:right="-86"/>
              <w:jc w:val="right"/>
              <w:rPr>
                <w:rFonts w:cs="Arial"/>
                <w:highlight w:val="yellow"/>
                <w:lang w:val="en-GB"/>
              </w:rPr>
            </w:pPr>
            <w:r w:rsidRPr="00271F7E">
              <w:t>6</w:t>
            </w:r>
            <w:r>
              <w:t>,</w:t>
            </w:r>
            <w:r w:rsidRPr="00271F7E">
              <w:t>120</w:t>
            </w:r>
            <w:r>
              <w:t>,</w:t>
            </w:r>
            <w:r w:rsidRPr="00271F7E">
              <w:t>156</w:t>
            </w:r>
            <w:r>
              <w:t>,</w:t>
            </w:r>
            <w:r w:rsidRPr="00271F7E">
              <w:t>075</w:t>
            </w:r>
          </w:p>
        </w:tc>
      </w:tr>
      <w:tr w:rsidR="00157C21" w:rsidRPr="002A0B87" w14:paraId="6687ED73" w14:textId="77777777" w:rsidTr="007A11CB">
        <w:trPr>
          <w:trHeight w:val="20"/>
        </w:trPr>
        <w:tc>
          <w:tcPr>
            <w:tcW w:w="3082" w:type="dxa"/>
            <w:vAlign w:val="bottom"/>
            <w:hideMark/>
          </w:tcPr>
          <w:p w14:paraId="2F8A88FB" w14:textId="7D58692B" w:rsidR="00157C21" w:rsidRPr="002A0B87" w:rsidRDefault="00157C21" w:rsidP="00157C21">
            <w:pPr>
              <w:widowControl w:val="0"/>
              <w:spacing w:before="120"/>
              <w:ind w:left="-115"/>
              <w:rPr>
                <w:rFonts w:cs="Arial"/>
                <w:lang w:val="en-GB"/>
              </w:rPr>
            </w:pPr>
            <w:r w:rsidRPr="00F96A11">
              <w:rPr>
                <w:rFonts w:cs="Arial"/>
                <w:lang w:val="nl-NL"/>
              </w:rPr>
              <w:t>Closing balance</w:t>
            </w:r>
          </w:p>
        </w:tc>
        <w:tc>
          <w:tcPr>
            <w:tcW w:w="1699" w:type="dxa"/>
          </w:tcPr>
          <w:p w14:paraId="70B5E10B" w14:textId="648C63B7" w:rsidR="00157C21" w:rsidRPr="002A0B87" w:rsidRDefault="00157C21" w:rsidP="00157C21">
            <w:pPr>
              <w:widowControl w:val="0"/>
              <w:pBdr>
                <w:bottom w:val="single" w:sz="4" w:space="0" w:color="auto"/>
              </w:pBdr>
              <w:spacing w:before="120"/>
              <w:ind w:left="58" w:right="-86"/>
              <w:jc w:val="right"/>
              <w:rPr>
                <w:rFonts w:cs="Arial"/>
                <w:highlight w:val="yellow"/>
                <w:lang w:val="en-GB"/>
              </w:rPr>
            </w:pPr>
            <w:r w:rsidRPr="00271F7E">
              <w:t>30</w:t>
            </w:r>
            <w:r>
              <w:t>,</w:t>
            </w:r>
            <w:r w:rsidRPr="00271F7E">
              <w:t>295</w:t>
            </w:r>
            <w:r>
              <w:t>,</w:t>
            </w:r>
            <w:r w:rsidRPr="00271F7E">
              <w:t>033</w:t>
            </w:r>
            <w:r>
              <w:t>,</w:t>
            </w:r>
            <w:r w:rsidRPr="00271F7E">
              <w:t>444</w:t>
            </w:r>
          </w:p>
        </w:tc>
        <w:tc>
          <w:tcPr>
            <w:tcW w:w="1699" w:type="dxa"/>
          </w:tcPr>
          <w:p w14:paraId="0C87575D" w14:textId="04EBAC2D" w:rsidR="00157C21" w:rsidRPr="002A0B87" w:rsidRDefault="00157C21" w:rsidP="00157C21">
            <w:pPr>
              <w:widowControl w:val="0"/>
              <w:pBdr>
                <w:bottom w:val="single" w:sz="4" w:space="0" w:color="auto"/>
              </w:pBdr>
              <w:spacing w:before="120"/>
              <w:ind w:left="58" w:right="-86"/>
              <w:jc w:val="right"/>
              <w:rPr>
                <w:rFonts w:cs="Arial"/>
                <w:highlight w:val="yellow"/>
                <w:lang w:val="en-GB"/>
              </w:rPr>
            </w:pPr>
            <w:r w:rsidRPr="00271F7E">
              <w:t>328</w:t>
            </w:r>
            <w:r>
              <w:t>,</w:t>
            </w:r>
            <w:r w:rsidRPr="00271F7E">
              <w:t>915</w:t>
            </w:r>
            <w:r>
              <w:t>,</w:t>
            </w:r>
            <w:r w:rsidRPr="00271F7E">
              <w:t>068</w:t>
            </w:r>
          </w:p>
        </w:tc>
        <w:tc>
          <w:tcPr>
            <w:tcW w:w="1699" w:type="dxa"/>
          </w:tcPr>
          <w:p w14:paraId="12F89C11" w14:textId="2CFE6BF5" w:rsidR="00157C21" w:rsidRPr="002A0B87" w:rsidRDefault="00157C21" w:rsidP="00157C21">
            <w:pPr>
              <w:widowControl w:val="0"/>
              <w:pBdr>
                <w:bottom w:val="single" w:sz="4" w:space="0" w:color="auto"/>
              </w:pBdr>
              <w:spacing w:before="120"/>
              <w:ind w:left="58" w:right="-86"/>
              <w:jc w:val="right"/>
              <w:rPr>
                <w:rFonts w:cs="Arial"/>
                <w:highlight w:val="yellow"/>
                <w:lang w:val="en-GB"/>
              </w:rPr>
            </w:pPr>
            <w:r w:rsidRPr="00271F7E">
              <w:t>36</w:t>
            </w:r>
            <w:r>
              <w:t>,</w:t>
            </w:r>
            <w:r w:rsidRPr="00271F7E">
              <w:t>623</w:t>
            </w:r>
            <w:r>
              <w:t>,</w:t>
            </w:r>
            <w:r w:rsidRPr="00271F7E">
              <w:t>948</w:t>
            </w:r>
            <w:r>
              <w:t>,</w:t>
            </w:r>
            <w:r w:rsidRPr="00271F7E">
              <w:t>512</w:t>
            </w:r>
          </w:p>
        </w:tc>
      </w:tr>
      <w:tr w:rsidR="00157C21" w:rsidRPr="002A0B87" w14:paraId="2A45BF43" w14:textId="77777777" w:rsidTr="007A11CB">
        <w:trPr>
          <w:trHeight w:val="20"/>
        </w:trPr>
        <w:tc>
          <w:tcPr>
            <w:tcW w:w="3082" w:type="dxa"/>
            <w:vAlign w:val="bottom"/>
            <w:hideMark/>
          </w:tcPr>
          <w:p w14:paraId="07AD343D" w14:textId="03F000E4" w:rsidR="00157C21" w:rsidRPr="002A0B87" w:rsidRDefault="00157C21" w:rsidP="00157C21">
            <w:pPr>
              <w:widowControl w:val="0"/>
              <w:spacing w:before="120"/>
              <w:ind w:left="-115"/>
              <w:rPr>
                <w:rFonts w:cs="Arial"/>
                <w:b/>
                <w:bCs/>
                <w:lang w:val="en-GB"/>
              </w:rPr>
            </w:pPr>
            <w:r w:rsidRPr="00893563">
              <w:rPr>
                <w:rFonts w:cs="Arial"/>
                <w:b/>
                <w:bCs/>
              </w:rPr>
              <w:t>Net book value</w:t>
            </w:r>
          </w:p>
        </w:tc>
        <w:tc>
          <w:tcPr>
            <w:tcW w:w="1699" w:type="dxa"/>
          </w:tcPr>
          <w:p w14:paraId="1AB9CB60" w14:textId="77777777" w:rsidR="00157C21" w:rsidRPr="002A0B87" w:rsidRDefault="00157C21" w:rsidP="00157C21">
            <w:pPr>
              <w:widowControl w:val="0"/>
              <w:spacing w:before="120"/>
              <w:ind w:left="58" w:right="-86"/>
              <w:jc w:val="right"/>
              <w:rPr>
                <w:rFonts w:eastAsia="Batang" w:cs="Arial"/>
                <w:lang w:eastAsia="ko-KR"/>
              </w:rPr>
            </w:pPr>
          </w:p>
        </w:tc>
        <w:tc>
          <w:tcPr>
            <w:tcW w:w="1699" w:type="dxa"/>
          </w:tcPr>
          <w:p w14:paraId="64BBD2BA" w14:textId="77777777" w:rsidR="00157C21" w:rsidRPr="002A0B87" w:rsidRDefault="00157C21" w:rsidP="00157C21">
            <w:pPr>
              <w:widowControl w:val="0"/>
              <w:spacing w:before="120"/>
              <w:ind w:left="58" w:right="-86"/>
              <w:jc w:val="right"/>
              <w:rPr>
                <w:rFonts w:eastAsia="Batang" w:cs="Arial"/>
                <w:lang w:eastAsia="ko-KR"/>
              </w:rPr>
            </w:pPr>
          </w:p>
        </w:tc>
        <w:tc>
          <w:tcPr>
            <w:tcW w:w="1699" w:type="dxa"/>
          </w:tcPr>
          <w:p w14:paraId="7658085D" w14:textId="77777777" w:rsidR="00157C21" w:rsidRPr="002A0B87" w:rsidRDefault="00157C21" w:rsidP="00157C21">
            <w:pPr>
              <w:widowControl w:val="0"/>
              <w:spacing w:before="120"/>
              <w:ind w:left="58" w:right="-86"/>
              <w:jc w:val="right"/>
              <w:rPr>
                <w:rFonts w:eastAsia="Batang" w:cs="Arial"/>
                <w:lang w:eastAsia="ko-KR"/>
              </w:rPr>
            </w:pPr>
          </w:p>
        </w:tc>
      </w:tr>
      <w:tr w:rsidR="00157C21" w:rsidRPr="002A0B87" w14:paraId="7E3A3FF6" w14:textId="77777777" w:rsidTr="007A11CB">
        <w:trPr>
          <w:trHeight w:val="20"/>
        </w:trPr>
        <w:tc>
          <w:tcPr>
            <w:tcW w:w="3082" w:type="dxa"/>
            <w:vAlign w:val="bottom"/>
            <w:hideMark/>
          </w:tcPr>
          <w:p w14:paraId="50C74155" w14:textId="354FC15B" w:rsidR="00157C21" w:rsidRPr="002A0B87" w:rsidRDefault="00157C21" w:rsidP="00157C21">
            <w:pPr>
              <w:widowControl w:val="0"/>
              <w:spacing w:before="120"/>
              <w:ind w:left="-115"/>
              <w:rPr>
                <w:rFonts w:eastAsia="MS Mincho" w:cs="Arial"/>
                <w:lang w:val="en-GB" w:eastAsia="ja-JP"/>
              </w:rPr>
            </w:pPr>
            <w:r w:rsidRPr="0054315F">
              <w:rPr>
                <w:rFonts w:cs="Arial"/>
                <w:lang w:val="nl-NL"/>
              </w:rPr>
              <w:t>Opening balance</w:t>
            </w:r>
          </w:p>
        </w:tc>
        <w:tc>
          <w:tcPr>
            <w:tcW w:w="1699" w:type="dxa"/>
          </w:tcPr>
          <w:p w14:paraId="07224B79" w14:textId="3194A0AB" w:rsidR="00157C21" w:rsidRPr="002A0B87" w:rsidRDefault="00157C21" w:rsidP="00157C21">
            <w:pPr>
              <w:widowControl w:val="0"/>
              <w:pBdr>
                <w:bottom w:val="single" w:sz="4" w:space="0" w:color="auto"/>
              </w:pBdr>
              <w:spacing w:before="120"/>
              <w:ind w:left="58" w:right="-86"/>
              <w:jc w:val="right"/>
              <w:rPr>
                <w:rFonts w:eastAsia="Batang" w:cs="Arial"/>
                <w:lang w:eastAsia="ko-KR"/>
              </w:rPr>
            </w:pPr>
            <w:r w:rsidRPr="00271F7E">
              <w:t>40</w:t>
            </w:r>
            <w:r>
              <w:t>,</w:t>
            </w:r>
            <w:r w:rsidRPr="00271F7E">
              <w:t>611</w:t>
            </w:r>
            <w:r>
              <w:t>,</w:t>
            </w:r>
            <w:r w:rsidRPr="00271F7E">
              <w:t>872</w:t>
            </w:r>
            <w:r>
              <w:t>,</w:t>
            </w:r>
            <w:r w:rsidRPr="00271F7E">
              <w:t xml:space="preserve">841 </w:t>
            </w:r>
          </w:p>
        </w:tc>
        <w:tc>
          <w:tcPr>
            <w:tcW w:w="1699" w:type="dxa"/>
          </w:tcPr>
          <w:p w14:paraId="49B62285" w14:textId="18151FF6" w:rsidR="00157C21" w:rsidRPr="002A0B87" w:rsidRDefault="00157C21" w:rsidP="00157C21">
            <w:pPr>
              <w:widowControl w:val="0"/>
              <w:pBdr>
                <w:bottom w:val="single" w:sz="4" w:space="0" w:color="auto"/>
              </w:pBdr>
              <w:spacing w:before="120"/>
              <w:ind w:left="58" w:right="-86"/>
              <w:jc w:val="right"/>
              <w:rPr>
                <w:rFonts w:eastAsia="Batang" w:cs="Arial"/>
                <w:lang w:eastAsia="ko-KR"/>
              </w:rPr>
            </w:pPr>
            <w:r w:rsidRPr="00271F7E">
              <w:t>102</w:t>
            </w:r>
            <w:r>
              <w:t>,</w:t>
            </w:r>
            <w:r w:rsidRPr="00271F7E">
              <w:t>448</w:t>
            </w:r>
            <w:r>
              <w:t>,</w:t>
            </w:r>
            <w:r w:rsidRPr="00271F7E">
              <w:t xml:space="preserve">936 </w:t>
            </w:r>
          </w:p>
        </w:tc>
        <w:tc>
          <w:tcPr>
            <w:tcW w:w="1699" w:type="dxa"/>
          </w:tcPr>
          <w:p w14:paraId="08674E79" w14:textId="4208199B" w:rsidR="00157C21" w:rsidRPr="002A0B87" w:rsidRDefault="00157C21" w:rsidP="00157C21">
            <w:pPr>
              <w:widowControl w:val="0"/>
              <w:pBdr>
                <w:bottom w:val="single" w:sz="4" w:space="0" w:color="auto"/>
              </w:pBdr>
              <w:spacing w:before="120"/>
              <w:ind w:left="58" w:right="-86"/>
              <w:jc w:val="right"/>
              <w:rPr>
                <w:rFonts w:eastAsia="Batang" w:cs="Arial"/>
                <w:lang w:eastAsia="ko-KR"/>
              </w:rPr>
            </w:pPr>
            <w:r w:rsidRPr="00271F7E">
              <w:t>40</w:t>
            </w:r>
            <w:r>
              <w:t>,</w:t>
            </w:r>
            <w:r w:rsidRPr="00271F7E">
              <w:t>714</w:t>
            </w:r>
            <w:r>
              <w:t>,</w:t>
            </w:r>
            <w:r w:rsidRPr="00271F7E">
              <w:t>321</w:t>
            </w:r>
            <w:r>
              <w:t>,</w:t>
            </w:r>
            <w:r w:rsidRPr="00271F7E">
              <w:t xml:space="preserve">777 </w:t>
            </w:r>
          </w:p>
        </w:tc>
      </w:tr>
      <w:tr w:rsidR="00157C21" w:rsidRPr="002A0B87" w14:paraId="6038F430" w14:textId="77777777" w:rsidTr="007A11CB">
        <w:trPr>
          <w:trHeight w:val="20"/>
        </w:trPr>
        <w:tc>
          <w:tcPr>
            <w:tcW w:w="3082" w:type="dxa"/>
            <w:vAlign w:val="bottom"/>
            <w:hideMark/>
          </w:tcPr>
          <w:p w14:paraId="1BB4AF90" w14:textId="23649C71" w:rsidR="00157C21" w:rsidRPr="002A0B87" w:rsidRDefault="00157C21" w:rsidP="00157C21">
            <w:pPr>
              <w:widowControl w:val="0"/>
              <w:spacing w:before="120"/>
              <w:ind w:left="-115"/>
              <w:rPr>
                <w:rFonts w:cs="Arial"/>
              </w:rPr>
            </w:pPr>
            <w:r w:rsidRPr="00E40A46">
              <w:rPr>
                <w:rFonts w:cs="Arial"/>
                <w:lang w:val="nl-NL"/>
              </w:rPr>
              <w:t>Closing balance</w:t>
            </w:r>
          </w:p>
        </w:tc>
        <w:tc>
          <w:tcPr>
            <w:tcW w:w="1699" w:type="dxa"/>
          </w:tcPr>
          <w:p w14:paraId="7DBFF010" w14:textId="0DB6AC96" w:rsidR="00157C21" w:rsidRPr="002A0B87" w:rsidRDefault="00157C21" w:rsidP="00157C21">
            <w:pPr>
              <w:widowControl w:val="0"/>
              <w:pBdr>
                <w:bottom w:val="double" w:sz="4" w:space="0" w:color="auto"/>
              </w:pBdr>
              <w:spacing w:before="120"/>
              <w:ind w:left="58" w:right="-86"/>
              <w:jc w:val="right"/>
              <w:rPr>
                <w:rFonts w:eastAsia="Batang" w:cs="Arial"/>
                <w:bCs/>
                <w:highlight w:val="yellow"/>
                <w:lang w:eastAsia="ko-KR"/>
              </w:rPr>
            </w:pPr>
            <w:r w:rsidRPr="00271F7E">
              <w:t>35</w:t>
            </w:r>
            <w:r>
              <w:t>,</w:t>
            </w:r>
            <w:r w:rsidRPr="00271F7E">
              <w:t>888</w:t>
            </w:r>
            <w:r>
              <w:t>,</w:t>
            </w:r>
            <w:r w:rsidRPr="00271F7E">
              <w:t>875</w:t>
            </w:r>
            <w:r>
              <w:t>,</w:t>
            </w:r>
            <w:r w:rsidRPr="00271F7E">
              <w:t xml:space="preserve">770 </w:t>
            </w:r>
          </w:p>
        </w:tc>
        <w:tc>
          <w:tcPr>
            <w:tcW w:w="1699" w:type="dxa"/>
          </w:tcPr>
          <w:p w14:paraId="4769A453" w14:textId="528771E3" w:rsidR="00157C21" w:rsidRPr="002A0B87" w:rsidRDefault="00157C21" w:rsidP="00157C21">
            <w:pPr>
              <w:widowControl w:val="0"/>
              <w:pBdr>
                <w:bottom w:val="double" w:sz="4" w:space="0" w:color="auto"/>
              </w:pBdr>
              <w:spacing w:before="120"/>
              <w:ind w:left="58" w:right="-86"/>
              <w:jc w:val="right"/>
              <w:rPr>
                <w:rFonts w:eastAsia="Batang" w:cs="Arial"/>
                <w:bCs/>
                <w:highlight w:val="yellow"/>
                <w:lang w:eastAsia="ko-KR"/>
              </w:rPr>
            </w:pPr>
            <w:r w:rsidRPr="00271F7E">
              <w:t>30</w:t>
            </w:r>
            <w:r>
              <w:t>,</w:t>
            </w:r>
            <w:r w:rsidRPr="00271F7E">
              <w:t>554</w:t>
            </w:r>
            <w:r>
              <w:t>,</w:t>
            </w:r>
            <w:r w:rsidRPr="00271F7E">
              <w:t>932</w:t>
            </w:r>
          </w:p>
        </w:tc>
        <w:tc>
          <w:tcPr>
            <w:tcW w:w="1699" w:type="dxa"/>
          </w:tcPr>
          <w:p w14:paraId="23070AE0" w14:textId="6EE54EA6" w:rsidR="00157C21" w:rsidRPr="002A0B87" w:rsidRDefault="00157C21" w:rsidP="00157C21">
            <w:pPr>
              <w:widowControl w:val="0"/>
              <w:pBdr>
                <w:bottom w:val="double" w:sz="4" w:space="0" w:color="auto"/>
              </w:pBdr>
              <w:spacing w:before="120"/>
              <w:ind w:left="58" w:right="-86"/>
              <w:jc w:val="right"/>
              <w:rPr>
                <w:rFonts w:eastAsia="Batang" w:cs="Arial"/>
                <w:bCs/>
                <w:highlight w:val="yellow"/>
                <w:lang w:eastAsia="ko-KR"/>
              </w:rPr>
            </w:pPr>
            <w:r w:rsidRPr="00271F7E">
              <w:t>35</w:t>
            </w:r>
            <w:r>
              <w:t>,</w:t>
            </w:r>
            <w:r w:rsidRPr="00271F7E">
              <w:t>919</w:t>
            </w:r>
            <w:r>
              <w:t>,</w:t>
            </w:r>
            <w:r w:rsidRPr="00271F7E">
              <w:t>430</w:t>
            </w:r>
            <w:r>
              <w:t>,</w:t>
            </w:r>
            <w:r w:rsidRPr="00271F7E">
              <w:t>702</w:t>
            </w:r>
          </w:p>
        </w:tc>
      </w:tr>
    </w:tbl>
    <w:p w14:paraId="20EDB523" w14:textId="7F77897C" w:rsidR="008F1790" w:rsidRPr="002A0B87" w:rsidRDefault="008F1790" w:rsidP="00C90B5D">
      <w:pPr>
        <w:pStyle w:val="NoSpacing"/>
        <w:rPr>
          <w:lang w:val="de-DE"/>
        </w:rPr>
      </w:pPr>
    </w:p>
    <w:tbl>
      <w:tblPr>
        <w:tblStyle w:val="TableGrid"/>
        <w:tblW w:w="8179"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75"/>
        <w:gridCol w:w="1704"/>
      </w:tblGrid>
      <w:tr w:rsidR="00BD21FC" w14:paraId="5217738B" w14:textId="77777777" w:rsidTr="00254501">
        <w:tc>
          <w:tcPr>
            <w:tcW w:w="6475" w:type="dxa"/>
          </w:tcPr>
          <w:p w14:paraId="6A21923F" w14:textId="77777777" w:rsidR="00BD21FC" w:rsidRPr="0092575B" w:rsidRDefault="00BD21FC" w:rsidP="0092575B">
            <w:pPr>
              <w:pStyle w:val="NoSpacing"/>
              <w:ind w:left="-115"/>
              <w:rPr>
                <w:lang w:val="de-DE"/>
              </w:rPr>
            </w:pPr>
          </w:p>
        </w:tc>
        <w:tc>
          <w:tcPr>
            <w:tcW w:w="1704" w:type="dxa"/>
            <w:vAlign w:val="bottom"/>
          </w:tcPr>
          <w:p w14:paraId="06ABD96B" w14:textId="0680DAE1" w:rsidR="00BD21FC" w:rsidRPr="00BA07A6" w:rsidRDefault="007D0B2C" w:rsidP="00BA07A6">
            <w:pPr>
              <w:pStyle w:val="NoSpacing"/>
              <w:pBdr>
                <w:bottom w:val="single" w:sz="4" w:space="0" w:color="auto"/>
              </w:pBdr>
              <w:ind w:left="58" w:right="-86"/>
              <w:jc w:val="right"/>
              <w:rPr>
                <w:i/>
                <w:iCs/>
                <w:lang w:val="de-DE"/>
              </w:rPr>
            </w:pPr>
            <w:r>
              <w:rPr>
                <w:i/>
                <w:iCs/>
                <w:lang w:val="de-DE"/>
              </w:rPr>
              <w:t>Ending balance</w:t>
            </w:r>
          </w:p>
          <w:p w14:paraId="24F47ACB" w14:textId="1D28230A" w:rsidR="00BD21FC" w:rsidRPr="00BA07A6" w:rsidRDefault="00BD21FC" w:rsidP="00BA07A6">
            <w:pPr>
              <w:pBdr>
                <w:bottom w:val="single" w:sz="4" w:space="0" w:color="auto"/>
              </w:pBdr>
              <w:ind w:left="58" w:right="-86"/>
              <w:jc w:val="right"/>
              <w:rPr>
                <w:i/>
                <w:iCs/>
                <w:lang w:val="de-DE"/>
              </w:rPr>
            </w:pPr>
            <w:r w:rsidRPr="00BA07A6">
              <w:rPr>
                <w:i/>
                <w:iCs/>
                <w:lang w:val="de-DE"/>
              </w:rPr>
              <w:t>VND</w:t>
            </w:r>
          </w:p>
        </w:tc>
      </w:tr>
      <w:tr w:rsidR="0092575B" w14:paraId="7EA070F5" w14:textId="77777777" w:rsidTr="00254501">
        <w:tc>
          <w:tcPr>
            <w:tcW w:w="6475" w:type="dxa"/>
          </w:tcPr>
          <w:p w14:paraId="145F61AD" w14:textId="2AF99863" w:rsidR="0092575B" w:rsidRDefault="007F4C5C" w:rsidP="00BA07A6">
            <w:pPr>
              <w:pStyle w:val="NoSpacing"/>
              <w:spacing w:before="120"/>
              <w:ind w:left="-115"/>
              <w:rPr>
                <w:lang w:val="de-DE"/>
              </w:rPr>
            </w:pPr>
            <w:r w:rsidRPr="007F4C5C">
              <w:rPr>
                <w:lang w:val="de-DE"/>
              </w:rPr>
              <w:t>Fully amortized intangible assets in use</w:t>
            </w:r>
          </w:p>
        </w:tc>
        <w:tc>
          <w:tcPr>
            <w:tcW w:w="1704" w:type="dxa"/>
            <w:vAlign w:val="bottom"/>
          </w:tcPr>
          <w:p w14:paraId="2A32EC50" w14:textId="7A95A4D1" w:rsidR="0092575B" w:rsidRPr="00BD21FC" w:rsidRDefault="00B9550E" w:rsidP="00BA07A6">
            <w:pPr>
              <w:pStyle w:val="NoSpacing"/>
              <w:pBdr>
                <w:bottom w:val="double" w:sz="4" w:space="0" w:color="auto"/>
              </w:pBdr>
              <w:spacing w:before="120"/>
              <w:ind w:left="58" w:right="-86"/>
              <w:jc w:val="right"/>
              <w:rPr>
                <w:lang w:val="de-DE"/>
              </w:rPr>
            </w:pPr>
            <w:r>
              <w:rPr>
                <w:rFonts w:cs="Arial"/>
                <w:color w:val="000000"/>
              </w:rPr>
              <w:t>702</w:t>
            </w:r>
            <w:r w:rsidR="006D6DE5">
              <w:rPr>
                <w:rFonts w:cs="Arial"/>
                <w:color w:val="000000"/>
              </w:rPr>
              <w:t>,</w:t>
            </w:r>
            <w:r>
              <w:rPr>
                <w:rFonts w:cs="Arial"/>
                <w:color w:val="000000"/>
              </w:rPr>
              <w:t>260</w:t>
            </w:r>
            <w:r w:rsidR="006D6DE5">
              <w:rPr>
                <w:rFonts w:cs="Arial"/>
                <w:color w:val="000000"/>
              </w:rPr>
              <w:t>,</w:t>
            </w:r>
            <w:r w:rsidR="008A6197">
              <w:rPr>
                <w:rFonts w:cs="Arial"/>
                <w:color w:val="000000"/>
              </w:rPr>
              <w:t>277</w:t>
            </w:r>
          </w:p>
        </w:tc>
      </w:tr>
    </w:tbl>
    <w:p w14:paraId="4EAF2CA2" w14:textId="77777777" w:rsidR="0092575B" w:rsidRDefault="0092575B" w:rsidP="00BA07A6">
      <w:pPr>
        <w:pStyle w:val="NoSpacing"/>
        <w:rPr>
          <w:lang w:val="de-DE"/>
        </w:rPr>
      </w:pPr>
    </w:p>
    <w:p w14:paraId="2260B90E" w14:textId="7536B448" w:rsidR="0092575B" w:rsidRPr="00BA07A6" w:rsidRDefault="0092575B" w:rsidP="0092575B">
      <w:pPr>
        <w:pStyle w:val="NoSpacing"/>
        <w:sectPr w:rsidR="0092575B" w:rsidRPr="00BA07A6" w:rsidSect="009032CF">
          <w:pgSz w:w="11909" w:h="16834" w:code="9"/>
          <w:pgMar w:top="1440" w:right="1440" w:bottom="862" w:left="1582" w:header="720" w:footer="578" w:gutter="0"/>
          <w:cols w:space="720"/>
          <w:docGrid w:linePitch="272"/>
        </w:sectPr>
      </w:pPr>
    </w:p>
    <w:p w14:paraId="5A00D2A6" w14:textId="59E0DB7D" w:rsidR="00027CD2" w:rsidRPr="002A0B87" w:rsidRDefault="00027CD2" w:rsidP="00027CD2">
      <w:pPr>
        <w:pStyle w:val="BodyText"/>
        <w:ind w:left="720" w:hanging="720"/>
        <w:textAlignment w:val="auto"/>
        <w:outlineLvl w:val="0"/>
        <w:rPr>
          <w:rFonts w:ascii="Arial" w:hAnsi="Arial" w:cs="Arial"/>
          <w:b/>
          <w:bCs/>
        </w:rPr>
      </w:pPr>
      <w:bookmarkStart w:id="0" w:name="_Hlk61218326"/>
      <w:r w:rsidRPr="002A0B87">
        <w:rPr>
          <w:rFonts w:ascii="Arial" w:hAnsi="Arial" w:cs="Arial"/>
          <w:b/>
          <w:bCs/>
        </w:rPr>
        <w:lastRenderedPageBreak/>
        <w:t>1</w:t>
      </w:r>
      <w:r w:rsidR="006465D2">
        <w:rPr>
          <w:rFonts w:ascii="Arial" w:hAnsi="Arial" w:cs="Arial"/>
          <w:b/>
          <w:bCs/>
        </w:rPr>
        <w:t>1</w:t>
      </w:r>
      <w:r w:rsidRPr="002A0B87">
        <w:rPr>
          <w:rFonts w:ascii="Arial" w:hAnsi="Arial" w:cs="Arial"/>
          <w:b/>
          <w:bCs/>
        </w:rPr>
        <w:t>.</w:t>
      </w:r>
      <w:r w:rsidRPr="002A0B87">
        <w:rPr>
          <w:rFonts w:ascii="Arial" w:hAnsi="Arial" w:cs="Arial"/>
          <w:b/>
          <w:bCs/>
        </w:rPr>
        <w:tab/>
      </w:r>
      <w:r w:rsidR="00AD586E" w:rsidRPr="00AD586E">
        <w:rPr>
          <w:rFonts w:ascii="Arial" w:hAnsi="Arial" w:cs="Arial"/>
          <w:b/>
          <w:bCs/>
        </w:rPr>
        <w:t>PREPAID EXPENSES</w:t>
      </w:r>
      <w:r w:rsidR="00AD586E" w:rsidRPr="00AD586E" w:rsidDel="00AD586E">
        <w:rPr>
          <w:rFonts w:ascii="Arial" w:hAnsi="Arial" w:cs="Arial"/>
          <w:b/>
          <w:bCs/>
        </w:rPr>
        <w:t xml:space="preserve"> </w:t>
      </w:r>
    </w:p>
    <w:p w14:paraId="6C9E11A1" w14:textId="77777777" w:rsidR="00027CD2" w:rsidRPr="002A0B87" w:rsidRDefault="00027CD2" w:rsidP="00027CD2">
      <w:pPr>
        <w:pStyle w:val="NoSpacing"/>
      </w:pPr>
    </w:p>
    <w:tbl>
      <w:tblPr>
        <w:tblW w:w="8160" w:type="dxa"/>
        <w:tblInd w:w="720" w:type="dxa"/>
        <w:tblLayout w:type="fixed"/>
        <w:tblLook w:val="01E0" w:firstRow="1" w:lastRow="1" w:firstColumn="1" w:lastColumn="1" w:noHBand="0" w:noVBand="0"/>
      </w:tblPr>
      <w:tblGrid>
        <w:gridCol w:w="4764"/>
        <w:gridCol w:w="1626"/>
        <w:gridCol w:w="1770"/>
      </w:tblGrid>
      <w:tr w:rsidR="00027CD2" w:rsidRPr="002A0B87" w14:paraId="65B14A66" w14:textId="77777777" w:rsidTr="00FA28E4">
        <w:trPr>
          <w:trHeight w:val="20"/>
          <w:tblHeader/>
        </w:trPr>
        <w:tc>
          <w:tcPr>
            <w:tcW w:w="4764" w:type="dxa"/>
            <w:vAlign w:val="bottom"/>
          </w:tcPr>
          <w:p w14:paraId="071739D7" w14:textId="77777777" w:rsidR="00027CD2" w:rsidRPr="002A0B87" w:rsidRDefault="00027CD2" w:rsidP="009634C2">
            <w:pPr>
              <w:widowControl w:val="0"/>
              <w:overflowPunct/>
              <w:autoSpaceDE/>
              <w:autoSpaceDN/>
              <w:adjustRightInd/>
              <w:ind w:left="-115"/>
              <w:textAlignment w:val="auto"/>
              <w:rPr>
                <w:rFonts w:eastAsia="Batang" w:cs="Arial"/>
                <w:i/>
                <w:lang w:val="es-ES"/>
              </w:rPr>
            </w:pPr>
          </w:p>
        </w:tc>
        <w:tc>
          <w:tcPr>
            <w:tcW w:w="1626" w:type="dxa"/>
            <w:vAlign w:val="bottom"/>
            <w:hideMark/>
          </w:tcPr>
          <w:p w14:paraId="21129365" w14:textId="0BCCFE72" w:rsidR="00027CD2" w:rsidRPr="002A0B87" w:rsidRDefault="005B25F7" w:rsidP="009634C2">
            <w:pPr>
              <w:widowControl w:val="0"/>
              <w:pBdr>
                <w:bottom w:val="single" w:sz="4" w:space="0" w:color="auto"/>
              </w:pBdr>
              <w:overflowPunct/>
              <w:autoSpaceDE/>
              <w:autoSpaceDN/>
              <w:adjustRightInd/>
              <w:ind w:left="57" w:right="-85"/>
              <w:jc w:val="right"/>
              <w:textAlignment w:val="auto"/>
              <w:rPr>
                <w:rFonts w:eastAsia="Batang" w:cs="Arial"/>
                <w:bCs/>
                <w:i/>
              </w:rPr>
            </w:pPr>
            <w:r w:rsidRPr="005B25F7">
              <w:rPr>
                <w:rFonts w:eastAsia="Batang" w:cs="Arial"/>
                <w:bCs/>
                <w:i/>
              </w:rPr>
              <w:t>Ending balance</w:t>
            </w:r>
          </w:p>
          <w:p w14:paraId="60AD5C8F" w14:textId="77777777" w:rsidR="00027CD2" w:rsidRPr="002A0B87" w:rsidRDefault="00027CD2" w:rsidP="009634C2">
            <w:pPr>
              <w:widowControl w:val="0"/>
              <w:pBdr>
                <w:bottom w:val="single" w:sz="4" w:space="0" w:color="auto"/>
              </w:pBdr>
              <w:ind w:left="57" w:right="-85"/>
              <w:jc w:val="right"/>
              <w:rPr>
                <w:rFonts w:cs="Arial"/>
                <w:bCs/>
                <w:i/>
              </w:rPr>
            </w:pPr>
            <w:r w:rsidRPr="002A0B87">
              <w:rPr>
                <w:rFonts w:eastAsia="Batang" w:cs="Arial"/>
                <w:i/>
                <w:iCs/>
              </w:rPr>
              <w:t>VND</w:t>
            </w:r>
          </w:p>
        </w:tc>
        <w:tc>
          <w:tcPr>
            <w:tcW w:w="1770" w:type="dxa"/>
            <w:vAlign w:val="bottom"/>
            <w:hideMark/>
          </w:tcPr>
          <w:p w14:paraId="75C4D61A" w14:textId="6CF016F1" w:rsidR="00027CD2" w:rsidRPr="002A0B87" w:rsidRDefault="00773CC5" w:rsidP="009634C2">
            <w:pPr>
              <w:widowControl w:val="0"/>
              <w:pBdr>
                <w:bottom w:val="single" w:sz="4" w:space="0" w:color="auto"/>
              </w:pBdr>
              <w:overflowPunct/>
              <w:autoSpaceDE/>
              <w:autoSpaceDN/>
              <w:adjustRightInd/>
              <w:ind w:left="57" w:right="-85"/>
              <w:jc w:val="right"/>
              <w:textAlignment w:val="auto"/>
              <w:rPr>
                <w:rFonts w:eastAsia="Batang" w:cs="Arial"/>
                <w:bCs/>
                <w:i/>
              </w:rPr>
            </w:pPr>
            <w:r w:rsidRPr="00773CC5">
              <w:rPr>
                <w:rFonts w:eastAsia="Batang" w:cs="Arial"/>
                <w:bCs/>
                <w:i/>
              </w:rPr>
              <w:t>Opening balance</w:t>
            </w:r>
          </w:p>
          <w:p w14:paraId="1B56A2D3" w14:textId="77777777" w:rsidR="00027CD2" w:rsidRPr="002A0B87" w:rsidRDefault="00027CD2" w:rsidP="009634C2">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8802A6" w:rsidRPr="002A0B87" w14:paraId="112E7DB7" w14:textId="77777777" w:rsidTr="008A3216">
        <w:trPr>
          <w:trHeight w:val="20"/>
        </w:trPr>
        <w:tc>
          <w:tcPr>
            <w:tcW w:w="4764" w:type="dxa"/>
            <w:vAlign w:val="bottom"/>
          </w:tcPr>
          <w:p w14:paraId="5D800B69" w14:textId="51AD17DB" w:rsidR="008802A6" w:rsidRPr="002A0B87" w:rsidRDefault="008802A6" w:rsidP="008802A6">
            <w:pPr>
              <w:widowControl w:val="0"/>
              <w:spacing w:before="120"/>
              <w:ind w:left="-115"/>
              <w:rPr>
                <w:rFonts w:cs="Arial"/>
              </w:rPr>
            </w:pPr>
            <w:r w:rsidRPr="008B00D1">
              <w:rPr>
                <w:rFonts w:cs="Arial"/>
              </w:rPr>
              <w:t>Short-term prepaid expenses</w:t>
            </w:r>
          </w:p>
        </w:tc>
        <w:tc>
          <w:tcPr>
            <w:tcW w:w="1626" w:type="dxa"/>
            <w:shd w:val="clear" w:color="auto" w:fill="auto"/>
          </w:tcPr>
          <w:p w14:paraId="1442AB9D" w14:textId="04882DB3" w:rsidR="008802A6" w:rsidRPr="009305AD" w:rsidRDefault="008802A6" w:rsidP="008802A6">
            <w:pPr>
              <w:widowControl w:val="0"/>
              <w:spacing w:before="120"/>
              <w:ind w:left="57" w:right="-85"/>
              <w:jc w:val="right"/>
              <w:rPr>
                <w:rFonts w:cs="Arial"/>
                <w:lang w:val="vi-VN"/>
              </w:rPr>
            </w:pPr>
            <w:r w:rsidRPr="003164FE">
              <w:t>1</w:t>
            </w:r>
            <w:r w:rsidR="00C34868">
              <w:t>,</w:t>
            </w:r>
            <w:r w:rsidRPr="003164FE">
              <w:t>783</w:t>
            </w:r>
            <w:r w:rsidR="00C34868">
              <w:t>,</w:t>
            </w:r>
            <w:r w:rsidRPr="003164FE">
              <w:t>494</w:t>
            </w:r>
            <w:r w:rsidR="00C34868">
              <w:t>,</w:t>
            </w:r>
            <w:r w:rsidRPr="003164FE">
              <w:t>805</w:t>
            </w:r>
          </w:p>
        </w:tc>
        <w:tc>
          <w:tcPr>
            <w:tcW w:w="1770" w:type="dxa"/>
          </w:tcPr>
          <w:p w14:paraId="5CBE7229" w14:textId="20287580" w:rsidR="008802A6" w:rsidRPr="009305AD" w:rsidRDefault="008802A6" w:rsidP="008802A6">
            <w:pPr>
              <w:widowControl w:val="0"/>
              <w:spacing w:before="120"/>
              <w:ind w:left="57" w:right="-85"/>
              <w:jc w:val="right"/>
              <w:rPr>
                <w:rFonts w:cs="Arial"/>
                <w:lang w:val="vi-VN"/>
              </w:rPr>
            </w:pPr>
            <w:r w:rsidRPr="003164FE">
              <w:t>1</w:t>
            </w:r>
            <w:r w:rsidR="00C34868">
              <w:t>,</w:t>
            </w:r>
            <w:r w:rsidRPr="003164FE">
              <w:t>346</w:t>
            </w:r>
            <w:r w:rsidR="00C34868">
              <w:t>,</w:t>
            </w:r>
            <w:r w:rsidRPr="003164FE">
              <w:t>740</w:t>
            </w:r>
            <w:r w:rsidR="00C34868">
              <w:t>,</w:t>
            </w:r>
            <w:r w:rsidRPr="003164FE">
              <w:t>071</w:t>
            </w:r>
          </w:p>
        </w:tc>
      </w:tr>
      <w:tr w:rsidR="008802A6" w:rsidRPr="002A0B87" w14:paraId="28C70381" w14:textId="77777777" w:rsidTr="008A3216">
        <w:trPr>
          <w:trHeight w:val="20"/>
        </w:trPr>
        <w:tc>
          <w:tcPr>
            <w:tcW w:w="4764" w:type="dxa"/>
            <w:vAlign w:val="bottom"/>
          </w:tcPr>
          <w:p w14:paraId="3F99A1C2" w14:textId="496A960D" w:rsidR="008802A6" w:rsidRPr="008E01DD" w:rsidRDefault="008802A6" w:rsidP="008802A6">
            <w:pPr>
              <w:widowControl w:val="0"/>
              <w:ind w:left="245" w:hanging="360"/>
              <w:rPr>
                <w:rFonts w:cs="Arial"/>
                <w:i/>
                <w:iCs/>
              </w:rPr>
            </w:pPr>
            <w:r>
              <w:rPr>
                <w:rFonts w:cs="Arial"/>
                <w:i/>
                <w:iCs/>
              </w:rPr>
              <w:t>-</w:t>
            </w:r>
            <w:r>
              <w:rPr>
                <w:rFonts w:cs="Arial"/>
                <w:i/>
                <w:iCs/>
              </w:rPr>
              <w:tab/>
            </w:r>
            <w:r w:rsidRPr="00253B70">
              <w:rPr>
                <w:rFonts w:cs="Arial"/>
                <w:i/>
                <w:iCs/>
              </w:rPr>
              <w:t>Tools and equipment</w:t>
            </w:r>
          </w:p>
        </w:tc>
        <w:tc>
          <w:tcPr>
            <w:tcW w:w="1626" w:type="dxa"/>
            <w:shd w:val="clear" w:color="auto" w:fill="auto"/>
          </w:tcPr>
          <w:p w14:paraId="03DF65DF" w14:textId="2A8BF5B1" w:rsidR="008802A6" w:rsidRPr="00C34868" w:rsidRDefault="008802A6" w:rsidP="008802A6">
            <w:pPr>
              <w:widowControl w:val="0"/>
              <w:ind w:left="57" w:right="-85"/>
              <w:jc w:val="right"/>
              <w:rPr>
                <w:rFonts w:cs="Arial"/>
                <w:i/>
                <w:iCs/>
                <w:lang w:val="vi-VN"/>
              </w:rPr>
            </w:pPr>
            <w:r w:rsidRPr="00C34868">
              <w:rPr>
                <w:i/>
                <w:iCs/>
              </w:rPr>
              <w:t>132</w:t>
            </w:r>
            <w:r w:rsidR="00C34868">
              <w:rPr>
                <w:i/>
                <w:iCs/>
              </w:rPr>
              <w:t>,</w:t>
            </w:r>
            <w:r w:rsidRPr="00C34868">
              <w:rPr>
                <w:i/>
                <w:iCs/>
              </w:rPr>
              <w:t>107</w:t>
            </w:r>
            <w:r w:rsidR="00C34868">
              <w:rPr>
                <w:i/>
                <w:iCs/>
              </w:rPr>
              <w:t>,</w:t>
            </w:r>
            <w:r w:rsidRPr="00C34868">
              <w:rPr>
                <w:i/>
                <w:iCs/>
              </w:rPr>
              <w:t>389</w:t>
            </w:r>
          </w:p>
        </w:tc>
        <w:tc>
          <w:tcPr>
            <w:tcW w:w="1770" w:type="dxa"/>
          </w:tcPr>
          <w:p w14:paraId="2C53E00C" w14:textId="1854AF76" w:rsidR="008802A6" w:rsidRPr="00C34868" w:rsidRDefault="008802A6" w:rsidP="008802A6">
            <w:pPr>
              <w:widowControl w:val="0"/>
              <w:ind w:left="57" w:right="-85"/>
              <w:jc w:val="right"/>
              <w:rPr>
                <w:rFonts w:cs="Arial"/>
                <w:i/>
                <w:iCs/>
                <w:lang w:val="vi-VN"/>
              </w:rPr>
            </w:pPr>
            <w:r w:rsidRPr="00C34868">
              <w:rPr>
                <w:i/>
                <w:iCs/>
              </w:rPr>
              <w:t>162</w:t>
            </w:r>
            <w:r w:rsidR="00C34868">
              <w:rPr>
                <w:i/>
                <w:iCs/>
              </w:rPr>
              <w:t>,</w:t>
            </w:r>
            <w:r w:rsidRPr="00C34868">
              <w:rPr>
                <w:i/>
                <w:iCs/>
              </w:rPr>
              <w:t>669</w:t>
            </w:r>
            <w:r w:rsidR="00C34868">
              <w:rPr>
                <w:i/>
                <w:iCs/>
              </w:rPr>
              <w:t>,</w:t>
            </w:r>
            <w:r w:rsidRPr="00C34868">
              <w:rPr>
                <w:i/>
                <w:iCs/>
              </w:rPr>
              <w:t>450</w:t>
            </w:r>
          </w:p>
        </w:tc>
      </w:tr>
      <w:tr w:rsidR="008802A6" w:rsidRPr="002A0B87" w14:paraId="69E59B09" w14:textId="77777777" w:rsidTr="008A3216">
        <w:trPr>
          <w:trHeight w:val="20"/>
        </w:trPr>
        <w:tc>
          <w:tcPr>
            <w:tcW w:w="4764" w:type="dxa"/>
            <w:vAlign w:val="bottom"/>
          </w:tcPr>
          <w:p w14:paraId="3D2538BE" w14:textId="1E5B22FF" w:rsidR="008802A6" w:rsidRPr="005A16A6" w:rsidRDefault="008802A6" w:rsidP="008802A6">
            <w:pPr>
              <w:widowControl w:val="0"/>
              <w:ind w:left="245" w:hanging="360"/>
              <w:rPr>
                <w:rFonts w:cs="Arial"/>
                <w:i/>
                <w:iCs/>
              </w:rPr>
            </w:pPr>
            <w:r>
              <w:rPr>
                <w:rFonts w:cs="Arial"/>
                <w:i/>
                <w:iCs/>
              </w:rPr>
              <w:t>-</w:t>
            </w:r>
            <w:r>
              <w:rPr>
                <w:rFonts w:cs="Arial"/>
                <w:i/>
                <w:iCs/>
              </w:rPr>
              <w:tab/>
            </w:r>
            <w:r w:rsidRPr="00DA5942">
              <w:rPr>
                <w:rFonts w:cs="Arial"/>
                <w:i/>
                <w:iCs/>
              </w:rPr>
              <w:t>Insurance fee</w:t>
            </w:r>
          </w:p>
        </w:tc>
        <w:tc>
          <w:tcPr>
            <w:tcW w:w="1626" w:type="dxa"/>
            <w:shd w:val="clear" w:color="auto" w:fill="auto"/>
          </w:tcPr>
          <w:p w14:paraId="57FEB354" w14:textId="492FD020" w:rsidR="008802A6" w:rsidRPr="00C34868" w:rsidRDefault="008802A6" w:rsidP="008802A6">
            <w:pPr>
              <w:widowControl w:val="0"/>
              <w:ind w:left="57" w:right="-85"/>
              <w:jc w:val="right"/>
              <w:rPr>
                <w:rFonts w:cs="Arial"/>
                <w:i/>
                <w:iCs/>
                <w:lang w:val="vi-VN"/>
              </w:rPr>
            </w:pPr>
            <w:r w:rsidRPr="00C34868">
              <w:rPr>
                <w:i/>
                <w:iCs/>
              </w:rPr>
              <w:t>2</w:t>
            </w:r>
            <w:r w:rsidR="00C34868">
              <w:rPr>
                <w:i/>
                <w:iCs/>
              </w:rPr>
              <w:t>,</w:t>
            </w:r>
            <w:r w:rsidRPr="00C34868">
              <w:rPr>
                <w:i/>
                <w:iCs/>
              </w:rPr>
              <w:t>268</w:t>
            </w:r>
            <w:r w:rsidR="00C34868">
              <w:rPr>
                <w:i/>
                <w:iCs/>
              </w:rPr>
              <w:t>,</w:t>
            </w:r>
            <w:r w:rsidRPr="00C34868">
              <w:rPr>
                <w:i/>
                <w:iCs/>
              </w:rPr>
              <w:t>098</w:t>
            </w:r>
          </w:p>
        </w:tc>
        <w:tc>
          <w:tcPr>
            <w:tcW w:w="1770" w:type="dxa"/>
          </w:tcPr>
          <w:p w14:paraId="61328357" w14:textId="09FB55A3" w:rsidR="008802A6" w:rsidRPr="00C34868" w:rsidRDefault="008802A6" w:rsidP="008802A6">
            <w:pPr>
              <w:widowControl w:val="0"/>
              <w:ind w:left="57" w:right="-85"/>
              <w:jc w:val="right"/>
              <w:rPr>
                <w:rFonts w:cs="Arial"/>
                <w:i/>
                <w:iCs/>
                <w:lang w:val="vi-VN"/>
              </w:rPr>
            </w:pPr>
            <w:r w:rsidRPr="00C34868">
              <w:rPr>
                <w:i/>
                <w:iCs/>
              </w:rPr>
              <w:t>143</w:t>
            </w:r>
            <w:r w:rsidR="00C34868">
              <w:rPr>
                <w:i/>
                <w:iCs/>
              </w:rPr>
              <w:t>,</w:t>
            </w:r>
            <w:r w:rsidRPr="00C34868">
              <w:rPr>
                <w:i/>
                <w:iCs/>
              </w:rPr>
              <w:t>254</w:t>
            </w:r>
            <w:r w:rsidR="00C34868">
              <w:rPr>
                <w:i/>
                <w:iCs/>
              </w:rPr>
              <w:t>,</w:t>
            </w:r>
            <w:r w:rsidRPr="00C34868">
              <w:rPr>
                <w:i/>
                <w:iCs/>
              </w:rPr>
              <w:t>230</w:t>
            </w:r>
          </w:p>
        </w:tc>
      </w:tr>
      <w:tr w:rsidR="008802A6" w:rsidRPr="002A0B87" w14:paraId="379379EC" w14:textId="77777777" w:rsidTr="008A3216">
        <w:trPr>
          <w:trHeight w:val="20"/>
        </w:trPr>
        <w:tc>
          <w:tcPr>
            <w:tcW w:w="4764" w:type="dxa"/>
            <w:vAlign w:val="bottom"/>
          </w:tcPr>
          <w:p w14:paraId="75DE28DA" w14:textId="220FA9DE" w:rsidR="008802A6" w:rsidRPr="008E01DD" w:rsidRDefault="008802A6" w:rsidP="008802A6">
            <w:pPr>
              <w:widowControl w:val="0"/>
              <w:ind w:left="245" w:hanging="360"/>
              <w:rPr>
                <w:rFonts w:cs="Arial"/>
                <w:i/>
                <w:iCs/>
              </w:rPr>
            </w:pPr>
            <w:r>
              <w:rPr>
                <w:rFonts w:cs="Arial"/>
                <w:i/>
                <w:iCs/>
              </w:rPr>
              <w:t>-</w:t>
            </w:r>
            <w:r>
              <w:rPr>
                <w:rFonts w:cs="Arial"/>
                <w:i/>
                <w:iCs/>
              </w:rPr>
              <w:tab/>
            </w:r>
            <w:r w:rsidRPr="006D1598">
              <w:rPr>
                <w:rFonts w:cs="Arial"/>
                <w:i/>
                <w:iCs/>
              </w:rPr>
              <w:t>Other short-term prepaid expenses</w:t>
            </w:r>
          </w:p>
        </w:tc>
        <w:tc>
          <w:tcPr>
            <w:tcW w:w="1626" w:type="dxa"/>
            <w:shd w:val="clear" w:color="auto" w:fill="auto"/>
          </w:tcPr>
          <w:p w14:paraId="66D22DDA" w14:textId="2B8D8D07" w:rsidR="008802A6" w:rsidRPr="00C34868" w:rsidRDefault="008802A6" w:rsidP="008802A6">
            <w:pPr>
              <w:widowControl w:val="0"/>
              <w:ind w:left="57" w:right="-85"/>
              <w:jc w:val="right"/>
              <w:rPr>
                <w:rFonts w:cs="Arial"/>
                <w:i/>
                <w:iCs/>
                <w:lang w:val="vi-VN"/>
              </w:rPr>
            </w:pPr>
            <w:r w:rsidRPr="00C34868">
              <w:rPr>
                <w:i/>
                <w:iCs/>
              </w:rPr>
              <w:t>1</w:t>
            </w:r>
            <w:r w:rsidR="00C34868">
              <w:rPr>
                <w:i/>
                <w:iCs/>
              </w:rPr>
              <w:t>,</w:t>
            </w:r>
            <w:r w:rsidRPr="00C34868">
              <w:rPr>
                <w:i/>
                <w:iCs/>
              </w:rPr>
              <w:t>649</w:t>
            </w:r>
            <w:r w:rsidR="00C34868">
              <w:rPr>
                <w:i/>
                <w:iCs/>
              </w:rPr>
              <w:t>,</w:t>
            </w:r>
            <w:r w:rsidRPr="00C34868">
              <w:rPr>
                <w:i/>
                <w:iCs/>
              </w:rPr>
              <w:t>119</w:t>
            </w:r>
            <w:r w:rsidR="00C34868">
              <w:rPr>
                <w:i/>
                <w:iCs/>
              </w:rPr>
              <w:t>,</w:t>
            </w:r>
            <w:r w:rsidRPr="00C34868">
              <w:rPr>
                <w:i/>
                <w:iCs/>
              </w:rPr>
              <w:t>318</w:t>
            </w:r>
          </w:p>
        </w:tc>
        <w:tc>
          <w:tcPr>
            <w:tcW w:w="1770" w:type="dxa"/>
          </w:tcPr>
          <w:p w14:paraId="2835EB60" w14:textId="3D367843" w:rsidR="008802A6" w:rsidRPr="00C34868" w:rsidRDefault="008802A6" w:rsidP="008802A6">
            <w:pPr>
              <w:widowControl w:val="0"/>
              <w:ind w:left="57" w:right="-85"/>
              <w:jc w:val="right"/>
              <w:rPr>
                <w:rFonts w:cs="Arial"/>
                <w:i/>
                <w:iCs/>
                <w:lang w:val="vi-VN"/>
              </w:rPr>
            </w:pPr>
            <w:r w:rsidRPr="00C34868">
              <w:rPr>
                <w:i/>
                <w:iCs/>
              </w:rPr>
              <w:t>1</w:t>
            </w:r>
            <w:r w:rsidR="00C34868">
              <w:rPr>
                <w:i/>
                <w:iCs/>
              </w:rPr>
              <w:t>,</w:t>
            </w:r>
            <w:r w:rsidRPr="00C34868">
              <w:rPr>
                <w:i/>
                <w:iCs/>
              </w:rPr>
              <w:t>040</w:t>
            </w:r>
            <w:r w:rsidR="00C34868">
              <w:rPr>
                <w:i/>
                <w:iCs/>
              </w:rPr>
              <w:t>,</w:t>
            </w:r>
            <w:r w:rsidRPr="00C34868">
              <w:rPr>
                <w:i/>
                <w:iCs/>
              </w:rPr>
              <w:t>816</w:t>
            </w:r>
            <w:r w:rsidR="00C34868">
              <w:rPr>
                <w:i/>
                <w:iCs/>
              </w:rPr>
              <w:t>,</w:t>
            </w:r>
            <w:r w:rsidRPr="00C34868">
              <w:rPr>
                <w:i/>
                <w:iCs/>
              </w:rPr>
              <w:t>391</w:t>
            </w:r>
          </w:p>
        </w:tc>
      </w:tr>
      <w:tr w:rsidR="008802A6" w:rsidRPr="002A0B87" w14:paraId="3081A4C2" w14:textId="77777777" w:rsidTr="008A3216">
        <w:trPr>
          <w:trHeight w:val="20"/>
        </w:trPr>
        <w:tc>
          <w:tcPr>
            <w:tcW w:w="4764" w:type="dxa"/>
            <w:vAlign w:val="bottom"/>
          </w:tcPr>
          <w:p w14:paraId="2FB9277B" w14:textId="4AAE4981" w:rsidR="008802A6" w:rsidRPr="008E01DD" w:rsidRDefault="008802A6" w:rsidP="008802A6">
            <w:pPr>
              <w:widowControl w:val="0"/>
              <w:ind w:left="-115"/>
              <w:rPr>
                <w:rFonts w:cs="Arial"/>
              </w:rPr>
            </w:pPr>
            <w:r w:rsidRPr="00AA3DA5">
              <w:rPr>
                <w:rFonts w:cs="Arial"/>
              </w:rPr>
              <w:t>Long-term prepaid expenses</w:t>
            </w:r>
          </w:p>
        </w:tc>
        <w:tc>
          <w:tcPr>
            <w:tcW w:w="1626" w:type="dxa"/>
            <w:shd w:val="clear" w:color="auto" w:fill="auto"/>
          </w:tcPr>
          <w:p w14:paraId="6D2C5DDE" w14:textId="48F6EC11" w:rsidR="008802A6" w:rsidRPr="009305AD" w:rsidRDefault="008802A6" w:rsidP="008802A6">
            <w:pPr>
              <w:widowControl w:val="0"/>
              <w:ind w:left="57" w:right="-85"/>
              <w:jc w:val="right"/>
              <w:rPr>
                <w:rFonts w:cs="Arial"/>
                <w:lang w:val="vi-VN"/>
              </w:rPr>
            </w:pPr>
            <w:r w:rsidRPr="003164FE">
              <w:t>2</w:t>
            </w:r>
            <w:r w:rsidR="00C34868">
              <w:t>,</w:t>
            </w:r>
            <w:r w:rsidRPr="003164FE">
              <w:t>830</w:t>
            </w:r>
            <w:r w:rsidR="00C34868">
              <w:t>,</w:t>
            </w:r>
            <w:r w:rsidRPr="003164FE">
              <w:t>367</w:t>
            </w:r>
            <w:r w:rsidR="00C34868">
              <w:t>,</w:t>
            </w:r>
            <w:r w:rsidRPr="003164FE">
              <w:t>167</w:t>
            </w:r>
          </w:p>
        </w:tc>
        <w:tc>
          <w:tcPr>
            <w:tcW w:w="1770" w:type="dxa"/>
          </w:tcPr>
          <w:p w14:paraId="5A19F2BA" w14:textId="5830CBCE" w:rsidR="008802A6" w:rsidRPr="009305AD" w:rsidRDefault="008802A6" w:rsidP="008802A6">
            <w:pPr>
              <w:widowControl w:val="0"/>
              <w:ind w:left="57" w:right="-85"/>
              <w:jc w:val="right"/>
              <w:rPr>
                <w:rFonts w:cs="Arial"/>
                <w:lang w:val="vi-VN"/>
              </w:rPr>
            </w:pPr>
            <w:r w:rsidRPr="003164FE">
              <w:t>1</w:t>
            </w:r>
            <w:r w:rsidR="00C34868">
              <w:t>,</w:t>
            </w:r>
            <w:r w:rsidRPr="003164FE">
              <w:t>322</w:t>
            </w:r>
            <w:r w:rsidR="00C34868">
              <w:t>,</w:t>
            </w:r>
            <w:r w:rsidRPr="003164FE">
              <w:t>794</w:t>
            </w:r>
            <w:r w:rsidR="00C34868">
              <w:t>,</w:t>
            </w:r>
            <w:r w:rsidRPr="003164FE">
              <w:t>197</w:t>
            </w:r>
          </w:p>
        </w:tc>
      </w:tr>
      <w:tr w:rsidR="008802A6" w:rsidRPr="002A0B87" w14:paraId="53DBFAEF" w14:textId="77777777" w:rsidTr="008A3216">
        <w:trPr>
          <w:trHeight w:val="20"/>
        </w:trPr>
        <w:tc>
          <w:tcPr>
            <w:tcW w:w="4764" w:type="dxa"/>
            <w:vAlign w:val="bottom"/>
          </w:tcPr>
          <w:p w14:paraId="789A827C" w14:textId="375B8A7F" w:rsidR="008802A6" w:rsidRPr="008E01DD" w:rsidRDefault="008802A6" w:rsidP="008802A6">
            <w:pPr>
              <w:widowControl w:val="0"/>
              <w:ind w:left="245" w:hanging="360"/>
              <w:rPr>
                <w:rFonts w:cs="Arial"/>
                <w:i/>
                <w:iCs/>
              </w:rPr>
            </w:pPr>
            <w:r>
              <w:rPr>
                <w:rFonts w:cs="Arial"/>
                <w:i/>
                <w:iCs/>
              </w:rPr>
              <w:t>-</w:t>
            </w:r>
            <w:r>
              <w:rPr>
                <w:rFonts w:cs="Arial"/>
                <w:i/>
                <w:iCs/>
              </w:rPr>
              <w:tab/>
            </w:r>
            <w:r w:rsidRPr="00312FE9">
              <w:rPr>
                <w:rFonts w:cs="Arial"/>
                <w:i/>
                <w:iCs/>
              </w:rPr>
              <w:t>Office renovation and repair costs</w:t>
            </w:r>
          </w:p>
        </w:tc>
        <w:tc>
          <w:tcPr>
            <w:tcW w:w="1626" w:type="dxa"/>
            <w:shd w:val="clear" w:color="auto" w:fill="auto"/>
          </w:tcPr>
          <w:p w14:paraId="5A8CD159" w14:textId="22DF1141" w:rsidR="008802A6" w:rsidRPr="00C34868" w:rsidRDefault="008802A6" w:rsidP="008802A6">
            <w:pPr>
              <w:widowControl w:val="0"/>
              <w:ind w:left="57" w:right="-85"/>
              <w:jc w:val="right"/>
              <w:rPr>
                <w:rFonts w:cs="Arial"/>
                <w:i/>
                <w:iCs/>
                <w:lang w:val="vi-VN"/>
              </w:rPr>
            </w:pPr>
            <w:r w:rsidRPr="00C34868">
              <w:rPr>
                <w:i/>
                <w:iCs/>
              </w:rPr>
              <w:t>1</w:t>
            </w:r>
            <w:r w:rsidR="00C34868">
              <w:rPr>
                <w:i/>
                <w:iCs/>
              </w:rPr>
              <w:t>,</w:t>
            </w:r>
            <w:r w:rsidRPr="00C34868">
              <w:rPr>
                <w:i/>
                <w:iCs/>
              </w:rPr>
              <w:t>983</w:t>
            </w:r>
            <w:r w:rsidR="00C34868">
              <w:rPr>
                <w:i/>
                <w:iCs/>
              </w:rPr>
              <w:t>,</w:t>
            </w:r>
            <w:r w:rsidRPr="00C34868">
              <w:rPr>
                <w:i/>
                <w:iCs/>
              </w:rPr>
              <w:t>656</w:t>
            </w:r>
            <w:r w:rsidR="00C34868">
              <w:rPr>
                <w:i/>
                <w:iCs/>
              </w:rPr>
              <w:t>,</w:t>
            </w:r>
            <w:r w:rsidRPr="00C34868">
              <w:rPr>
                <w:i/>
                <w:iCs/>
              </w:rPr>
              <w:t>196</w:t>
            </w:r>
          </w:p>
        </w:tc>
        <w:tc>
          <w:tcPr>
            <w:tcW w:w="1770" w:type="dxa"/>
          </w:tcPr>
          <w:p w14:paraId="67481860" w14:textId="62A22E95" w:rsidR="008802A6" w:rsidRPr="00C34868" w:rsidRDefault="008802A6" w:rsidP="008802A6">
            <w:pPr>
              <w:widowControl w:val="0"/>
              <w:ind w:left="57" w:right="-85"/>
              <w:jc w:val="right"/>
              <w:rPr>
                <w:rFonts w:cs="Arial"/>
                <w:i/>
                <w:iCs/>
                <w:lang w:val="vi-VN"/>
              </w:rPr>
            </w:pPr>
            <w:r w:rsidRPr="00C34868">
              <w:rPr>
                <w:i/>
                <w:iCs/>
              </w:rPr>
              <w:t>534</w:t>
            </w:r>
            <w:r w:rsidR="00C34868">
              <w:rPr>
                <w:i/>
                <w:iCs/>
              </w:rPr>
              <w:t>,</w:t>
            </w:r>
            <w:r w:rsidRPr="00C34868">
              <w:rPr>
                <w:i/>
                <w:iCs/>
              </w:rPr>
              <w:t>644</w:t>
            </w:r>
            <w:r w:rsidR="00C34868">
              <w:rPr>
                <w:i/>
                <w:iCs/>
              </w:rPr>
              <w:t>,</w:t>
            </w:r>
            <w:r w:rsidRPr="00C34868">
              <w:rPr>
                <w:i/>
                <w:iCs/>
              </w:rPr>
              <w:t>136</w:t>
            </w:r>
          </w:p>
        </w:tc>
      </w:tr>
      <w:tr w:rsidR="008802A6" w:rsidRPr="002A0B87" w14:paraId="64E9E851" w14:textId="1E8219D8" w:rsidTr="008A3216">
        <w:trPr>
          <w:trHeight w:val="20"/>
        </w:trPr>
        <w:tc>
          <w:tcPr>
            <w:tcW w:w="4764" w:type="dxa"/>
            <w:vAlign w:val="bottom"/>
          </w:tcPr>
          <w:p w14:paraId="634872E2" w14:textId="3E03DB61" w:rsidR="008802A6" w:rsidRPr="002A0B87" w:rsidRDefault="008802A6" w:rsidP="008802A6">
            <w:pPr>
              <w:widowControl w:val="0"/>
              <w:ind w:left="245" w:hanging="360"/>
              <w:rPr>
                <w:rFonts w:cs="Arial"/>
                <w:i/>
                <w:iCs/>
              </w:rPr>
            </w:pPr>
            <w:r w:rsidRPr="002A0B87">
              <w:rPr>
                <w:rFonts w:cs="Arial"/>
                <w:i/>
                <w:iCs/>
              </w:rPr>
              <w:t>-</w:t>
            </w:r>
            <w:r w:rsidRPr="002A0B87">
              <w:rPr>
                <w:rFonts w:cs="Arial"/>
                <w:i/>
                <w:iCs/>
              </w:rPr>
              <w:tab/>
            </w:r>
            <w:r w:rsidRPr="005B3805">
              <w:rPr>
                <w:rFonts w:cs="Arial"/>
                <w:i/>
                <w:iCs/>
              </w:rPr>
              <w:t>Tools and equipment</w:t>
            </w:r>
          </w:p>
        </w:tc>
        <w:tc>
          <w:tcPr>
            <w:tcW w:w="1626" w:type="dxa"/>
            <w:shd w:val="clear" w:color="auto" w:fill="auto"/>
          </w:tcPr>
          <w:p w14:paraId="6D6C37D1" w14:textId="6281A54D" w:rsidR="008802A6" w:rsidRPr="00C34868" w:rsidRDefault="008802A6" w:rsidP="008802A6">
            <w:pPr>
              <w:widowControl w:val="0"/>
              <w:ind w:left="57" w:right="-85"/>
              <w:jc w:val="right"/>
              <w:rPr>
                <w:rFonts w:cs="Arial"/>
                <w:i/>
                <w:iCs/>
                <w:lang w:val="vi-VN"/>
              </w:rPr>
            </w:pPr>
            <w:r w:rsidRPr="00C34868">
              <w:rPr>
                <w:i/>
                <w:iCs/>
              </w:rPr>
              <w:t>160</w:t>
            </w:r>
            <w:r w:rsidR="00C34868">
              <w:rPr>
                <w:i/>
                <w:iCs/>
              </w:rPr>
              <w:t>,</w:t>
            </w:r>
            <w:r w:rsidRPr="00C34868">
              <w:rPr>
                <w:i/>
                <w:iCs/>
              </w:rPr>
              <w:t>484</w:t>
            </w:r>
            <w:r w:rsidR="00C34868">
              <w:rPr>
                <w:i/>
                <w:iCs/>
              </w:rPr>
              <w:t>,</w:t>
            </w:r>
            <w:r w:rsidRPr="00C34868">
              <w:rPr>
                <w:i/>
                <w:iCs/>
              </w:rPr>
              <w:t>259</w:t>
            </w:r>
          </w:p>
        </w:tc>
        <w:tc>
          <w:tcPr>
            <w:tcW w:w="1770" w:type="dxa"/>
          </w:tcPr>
          <w:p w14:paraId="6BA64675" w14:textId="57AF1531" w:rsidR="008802A6" w:rsidRPr="00C34868" w:rsidRDefault="008802A6" w:rsidP="008802A6">
            <w:pPr>
              <w:widowControl w:val="0"/>
              <w:ind w:left="57" w:right="-85"/>
              <w:jc w:val="right"/>
              <w:rPr>
                <w:rFonts w:cs="Arial"/>
                <w:i/>
                <w:iCs/>
                <w:lang w:val="vi-VN"/>
              </w:rPr>
            </w:pPr>
            <w:r w:rsidRPr="00C34868">
              <w:rPr>
                <w:i/>
                <w:iCs/>
              </w:rPr>
              <w:t>232</w:t>
            </w:r>
            <w:r w:rsidR="00C34868">
              <w:rPr>
                <w:i/>
                <w:iCs/>
              </w:rPr>
              <w:t>,</w:t>
            </w:r>
            <w:r w:rsidRPr="00C34868">
              <w:rPr>
                <w:i/>
                <w:iCs/>
              </w:rPr>
              <w:t>742</w:t>
            </w:r>
            <w:r w:rsidR="00C34868">
              <w:rPr>
                <w:i/>
                <w:iCs/>
              </w:rPr>
              <w:t>,</w:t>
            </w:r>
            <w:r w:rsidRPr="00C34868">
              <w:rPr>
                <w:i/>
                <w:iCs/>
              </w:rPr>
              <w:t>980</w:t>
            </w:r>
          </w:p>
        </w:tc>
      </w:tr>
      <w:tr w:rsidR="008802A6" w:rsidRPr="002A0B87" w14:paraId="56E28CCD" w14:textId="77777777" w:rsidTr="008A3216">
        <w:trPr>
          <w:trHeight w:val="20"/>
        </w:trPr>
        <w:tc>
          <w:tcPr>
            <w:tcW w:w="4764" w:type="dxa"/>
            <w:vAlign w:val="bottom"/>
            <w:hideMark/>
          </w:tcPr>
          <w:p w14:paraId="3936776B" w14:textId="4EE32803" w:rsidR="008802A6" w:rsidRPr="002A0B87" w:rsidRDefault="008802A6" w:rsidP="008802A6">
            <w:pPr>
              <w:widowControl w:val="0"/>
              <w:ind w:left="245" w:hanging="360"/>
              <w:rPr>
                <w:rFonts w:cs="Arial"/>
                <w:i/>
                <w:iCs/>
              </w:rPr>
            </w:pPr>
            <w:r w:rsidRPr="002A0B87">
              <w:rPr>
                <w:rFonts w:cs="Arial"/>
                <w:i/>
                <w:iCs/>
              </w:rPr>
              <w:t>-</w:t>
            </w:r>
            <w:r w:rsidRPr="002A0B87">
              <w:rPr>
                <w:rFonts w:cs="Arial"/>
                <w:i/>
                <w:iCs/>
              </w:rPr>
              <w:tab/>
            </w:r>
            <w:r w:rsidRPr="00B55E7A">
              <w:rPr>
                <w:rFonts w:cs="Arial"/>
                <w:i/>
                <w:iCs/>
              </w:rPr>
              <w:t>Other long-term prepaid expenses</w:t>
            </w:r>
          </w:p>
        </w:tc>
        <w:tc>
          <w:tcPr>
            <w:tcW w:w="1626" w:type="dxa"/>
            <w:shd w:val="clear" w:color="auto" w:fill="auto"/>
          </w:tcPr>
          <w:p w14:paraId="7990207B" w14:textId="0DF51A5B" w:rsidR="008802A6" w:rsidRPr="00C34868" w:rsidRDefault="008802A6" w:rsidP="008802A6">
            <w:pPr>
              <w:widowControl w:val="0"/>
              <w:pBdr>
                <w:bottom w:val="single" w:sz="4" w:space="0" w:color="auto"/>
              </w:pBdr>
              <w:ind w:left="57" w:right="-85"/>
              <w:jc w:val="right"/>
              <w:rPr>
                <w:rFonts w:eastAsia="Batang" w:cs="Arial"/>
                <w:i/>
                <w:iCs/>
                <w:lang w:eastAsia="ko-KR"/>
              </w:rPr>
            </w:pPr>
            <w:r w:rsidRPr="00C34868">
              <w:rPr>
                <w:i/>
                <w:iCs/>
              </w:rPr>
              <w:t>686</w:t>
            </w:r>
            <w:r w:rsidR="00C34868">
              <w:rPr>
                <w:i/>
                <w:iCs/>
              </w:rPr>
              <w:t>,</w:t>
            </w:r>
            <w:r w:rsidRPr="00C34868">
              <w:rPr>
                <w:i/>
                <w:iCs/>
              </w:rPr>
              <w:t>226</w:t>
            </w:r>
            <w:r w:rsidR="00C34868">
              <w:rPr>
                <w:i/>
                <w:iCs/>
              </w:rPr>
              <w:t>,</w:t>
            </w:r>
            <w:r w:rsidRPr="00C34868">
              <w:rPr>
                <w:i/>
                <w:iCs/>
              </w:rPr>
              <w:t>712</w:t>
            </w:r>
          </w:p>
        </w:tc>
        <w:tc>
          <w:tcPr>
            <w:tcW w:w="1770" w:type="dxa"/>
            <w:hideMark/>
          </w:tcPr>
          <w:p w14:paraId="293AFC01" w14:textId="2E24D1ED" w:rsidR="008802A6" w:rsidRPr="00C34868" w:rsidRDefault="008802A6" w:rsidP="008802A6">
            <w:pPr>
              <w:widowControl w:val="0"/>
              <w:pBdr>
                <w:bottom w:val="single" w:sz="4" w:space="0" w:color="auto"/>
              </w:pBdr>
              <w:ind w:left="57" w:right="-85"/>
              <w:jc w:val="right"/>
              <w:rPr>
                <w:rFonts w:eastAsia="Batang" w:cs="Arial"/>
                <w:i/>
                <w:iCs/>
                <w:lang w:eastAsia="ko-KR"/>
              </w:rPr>
            </w:pPr>
            <w:r w:rsidRPr="00C34868">
              <w:rPr>
                <w:i/>
                <w:iCs/>
              </w:rPr>
              <w:t>555</w:t>
            </w:r>
            <w:r w:rsidR="00C34868">
              <w:rPr>
                <w:i/>
                <w:iCs/>
              </w:rPr>
              <w:t>,</w:t>
            </w:r>
            <w:r w:rsidRPr="00C34868">
              <w:rPr>
                <w:i/>
                <w:iCs/>
              </w:rPr>
              <w:t>407</w:t>
            </w:r>
            <w:r w:rsidR="00C34868">
              <w:rPr>
                <w:i/>
                <w:iCs/>
              </w:rPr>
              <w:t>,</w:t>
            </w:r>
            <w:r w:rsidRPr="00C34868">
              <w:rPr>
                <w:i/>
                <w:iCs/>
              </w:rPr>
              <w:t>081</w:t>
            </w:r>
          </w:p>
        </w:tc>
      </w:tr>
      <w:tr w:rsidR="008802A6" w:rsidRPr="002A0B87" w14:paraId="6B386C1A" w14:textId="77777777" w:rsidTr="008A3216">
        <w:trPr>
          <w:trHeight w:val="20"/>
        </w:trPr>
        <w:tc>
          <w:tcPr>
            <w:tcW w:w="4764" w:type="dxa"/>
            <w:vAlign w:val="bottom"/>
          </w:tcPr>
          <w:p w14:paraId="4C407787" w14:textId="77777777" w:rsidR="008802A6" w:rsidRPr="002A0B87" w:rsidRDefault="008802A6" w:rsidP="008802A6">
            <w:pPr>
              <w:widowControl w:val="0"/>
              <w:spacing w:before="120"/>
              <w:ind w:left="-115"/>
              <w:rPr>
                <w:rFonts w:cs="Arial"/>
                <w:b/>
              </w:rPr>
            </w:pPr>
          </w:p>
        </w:tc>
        <w:tc>
          <w:tcPr>
            <w:tcW w:w="1626" w:type="dxa"/>
          </w:tcPr>
          <w:p w14:paraId="603654D3" w14:textId="0560C458" w:rsidR="008802A6" w:rsidRPr="00C34868" w:rsidRDefault="008802A6" w:rsidP="008802A6">
            <w:pPr>
              <w:widowControl w:val="0"/>
              <w:pBdr>
                <w:bottom w:val="double" w:sz="4" w:space="0" w:color="auto"/>
              </w:pBdr>
              <w:spacing w:before="120"/>
              <w:ind w:left="57" w:right="-85"/>
              <w:jc w:val="right"/>
              <w:rPr>
                <w:rFonts w:eastAsia="Batang" w:cs="Arial"/>
                <w:b/>
                <w:bCs/>
                <w:lang w:eastAsia="ko-KR"/>
              </w:rPr>
            </w:pPr>
            <w:r w:rsidRPr="00C34868">
              <w:rPr>
                <w:b/>
                <w:bCs/>
              </w:rPr>
              <w:t>4</w:t>
            </w:r>
            <w:r w:rsidR="00C34868">
              <w:rPr>
                <w:b/>
                <w:bCs/>
              </w:rPr>
              <w:t>,</w:t>
            </w:r>
            <w:r w:rsidRPr="00C34868">
              <w:rPr>
                <w:b/>
                <w:bCs/>
              </w:rPr>
              <w:t>613</w:t>
            </w:r>
            <w:r w:rsidR="00C34868">
              <w:rPr>
                <w:b/>
                <w:bCs/>
              </w:rPr>
              <w:t>,</w:t>
            </w:r>
            <w:r w:rsidRPr="00C34868">
              <w:rPr>
                <w:b/>
                <w:bCs/>
              </w:rPr>
              <w:t>861</w:t>
            </w:r>
            <w:r w:rsidR="00C34868">
              <w:rPr>
                <w:b/>
                <w:bCs/>
              </w:rPr>
              <w:t>,</w:t>
            </w:r>
            <w:r w:rsidRPr="00C34868">
              <w:rPr>
                <w:b/>
                <w:bCs/>
              </w:rPr>
              <w:t xml:space="preserve">972 </w:t>
            </w:r>
          </w:p>
        </w:tc>
        <w:tc>
          <w:tcPr>
            <w:tcW w:w="1770" w:type="dxa"/>
          </w:tcPr>
          <w:p w14:paraId="1F611A3D" w14:textId="1AF77461" w:rsidR="008802A6" w:rsidRPr="00C34868" w:rsidRDefault="008802A6" w:rsidP="008802A6">
            <w:pPr>
              <w:widowControl w:val="0"/>
              <w:pBdr>
                <w:bottom w:val="double" w:sz="4" w:space="0" w:color="auto"/>
              </w:pBdr>
              <w:spacing w:before="120"/>
              <w:ind w:left="57" w:right="-85"/>
              <w:jc w:val="right"/>
              <w:rPr>
                <w:rFonts w:cs="Arial"/>
                <w:b/>
                <w:bCs/>
              </w:rPr>
            </w:pPr>
            <w:r w:rsidRPr="00C34868">
              <w:rPr>
                <w:b/>
                <w:bCs/>
              </w:rPr>
              <w:t>2</w:t>
            </w:r>
            <w:r w:rsidR="00C34868">
              <w:rPr>
                <w:b/>
                <w:bCs/>
              </w:rPr>
              <w:t>,</w:t>
            </w:r>
            <w:r w:rsidRPr="00C34868">
              <w:rPr>
                <w:b/>
                <w:bCs/>
              </w:rPr>
              <w:t>669</w:t>
            </w:r>
            <w:r w:rsidR="00C34868">
              <w:rPr>
                <w:b/>
                <w:bCs/>
              </w:rPr>
              <w:t>,</w:t>
            </w:r>
            <w:r w:rsidRPr="00C34868">
              <w:rPr>
                <w:b/>
                <w:bCs/>
              </w:rPr>
              <w:t>534</w:t>
            </w:r>
            <w:r w:rsidR="00C34868">
              <w:rPr>
                <w:b/>
                <w:bCs/>
              </w:rPr>
              <w:t>,</w:t>
            </w:r>
            <w:r w:rsidRPr="00C34868">
              <w:rPr>
                <w:b/>
                <w:bCs/>
              </w:rPr>
              <w:t xml:space="preserve">268 </w:t>
            </w:r>
          </w:p>
        </w:tc>
      </w:tr>
      <w:bookmarkEnd w:id="0"/>
    </w:tbl>
    <w:p w14:paraId="0A6C8300" w14:textId="7FEA5842" w:rsidR="00E51EF4" w:rsidRPr="002A0B87" w:rsidRDefault="00E51EF4" w:rsidP="00C90B5D">
      <w:pPr>
        <w:pStyle w:val="NoSpacing"/>
        <w:rPr>
          <w:lang w:val="de-DE"/>
        </w:rPr>
      </w:pPr>
    </w:p>
    <w:p w14:paraId="2D3BEF10" w14:textId="77777777" w:rsidR="00E51EF4" w:rsidRDefault="00E51EF4" w:rsidP="008E01DD">
      <w:pPr>
        <w:pStyle w:val="NoSpacing"/>
        <w:rPr>
          <w:lang w:val="de-DE"/>
        </w:rPr>
      </w:pPr>
    </w:p>
    <w:p w14:paraId="4EC784EE" w14:textId="199110CB" w:rsidR="00214B17" w:rsidRPr="002A0B87" w:rsidRDefault="00214B17" w:rsidP="00214B17">
      <w:pPr>
        <w:pStyle w:val="BodyText"/>
        <w:ind w:left="720" w:hanging="720"/>
        <w:textAlignment w:val="auto"/>
        <w:outlineLvl w:val="0"/>
        <w:rPr>
          <w:rFonts w:ascii="Arial" w:hAnsi="Arial" w:cs="Arial"/>
          <w:b/>
          <w:bCs/>
        </w:rPr>
      </w:pPr>
      <w:r w:rsidRPr="002A0B87">
        <w:rPr>
          <w:rFonts w:ascii="Arial" w:hAnsi="Arial" w:cs="Arial"/>
          <w:b/>
          <w:bCs/>
        </w:rPr>
        <w:t>1</w:t>
      </w:r>
      <w:r w:rsidR="006465D2">
        <w:rPr>
          <w:rFonts w:ascii="Arial" w:hAnsi="Arial" w:cs="Arial"/>
          <w:b/>
          <w:bCs/>
        </w:rPr>
        <w:t>2</w:t>
      </w:r>
      <w:r w:rsidRPr="002A0B87">
        <w:rPr>
          <w:rFonts w:ascii="Arial" w:hAnsi="Arial" w:cs="Arial"/>
          <w:b/>
          <w:bCs/>
        </w:rPr>
        <w:t>.</w:t>
      </w:r>
      <w:r w:rsidRPr="002A0B87">
        <w:rPr>
          <w:rFonts w:ascii="Arial" w:hAnsi="Arial" w:cs="Arial"/>
          <w:b/>
          <w:bCs/>
        </w:rPr>
        <w:tab/>
      </w:r>
      <w:r w:rsidR="00CB0943" w:rsidRPr="00CB0943">
        <w:rPr>
          <w:rFonts w:ascii="Arial" w:hAnsi="Arial" w:cs="Arial"/>
          <w:b/>
          <w:bCs/>
        </w:rPr>
        <w:t>PAYMENTS TO SETTLEMENT ASSISTANCE FUND</w:t>
      </w:r>
      <w:r w:rsidR="00CB0943" w:rsidRPr="00CB0943" w:rsidDel="00CB0943">
        <w:rPr>
          <w:rFonts w:ascii="Arial" w:hAnsi="Arial" w:cs="Arial"/>
          <w:b/>
          <w:bCs/>
        </w:rPr>
        <w:t xml:space="preserve"> </w:t>
      </w:r>
    </w:p>
    <w:p w14:paraId="4CA2138D" w14:textId="3FA5D1ED" w:rsidR="00E51EF4" w:rsidRPr="002A0B87" w:rsidRDefault="00E51EF4" w:rsidP="00C90B5D">
      <w:pPr>
        <w:pStyle w:val="NoSpacing"/>
      </w:pPr>
    </w:p>
    <w:p w14:paraId="3A398C7A" w14:textId="3092FBE5" w:rsidR="00E51EF4" w:rsidRPr="002A0B87" w:rsidRDefault="00BC20CE" w:rsidP="00C90B5D">
      <w:pPr>
        <w:pStyle w:val="NoSpacing"/>
      </w:pPr>
      <w:r w:rsidRPr="00BC20CE">
        <w:t xml:space="preserve">Payments to Settlement Assistance Fund </w:t>
      </w:r>
      <w:r w:rsidRPr="00BC20CE">
        <w:tab/>
        <w:t>represent the amount deposited at the Vietnam Securities Depository Center (“VSD”).</w:t>
      </w:r>
    </w:p>
    <w:p w14:paraId="4CCEE5CF" w14:textId="77777777" w:rsidR="00E51EF4" w:rsidRPr="002A0B87" w:rsidRDefault="00E51EF4" w:rsidP="00C90B5D">
      <w:pPr>
        <w:pStyle w:val="NoSpacing"/>
      </w:pPr>
    </w:p>
    <w:p w14:paraId="38530699" w14:textId="4CE5B7D6" w:rsidR="00E51EF4" w:rsidRPr="002A0B87" w:rsidRDefault="00165FA6" w:rsidP="00C90B5D">
      <w:pPr>
        <w:pStyle w:val="NoSpacing"/>
      </w:pPr>
      <w:r w:rsidRPr="00165FA6">
        <w:t>According to Circular No. 119/2020/TT-BTC dated 31 D</w:t>
      </w:r>
      <w:r>
        <w:t>e</w:t>
      </w:r>
      <w:r w:rsidRPr="00165FA6">
        <w:t>cember 2020 by the Ministry of Finance providing regulations on the registration, depository, clearing and settlement of securities, Decision No. 45/QD-VSD dated 22 May 2014 on the promulgation of regulations on the management and use of the Settlement Assistance Fund by the General Director of the VSD, the Company is required to deposit an initial amount of VND 120 million at the VSD and pay an addition of 0.01% of the total amount of brokered securities in the Prior period, but not over VND 2.5 billion p.a. The maximum contribution of each depository member being a securities company engaging in proprietary trading and brokerage services to the Settlement Assistance Fund is VND 20 billion.</w:t>
      </w:r>
    </w:p>
    <w:p w14:paraId="6430F199" w14:textId="77777777" w:rsidR="00E51EF4" w:rsidRPr="002A0B87" w:rsidRDefault="00E51EF4" w:rsidP="00C90B5D">
      <w:pPr>
        <w:pStyle w:val="NoSpacing"/>
      </w:pPr>
    </w:p>
    <w:p w14:paraId="57734A69" w14:textId="33CFE26E" w:rsidR="00E51EF4" w:rsidRPr="002A0B87" w:rsidRDefault="00AC4106" w:rsidP="00C90B5D">
      <w:pPr>
        <w:pStyle w:val="NoSpacing"/>
      </w:pPr>
      <w:r w:rsidRPr="00AC4106">
        <w:t>Details of the payments to Settlement Assistance Fund are as follows:</w:t>
      </w:r>
    </w:p>
    <w:p w14:paraId="32D0AE14" w14:textId="77777777" w:rsidR="00E51EF4" w:rsidRPr="002A0B87" w:rsidRDefault="00E51EF4" w:rsidP="00C90B5D">
      <w:pPr>
        <w:pStyle w:val="NoSpacing"/>
      </w:pPr>
    </w:p>
    <w:tbl>
      <w:tblPr>
        <w:tblW w:w="8160" w:type="dxa"/>
        <w:tblInd w:w="720" w:type="dxa"/>
        <w:tblLayout w:type="fixed"/>
        <w:tblLook w:val="01E0" w:firstRow="1" w:lastRow="1" w:firstColumn="1" w:lastColumn="1" w:noHBand="0" w:noVBand="0"/>
      </w:tblPr>
      <w:tblGrid>
        <w:gridCol w:w="4764"/>
        <w:gridCol w:w="1626"/>
        <w:gridCol w:w="1770"/>
      </w:tblGrid>
      <w:tr w:rsidR="00E51EF4" w:rsidRPr="002A0B87" w14:paraId="6DE58225" w14:textId="77777777" w:rsidTr="00FA28E4">
        <w:trPr>
          <w:trHeight w:val="20"/>
          <w:tblHeader/>
        </w:trPr>
        <w:tc>
          <w:tcPr>
            <w:tcW w:w="4764" w:type="dxa"/>
            <w:vAlign w:val="bottom"/>
          </w:tcPr>
          <w:p w14:paraId="00D4E417" w14:textId="77777777" w:rsidR="00E51EF4" w:rsidRPr="002A0B87" w:rsidRDefault="00E51EF4" w:rsidP="00C90B5D">
            <w:pPr>
              <w:widowControl w:val="0"/>
              <w:overflowPunct/>
              <w:autoSpaceDE/>
              <w:autoSpaceDN/>
              <w:adjustRightInd/>
              <w:ind w:left="-115"/>
              <w:jc w:val="left"/>
              <w:textAlignment w:val="auto"/>
              <w:rPr>
                <w:rFonts w:eastAsia="Batang" w:cs="Arial"/>
                <w:i/>
                <w:lang w:val="es-ES"/>
              </w:rPr>
            </w:pPr>
          </w:p>
        </w:tc>
        <w:tc>
          <w:tcPr>
            <w:tcW w:w="1626" w:type="dxa"/>
            <w:vAlign w:val="bottom"/>
            <w:hideMark/>
          </w:tcPr>
          <w:p w14:paraId="023EEDFF" w14:textId="23ED5CA6" w:rsidR="00E51EF4" w:rsidRPr="002A0B87" w:rsidRDefault="00A840CE" w:rsidP="004C4D08">
            <w:pPr>
              <w:widowControl w:val="0"/>
              <w:pBdr>
                <w:bottom w:val="single" w:sz="4" w:space="0" w:color="auto"/>
              </w:pBdr>
              <w:overflowPunct/>
              <w:autoSpaceDE/>
              <w:autoSpaceDN/>
              <w:adjustRightInd/>
              <w:ind w:left="57" w:right="-85"/>
              <w:jc w:val="right"/>
              <w:textAlignment w:val="auto"/>
              <w:rPr>
                <w:rFonts w:eastAsia="Batang" w:cs="Arial"/>
                <w:bCs/>
                <w:i/>
              </w:rPr>
            </w:pPr>
            <w:r w:rsidRPr="00A840CE">
              <w:rPr>
                <w:rFonts w:eastAsia="Batang" w:cs="Arial"/>
                <w:bCs/>
                <w:i/>
              </w:rPr>
              <w:t>Ending balance</w:t>
            </w:r>
          </w:p>
          <w:p w14:paraId="433D067C" w14:textId="77777777" w:rsidR="00E51EF4" w:rsidRPr="002A0B87" w:rsidRDefault="00E51EF4" w:rsidP="004C4D08">
            <w:pPr>
              <w:widowControl w:val="0"/>
              <w:pBdr>
                <w:bottom w:val="single" w:sz="4" w:space="0" w:color="auto"/>
              </w:pBdr>
              <w:ind w:left="57" w:right="-85"/>
              <w:jc w:val="right"/>
              <w:rPr>
                <w:rFonts w:cs="Arial"/>
                <w:bCs/>
                <w:i/>
              </w:rPr>
            </w:pPr>
            <w:r w:rsidRPr="002A0B87">
              <w:rPr>
                <w:rFonts w:eastAsia="Batang" w:cs="Arial"/>
                <w:i/>
                <w:iCs/>
              </w:rPr>
              <w:t>VND</w:t>
            </w:r>
          </w:p>
        </w:tc>
        <w:tc>
          <w:tcPr>
            <w:tcW w:w="1770" w:type="dxa"/>
            <w:vAlign w:val="bottom"/>
            <w:hideMark/>
          </w:tcPr>
          <w:p w14:paraId="172EA6E4" w14:textId="5561145A" w:rsidR="00E51EF4" w:rsidRPr="002A0B87" w:rsidRDefault="006B7B34" w:rsidP="004C4D08">
            <w:pPr>
              <w:widowControl w:val="0"/>
              <w:pBdr>
                <w:bottom w:val="single" w:sz="4" w:space="0" w:color="auto"/>
              </w:pBdr>
              <w:overflowPunct/>
              <w:autoSpaceDE/>
              <w:autoSpaceDN/>
              <w:adjustRightInd/>
              <w:ind w:left="57" w:right="-85"/>
              <w:jc w:val="right"/>
              <w:textAlignment w:val="auto"/>
              <w:rPr>
                <w:rFonts w:eastAsia="Batang" w:cs="Arial"/>
                <w:bCs/>
                <w:i/>
              </w:rPr>
            </w:pPr>
            <w:r w:rsidRPr="006B7B34">
              <w:rPr>
                <w:rFonts w:eastAsia="Batang" w:cs="Arial"/>
                <w:bCs/>
                <w:i/>
              </w:rPr>
              <w:t>Opening balance</w:t>
            </w:r>
          </w:p>
          <w:p w14:paraId="73C529E7" w14:textId="77777777" w:rsidR="00E51EF4" w:rsidRPr="002A0B87" w:rsidRDefault="00E51EF4" w:rsidP="004C4D08">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526772" w:rsidRPr="002A0B87" w14:paraId="25DF353A" w14:textId="77777777" w:rsidTr="00C64CD2">
        <w:trPr>
          <w:trHeight w:val="20"/>
        </w:trPr>
        <w:tc>
          <w:tcPr>
            <w:tcW w:w="4764" w:type="dxa"/>
            <w:vAlign w:val="bottom"/>
          </w:tcPr>
          <w:p w14:paraId="0EF13030" w14:textId="0856A314" w:rsidR="00526772" w:rsidRPr="002A0B87" w:rsidRDefault="00526772" w:rsidP="00526772">
            <w:pPr>
              <w:widowControl w:val="0"/>
              <w:spacing w:before="120"/>
              <w:ind w:left="-115"/>
              <w:jc w:val="left"/>
              <w:rPr>
                <w:rFonts w:cs="Arial"/>
              </w:rPr>
            </w:pPr>
            <w:r w:rsidRPr="0000065C">
              <w:rPr>
                <w:rFonts w:cs="Arial"/>
              </w:rPr>
              <w:t>Initial balance</w:t>
            </w:r>
          </w:p>
        </w:tc>
        <w:tc>
          <w:tcPr>
            <w:tcW w:w="1626" w:type="dxa"/>
          </w:tcPr>
          <w:p w14:paraId="55D254B1" w14:textId="6C5E6C2E" w:rsidR="00526772" w:rsidRPr="002A0B87" w:rsidRDefault="00526772" w:rsidP="00526772">
            <w:pPr>
              <w:widowControl w:val="0"/>
              <w:spacing w:before="120"/>
              <w:ind w:left="57" w:right="-85"/>
              <w:jc w:val="right"/>
              <w:rPr>
                <w:rFonts w:eastAsia="Batang" w:cs="Arial"/>
                <w:highlight w:val="yellow"/>
                <w:lang w:eastAsia="ko-KR"/>
              </w:rPr>
            </w:pPr>
            <w:r w:rsidRPr="00751299">
              <w:t>120</w:t>
            </w:r>
            <w:r>
              <w:t>,</w:t>
            </w:r>
            <w:r w:rsidRPr="00751299">
              <w:t>000</w:t>
            </w:r>
            <w:r>
              <w:t>,</w:t>
            </w:r>
            <w:r w:rsidRPr="00751299">
              <w:t xml:space="preserve">000 </w:t>
            </w:r>
          </w:p>
        </w:tc>
        <w:tc>
          <w:tcPr>
            <w:tcW w:w="1770" w:type="dxa"/>
          </w:tcPr>
          <w:p w14:paraId="0107DE13" w14:textId="63A7494E" w:rsidR="00526772" w:rsidRPr="002A0B87" w:rsidRDefault="00526772" w:rsidP="00526772">
            <w:pPr>
              <w:widowControl w:val="0"/>
              <w:spacing w:before="120"/>
              <w:ind w:left="57" w:right="-85"/>
              <w:jc w:val="right"/>
              <w:rPr>
                <w:rFonts w:eastAsia="Batang" w:cs="Arial"/>
                <w:lang w:eastAsia="ko-KR"/>
              </w:rPr>
            </w:pPr>
            <w:r w:rsidRPr="00751299">
              <w:t>120</w:t>
            </w:r>
            <w:r>
              <w:t>,</w:t>
            </w:r>
            <w:r w:rsidRPr="00751299">
              <w:t>000</w:t>
            </w:r>
            <w:r>
              <w:t>,</w:t>
            </w:r>
            <w:r w:rsidRPr="00751299">
              <w:t xml:space="preserve">000 </w:t>
            </w:r>
          </w:p>
        </w:tc>
      </w:tr>
      <w:tr w:rsidR="00526772" w:rsidRPr="002A0B87" w14:paraId="2A89EE82" w14:textId="77777777" w:rsidTr="00C64CD2">
        <w:trPr>
          <w:trHeight w:val="20"/>
        </w:trPr>
        <w:tc>
          <w:tcPr>
            <w:tcW w:w="4764" w:type="dxa"/>
            <w:vAlign w:val="bottom"/>
            <w:hideMark/>
          </w:tcPr>
          <w:p w14:paraId="18BEAFC4" w14:textId="7BE9B630" w:rsidR="00526772" w:rsidRPr="002A0B87" w:rsidRDefault="00526772" w:rsidP="00526772">
            <w:pPr>
              <w:widowControl w:val="0"/>
              <w:ind w:left="-115"/>
              <w:jc w:val="left"/>
              <w:rPr>
                <w:rFonts w:cs="Arial"/>
              </w:rPr>
            </w:pPr>
            <w:r w:rsidRPr="0064744D">
              <w:rPr>
                <w:rFonts w:cs="Arial"/>
                <w:lang w:val="vi-VN"/>
              </w:rPr>
              <w:t>Additions interest</w:t>
            </w:r>
          </w:p>
        </w:tc>
        <w:tc>
          <w:tcPr>
            <w:tcW w:w="1626" w:type="dxa"/>
          </w:tcPr>
          <w:p w14:paraId="6669C273" w14:textId="70916AAB" w:rsidR="00526772" w:rsidRPr="002A0B87" w:rsidRDefault="00526772" w:rsidP="00526772">
            <w:pPr>
              <w:widowControl w:val="0"/>
              <w:ind w:left="57" w:right="-85"/>
              <w:jc w:val="right"/>
              <w:rPr>
                <w:rFonts w:eastAsia="Batang" w:cs="Arial"/>
                <w:highlight w:val="yellow"/>
                <w:lang w:eastAsia="ko-KR"/>
              </w:rPr>
            </w:pPr>
            <w:r w:rsidRPr="00751299">
              <w:t>4</w:t>
            </w:r>
            <w:r>
              <w:t>,</w:t>
            </w:r>
            <w:r w:rsidRPr="00751299">
              <w:t>706</w:t>
            </w:r>
            <w:r>
              <w:t>,</w:t>
            </w:r>
            <w:r w:rsidRPr="00751299">
              <w:t>239</w:t>
            </w:r>
            <w:r>
              <w:t>,</w:t>
            </w:r>
            <w:r w:rsidRPr="00751299">
              <w:t>899</w:t>
            </w:r>
          </w:p>
        </w:tc>
        <w:tc>
          <w:tcPr>
            <w:tcW w:w="1770" w:type="dxa"/>
            <w:hideMark/>
          </w:tcPr>
          <w:p w14:paraId="0255A43A" w14:textId="624B8D86" w:rsidR="00526772" w:rsidRPr="002A0B87" w:rsidRDefault="00526772" w:rsidP="00526772">
            <w:pPr>
              <w:widowControl w:val="0"/>
              <w:ind w:left="57" w:right="-85"/>
              <w:jc w:val="right"/>
              <w:rPr>
                <w:rFonts w:eastAsia="Batang" w:cs="Arial"/>
                <w:lang w:eastAsia="ko-KR"/>
              </w:rPr>
            </w:pPr>
            <w:r w:rsidRPr="00751299">
              <w:t>2</w:t>
            </w:r>
            <w:r>
              <w:t>,</w:t>
            </w:r>
            <w:r w:rsidRPr="00751299">
              <w:t>206</w:t>
            </w:r>
            <w:r>
              <w:t>,</w:t>
            </w:r>
            <w:r w:rsidRPr="00751299">
              <w:t>239</w:t>
            </w:r>
            <w:r>
              <w:t>,</w:t>
            </w:r>
            <w:r w:rsidRPr="00751299">
              <w:t>899</w:t>
            </w:r>
          </w:p>
        </w:tc>
      </w:tr>
      <w:tr w:rsidR="00526772" w:rsidRPr="002A0B87" w14:paraId="152FA5A1" w14:textId="77777777" w:rsidTr="00C64CD2">
        <w:trPr>
          <w:trHeight w:val="20"/>
        </w:trPr>
        <w:tc>
          <w:tcPr>
            <w:tcW w:w="4764" w:type="dxa"/>
            <w:vAlign w:val="bottom"/>
          </w:tcPr>
          <w:p w14:paraId="5E3F7B03" w14:textId="5C12D3B6" w:rsidR="00526772" w:rsidRPr="00254501" w:rsidRDefault="00526772" w:rsidP="00526772">
            <w:pPr>
              <w:widowControl w:val="0"/>
              <w:ind w:left="-115"/>
              <w:jc w:val="left"/>
              <w:rPr>
                <w:rFonts w:cs="Arial"/>
              </w:rPr>
            </w:pPr>
            <w:r>
              <w:rPr>
                <w:rFonts w:cs="Arial"/>
              </w:rPr>
              <w:t>Distributed interest</w:t>
            </w:r>
          </w:p>
        </w:tc>
        <w:tc>
          <w:tcPr>
            <w:tcW w:w="1626" w:type="dxa"/>
          </w:tcPr>
          <w:p w14:paraId="445F0E83" w14:textId="4DB11A5E" w:rsidR="00526772" w:rsidRPr="00254501" w:rsidRDefault="00526772" w:rsidP="00526772">
            <w:pPr>
              <w:widowControl w:val="0"/>
              <w:pBdr>
                <w:bottom w:val="single" w:sz="4" w:space="1" w:color="auto"/>
              </w:pBdr>
              <w:ind w:left="57" w:right="-85"/>
              <w:jc w:val="right"/>
              <w:rPr>
                <w:rFonts w:eastAsia="Batang" w:cs="Arial"/>
                <w:lang w:eastAsia="ko-KR"/>
              </w:rPr>
            </w:pPr>
            <w:r w:rsidRPr="00751299">
              <w:t>42</w:t>
            </w:r>
            <w:r>
              <w:t>,</w:t>
            </w:r>
            <w:r w:rsidRPr="00751299">
              <w:t>930</w:t>
            </w:r>
            <w:r>
              <w:t>,</w:t>
            </w:r>
            <w:r w:rsidRPr="00751299">
              <w:t>724</w:t>
            </w:r>
          </w:p>
        </w:tc>
        <w:tc>
          <w:tcPr>
            <w:tcW w:w="1770" w:type="dxa"/>
          </w:tcPr>
          <w:p w14:paraId="0DBC8B10" w14:textId="61DEE2AA" w:rsidR="00526772" w:rsidRPr="00254501" w:rsidRDefault="00526772" w:rsidP="00526772">
            <w:pPr>
              <w:widowControl w:val="0"/>
              <w:pBdr>
                <w:bottom w:val="single" w:sz="4" w:space="1" w:color="auto"/>
              </w:pBdr>
              <w:ind w:left="57" w:right="-85"/>
              <w:jc w:val="right"/>
              <w:rPr>
                <w:rFonts w:eastAsia="Batang" w:cs="Arial"/>
                <w:lang w:eastAsia="ko-KR"/>
              </w:rPr>
            </w:pPr>
            <w:r w:rsidRPr="00751299">
              <w:t>42</w:t>
            </w:r>
            <w:r>
              <w:t>,</w:t>
            </w:r>
            <w:r w:rsidRPr="00751299">
              <w:t>930</w:t>
            </w:r>
            <w:r>
              <w:t>,</w:t>
            </w:r>
            <w:r w:rsidRPr="00751299">
              <w:t>724</w:t>
            </w:r>
          </w:p>
        </w:tc>
      </w:tr>
      <w:tr w:rsidR="00526772" w:rsidRPr="002A0B87" w14:paraId="1BB8CDFC" w14:textId="77777777" w:rsidTr="00C64CD2">
        <w:trPr>
          <w:trHeight w:val="20"/>
        </w:trPr>
        <w:tc>
          <w:tcPr>
            <w:tcW w:w="4764" w:type="dxa"/>
            <w:vAlign w:val="bottom"/>
          </w:tcPr>
          <w:p w14:paraId="088FB5DE" w14:textId="6846D6D9" w:rsidR="00526772" w:rsidRPr="002A0B87" w:rsidRDefault="00526772" w:rsidP="00526772">
            <w:pPr>
              <w:widowControl w:val="0"/>
              <w:spacing w:before="120"/>
              <w:ind w:left="-115"/>
              <w:jc w:val="left"/>
              <w:rPr>
                <w:rFonts w:cs="Arial"/>
                <w:b/>
              </w:rPr>
            </w:pPr>
          </w:p>
        </w:tc>
        <w:tc>
          <w:tcPr>
            <w:tcW w:w="1626" w:type="dxa"/>
          </w:tcPr>
          <w:p w14:paraId="0C40B874" w14:textId="27AD6983" w:rsidR="00526772" w:rsidRPr="00526772" w:rsidRDefault="00526772" w:rsidP="00526772">
            <w:pPr>
              <w:widowControl w:val="0"/>
              <w:pBdr>
                <w:bottom w:val="double" w:sz="4" w:space="0" w:color="auto"/>
              </w:pBdr>
              <w:spacing w:before="120"/>
              <w:ind w:left="57" w:right="-85"/>
              <w:jc w:val="right"/>
              <w:rPr>
                <w:rFonts w:eastAsia="Batang" w:cs="Arial"/>
                <w:b/>
                <w:bCs/>
                <w:highlight w:val="yellow"/>
                <w:lang w:eastAsia="ko-KR"/>
              </w:rPr>
            </w:pPr>
            <w:r w:rsidRPr="00526772">
              <w:rPr>
                <w:b/>
                <w:bCs/>
              </w:rPr>
              <w:t>4</w:t>
            </w:r>
            <w:r>
              <w:rPr>
                <w:b/>
                <w:bCs/>
              </w:rPr>
              <w:t>,</w:t>
            </w:r>
            <w:r w:rsidRPr="00526772">
              <w:rPr>
                <w:b/>
                <w:bCs/>
              </w:rPr>
              <w:t>869</w:t>
            </w:r>
            <w:r>
              <w:rPr>
                <w:b/>
                <w:bCs/>
              </w:rPr>
              <w:t>,</w:t>
            </w:r>
            <w:r w:rsidRPr="00526772">
              <w:rPr>
                <w:b/>
                <w:bCs/>
              </w:rPr>
              <w:t>170</w:t>
            </w:r>
            <w:r>
              <w:rPr>
                <w:b/>
                <w:bCs/>
              </w:rPr>
              <w:t>,</w:t>
            </w:r>
            <w:r w:rsidRPr="00526772">
              <w:rPr>
                <w:b/>
                <w:bCs/>
              </w:rPr>
              <w:t xml:space="preserve">623 </w:t>
            </w:r>
          </w:p>
        </w:tc>
        <w:tc>
          <w:tcPr>
            <w:tcW w:w="1770" w:type="dxa"/>
            <w:hideMark/>
          </w:tcPr>
          <w:p w14:paraId="29F0F376" w14:textId="67D1F7DB" w:rsidR="00526772" w:rsidRPr="00526772" w:rsidRDefault="00526772" w:rsidP="00526772">
            <w:pPr>
              <w:widowControl w:val="0"/>
              <w:pBdr>
                <w:bottom w:val="double" w:sz="4" w:space="0" w:color="auto"/>
              </w:pBdr>
              <w:spacing w:before="120"/>
              <w:ind w:left="57" w:right="-85"/>
              <w:jc w:val="right"/>
              <w:rPr>
                <w:rFonts w:cs="Arial"/>
                <w:b/>
                <w:bCs/>
              </w:rPr>
            </w:pPr>
            <w:r w:rsidRPr="00526772">
              <w:rPr>
                <w:b/>
                <w:bCs/>
              </w:rPr>
              <w:t>2</w:t>
            </w:r>
            <w:r>
              <w:rPr>
                <w:b/>
                <w:bCs/>
              </w:rPr>
              <w:t>,</w:t>
            </w:r>
            <w:r w:rsidRPr="00526772">
              <w:rPr>
                <w:b/>
                <w:bCs/>
              </w:rPr>
              <w:t>369</w:t>
            </w:r>
            <w:r>
              <w:rPr>
                <w:b/>
                <w:bCs/>
              </w:rPr>
              <w:t>,</w:t>
            </w:r>
            <w:r w:rsidRPr="00526772">
              <w:rPr>
                <w:b/>
                <w:bCs/>
              </w:rPr>
              <w:t>170</w:t>
            </w:r>
            <w:r>
              <w:rPr>
                <w:b/>
                <w:bCs/>
              </w:rPr>
              <w:t>,</w:t>
            </w:r>
            <w:r w:rsidRPr="00526772">
              <w:rPr>
                <w:b/>
                <w:bCs/>
              </w:rPr>
              <w:t xml:space="preserve">623 </w:t>
            </w:r>
          </w:p>
        </w:tc>
      </w:tr>
    </w:tbl>
    <w:p w14:paraId="4B4164D8" w14:textId="77777777" w:rsidR="007A4633" w:rsidRPr="002A0B87" w:rsidRDefault="007A4633" w:rsidP="00C90B5D">
      <w:pPr>
        <w:pStyle w:val="NoSpacing"/>
      </w:pPr>
    </w:p>
    <w:p w14:paraId="084668BA" w14:textId="77777777" w:rsidR="00D15DCA" w:rsidRDefault="00D15DCA" w:rsidP="00991039">
      <w:pPr>
        <w:ind w:left="720"/>
        <w:rPr>
          <w:rFonts w:cs="Arial"/>
        </w:rPr>
      </w:pPr>
    </w:p>
    <w:p w14:paraId="1D11110F" w14:textId="31FA139E" w:rsidR="00F63E02" w:rsidRDefault="00F63E02" w:rsidP="00C6319C">
      <w:pPr>
        <w:pStyle w:val="Heading1"/>
      </w:pPr>
      <w:r>
        <w:t>13.</w:t>
      </w:r>
      <w:r>
        <w:tab/>
      </w:r>
      <w:r w:rsidR="00424073" w:rsidRPr="00424073">
        <w:t>LONG-TERM DEPOSITS, COLLATERALS AND PLEDGES</w:t>
      </w:r>
      <w:r w:rsidR="00424073" w:rsidRPr="00424073" w:rsidDel="00424073">
        <w:t xml:space="preserve"> </w:t>
      </w:r>
    </w:p>
    <w:p w14:paraId="3E887DBA" w14:textId="77777777" w:rsidR="00F63E02" w:rsidRDefault="00F63E02" w:rsidP="00991039">
      <w:pPr>
        <w:ind w:left="720"/>
        <w:rPr>
          <w:rFonts w:cs="Arial"/>
        </w:rPr>
      </w:pPr>
    </w:p>
    <w:tbl>
      <w:tblPr>
        <w:tblW w:w="8160" w:type="dxa"/>
        <w:tblInd w:w="720" w:type="dxa"/>
        <w:tblLayout w:type="fixed"/>
        <w:tblLook w:val="01E0" w:firstRow="1" w:lastRow="1" w:firstColumn="1" w:lastColumn="1" w:noHBand="0" w:noVBand="0"/>
      </w:tblPr>
      <w:tblGrid>
        <w:gridCol w:w="4764"/>
        <w:gridCol w:w="1626"/>
        <w:gridCol w:w="1770"/>
      </w:tblGrid>
      <w:tr w:rsidR="00C6319C" w:rsidRPr="002A0B87" w14:paraId="42D6860C" w14:textId="77777777" w:rsidTr="00FA28E4">
        <w:trPr>
          <w:trHeight w:val="20"/>
          <w:tblHeader/>
        </w:trPr>
        <w:tc>
          <w:tcPr>
            <w:tcW w:w="4764" w:type="dxa"/>
            <w:vAlign w:val="bottom"/>
          </w:tcPr>
          <w:p w14:paraId="55BB0AFC" w14:textId="77777777" w:rsidR="00C6319C" w:rsidRPr="002A0B87" w:rsidRDefault="00C6319C" w:rsidP="000A1EE5">
            <w:pPr>
              <w:widowControl w:val="0"/>
              <w:overflowPunct/>
              <w:autoSpaceDE/>
              <w:autoSpaceDN/>
              <w:adjustRightInd/>
              <w:ind w:left="-115"/>
              <w:jc w:val="left"/>
              <w:textAlignment w:val="auto"/>
              <w:rPr>
                <w:rFonts w:eastAsia="Batang" w:cs="Arial"/>
                <w:i/>
                <w:lang w:val="es-ES"/>
              </w:rPr>
            </w:pPr>
          </w:p>
        </w:tc>
        <w:tc>
          <w:tcPr>
            <w:tcW w:w="1626" w:type="dxa"/>
            <w:vAlign w:val="bottom"/>
            <w:hideMark/>
          </w:tcPr>
          <w:p w14:paraId="03A13F17" w14:textId="30EB10CC" w:rsidR="00C6319C" w:rsidRPr="002A0B87" w:rsidRDefault="00673D9B" w:rsidP="000A1EE5">
            <w:pPr>
              <w:widowControl w:val="0"/>
              <w:pBdr>
                <w:bottom w:val="single" w:sz="4" w:space="0" w:color="auto"/>
              </w:pBdr>
              <w:overflowPunct/>
              <w:autoSpaceDE/>
              <w:autoSpaceDN/>
              <w:adjustRightInd/>
              <w:ind w:left="57" w:right="-85"/>
              <w:jc w:val="right"/>
              <w:textAlignment w:val="auto"/>
              <w:rPr>
                <w:rFonts w:eastAsia="Batang" w:cs="Arial"/>
                <w:bCs/>
                <w:i/>
              </w:rPr>
            </w:pPr>
            <w:r w:rsidRPr="00673D9B">
              <w:rPr>
                <w:rFonts w:eastAsia="Batang" w:cs="Arial"/>
                <w:bCs/>
                <w:i/>
              </w:rPr>
              <w:t>Ending balance</w:t>
            </w:r>
          </w:p>
          <w:p w14:paraId="5BFE0B27" w14:textId="77777777" w:rsidR="00C6319C" w:rsidRPr="002A0B87" w:rsidRDefault="00C6319C" w:rsidP="000A1EE5">
            <w:pPr>
              <w:widowControl w:val="0"/>
              <w:pBdr>
                <w:bottom w:val="single" w:sz="4" w:space="0" w:color="auto"/>
              </w:pBdr>
              <w:ind w:left="57" w:right="-85"/>
              <w:jc w:val="right"/>
              <w:rPr>
                <w:rFonts w:cs="Arial"/>
                <w:bCs/>
                <w:i/>
              </w:rPr>
            </w:pPr>
            <w:r w:rsidRPr="002A0B87">
              <w:rPr>
                <w:rFonts w:eastAsia="Batang" w:cs="Arial"/>
                <w:i/>
                <w:iCs/>
              </w:rPr>
              <w:t>VND</w:t>
            </w:r>
          </w:p>
        </w:tc>
        <w:tc>
          <w:tcPr>
            <w:tcW w:w="1770" w:type="dxa"/>
            <w:vAlign w:val="bottom"/>
            <w:hideMark/>
          </w:tcPr>
          <w:p w14:paraId="3BFEC10B" w14:textId="5900EB7F" w:rsidR="00C6319C" w:rsidRPr="002A0B87" w:rsidRDefault="001004E6" w:rsidP="000A1EE5">
            <w:pPr>
              <w:widowControl w:val="0"/>
              <w:pBdr>
                <w:bottom w:val="single" w:sz="4" w:space="0" w:color="auto"/>
              </w:pBdr>
              <w:overflowPunct/>
              <w:autoSpaceDE/>
              <w:autoSpaceDN/>
              <w:adjustRightInd/>
              <w:ind w:left="57" w:right="-85"/>
              <w:jc w:val="right"/>
              <w:textAlignment w:val="auto"/>
              <w:rPr>
                <w:rFonts w:eastAsia="Batang" w:cs="Arial"/>
                <w:bCs/>
                <w:i/>
              </w:rPr>
            </w:pPr>
            <w:r w:rsidRPr="001004E6">
              <w:rPr>
                <w:rFonts w:eastAsia="Batang" w:cs="Arial"/>
                <w:bCs/>
                <w:i/>
              </w:rPr>
              <w:t>Opening balance</w:t>
            </w:r>
          </w:p>
          <w:p w14:paraId="37408FB9" w14:textId="77777777" w:rsidR="00C6319C" w:rsidRPr="002A0B87" w:rsidRDefault="00C6319C" w:rsidP="000A1EE5">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2003B0" w:rsidRPr="002A0B87" w14:paraId="063E11D8" w14:textId="77777777" w:rsidTr="003D2D33">
        <w:trPr>
          <w:trHeight w:val="20"/>
        </w:trPr>
        <w:tc>
          <w:tcPr>
            <w:tcW w:w="4764" w:type="dxa"/>
            <w:vAlign w:val="bottom"/>
          </w:tcPr>
          <w:p w14:paraId="708EDE1D" w14:textId="1931ED95" w:rsidR="002003B0" w:rsidRPr="003C222B" w:rsidRDefault="002003B0" w:rsidP="002003B0">
            <w:pPr>
              <w:widowControl w:val="0"/>
              <w:spacing w:before="120"/>
              <w:ind w:left="-115"/>
              <w:jc w:val="left"/>
              <w:rPr>
                <w:rFonts w:cs="Arial"/>
              </w:rPr>
            </w:pPr>
            <w:r w:rsidRPr="009D0BBD">
              <w:rPr>
                <w:rFonts w:cs="Arial"/>
              </w:rPr>
              <w:t>House rental deposits</w:t>
            </w:r>
          </w:p>
        </w:tc>
        <w:tc>
          <w:tcPr>
            <w:tcW w:w="1626" w:type="dxa"/>
          </w:tcPr>
          <w:p w14:paraId="33EBDF6B" w14:textId="3A1FD6ED" w:rsidR="002003B0" w:rsidRPr="003C222B" w:rsidRDefault="002003B0" w:rsidP="002003B0">
            <w:pPr>
              <w:widowControl w:val="0"/>
              <w:spacing w:before="120"/>
              <w:ind w:left="57" w:right="-85"/>
              <w:jc w:val="right"/>
              <w:rPr>
                <w:rFonts w:eastAsia="Batang" w:cs="Arial"/>
                <w:lang w:eastAsia="ko-KR"/>
              </w:rPr>
            </w:pPr>
            <w:r w:rsidRPr="00215FE6">
              <w:t>117</w:t>
            </w:r>
            <w:r>
              <w:t>,</w:t>
            </w:r>
            <w:r w:rsidRPr="00215FE6">
              <w:t>180</w:t>
            </w:r>
            <w:r>
              <w:t>,</w:t>
            </w:r>
            <w:r w:rsidRPr="00215FE6">
              <w:t xml:space="preserve">000 </w:t>
            </w:r>
          </w:p>
        </w:tc>
        <w:tc>
          <w:tcPr>
            <w:tcW w:w="1770" w:type="dxa"/>
          </w:tcPr>
          <w:p w14:paraId="7AE6E076" w14:textId="594DCEF5" w:rsidR="002003B0" w:rsidRPr="002A0B87" w:rsidRDefault="002003B0" w:rsidP="002003B0">
            <w:pPr>
              <w:widowControl w:val="0"/>
              <w:spacing w:before="120"/>
              <w:ind w:left="57" w:right="-85"/>
              <w:jc w:val="right"/>
              <w:rPr>
                <w:rFonts w:eastAsia="Batang" w:cs="Arial"/>
                <w:lang w:eastAsia="ko-KR"/>
              </w:rPr>
            </w:pPr>
            <w:r w:rsidRPr="00215FE6">
              <w:t>163</w:t>
            </w:r>
            <w:r>
              <w:t>,</w:t>
            </w:r>
            <w:r w:rsidRPr="00215FE6">
              <w:t>780</w:t>
            </w:r>
            <w:r>
              <w:t>,</w:t>
            </w:r>
            <w:r w:rsidRPr="00215FE6">
              <w:t xml:space="preserve">000 </w:t>
            </w:r>
          </w:p>
        </w:tc>
      </w:tr>
      <w:tr w:rsidR="002003B0" w:rsidRPr="002A0B87" w14:paraId="418DFB0C" w14:textId="77777777" w:rsidTr="003D2D33">
        <w:trPr>
          <w:trHeight w:val="20"/>
        </w:trPr>
        <w:tc>
          <w:tcPr>
            <w:tcW w:w="4764" w:type="dxa"/>
            <w:vAlign w:val="bottom"/>
          </w:tcPr>
          <w:p w14:paraId="163F526E" w14:textId="0079B7ED" w:rsidR="002003B0" w:rsidRPr="003C222B" w:rsidRDefault="002003B0" w:rsidP="002003B0">
            <w:pPr>
              <w:widowControl w:val="0"/>
              <w:ind w:left="-115"/>
              <w:jc w:val="left"/>
              <w:rPr>
                <w:rFonts w:cs="Arial"/>
              </w:rPr>
            </w:pPr>
            <w:r w:rsidRPr="00D164E5">
              <w:rPr>
                <w:rFonts w:cs="Arial"/>
              </w:rPr>
              <w:t>Office rental deposits</w:t>
            </w:r>
          </w:p>
        </w:tc>
        <w:tc>
          <w:tcPr>
            <w:tcW w:w="1626" w:type="dxa"/>
          </w:tcPr>
          <w:p w14:paraId="1649F9F7" w14:textId="2B029C79" w:rsidR="002003B0" w:rsidRPr="003C222B" w:rsidRDefault="002003B0" w:rsidP="002003B0">
            <w:pPr>
              <w:widowControl w:val="0"/>
              <w:pBdr>
                <w:bottom w:val="single" w:sz="4" w:space="0" w:color="auto"/>
              </w:pBdr>
              <w:ind w:left="57" w:right="-85"/>
              <w:jc w:val="right"/>
              <w:rPr>
                <w:rFonts w:eastAsia="Batang" w:cs="Arial"/>
                <w:lang w:eastAsia="ko-KR"/>
              </w:rPr>
            </w:pPr>
            <w:r w:rsidRPr="00215FE6">
              <w:t>2</w:t>
            </w:r>
            <w:r>
              <w:t>,</w:t>
            </w:r>
            <w:r w:rsidRPr="00215FE6">
              <w:t>112</w:t>
            </w:r>
            <w:r>
              <w:t>,</w:t>
            </w:r>
            <w:r w:rsidRPr="00215FE6">
              <w:t>441</w:t>
            </w:r>
            <w:r>
              <w:t>,</w:t>
            </w:r>
            <w:r w:rsidRPr="00215FE6">
              <w:t xml:space="preserve">635 </w:t>
            </w:r>
          </w:p>
        </w:tc>
        <w:tc>
          <w:tcPr>
            <w:tcW w:w="1770" w:type="dxa"/>
          </w:tcPr>
          <w:p w14:paraId="2F072E75" w14:textId="0F2EA962" w:rsidR="002003B0" w:rsidRPr="002A0B87" w:rsidRDefault="002003B0" w:rsidP="002003B0">
            <w:pPr>
              <w:widowControl w:val="0"/>
              <w:pBdr>
                <w:bottom w:val="single" w:sz="4" w:space="0" w:color="auto"/>
              </w:pBdr>
              <w:ind w:left="57" w:right="-85"/>
              <w:jc w:val="right"/>
              <w:rPr>
                <w:rFonts w:eastAsia="Batang" w:cs="Arial"/>
                <w:lang w:eastAsia="ko-KR"/>
              </w:rPr>
            </w:pPr>
            <w:r w:rsidRPr="00215FE6">
              <w:t>1</w:t>
            </w:r>
            <w:r>
              <w:t>,</w:t>
            </w:r>
            <w:r w:rsidRPr="00215FE6">
              <w:t>988</w:t>
            </w:r>
            <w:r>
              <w:t>,</w:t>
            </w:r>
            <w:r w:rsidRPr="00215FE6">
              <w:t>854</w:t>
            </w:r>
            <w:r>
              <w:t>,</w:t>
            </w:r>
            <w:r w:rsidRPr="00215FE6">
              <w:t xml:space="preserve">600 </w:t>
            </w:r>
          </w:p>
        </w:tc>
      </w:tr>
      <w:tr w:rsidR="002003B0" w:rsidRPr="002A0B87" w14:paraId="287E6502" w14:textId="77777777" w:rsidTr="003D2D33">
        <w:trPr>
          <w:trHeight w:val="20"/>
        </w:trPr>
        <w:tc>
          <w:tcPr>
            <w:tcW w:w="4764" w:type="dxa"/>
            <w:vAlign w:val="bottom"/>
          </w:tcPr>
          <w:p w14:paraId="7EE4CC34" w14:textId="77777777" w:rsidR="002003B0" w:rsidRPr="002A0B87" w:rsidRDefault="002003B0" w:rsidP="002003B0">
            <w:pPr>
              <w:widowControl w:val="0"/>
              <w:spacing w:before="120"/>
              <w:ind w:left="-115"/>
              <w:jc w:val="left"/>
              <w:rPr>
                <w:rFonts w:cs="Arial"/>
                <w:b/>
              </w:rPr>
            </w:pPr>
          </w:p>
        </w:tc>
        <w:tc>
          <w:tcPr>
            <w:tcW w:w="1626" w:type="dxa"/>
          </w:tcPr>
          <w:p w14:paraId="2A7AE6B8" w14:textId="3297A78B" w:rsidR="002003B0" w:rsidRPr="002003B0" w:rsidRDefault="002003B0" w:rsidP="002003B0">
            <w:pPr>
              <w:widowControl w:val="0"/>
              <w:pBdr>
                <w:bottom w:val="double" w:sz="4" w:space="0" w:color="auto"/>
              </w:pBdr>
              <w:spacing w:before="120"/>
              <w:ind w:left="57" w:right="-85"/>
              <w:jc w:val="right"/>
              <w:rPr>
                <w:rFonts w:eastAsia="Batang" w:cs="Arial"/>
                <w:b/>
                <w:bCs/>
                <w:lang w:eastAsia="ko-KR"/>
              </w:rPr>
            </w:pPr>
            <w:r w:rsidRPr="002003B0">
              <w:rPr>
                <w:b/>
                <w:bCs/>
              </w:rPr>
              <w:t xml:space="preserve">2,229,621,635 </w:t>
            </w:r>
          </w:p>
        </w:tc>
        <w:tc>
          <w:tcPr>
            <w:tcW w:w="1770" w:type="dxa"/>
          </w:tcPr>
          <w:p w14:paraId="47F1F630" w14:textId="237499F9" w:rsidR="002003B0" w:rsidRPr="002003B0" w:rsidRDefault="002003B0" w:rsidP="002003B0">
            <w:pPr>
              <w:widowControl w:val="0"/>
              <w:pBdr>
                <w:bottom w:val="double" w:sz="4" w:space="0" w:color="auto"/>
              </w:pBdr>
              <w:spacing w:before="120"/>
              <w:ind w:left="57" w:right="-85"/>
              <w:jc w:val="right"/>
              <w:rPr>
                <w:rFonts w:cs="Arial"/>
                <w:b/>
                <w:bCs/>
              </w:rPr>
            </w:pPr>
            <w:r w:rsidRPr="002003B0">
              <w:rPr>
                <w:b/>
                <w:bCs/>
              </w:rPr>
              <w:t xml:space="preserve">2,152,634,600 </w:t>
            </w:r>
          </w:p>
        </w:tc>
      </w:tr>
    </w:tbl>
    <w:p w14:paraId="3D6B6193" w14:textId="77777777" w:rsidR="00C6319C" w:rsidRDefault="00C6319C" w:rsidP="00991039">
      <w:pPr>
        <w:ind w:left="720"/>
        <w:rPr>
          <w:rFonts w:cs="Arial"/>
        </w:rPr>
      </w:pPr>
    </w:p>
    <w:p w14:paraId="3D36D616" w14:textId="0FF82335" w:rsidR="00C6319C" w:rsidRPr="002A0B87" w:rsidRDefault="00C6319C" w:rsidP="00991039">
      <w:pPr>
        <w:ind w:left="720"/>
        <w:rPr>
          <w:rFonts w:cs="Arial"/>
        </w:rPr>
        <w:sectPr w:rsidR="00C6319C" w:rsidRPr="002A0B87" w:rsidSect="009032CF">
          <w:pgSz w:w="11909" w:h="16834" w:code="9"/>
          <w:pgMar w:top="1440" w:right="1440" w:bottom="862" w:left="1582" w:header="720" w:footer="578" w:gutter="0"/>
          <w:cols w:space="720"/>
          <w:docGrid w:linePitch="272"/>
        </w:sectPr>
      </w:pPr>
    </w:p>
    <w:p w14:paraId="1E407920" w14:textId="68B42C94" w:rsidR="0042758F" w:rsidRPr="002A0B87" w:rsidRDefault="00852E2F" w:rsidP="0042758F">
      <w:pPr>
        <w:pStyle w:val="BodyText"/>
        <w:ind w:left="720" w:hanging="720"/>
        <w:textAlignment w:val="auto"/>
        <w:outlineLvl w:val="0"/>
        <w:rPr>
          <w:rFonts w:ascii="Arial" w:hAnsi="Arial" w:cs="Arial"/>
          <w:b/>
          <w:bCs/>
        </w:rPr>
      </w:pPr>
      <w:r w:rsidRPr="002A0B87">
        <w:rPr>
          <w:rFonts w:ascii="Arial" w:hAnsi="Arial" w:cs="Arial"/>
          <w:b/>
          <w:bCs/>
        </w:rPr>
        <w:lastRenderedPageBreak/>
        <w:t>14</w:t>
      </w:r>
      <w:r w:rsidR="0042758F" w:rsidRPr="002A0B87">
        <w:rPr>
          <w:rFonts w:ascii="Arial" w:hAnsi="Arial" w:cs="Arial"/>
          <w:b/>
          <w:bCs/>
        </w:rPr>
        <w:t>.</w:t>
      </w:r>
      <w:r w:rsidR="0042758F" w:rsidRPr="002A0B87">
        <w:rPr>
          <w:rFonts w:ascii="Arial" w:hAnsi="Arial" w:cs="Arial"/>
          <w:b/>
          <w:bCs/>
        </w:rPr>
        <w:tab/>
      </w:r>
      <w:r w:rsidR="000B6C99" w:rsidRPr="000B6C99">
        <w:rPr>
          <w:rFonts w:ascii="Arial" w:hAnsi="Arial" w:cs="Arial"/>
          <w:b/>
          <w:bCs/>
        </w:rPr>
        <w:t>SHORT-TERM BORROWINGS</w:t>
      </w:r>
      <w:r w:rsidR="000B6C99" w:rsidRPr="000B6C99" w:rsidDel="000B6C99">
        <w:rPr>
          <w:rFonts w:ascii="Arial" w:hAnsi="Arial" w:cs="Arial"/>
          <w:b/>
          <w:bCs/>
        </w:rPr>
        <w:t xml:space="preserve"> </w:t>
      </w:r>
    </w:p>
    <w:p w14:paraId="45EA778E" w14:textId="77777777" w:rsidR="00652D34" w:rsidRPr="00652D34" w:rsidRDefault="00652D34">
      <w:pPr>
        <w:pStyle w:val="NoSpacing"/>
      </w:pPr>
    </w:p>
    <w:tbl>
      <w:tblPr>
        <w:tblW w:w="13085" w:type="dxa"/>
        <w:tblInd w:w="720" w:type="dxa"/>
        <w:tblLayout w:type="fixed"/>
        <w:tblLook w:val="01E0" w:firstRow="1" w:lastRow="1" w:firstColumn="1" w:lastColumn="1" w:noHBand="0" w:noVBand="0"/>
      </w:tblPr>
      <w:tblGrid>
        <w:gridCol w:w="3088"/>
        <w:gridCol w:w="1952"/>
        <w:gridCol w:w="2011"/>
        <w:gridCol w:w="2011"/>
        <w:gridCol w:w="2011"/>
        <w:gridCol w:w="2012"/>
      </w:tblGrid>
      <w:tr w:rsidR="005B2D52" w:rsidRPr="002A0B87" w14:paraId="6325EBB9" w14:textId="77777777" w:rsidTr="00254501">
        <w:trPr>
          <w:trHeight w:val="20"/>
          <w:tblHeader/>
        </w:trPr>
        <w:tc>
          <w:tcPr>
            <w:tcW w:w="3088" w:type="dxa"/>
            <w:vMerge w:val="restart"/>
            <w:vAlign w:val="bottom"/>
          </w:tcPr>
          <w:p w14:paraId="2ED01F41" w14:textId="77777777" w:rsidR="005B2D52" w:rsidRPr="002A0B87" w:rsidRDefault="005B2D52" w:rsidP="00C90B5D">
            <w:pPr>
              <w:widowControl w:val="0"/>
              <w:overflowPunct/>
              <w:autoSpaceDE/>
              <w:autoSpaceDN/>
              <w:adjustRightInd/>
              <w:ind w:left="-115"/>
              <w:jc w:val="left"/>
              <w:textAlignment w:val="auto"/>
              <w:rPr>
                <w:rFonts w:eastAsia="Batang" w:cs="Arial"/>
                <w:i/>
                <w:lang w:val="es-ES"/>
              </w:rPr>
            </w:pPr>
          </w:p>
        </w:tc>
        <w:tc>
          <w:tcPr>
            <w:tcW w:w="1952" w:type="dxa"/>
            <w:vMerge w:val="restart"/>
            <w:vAlign w:val="bottom"/>
          </w:tcPr>
          <w:p w14:paraId="20F9B822" w14:textId="77777777" w:rsidR="00F90464" w:rsidRPr="00F90464" w:rsidRDefault="00F90464" w:rsidP="00F90464">
            <w:pPr>
              <w:widowControl w:val="0"/>
              <w:pBdr>
                <w:bottom w:val="single" w:sz="4" w:space="0" w:color="auto"/>
              </w:pBdr>
              <w:overflowPunct/>
              <w:autoSpaceDE/>
              <w:autoSpaceDN/>
              <w:adjustRightInd/>
              <w:ind w:left="57" w:right="-85"/>
              <w:jc w:val="right"/>
              <w:textAlignment w:val="auto"/>
              <w:rPr>
                <w:rFonts w:eastAsia="Batang" w:cs="Arial"/>
                <w:bCs/>
                <w:i/>
              </w:rPr>
            </w:pPr>
            <w:r w:rsidRPr="00F90464">
              <w:rPr>
                <w:rFonts w:eastAsia="Batang" w:cs="Arial"/>
                <w:bCs/>
                <w:i/>
              </w:rPr>
              <w:t>Interest rate</w:t>
            </w:r>
          </w:p>
          <w:p w14:paraId="014BD8CF" w14:textId="2E889204" w:rsidR="005B2D52" w:rsidRDefault="00F90464" w:rsidP="00455692">
            <w:pPr>
              <w:widowControl w:val="0"/>
              <w:pBdr>
                <w:bottom w:val="single" w:sz="4" w:space="0" w:color="auto"/>
              </w:pBdr>
              <w:ind w:left="57" w:right="-85"/>
              <w:jc w:val="right"/>
              <w:rPr>
                <w:rFonts w:eastAsia="Batang" w:cs="Arial"/>
                <w:bCs/>
                <w:i/>
              </w:rPr>
            </w:pPr>
            <w:r w:rsidRPr="00F90464">
              <w:rPr>
                <w:rFonts w:eastAsia="Batang" w:cs="Arial"/>
                <w:bCs/>
                <w:i/>
              </w:rPr>
              <w:t xml:space="preserve">% </w:t>
            </w:r>
            <w:proofErr w:type="gramStart"/>
            <w:r w:rsidRPr="00F90464">
              <w:rPr>
                <w:rFonts w:eastAsia="Batang" w:cs="Arial"/>
                <w:bCs/>
                <w:i/>
              </w:rPr>
              <w:t>per</w:t>
            </w:r>
            <w:proofErr w:type="gramEnd"/>
            <w:r w:rsidRPr="00F90464">
              <w:rPr>
                <w:rFonts w:eastAsia="Batang" w:cs="Arial"/>
                <w:bCs/>
                <w:i/>
              </w:rPr>
              <w:t xml:space="preserve"> </w:t>
            </w:r>
            <w:proofErr w:type="spellStart"/>
            <w:r w:rsidRPr="00F90464">
              <w:rPr>
                <w:rFonts w:eastAsia="Batang" w:cs="Arial"/>
                <w:bCs/>
                <w:i/>
              </w:rPr>
              <w:t>anum</w:t>
            </w:r>
            <w:proofErr w:type="spellEnd"/>
          </w:p>
        </w:tc>
        <w:tc>
          <w:tcPr>
            <w:tcW w:w="2011" w:type="dxa"/>
            <w:vMerge w:val="restart"/>
            <w:vAlign w:val="bottom"/>
          </w:tcPr>
          <w:p w14:paraId="3671FD32" w14:textId="52869C4F" w:rsidR="005B2D52" w:rsidRPr="002A0B87" w:rsidRDefault="004771C3" w:rsidP="00455692">
            <w:pPr>
              <w:widowControl w:val="0"/>
              <w:pBdr>
                <w:bottom w:val="single" w:sz="4" w:space="0" w:color="auto"/>
              </w:pBdr>
              <w:overflowPunct/>
              <w:autoSpaceDE/>
              <w:autoSpaceDN/>
              <w:adjustRightInd/>
              <w:ind w:left="57" w:right="-85"/>
              <w:jc w:val="right"/>
              <w:textAlignment w:val="auto"/>
              <w:rPr>
                <w:rFonts w:eastAsia="Batang" w:cs="Arial"/>
                <w:bCs/>
                <w:i/>
              </w:rPr>
            </w:pPr>
            <w:r w:rsidRPr="004771C3">
              <w:rPr>
                <w:rFonts w:eastAsia="Batang" w:cs="Arial"/>
                <w:bCs/>
                <w:i/>
              </w:rPr>
              <w:t>Opening balance</w:t>
            </w:r>
          </w:p>
          <w:p w14:paraId="55C928A8" w14:textId="4E0B4127" w:rsidR="005B2D52" w:rsidRDefault="005B2D52" w:rsidP="00455692">
            <w:pPr>
              <w:widowControl w:val="0"/>
              <w:pBdr>
                <w:bottom w:val="single" w:sz="4" w:space="0" w:color="auto"/>
              </w:pBdr>
              <w:ind w:left="57" w:right="-85"/>
              <w:jc w:val="right"/>
              <w:rPr>
                <w:rFonts w:eastAsia="Batang" w:cs="Arial"/>
                <w:bCs/>
                <w:i/>
              </w:rPr>
            </w:pPr>
            <w:r w:rsidRPr="002A0B87">
              <w:rPr>
                <w:rFonts w:eastAsia="Batang" w:cs="Arial"/>
                <w:i/>
                <w:iCs/>
              </w:rPr>
              <w:t>VND</w:t>
            </w:r>
          </w:p>
        </w:tc>
        <w:tc>
          <w:tcPr>
            <w:tcW w:w="4022" w:type="dxa"/>
            <w:gridSpan w:val="2"/>
            <w:vAlign w:val="bottom"/>
          </w:tcPr>
          <w:p w14:paraId="546046DE" w14:textId="30B0CDCD" w:rsidR="005B2D52" w:rsidRDefault="007631F5" w:rsidP="005B2D52">
            <w:pPr>
              <w:widowControl w:val="0"/>
              <w:pBdr>
                <w:bottom w:val="single" w:sz="4" w:space="0" w:color="auto"/>
              </w:pBdr>
              <w:overflowPunct/>
              <w:autoSpaceDE/>
              <w:autoSpaceDN/>
              <w:adjustRightInd/>
              <w:ind w:left="57" w:right="-85"/>
              <w:jc w:val="center"/>
              <w:textAlignment w:val="auto"/>
              <w:rPr>
                <w:rFonts w:eastAsia="Batang" w:cs="Arial"/>
                <w:bCs/>
                <w:i/>
              </w:rPr>
            </w:pPr>
            <w:r w:rsidRPr="007631F5">
              <w:rPr>
                <w:rFonts w:eastAsia="Batang" w:cs="Arial"/>
                <w:bCs/>
                <w:i/>
              </w:rPr>
              <w:t>Movements in the year</w:t>
            </w:r>
          </w:p>
        </w:tc>
        <w:tc>
          <w:tcPr>
            <w:tcW w:w="2012" w:type="dxa"/>
            <w:vMerge w:val="restart"/>
            <w:vAlign w:val="bottom"/>
          </w:tcPr>
          <w:p w14:paraId="02644064" w14:textId="4CEE10E3" w:rsidR="005B2D52" w:rsidRDefault="0084148B" w:rsidP="00455692">
            <w:pPr>
              <w:widowControl w:val="0"/>
              <w:pBdr>
                <w:bottom w:val="single" w:sz="4" w:space="0" w:color="auto"/>
              </w:pBdr>
              <w:overflowPunct/>
              <w:autoSpaceDE/>
              <w:autoSpaceDN/>
              <w:adjustRightInd/>
              <w:ind w:left="57" w:right="-85"/>
              <w:jc w:val="right"/>
              <w:textAlignment w:val="auto"/>
              <w:rPr>
                <w:rFonts w:eastAsia="Batang" w:cs="Arial"/>
                <w:bCs/>
                <w:i/>
              </w:rPr>
            </w:pPr>
            <w:r w:rsidRPr="0084148B">
              <w:rPr>
                <w:rFonts w:eastAsia="Batang" w:cs="Arial"/>
                <w:bCs/>
                <w:i/>
              </w:rPr>
              <w:t>Ending balance</w:t>
            </w:r>
          </w:p>
          <w:p w14:paraId="0C8B9D80" w14:textId="5B06E89C" w:rsidR="005B2D52" w:rsidRDefault="005B2D52" w:rsidP="00455692">
            <w:pPr>
              <w:widowControl w:val="0"/>
              <w:pBdr>
                <w:bottom w:val="single" w:sz="4" w:space="0" w:color="auto"/>
              </w:pBdr>
              <w:ind w:left="57" w:right="-85"/>
              <w:jc w:val="right"/>
              <w:rPr>
                <w:rFonts w:eastAsia="Batang" w:cs="Arial"/>
                <w:bCs/>
                <w:i/>
              </w:rPr>
            </w:pPr>
            <w:r>
              <w:rPr>
                <w:rFonts w:eastAsia="Batang" w:cs="Arial"/>
                <w:bCs/>
                <w:i/>
              </w:rPr>
              <w:t>VND</w:t>
            </w:r>
          </w:p>
        </w:tc>
      </w:tr>
      <w:tr w:rsidR="005B2D52" w:rsidRPr="002A0B87" w14:paraId="4F844723" w14:textId="4520564D" w:rsidTr="00254501">
        <w:trPr>
          <w:trHeight w:val="20"/>
          <w:tblHeader/>
        </w:trPr>
        <w:tc>
          <w:tcPr>
            <w:tcW w:w="3088" w:type="dxa"/>
            <w:vMerge/>
            <w:vAlign w:val="bottom"/>
          </w:tcPr>
          <w:p w14:paraId="197556C6" w14:textId="77777777" w:rsidR="005B2D52" w:rsidRPr="002A0B87" w:rsidRDefault="005B2D52" w:rsidP="00C90B5D">
            <w:pPr>
              <w:widowControl w:val="0"/>
              <w:overflowPunct/>
              <w:autoSpaceDE/>
              <w:autoSpaceDN/>
              <w:adjustRightInd/>
              <w:ind w:left="-115"/>
              <w:jc w:val="left"/>
              <w:textAlignment w:val="auto"/>
              <w:rPr>
                <w:rFonts w:eastAsia="Batang" w:cs="Arial"/>
                <w:i/>
                <w:lang w:val="es-ES"/>
              </w:rPr>
            </w:pPr>
          </w:p>
        </w:tc>
        <w:tc>
          <w:tcPr>
            <w:tcW w:w="1952" w:type="dxa"/>
            <w:vMerge/>
            <w:vAlign w:val="bottom"/>
          </w:tcPr>
          <w:p w14:paraId="616C0F60" w14:textId="253FE004" w:rsidR="005B2D52" w:rsidRDefault="005B2D52" w:rsidP="00455692">
            <w:pPr>
              <w:widowControl w:val="0"/>
              <w:pBdr>
                <w:bottom w:val="single" w:sz="4" w:space="0" w:color="auto"/>
              </w:pBdr>
              <w:overflowPunct/>
              <w:autoSpaceDE/>
              <w:autoSpaceDN/>
              <w:adjustRightInd/>
              <w:ind w:left="57" w:right="-85"/>
              <w:jc w:val="right"/>
              <w:textAlignment w:val="auto"/>
              <w:rPr>
                <w:rFonts w:eastAsia="Batang" w:cs="Arial"/>
                <w:bCs/>
                <w:i/>
              </w:rPr>
            </w:pPr>
          </w:p>
        </w:tc>
        <w:tc>
          <w:tcPr>
            <w:tcW w:w="2011" w:type="dxa"/>
            <w:vMerge/>
            <w:vAlign w:val="bottom"/>
            <w:hideMark/>
          </w:tcPr>
          <w:p w14:paraId="0B648E84" w14:textId="799BCEBF" w:rsidR="005B2D52" w:rsidRPr="002A0B87" w:rsidRDefault="005B2D52" w:rsidP="00455692">
            <w:pPr>
              <w:widowControl w:val="0"/>
              <w:pBdr>
                <w:bottom w:val="single" w:sz="4" w:space="0" w:color="auto"/>
              </w:pBdr>
              <w:ind w:left="57" w:right="-85"/>
              <w:jc w:val="right"/>
              <w:rPr>
                <w:rFonts w:cs="Arial"/>
                <w:bCs/>
                <w:i/>
              </w:rPr>
            </w:pPr>
          </w:p>
        </w:tc>
        <w:tc>
          <w:tcPr>
            <w:tcW w:w="2011" w:type="dxa"/>
            <w:vAlign w:val="bottom"/>
            <w:hideMark/>
          </w:tcPr>
          <w:p w14:paraId="2BBC1FE4" w14:textId="640AA84F" w:rsidR="005B2D52" w:rsidRPr="002A0B87" w:rsidRDefault="00DC6D98" w:rsidP="005B2D52">
            <w:pPr>
              <w:widowControl w:val="0"/>
              <w:pBdr>
                <w:bottom w:val="single" w:sz="4" w:space="0" w:color="auto"/>
              </w:pBdr>
              <w:overflowPunct/>
              <w:autoSpaceDE/>
              <w:autoSpaceDN/>
              <w:adjustRightInd/>
              <w:spacing w:before="120"/>
              <w:ind w:left="57" w:right="-85"/>
              <w:jc w:val="right"/>
              <w:textAlignment w:val="auto"/>
              <w:rPr>
                <w:rFonts w:eastAsia="Batang" w:cs="Arial"/>
                <w:bCs/>
                <w:i/>
              </w:rPr>
            </w:pPr>
            <w:r>
              <w:rPr>
                <w:rFonts w:eastAsia="Batang" w:cs="Arial"/>
                <w:bCs/>
                <w:i/>
              </w:rPr>
              <w:t>Increase</w:t>
            </w:r>
          </w:p>
          <w:p w14:paraId="6B2041AC" w14:textId="1BAC29C7" w:rsidR="005B2D52" w:rsidRPr="002A0B87" w:rsidRDefault="005B2D52" w:rsidP="00455692">
            <w:pPr>
              <w:widowControl w:val="0"/>
              <w:pBdr>
                <w:bottom w:val="single" w:sz="4" w:space="0" w:color="auto"/>
              </w:pBdr>
              <w:ind w:left="57" w:right="-85"/>
              <w:jc w:val="right"/>
              <w:rPr>
                <w:rFonts w:cs="Arial"/>
                <w:bCs/>
                <w:i/>
              </w:rPr>
            </w:pPr>
            <w:r w:rsidRPr="002A0B87">
              <w:rPr>
                <w:rFonts w:eastAsia="Batang" w:cs="Arial"/>
                <w:i/>
                <w:iCs/>
              </w:rPr>
              <w:t xml:space="preserve">VND </w:t>
            </w:r>
          </w:p>
        </w:tc>
        <w:tc>
          <w:tcPr>
            <w:tcW w:w="2011" w:type="dxa"/>
            <w:vAlign w:val="bottom"/>
          </w:tcPr>
          <w:p w14:paraId="21652C30" w14:textId="6D0082E6" w:rsidR="005B2D52" w:rsidRDefault="00DC6D98" w:rsidP="005B2D52">
            <w:pPr>
              <w:widowControl w:val="0"/>
              <w:pBdr>
                <w:bottom w:val="single" w:sz="4" w:space="0" w:color="auto"/>
              </w:pBdr>
              <w:overflowPunct/>
              <w:autoSpaceDE/>
              <w:autoSpaceDN/>
              <w:adjustRightInd/>
              <w:spacing w:before="120"/>
              <w:ind w:left="57" w:right="-85"/>
              <w:jc w:val="right"/>
              <w:textAlignment w:val="auto"/>
              <w:rPr>
                <w:rFonts w:eastAsia="Batang" w:cs="Arial"/>
                <w:bCs/>
                <w:i/>
              </w:rPr>
            </w:pPr>
            <w:r>
              <w:rPr>
                <w:rFonts w:eastAsia="Batang" w:cs="Arial"/>
                <w:bCs/>
                <w:i/>
              </w:rPr>
              <w:t>Decrease</w:t>
            </w:r>
          </w:p>
          <w:p w14:paraId="675A0303" w14:textId="21EFD619" w:rsidR="005B2D52" w:rsidRDefault="005B2D52" w:rsidP="00455692">
            <w:pPr>
              <w:widowControl w:val="0"/>
              <w:pBdr>
                <w:bottom w:val="single" w:sz="4" w:space="0" w:color="auto"/>
              </w:pBdr>
              <w:overflowPunct/>
              <w:autoSpaceDE/>
              <w:autoSpaceDN/>
              <w:adjustRightInd/>
              <w:ind w:left="57" w:right="-85"/>
              <w:jc w:val="right"/>
              <w:textAlignment w:val="auto"/>
              <w:rPr>
                <w:rFonts w:eastAsia="Batang" w:cs="Arial"/>
                <w:bCs/>
                <w:i/>
              </w:rPr>
            </w:pPr>
            <w:r>
              <w:rPr>
                <w:rFonts w:eastAsia="Batang" w:cs="Arial"/>
                <w:bCs/>
                <w:i/>
              </w:rPr>
              <w:t>VND</w:t>
            </w:r>
          </w:p>
        </w:tc>
        <w:tc>
          <w:tcPr>
            <w:tcW w:w="2012" w:type="dxa"/>
            <w:vMerge/>
            <w:vAlign w:val="bottom"/>
          </w:tcPr>
          <w:p w14:paraId="049BB30D" w14:textId="3C558A52" w:rsidR="005B2D52" w:rsidRDefault="005B2D52" w:rsidP="00455692">
            <w:pPr>
              <w:widowControl w:val="0"/>
              <w:pBdr>
                <w:bottom w:val="single" w:sz="4" w:space="0" w:color="auto"/>
              </w:pBdr>
              <w:overflowPunct/>
              <w:autoSpaceDE/>
              <w:autoSpaceDN/>
              <w:adjustRightInd/>
              <w:ind w:left="57" w:right="-85"/>
              <w:jc w:val="right"/>
              <w:textAlignment w:val="auto"/>
              <w:rPr>
                <w:rFonts w:eastAsia="Batang" w:cs="Arial"/>
                <w:bCs/>
                <w:i/>
              </w:rPr>
            </w:pPr>
          </w:p>
        </w:tc>
      </w:tr>
      <w:tr w:rsidR="00C776AD" w:rsidRPr="002A0B87" w14:paraId="46BD9A34" w14:textId="18A1F34D" w:rsidTr="008B19F4">
        <w:trPr>
          <w:trHeight w:val="20"/>
        </w:trPr>
        <w:tc>
          <w:tcPr>
            <w:tcW w:w="3088" w:type="dxa"/>
            <w:vAlign w:val="bottom"/>
          </w:tcPr>
          <w:p w14:paraId="20A9FA09" w14:textId="47AAB0DC" w:rsidR="00C776AD" w:rsidRPr="00E01045" w:rsidRDefault="00C776AD" w:rsidP="00C776AD">
            <w:pPr>
              <w:widowControl w:val="0"/>
              <w:spacing w:before="120"/>
              <w:ind w:left="-115"/>
              <w:jc w:val="left"/>
              <w:rPr>
                <w:rFonts w:cs="Arial"/>
              </w:rPr>
            </w:pPr>
            <w:r w:rsidRPr="00E01045">
              <w:rPr>
                <w:rFonts w:cs="Arial"/>
              </w:rPr>
              <w:t>Overdraft</w:t>
            </w:r>
          </w:p>
        </w:tc>
        <w:tc>
          <w:tcPr>
            <w:tcW w:w="1952" w:type="dxa"/>
            <w:vAlign w:val="bottom"/>
          </w:tcPr>
          <w:p w14:paraId="63AD7D0D" w14:textId="5E8A4160" w:rsidR="00C776AD" w:rsidRPr="00FA28E4" w:rsidRDefault="00C776AD" w:rsidP="00C776AD">
            <w:pPr>
              <w:widowControl w:val="0"/>
              <w:spacing w:before="120"/>
              <w:ind w:left="58" w:right="-85"/>
              <w:jc w:val="right"/>
              <w:rPr>
                <w:rFonts w:eastAsia="Batang" w:cs="Arial"/>
                <w:lang w:eastAsia="ko-KR"/>
              </w:rPr>
            </w:pPr>
            <w:r w:rsidRPr="00FA28E4">
              <w:rPr>
                <w:rFonts w:eastAsia="Batang" w:cs="Arial"/>
                <w:lang w:eastAsia="ko-KR"/>
              </w:rPr>
              <w:t>5.0 – 5.1</w:t>
            </w:r>
          </w:p>
        </w:tc>
        <w:tc>
          <w:tcPr>
            <w:tcW w:w="2011" w:type="dxa"/>
          </w:tcPr>
          <w:p w14:paraId="33E9E976" w14:textId="1F605FF0" w:rsidR="00C776AD" w:rsidRPr="00FA28E4" w:rsidRDefault="00C776AD" w:rsidP="00C776AD">
            <w:pPr>
              <w:widowControl w:val="0"/>
              <w:spacing w:before="120"/>
              <w:ind w:left="57" w:right="-85"/>
              <w:jc w:val="right"/>
              <w:rPr>
                <w:rFonts w:eastAsia="Batang" w:cs="Arial"/>
                <w:lang w:eastAsia="ko-KR"/>
              </w:rPr>
            </w:pPr>
            <w:r w:rsidRPr="001F4F5D">
              <w:t>498.360.000.000</w:t>
            </w:r>
          </w:p>
        </w:tc>
        <w:tc>
          <w:tcPr>
            <w:tcW w:w="2011" w:type="dxa"/>
          </w:tcPr>
          <w:p w14:paraId="2FAE2491" w14:textId="609570A4" w:rsidR="00C776AD" w:rsidRPr="002A0B87" w:rsidRDefault="00C776AD" w:rsidP="00C776AD">
            <w:pPr>
              <w:widowControl w:val="0"/>
              <w:spacing w:before="120"/>
              <w:ind w:left="57" w:right="-85"/>
              <w:jc w:val="right"/>
              <w:rPr>
                <w:rFonts w:eastAsia="Batang" w:cs="Arial"/>
                <w:lang w:eastAsia="ko-KR"/>
              </w:rPr>
            </w:pPr>
            <w:r w:rsidRPr="001F4F5D">
              <w:t xml:space="preserve">1.344.721.600.000 </w:t>
            </w:r>
          </w:p>
        </w:tc>
        <w:tc>
          <w:tcPr>
            <w:tcW w:w="2011" w:type="dxa"/>
          </w:tcPr>
          <w:p w14:paraId="51880D0E" w14:textId="4215DEF2" w:rsidR="00C776AD" w:rsidRPr="006118E1" w:rsidRDefault="00C776AD" w:rsidP="00C776AD">
            <w:pPr>
              <w:widowControl w:val="0"/>
              <w:spacing w:before="120"/>
              <w:ind w:left="57" w:right="-85"/>
              <w:jc w:val="right"/>
              <w:rPr>
                <w:rFonts w:eastAsia="Batang" w:cs="Arial"/>
                <w:lang w:eastAsia="ko-KR"/>
              </w:rPr>
            </w:pPr>
            <w:r w:rsidRPr="001F4F5D">
              <w:t xml:space="preserve">(880.992.200.000) </w:t>
            </w:r>
          </w:p>
        </w:tc>
        <w:tc>
          <w:tcPr>
            <w:tcW w:w="2012" w:type="dxa"/>
          </w:tcPr>
          <w:p w14:paraId="17FF9862" w14:textId="6E021012" w:rsidR="00C776AD" w:rsidRPr="006118E1" w:rsidRDefault="00C776AD" w:rsidP="00C776AD">
            <w:pPr>
              <w:widowControl w:val="0"/>
              <w:spacing w:before="120"/>
              <w:ind w:left="57" w:right="-85"/>
              <w:jc w:val="right"/>
              <w:rPr>
                <w:rFonts w:eastAsia="Batang" w:cs="Arial"/>
                <w:lang w:eastAsia="ko-KR"/>
              </w:rPr>
            </w:pPr>
            <w:r w:rsidRPr="001F4F5D">
              <w:t>1.160.089.400.000</w:t>
            </w:r>
          </w:p>
        </w:tc>
      </w:tr>
      <w:tr w:rsidR="00C776AD" w:rsidRPr="002A0B87" w14:paraId="506437EF" w14:textId="77777777" w:rsidTr="008B19F4">
        <w:trPr>
          <w:trHeight w:val="20"/>
        </w:trPr>
        <w:tc>
          <w:tcPr>
            <w:tcW w:w="3088" w:type="dxa"/>
            <w:vAlign w:val="bottom"/>
          </w:tcPr>
          <w:p w14:paraId="0A226524" w14:textId="4C3A492F" w:rsidR="00C776AD" w:rsidRPr="00E01045" w:rsidRDefault="00C776AD" w:rsidP="00C776AD">
            <w:pPr>
              <w:widowControl w:val="0"/>
              <w:spacing w:before="120"/>
              <w:ind w:left="-115"/>
              <w:jc w:val="left"/>
              <w:rPr>
                <w:rFonts w:cs="Arial"/>
              </w:rPr>
            </w:pPr>
            <w:r w:rsidRPr="00E01045">
              <w:rPr>
                <w:rFonts w:cs="Arial"/>
              </w:rPr>
              <w:t>Short-term</w:t>
            </w:r>
          </w:p>
        </w:tc>
        <w:tc>
          <w:tcPr>
            <w:tcW w:w="1952" w:type="dxa"/>
            <w:vAlign w:val="bottom"/>
          </w:tcPr>
          <w:p w14:paraId="648ED5FD" w14:textId="254A09C9" w:rsidR="00C776AD" w:rsidRPr="00FA28E4" w:rsidRDefault="00C776AD" w:rsidP="00C776AD">
            <w:pPr>
              <w:widowControl w:val="0"/>
              <w:spacing w:before="120"/>
              <w:ind w:left="58" w:right="-85"/>
              <w:jc w:val="right"/>
              <w:rPr>
                <w:rFonts w:eastAsia="Batang" w:cs="Arial"/>
                <w:lang w:eastAsia="ko-KR"/>
              </w:rPr>
            </w:pPr>
            <w:r>
              <w:rPr>
                <w:rFonts w:eastAsia="Batang" w:cs="Arial"/>
                <w:lang w:eastAsia="ko-KR"/>
              </w:rPr>
              <w:t>LIBOR3M + 1.65%</w:t>
            </w:r>
          </w:p>
        </w:tc>
        <w:tc>
          <w:tcPr>
            <w:tcW w:w="2011" w:type="dxa"/>
          </w:tcPr>
          <w:p w14:paraId="56B448CA" w14:textId="17BABBBD" w:rsidR="00C776AD" w:rsidRPr="00E01045" w:rsidRDefault="00C776AD" w:rsidP="00C776AD">
            <w:pPr>
              <w:widowControl w:val="0"/>
              <w:spacing w:before="120"/>
              <w:ind w:left="57" w:right="-85"/>
              <w:jc w:val="right"/>
              <w:rPr>
                <w:rFonts w:eastAsia="Batang" w:cs="Arial"/>
                <w:lang w:eastAsia="ko-KR"/>
              </w:rPr>
            </w:pPr>
            <w:r w:rsidRPr="001F4F5D">
              <w:t>689.400.000.000</w:t>
            </w:r>
          </w:p>
        </w:tc>
        <w:tc>
          <w:tcPr>
            <w:tcW w:w="2011" w:type="dxa"/>
          </w:tcPr>
          <w:p w14:paraId="5D594D37" w14:textId="14A29935" w:rsidR="00C776AD" w:rsidRPr="00772560" w:rsidRDefault="00C776AD" w:rsidP="00C776AD">
            <w:pPr>
              <w:widowControl w:val="0"/>
              <w:spacing w:before="120"/>
              <w:ind w:left="57" w:right="-85"/>
              <w:jc w:val="right"/>
              <w:rPr>
                <w:rFonts w:eastAsia="Batang" w:cs="Arial"/>
                <w:lang w:eastAsia="ko-KR"/>
              </w:rPr>
            </w:pPr>
            <w:r w:rsidRPr="001F4F5D">
              <w:t>1.008.500.000.000</w:t>
            </w:r>
          </w:p>
        </w:tc>
        <w:tc>
          <w:tcPr>
            <w:tcW w:w="2011" w:type="dxa"/>
          </w:tcPr>
          <w:p w14:paraId="45F41D08" w14:textId="670FD312" w:rsidR="00C776AD" w:rsidRPr="00772560" w:rsidRDefault="00C776AD" w:rsidP="00C776AD">
            <w:pPr>
              <w:widowControl w:val="0"/>
              <w:spacing w:before="120"/>
              <w:ind w:left="57" w:right="-85"/>
              <w:jc w:val="right"/>
              <w:rPr>
                <w:rFonts w:eastAsia="Batang" w:cs="Arial"/>
                <w:lang w:eastAsia="ko-KR"/>
              </w:rPr>
            </w:pPr>
            <w:r w:rsidRPr="001F4F5D">
              <w:t>(689.400.000.000)</w:t>
            </w:r>
          </w:p>
        </w:tc>
        <w:tc>
          <w:tcPr>
            <w:tcW w:w="2012" w:type="dxa"/>
          </w:tcPr>
          <w:p w14:paraId="410AA4E2" w14:textId="47CDCA1D" w:rsidR="00C776AD" w:rsidRPr="00772560" w:rsidRDefault="00C776AD" w:rsidP="00C776AD">
            <w:pPr>
              <w:widowControl w:val="0"/>
              <w:spacing w:before="120"/>
              <w:ind w:left="57" w:right="-85"/>
              <w:jc w:val="right"/>
              <w:rPr>
                <w:rFonts w:eastAsia="Batang" w:cs="Arial"/>
                <w:lang w:eastAsia="ko-KR"/>
              </w:rPr>
            </w:pPr>
            <w:r w:rsidRPr="001F4F5D">
              <w:t>1.008.500.000.000</w:t>
            </w:r>
          </w:p>
        </w:tc>
      </w:tr>
      <w:tr w:rsidR="00C776AD" w:rsidRPr="002A0B87" w14:paraId="707D0ECD" w14:textId="69B8FFC8" w:rsidTr="008B19F4">
        <w:trPr>
          <w:trHeight w:val="20"/>
        </w:trPr>
        <w:tc>
          <w:tcPr>
            <w:tcW w:w="3088" w:type="dxa"/>
            <w:vAlign w:val="bottom"/>
          </w:tcPr>
          <w:p w14:paraId="72D19A53" w14:textId="264AF492" w:rsidR="00C776AD" w:rsidRPr="00D33812" w:rsidRDefault="00C776AD" w:rsidP="00C776AD">
            <w:pPr>
              <w:widowControl w:val="0"/>
              <w:ind w:left="144"/>
              <w:jc w:val="left"/>
              <w:rPr>
                <w:rFonts w:cs="Arial"/>
                <w:i/>
                <w:iCs/>
              </w:rPr>
            </w:pPr>
            <w:proofErr w:type="spellStart"/>
            <w:r w:rsidRPr="005C612D">
              <w:rPr>
                <w:rFonts w:cs="Arial"/>
                <w:i/>
                <w:iCs/>
              </w:rPr>
              <w:t>Nonghyup</w:t>
            </w:r>
            <w:proofErr w:type="spellEnd"/>
            <w:r w:rsidRPr="005C612D">
              <w:rPr>
                <w:rFonts w:cs="Arial"/>
                <w:i/>
                <w:iCs/>
              </w:rPr>
              <w:t xml:space="preserve"> Bank</w:t>
            </w:r>
          </w:p>
        </w:tc>
        <w:tc>
          <w:tcPr>
            <w:tcW w:w="1952" w:type="dxa"/>
            <w:vAlign w:val="bottom"/>
          </w:tcPr>
          <w:p w14:paraId="5C68CB7C" w14:textId="22495220" w:rsidR="00C776AD" w:rsidRPr="00D33812" w:rsidRDefault="00C776AD" w:rsidP="00C776AD">
            <w:pPr>
              <w:widowControl w:val="0"/>
              <w:ind w:left="58" w:right="-85"/>
              <w:jc w:val="right"/>
              <w:rPr>
                <w:rFonts w:eastAsia="Batang" w:cs="Arial"/>
                <w:i/>
                <w:iCs/>
                <w:highlight w:val="yellow"/>
                <w:lang w:eastAsia="ko-KR"/>
              </w:rPr>
            </w:pPr>
          </w:p>
        </w:tc>
        <w:tc>
          <w:tcPr>
            <w:tcW w:w="2011" w:type="dxa"/>
          </w:tcPr>
          <w:p w14:paraId="6E1A4F65" w14:textId="03C3A9CF" w:rsidR="00C776AD" w:rsidRPr="00C776AD" w:rsidRDefault="00C776AD" w:rsidP="00C776AD">
            <w:pPr>
              <w:widowControl w:val="0"/>
              <w:ind w:left="57" w:right="-85"/>
              <w:jc w:val="right"/>
              <w:rPr>
                <w:rFonts w:eastAsia="Batang" w:cs="Arial"/>
                <w:i/>
                <w:iCs/>
                <w:highlight w:val="yellow"/>
                <w:lang w:eastAsia="ko-KR"/>
              </w:rPr>
            </w:pPr>
            <w:r w:rsidRPr="00C776AD">
              <w:rPr>
                <w:i/>
                <w:iCs/>
              </w:rPr>
              <w:t>689.400.000.000</w:t>
            </w:r>
          </w:p>
        </w:tc>
        <w:tc>
          <w:tcPr>
            <w:tcW w:w="2011" w:type="dxa"/>
          </w:tcPr>
          <w:p w14:paraId="0264CF9B" w14:textId="7541D896" w:rsidR="00C776AD" w:rsidRPr="00C776AD" w:rsidRDefault="00C776AD" w:rsidP="00C776AD">
            <w:pPr>
              <w:widowControl w:val="0"/>
              <w:ind w:left="57" w:right="-85"/>
              <w:jc w:val="right"/>
              <w:rPr>
                <w:rFonts w:eastAsia="Batang" w:cs="Arial"/>
                <w:i/>
                <w:iCs/>
                <w:lang w:eastAsia="ko-KR"/>
              </w:rPr>
            </w:pPr>
            <w:r w:rsidRPr="00C776AD">
              <w:rPr>
                <w:i/>
                <w:iCs/>
              </w:rPr>
              <w:t>700.500.000.000</w:t>
            </w:r>
          </w:p>
        </w:tc>
        <w:tc>
          <w:tcPr>
            <w:tcW w:w="2011" w:type="dxa"/>
          </w:tcPr>
          <w:p w14:paraId="59D69039" w14:textId="11489D4B" w:rsidR="00C776AD" w:rsidRPr="00C776AD" w:rsidRDefault="00C776AD" w:rsidP="00C776AD">
            <w:pPr>
              <w:widowControl w:val="0"/>
              <w:ind w:left="57" w:right="-85"/>
              <w:jc w:val="right"/>
              <w:rPr>
                <w:rFonts w:eastAsia="Batang" w:cs="Arial"/>
                <w:i/>
                <w:iCs/>
                <w:lang w:eastAsia="ko-KR"/>
              </w:rPr>
            </w:pPr>
            <w:r w:rsidRPr="00C776AD">
              <w:rPr>
                <w:i/>
                <w:iCs/>
              </w:rPr>
              <w:t>(689.400.000.000)</w:t>
            </w:r>
          </w:p>
        </w:tc>
        <w:tc>
          <w:tcPr>
            <w:tcW w:w="2012" w:type="dxa"/>
          </w:tcPr>
          <w:p w14:paraId="79397DE2" w14:textId="51054446" w:rsidR="00C776AD" w:rsidRPr="00C776AD" w:rsidRDefault="00C776AD" w:rsidP="00C776AD">
            <w:pPr>
              <w:widowControl w:val="0"/>
              <w:ind w:left="57" w:right="-85"/>
              <w:jc w:val="right"/>
              <w:rPr>
                <w:rFonts w:eastAsia="Batang" w:cs="Arial"/>
                <w:i/>
                <w:iCs/>
                <w:lang w:eastAsia="ko-KR"/>
              </w:rPr>
            </w:pPr>
            <w:r w:rsidRPr="00C776AD">
              <w:rPr>
                <w:i/>
                <w:iCs/>
              </w:rPr>
              <w:t>700.500.000.000</w:t>
            </w:r>
          </w:p>
        </w:tc>
      </w:tr>
      <w:tr w:rsidR="00C776AD" w:rsidRPr="002A0B87" w14:paraId="171CCE89" w14:textId="77777777" w:rsidTr="008B19F4">
        <w:trPr>
          <w:trHeight w:val="20"/>
        </w:trPr>
        <w:tc>
          <w:tcPr>
            <w:tcW w:w="3088" w:type="dxa"/>
            <w:vAlign w:val="bottom"/>
          </w:tcPr>
          <w:p w14:paraId="56357BD5" w14:textId="0F92DD33" w:rsidR="00C776AD" w:rsidRPr="00D33812" w:rsidRDefault="00C776AD" w:rsidP="00C776AD">
            <w:pPr>
              <w:widowControl w:val="0"/>
              <w:ind w:left="144"/>
              <w:jc w:val="left"/>
              <w:rPr>
                <w:rFonts w:cs="Arial"/>
                <w:i/>
                <w:iCs/>
              </w:rPr>
            </w:pPr>
            <w:r>
              <w:rPr>
                <w:rFonts w:cs="Arial"/>
                <w:i/>
                <w:iCs/>
              </w:rPr>
              <w:t>Bank for Investment &amp; Development of Vietnam JSC</w:t>
            </w:r>
          </w:p>
        </w:tc>
        <w:tc>
          <w:tcPr>
            <w:tcW w:w="1952" w:type="dxa"/>
            <w:vAlign w:val="bottom"/>
          </w:tcPr>
          <w:p w14:paraId="5CDC82F5" w14:textId="3634161A" w:rsidR="00C776AD" w:rsidRPr="00D33812" w:rsidRDefault="00C776AD" w:rsidP="00C776AD">
            <w:pPr>
              <w:widowControl w:val="0"/>
              <w:ind w:right="-85"/>
              <w:jc w:val="right"/>
              <w:rPr>
                <w:rFonts w:eastAsia="Batang" w:cs="Arial"/>
                <w:i/>
                <w:iCs/>
                <w:highlight w:val="yellow"/>
                <w:lang w:eastAsia="ko-KR"/>
              </w:rPr>
            </w:pPr>
          </w:p>
        </w:tc>
        <w:tc>
          <w:tcPr>
            <w:tcW w:w="2011" w:type="dxa"/>
          </w:tcPr>
          <w:p w14:paraId="1298E898" w14:textId="2980FD52" w:rsidR="00C776AD" w:rsidRPr="00C776AD" w:rsidRDefault="00C776AD" w:rsidP="00C776AD">
            <w:pPr>
              <w:widowControl w:val="0"/>
              <w:ind w:left="57" w:right="-85"/>
              <w:jc w:val="right"/>
              <w:rPr>
                <w:rFonts w:eastAsia="Batang" w:cs="Arial"/>
                <w:i/>
                <w:iCs/>
                <w:lang w:eastAsia="ko-KR"/>
              </w:rPr>
            </w:pPr>
            <w:r w:rsidRPr="00C776AD">
              <w:rPr>
                <w:i/>
                <w:iCs/>
              </w:rPr>
              <w:t>-</w:t>
            </w:r>
          </w:p>
        </w:tc>
        <w:tc>
          <w:tcPr>
            <w:tcW w:w="2011" w:type="dxa"/>
          </w:tcPr>
          <w:p w14:paraId="0F1FBECD" w14:textId="411E1E75" w:rsidR="00C776AD" w:rsidRPr="00C776AD" w:rsidRDefault="00C776AD" w:rsidP="00C776AD">
            <w:pPr>
              <w:widowControl w:val="0"/>
              <w:ind w:left="57" w:right="-85"/>
              <w:jc w:val="right"/>
              <w:rPr>
                <w:rFonts w:eastAsia="Batang" w:cs="Arial"/>
                <w:i/>
                <w:iCs/>
                <w:lang w:eastAsia="ko-KR"/>
              </w:rPr>
            </w:pPr>
            <w:r w:rsidRPr="00C776AD">
              <w:rPr>
                <w:i/>
                <w:iCs/>
              </w:rPr>
              <w:t xml:space="preserve">198.000.000.000 </w:t>
            </w:r>
          </w:p>
        </w:tc>
        <w:tc>
          <w:tcPr>
            <w:tcW w:w="2011" w:type="dxa"/>
          </w:tcPr>
          <w:p w14:paraId="4FE77F0F" w14:textId="33BDC932" w:rsidR="00C776AD" w:rsidRPr="00C776AD" w:rsidRDefault="00C776AD" w:rsidP="00C776AD">
            <w:pPr>
              <w:widowControl w:val="0"/>
              <w:ind w:left="57" w:right="-85"/>
              <w:jc w:val="right"/>
              <w:rPr>
                <w:rFonts w:eastAsia="Batang" w:cs="Arial"/>
                <w:i/>
                <w:iCs/>
                <w:lang w:eastAsia="ko-KR"/>
              </w:rPr>
            </w:pPr>
            <w:r w:rsidRPr="00C776AD">
              <w:rPr>
                <w:i/>
                <w:iCs/>
              </w:rPr>
              <w:t>-</w:t>
            </w:r>
          </w:p>
        </w:tc>
        <w:tc>
          <w:tcPr>
            <w:tcW w:w="2012" w:type="dxa"/>
          </w:tcPr>
          <w:p w14:paraId="7F025250" w14:textId="2C0DF3D8" w:rsidR="00C776AD" w:rsidRPr="00C776AD" w:rsidRDefault="00C776AD" w:rsidP="00C776AD">
            <w:pPr>
              <w:widowControl w:val="0"/>
              <w:ind w:left="57" w:right="-85"/>
              <w:jc w:val="right"/>
              <w:rPr>
                <w:rFonts w:eastAsia="Batang" w:cs="Arial"/>
                <w:i/>
                <w:iCs/>
                <w:lang w:eastAsia="ko-KR"/>
              </w:rPr>
            </w:pPr>
            <w:r w:rsidRPr="00C776AD">
              <w:rPr>
                <w:i/>
                <w:iCs/>
              </w:rPr>
              <w:t>198.000.000.000</w:t>
            </w:r>
          </w:p>
        </w:tc>
      </w:tr>
      <w:tr w:rsidR="00C776AD" w:rsidRPr="002A0B87" w14:paraId="619A0BCB" w14:textId="77777777" w:rsidTr="008B19F4">
        <w:trPr>
          <w:trHeight w:val="20"/>
        </w:trPr>
        <w:tc>
          <w:tcPr>
            <w:tcW w:w="3088" w:type="dxa"/>
            <w:vAlign w:val="bottom"/>
          </w:tcPr>
          <w:p w14:paraId="66097AB2" w14:textId="4B23CA32" w:rsidR="00C776AD" w:rsidRPr="00D33812" w:rsidRDefault="00C776AD" w:rsidP="00C776AD">
            <w:pPr>
              <w:widowControl w:val="0"/>
              <w:ind w:left="144"/>
              <w:jc w:val="left"/>
              <w:rPr>
                <w:rFonts w:cs="Arial"/>
                <w:i/>
                <w:iCs/>
              </w:rPr>
            </w:pPr>
            <w:proofErr w:type="spellStart"/>
            <w:r>
              <w:rPr>
                <w:rFonts w:cs="Arial"/>
                <w:i/>
                <w:iCs/>
              </w:rPr>
              <w:t>Nonghyup</w:t>
            </w:r>
            <w:proofErr w:type="spellEnd"/>
            <w:r>
              <w:rPr>
                <w:rFonts w:cs="Arial"/>
                <w:i/>
                <w:iCs/>
              </w:rPr>
              <w:t xml:space="preserve"> Bank – Hanoi Branch</w:t>
            </w:r>
          </w:p>
        </w:tc>
        <w:tc>
          <w:tcPr>
            <w:tcW w:w="1952" w:type="dxa"/>
            <w:vAlign w:val="bottom"/>
          </w:tcPr>
          <w:p w14:paraId="14B4E039" w14:textId="030B73D2" w:rsidR="00C776AD" w:rsidRPr="00D33812" w:rsidRDefault="00C776AD" w:rsidP="00C776AD">
            <w:pPr>
              <w:widowControl w:val="0"/>
              <w:ind w:left="58" w:right="-85"/>
              <w:jc w:val="right"/>
              <w:rPr>
                <w:rFonts w:eastAsia="Batang" w:cs="Arial"/>
                <w:i/>
                <w:iCs/>
                <w:highlight w:val="yellow"/>
                <w:lang w:eastAsia="ko-KR"/>
              </w:rPr>
            </w:pPr>
          </w:p>
        </w:tc>
        <w:tc>
          <w:tcPr>
            <w:tcW w:w="2011" w:type="dxa"/>
          </w:tcPr>
          <w:p w14:paraId="7A0AB136" w14:textId="615EC94D" w:rsidR="00C776AD" w:rsidRPr="00C776AD" w:rsidRDefault="00C776AD" w:rsidP="00C776AD">
            <w:pPr>
              <w:widowControl w:val="0"/>
              <w:pBdr>
                <w:bottom w:val="single" w:sz="4" w:space="0" w:color="auto"/>
              </w:pBdr>
              <w:ind w:left="57" w:right="-85"/>
              <w:jc w:val="right"/>
              <w:rPr>
                <w:rFonts w:eastAsia="Batang" w:cs="Arial"/>
                <w:i/>
                <w:iCs/>
                <w:lang w:eastAsia="ko-KR"/>
              </w:rPr>
            </w:pPr>
            <w:r w:rsidRPr="00C776AD">
              <w:rPr>
                <w:i/>
                <w:iCs/>
              </w:rPr>
              <w:t>-</w:t>
            </w:r>
          </w:p>
        </w:tc>
        <w:tc>
          <w:tcPr>
            <w:tcW w:w="2011" w:type="dxa"/>
          </w:tcPr>
          <w:p w14:paraId="073D61E7" w14:textId="78177362" w:rsidR="00C776AD" w:rsidRPr="00C776AD" w:rsidRDefault="00C776AD" w:rsidP="00C776AD">
            <w:pPr>
              <w:widowControl w:val="0"/>
              <w:pBdr>
                <w:bottom w:val="single" w:sz="4" w:space="0" w:color="auto"/>
              </w:pBdr>
              <w:ind w:left="57" w:right="-85"/>
              <w:jc w:val="right"/>
              <w:rPr>
                <w:rFonts w:eastAsia="Batang" w:cs="Arial"/>
                <w:i/>
                <w:iCs/>
                <w:lang w:eastAsia="ko-KR"/>
              </w:rPr>
            </w:pPr>
            <w:r w:rsidRPr="00C776AD">
              <w:rPr>
                <w:i/>
                <w:iCs/>
              </w:rPr>
              <w:t>110.000.000.000</w:t>
            </w:r>
          </w:p>
        </w:tc>
        <w:tc>
          <w:tcPr>
            <w:tcW w:w="2011" w:type="dxa"/>
          </w:tcPr>
          <w:p w14:paraId="58E18301" w14:textId="787603B7" w:rsidR="00C776AD" w:rsidRPr="00C776AD" w:rsidRDefault="00C776AD" w:rsidP="00C776AD">
            <w:pPr>
              <w:widowControl w:val="0"/>
              <w:pBdr>
                <w:bottom w:val="single" w:sz="4" w:space="0" w:color="auto"/>
              </w:pBdr>
              <w:ind w:left="57" w:right="-85"/>
              <w:jc w:val="right"/>
              <w:rPr>
                <w:rFonts w:eastAsia="Batang" w:cs="Arial"/>
                <w:i/>
                <w:iCs/>
                <w:lang w:eastAsia="ko-KR"/>
              </w:rPr>
            </w:pPr>
            <w:r w:rsidRPr="00C776AD">
              <w:rPr>
                <w:i/>
                <w:iCs/>
              </w:rPr>
              <w:t>-</w:t>
            </w:r>
          </w:p>
        </w:tc>
        <w:tc>
          <w:tcPr>
            <w:tcW w:w="2012" w:type="dxa"/>
          </w:tcPr>
          <w:p w14:paraId="5E6B9E05" w14:textId="6B9538B2" w:rsidR="00C776AD" w:rsidRPr="00C776AD" w:rsidRDefault="00C776AD" w:rsidP="00C776AD">
            <w:pPr>
              <w:widowControl w:val="0"/>
              <w:pBdr>
                <w:bottom w:val="single" w:sz="4" w:space="0" w:color="auto"/>
              </w:pBdr>
              <w:ind w:left="57" w:right="-85"/>
              <w:jc w:val="right"/>
              <w:rPr>
                <w:rFonts w:eastAsia="Batang" w:cs="Arial"/>
                <w:i/>
                <w:iCs/>
                <w:lang w:eastAsia="ko-KR"/>
              </w:rPr>
            </w:pPr>
            <w:r w:rsidRPr="00C776AD">
              <w:rPr>
                <w:i/>
                <w:iCs/>
              </w:rPr>
              <w:t>110.000.000.000</w:t>
            </w:r>
          </w:p>
        </w:tc>
      </w:tr>
      <w:tr w:rsidR="009D23F5" w:rsidRPr="009D23F5" w14:paraId="3B26BAEE" w14:textId="05112F07" w:rsidTr="006D0DF2">
        <w:trPr>
          <w:trHeight w:val="20"/>
        </w:trPr>
        <w:tc>
          <w:tcPr>
            <w:tcW w:w="3088" w:type="dxa"/>
            <w:vAlign w:val="bottom"/>
          </w:tcPr>
          <w:p w14:paraId="4ED6AFFE" w14:textId="03360C93" w:rsidR="009D23F5" w:rsidRPr="002A0B87" w:rsidRDefault="009D23F5" w:rsidP="009D23F5">
            <w:pPr>
              <w:widowControl w:val="0"/>
              <w:spacing w:before="120"/>
              <w:ind w:left="-115"/>
              <w:jc w:val="left"/>
              <w:rPr>
                <w:rFonts w:cs="Arial"/>
                <w:b/>
              </w:rPr>
            </w:pPr>
          </w:p>
        </w:tc>
        <w:tc>
          <w:tcPr>
            <w:tcW w:w="1952" w:type="dxa"/>
            <w:vAlign w:val="bottom"/>
          </w:tcPr>
          <w:p w14:paraId="7D817392" w14:textId="77777777" w:rsidR="009D23F5" w:rsidRPr="00FA09F6" w:rsidRDefault="009D23F5" w:rsidP="009D23F5">
            <w:pPr>
              <w:widowControl w:val="0"/>
              <w:spacing w:before="120"/>
              <w:ind w:left="58" w:right="-85"/>
              <w:jc w:val="right"/>
              <w:rPr>
                <w:rFonts w:eastAsia="Batang" w:cs="Arial"/>
                <w:b/>
                <w:lang w:eastAsia="ko-KR"/>
              </w:rPr>
            </w:pPr>
          </w:p>
        </w:tc>
        <w:tc>
          <w:tcPr>
            <w:tcW w:w="2011" w:type="dxa"/>
          </w:tcPr>
          <w:p w14:paraId="1D2A8475" w14:textId="5AFDD722" w:rsidR="009D23F5" w:rsidRPr="009D23F5" w:rsidRDefault="009D23F5" w:rsidP="009D23F5">
            <w:pPr>
              <w:widowControl w:val="0"/>
              <w:pBdr>
                <w:bottom w:val="double" w:sz="4" w:space="0" w:color="auto"/>
              </w:pBdr>
              <w:spacing w:before="120"/>
              <w:ind w:left="57" w:right="-85"/>
              <w:jc w:val="right"/>
              <w:rPr>
                <w:rFonts w:eastAsia="Batang" w:cs="Arial"/>
                <w:b/>
                <w:bCs/>
                <w:highlight w:val="yellow"/>
                <w:lang w:eastAsia="ko-KR"/>
              </w:rPr>
            </w:pPr>
            <w:r w:rsidRPr="009D23F5">
              <w:rPr>
                <w:b/>
                <w:bCs/>
              </w:rPr>
              <w:t>1.187.760.000.000</w:t>
            </w:r>
          </w:p>
        </w:tc>
        <w:tc>
          <w:tcPr>
            <w:tcW w:w="2011" w:type="dxa"/>
          </w:tcPr>
          <w:p w14:paraId="03284689" w14:textId="5FC9BD3A" w:rsidR="009D23F5" w:rsidRPr="009D23F5" w:rsidRDefault="009D23F5" w:rsidP="009D23F5">
            <w:pPr>
              <w:widowControl w:val="0"/>
              <w:pBdr>
                <w:bottom w:val="double" w:sz="4" w:space="0" w:color="auto"/>
              </w:pBdr>
              <w:spacing w:before="120"/>
              <w:ind w:left="57" w:right="-85"/>
              <w:jc w:val="right"/>
              <w:rPr>
                <w:rFonts w:cs="Arial"/>
                <w:b/>
                <w:bCs/>
              </w:rPr>
            </w:pPr>
            <w:r w:rsidRPr="009D23F5">
              <w:rPr>
                <w:b/>
                <w:bCs/>
              </w:rPr>
              <w:t>2.353.221.600.000</w:t>
            </w:r>
          </w:p>
        </w:tc>
        <w:tc>
          <w:tcPr>
            <w:tcW w:w="2011" w:type="dxa"/>
          </w:tcPr>
          <w:p w14:paraId="5806A060" w14:textId="4DB7FFF4" w:rsidR="009D23F5" w:rsidRPr="009D23F5" w:rsidRDefault="009D23F5" w:rsidP="009D23F5">
            <w:pPr>
              <w:widowControl w:val="0"/>
              <w:pBdr>
                <w:bottom w:val="double" w:sz="4" w:space="0" w:color="auto"/>
              </w:pBdr>
              <w:spacing w:before="120"/>
              <w:ind w:left="57" w:right="-85"/>
              <w:jc w:val="right"/>
              <w:rPr>
                <w:rFonts w:eastAsia="Batang" w:cs="Arial"/>
                <w:b/>
                <w:bCs/>
                <w:lang w:eastAsia="ko-KR"/>
              </w:rPr>
            </w:pPr>
            <w:r w:rsidRPr="009D23F5">
              <w:rPr>
                <w:b/>
                <w:bCs/>
              </w:rPr>
              <w:t>(1.570.392.200.000)</w:t>
            </w:r>
          </w:p>
        </w:tc>
        <w:tc>
          <w:tcPr>
            <w:tcW w:w="2012" w:type="dxa"/>
          </w:tcPr>
          <w:p w14:paraId="7F45DAF5" w14:textId="70A86C6C" w:rsidR="009D23F5" w:rsidRPr="009D23F5" w:rsidRDefault="009D23F5" w:rsidP="009D23F5">
            <w:pPr>
              <w:widowControl w:val="0"/>
              <w:pBdr>
                <w:bottom w:val="double" w:sz="4" w:space="0" w:color="auto"/>
              </w:pBdr>
              <w:spacing w:before="120"/>
              <w:ind w:left="57" w:right="-85"/>
              <w:jc w:val="right"/>
              <w:rPr>
                <w:rFonts w:eastAsia="Batang" w:cs="Arial"/>
                <w:b/>
                <w:bCs/>
                <w:lang w:eastAsia="ko-KR"/>
              </w:rPr>
            </w:pPr>
            <w:r w:rsidRPr="009D23F5">
              <w:rPr>
                <w:b/>
                <w:bCs/>
              </w:rPr>
              <w:t>1.970.589.400.000</w:t>
            </w:r>
          </w:p>
        </w:tc>
      </w:tr>
    </w:tbl>
    <w:p w14:paraId="53A93AC5" w14:textId="7B7A7685" w:rsidR="0042758F" w:rsidRPr="002A0B87" w:rsidRDefault="0042758F" w:rsidP="00C90B5D">
      <w:pPr>
        <w:pStyle w:val="NoSpacing"/>
      </w:pPr>
    </w:p>
    <w:p w14:paraId="2FB15065" w14:textId="01A89B32" w:rsidR="004F0E15" w:rsidRPr="00A34FD8" w:rsidRDefault="004F0E15" w:rsidP="00254501">
      <w:pPr>
        <w:ind w:left="709"/>
      </w:pPr>
      <w:r w:rsidRPr="004F0E15">
        <w:t xml:space="preserve">As </w:t>
      </w:r>
      <w:proofErr w:type="gramStart"/>
      <w:r w:rsidRPr="004F0E15">
        <w:t>at</w:t>
      </w:r>
      <w:proofErr w:type="gramEnd"/>
      <w:r w:rsidRPr="004F0E15">
        <w:t xml:space="preserve"> 31 December 202</w:t>
      </w:r>
      <w:r w:rsidR="001557FA">
        <w:t>2</w:t>
      </w:r>
      <w:r w:rsidRPr="004F0E15">
        <w:t xml:space="preserve">, the Company only had short-term overseas loans with </w:t>
      </w:r>
      <w:proofErr w:type="spellStart"/>
      <w:r w:rsidRPr="004F0E15">
        <w:t>Nonghyup</w:t>
      </w:r>
      <w:proofErr w:type="spellEnd"/>
      <w:r w:rsidRPr="004F0E15">
        <w:t xml:space="preserve"> Bank which was hedged against foreign exchange risk by a two-currency interest rate swap contract with Vietnam Prosperity Commercial Joint Stock Bank. Accordingly, at the time of preparation of financial statements, the Company did not re-evaluate foreign currency loans that used financial instruments to provide for the above-mentioned foreign exchange risks.</w:t>
      </w:r>
    </w:p>
    <w:p w14:paraId="124052FD" w14:textId="77777777" w:rsidR="001B2BC5" w:rsidRPr="002A0B87" w:rsidRDefault="001B2BC5" w:rsidP="00C90B5D">
      <w:pPr>
        <w:pStyle w:val="NoSpacing"/>
      </w:pPr>
    </w:p>
    <w:p w14:paraId="2421C3AE" w14:textId="4FA8FE88" w:rsidR="001B2BC5" w:rsidRPr="002A0B87" w:rsidRDefault="000E69F8" w:rsidP="00C90B5D">
      <w:pPr>
        <w:pStyle w:val="NoSpacing"/>
      </w:pPr>
      <w:r w:rsidRPr="000E69F8">
        <w:t>As at the end of the year, short-term borrowings are secured by the Company's financial assets, whose fair value are:</w:t>
      </w:r>
    </w:p>
    <w:p w14:paraId="4B1C5781" w14:textId="1955C0DD" w:rsidR="001B2BC5" w:rsidRPr="002A0B87" w:rsidRDefault="001B2BC5" w:rsidP="00C90B5D">
      <w:pPr>
        <w:pStyle w:val="NoSpacing"/>
      </w:pPr>
    </w:p>
    <w:tbl>
      <w:tblPr>
        <w:tblW w:w="13104" w:type="dxa"/>
        <w:tblInd w:w="720" w:type="dxa"/>
        <w:tblLayout w:type="fixed"/>
        <w:tblLook w:val="01E0" w:firstRow="1" w:lastRow="1" w:firstColumn="1" w:lastColumn="1" w:noHBand="0" w:noVBand="0"/>
      </w:tblPr>
      <w:tblGrid>
        <w:gridCol w:w="9072"/>
        <w:gridCol w:w="2016"/>
        <w:gridCol w:w="2016"/>
      </w:tblGrid>
      <w:tr w:rsidR="00923377" w:rsidRPr="002A0B87" w14:paraId="6734FE74" w14:textId="77777777" w:rsidTr="00C6565F">
        <w:trPr>
          <w:trHeight w:val="20"/>
          <w:tblHeader/>
        </w:trPr>
        <w:tc>
          <w:tcPr>
            <w:tcW w:w="9072" w:type="dxa"/>
            <w:vAlign w:val="bottom"/>
          </w:tcPr>
          <w:p w14:paraId="2579E094" w14:textId="77777777" w:rsidR="00923377" w:rsidRPr="002A0B87" w:rsidRDefault="00923377" w:rsidP="00F4677A">
            <w:pPr>
              <w:widowControl w:val="0"/>
              <w:overflowPunct/>
              <w:autoSpaceDE/>
              <w:autoSpaceDN/>
              <w:adjustRightInd/>
              <w:ind w:left="-115"/>
              <w:textAlignment w:val="auto"/>
              <w:rPr>
                <w:rFonts w:eastAsia="Batang" w:cs="Arial"/>
                <w:i/>
                <w:lang w:val="es-ES"/>
              </w:rPr>
            </w:pPr>
          </w:p>
        </w:tc>
        <w:tc>
          <w:tcPr>
            <w:tcW w:w="2016" w:type="dxa"/>
            <w:vAlign w:val="bottom"/>
            <w:hideMark/>
          </w:tcPr>
          <w:p w14:paraId="4FA945BD" w14:textId="39E911AE" w:rsidR="00923377" w:rsidRPr="002A0B87" w:rsidRDefault="004D6681" w:rsidP="004C4D08">
            <w:pPr>
              <w:widowControl w:val="0"/>
              <w:pBdr>
                <w:bottom w:val="single" w:sz="4" w:space="0" w:color="auto"/>
              </w:pBdr>
              <w:overflowPunct/>
              <w:autoSpaceDE/>
              <w:autoSpaceDN/>
              <w:adjustRightInd/>
              <w:ind w:left="57" w:right="-85"/>
              <w:jc w:val="right"/>
              <w:textAlignment w:val="auto"/>
              <w:rPr>
                <w:rFonts w:eastAsia="Batang" w:cs="Arial"/>
                <w:bCs/>
                <w:i/>
              </w:rPr>
            </w:pPr>
            <w:r w:rsidRPr="004D6681">
              <w:rPr>
                <w:rFonts w:eastAsia="Batang" w:cs="Arial"/>
                <w:bCs/>
                <w:i/>
              </w:rPr>
              <w:t>Ending balance</w:t>
            </w:r>
          </w:p>
          <w:p w14:paraId="2BE53170" w14:textId="77777777" w:rsidR="00923377" w:rsidRPr="002A0B87" w:rsidRDefault="00923377" w:rsidP="004C4D08">
            <w:pPr>
              <w:widowControl w:val="0"/>
              <w:pBdr>
                <w:bottom w:val="single" w:sz="4" w:space="0" w:color="auto"/>
              </w:pBdr>
              <w:ind w:left="57" w:right="-85"/>
              <w:jc w:val="right"/>
              <w:rPr>
                <w:rFonts w:cs="Arial"/>
                <w:bCs/>
                <w:i/>
              </w:rPr>
            </w:pPr>
            <w:r w:rsidRPr="002A0B87">
              <w:rPr>
                <w:rFonts w:eastAsia="Batang" w:cs="Arial"/>
                <w:i/>
                <w:iCs/>
              </w:rPr>
              <w:t>VND</w:t>
            </w:r>
          </w:p>
        </w:tc>
        <w:tc>
          <w:tcPr>
            <w:tcW w:w="2016" w:type="dxa"/>
            <w:vAlign w:val="bottom"/>
            <w:hideMark/>
          </w:tcPr>
          <w:p w14:paraId="12A65DFF" w14:textId="522869A8" w:rsidR="00923377" w:rsidRPr="002A0B87" w:rsidRDefault="00F3030E" w:rsidP="004C4D08">
            <w:pPr>
              <w:widowControl w:val="0"/>
              <w:pBdr>
                <w:bottom w:val="single" w:sz="4" w:space="0" w:color="auto"/>
              </w:pBdr>
              <w:overflowPunct/>
              <w:autoSpaceDE/>
              <w:autoSpaceDN/>
              <w:adjustRightInd/>
              <w:ind w:left="57" w:right="-85"/>
              <w:jc w:val="right"/>
              <w:textAlignment w:val="auto"/>
              <w:rPr>
                <w:rFonts w:eastAsia="Batang" w:cs="Arial"/>
                <w:bCs/>
                <w:i/>
              </w:rPr>
            </w:pPr>
            <w:r w:rsidRPr="00F3030E">
              <w:rPr>
                <w:rFonts w:eastAsia="Batang" w:cs="Arial"/>
                <w:bCs/>
                <w:i/>
              </w:rPr>
              <w:t>Opening balance</w:t>
            </w:r>
          </w:p>
          <w:p w14:paraId="1370BDFB" w14:textId="77777777" w:rsidR="00923377" w:rsidRPr="002A0B87" w:rsidRDefault="00923377" w:rsidP="004C4D08">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0F126C" w:rsidRPr="002A0B87" w14:paraId="46CB1018" w14:textId="77777777" w:rsidTr="00C6565F">
        <w:trPr>
          <w:trHeight w:val="20"/>
        </w:trPr>
        <w:tc>
          <w:tcPr>
            <w:tcW w:w="9072" w:type="dxa"/>
            <w:vAlign w:val="bottom"/>
          </w:tcPr>
          <w:p w14:paraId="370C4E7D" w14:textId="736A359C" w:rsidR="000F126C" w:rsidRPr="002A0B87" w:rsidRDefault="00DB2FA1" w:rsidP="00C6565F">
            <w:pPr>
              <w:widowControl w:val="0"/>
              <w:spacing w:before="120"/>
              <w:ind w:left="-115"/>
              <w:rPr>
                <w:rFonts w:cs="Arial"/>
              </w:rPr>
            </w:pPr>
            <w:r w:rsidRPr="00DB2FA1">
              <w:rPr>
                <w:rFonts w:cs="Arial"/>
              </w:rPr>
              <w:t>Term deposits</w:t>
            </w:r>
          </w:p>
        </w:tc>
        <w:tc>
          <w:tcPr>
            <w:tcW w:w="2016" w:type="dxa"/>
          </w:tcPr>
          <w:p w14:paraId="6E2BE9E6" w14:textId="6CD056F2" w:rsidR="000F126C" w:rsidRPr="00B74374" w:rsidRDefault="00100323" w:rsidP="00C6565F">
            <w:pPr>
              <w:widowControl w:val="0"/>
              <w:pBdr>
                <w:bottom w:val="single" w:sz="4" w:space="0" w:color="auto"/>
              </w:pBdr>
              <w:spacing w:before="120"/>
              <w:ind w:left="57" w:right="-85"/>
              <w:jc w:val="right"/>
              <w:rPr>
                <w:rFonts w:eastAsia="Batang" w:cs="Arial"/>
                <w:lang w:eastAsia="ko-KR"/>
              </w:rPr>
            </w:pPr>
            <w:r w:rsidRPr="007613D6">
              <w:rPr>
                <w:rFonts w:eastAsia="Batang" w:cs="Arial"/>
                <w:lang w:eastAsia="ko-KR"/>
              </w:rPr>
              <w:t>1</w:t>
            </w:r>
            <w:r>
              <w:rPr>
                <w:rFonts w:eastAsia="Batang" w:cs="Arial"/>
                <w:lang w:eastAsia="ko-KR"/>
              </w:rPr>
              <w:t>,</w:t>
            </w:r>
            <w:r w:rsidRPr="007613D6">
              <w:rPr>
                <w:rFonts w:eastAsia="Batang" w:cs="Arial"/>
                <w:lang w:eastAsia="ko-KR"/>
              </w:rPr>
              <w:t>185</w:t>
            </w:r>
            <w:r>
              <w:rPr>
                <w:rFonts w:eastAsia="Batang" w:cs="Arial"/>
                <w:lang w:eastAsia="ko-KR"/>
              </w:rPr>
              <w:t>,</w:t>
            </w:r>
            <w:r w:rsidRPr="007613D6">
              <w:rPr>
                <w:rFonts w:eastAsia="Batang" w:cs="Arial"/>
                <w:lang w:eastAsia="ko-KR"/>
              </w:rPr>
              <w:t>000</w:t>
            </w:r>
            <w:r>
              <w:rPr>
                <w:rFonts w:eastAsia="Batang" w:cs="Arial"/>
                <w:lang w:eastAsia="ko-KR"/>
              </w:rPr>
              <w:t>,</w:t>
            </w:r>
            <w:r w:rsidRPr="007613D6">
              <w:rPr>
                <w:rFonts w:eastAsia="Batang" w:cs="Arial"/>
                <w:lang w:eastAsia="ko-KR"/>
              </w:rPr>
              <w:t>000</w:t>
            </w:r>
            <w:r>
              <w:rPr>
                <w:rFonts w:eastAsia="Batang" w:cs="Arial"/>
                <w:lang w:eastAsia="ko-KR"/>
              </w:rPr>
              <w:t>,</w:t>
            </w:r>
            <w:r w:rsidRPr="007613D6">
              <w:rPr>
                <w:rFonts w:eastAsia="Batang" w:cs="Arial"/>
                <w:lang w:eastAsia="ko-KR"/>
              </w:rPr>
              <w:t xml:space="preserve">000 </w:t>
            </w:r>
          </w:p>
        </w:tc>
        <w:tc>
          <w:tcPr>
            <w:tcW w:w="2016" w:type="dxa"/>
          </w:tcPr>
          <w:p w14:paraId="25B90A40" w14:textId="6B9161EF" w:rsidR="000F126C" w:rsidRPr="00C41054" w:rsidRDefault="00100323" w:rsidP="00C6565F">
            <w:pPr>
              <w:widowControl w:val="0"/>
              <w:pBdr>
                <w:bottom w:val="single" w:sz="4" w:space="0" w:color="auto"/>
              </w:pBdr>
              <w:spacing w:before="120"/>
              <w:ind w:left="57" w:right="-85"/>
              <w:jc w:val="right"/>
              <w:rPr>
                <w:rFonts w:eastAsia="Batang" w:cs="Arial"/>
                <w:lang w:eastAsia="ko-KR"/>
              </w:rPr>
            </w:pPr>
            <w:r>
              <w:rPr>
                <w:rFonts w:eastAsia="Batang" w:cs="Arial"/>
                <w:lang w:eastAsia="ko-KR"/>
              </w:rPr>
              <w:t>761,000,000,000</w:t>
            </w:r>
          </w:p>
        </w:tc>
      </w:tr>
      <w:tr w:rsidR="000F126C" w:rsidRPr="002A0B87" w14:paraId="5101B91E" w14:textId="77777777" w:rsidTr="00C6565F">
        <w:trPr>
          <w:trHeight w:val="20"/>
        </w:trPr>
        <w:tc>
          <w:tcPr>
            <w:tcW w:w="9072" w:type="dxa"/>
            <w:vAlign w:val="bottom"/>
          </w:tcPr>
          <w:p w14:paraId="48E6751A" w14:textId="77777777" w:rsidR="000F126C" w:rsidRPr="002A0B87" w:rsidRDefault="000F126C" w:rsidP="000F126C">
            <w:pPr>
              <w:widowControl w:val="0"/>
              <w:spacing w:before="120"/>
              <w:ind w:left="-115"/>
              <w:rPr>
                <w:rFonts w:cs="Arial"/>
                <w:b/>
              </w:rPr>
            </w:pPr>
          </w:p>
        </w:tc>
        <w:tc>
          <w:tcPr>
            <w:tcW w:w="2016" w:type="dxa"/>
          </w:tcPr>
          <w:p w14:paraId="4C274B4C" w14:textId="2B247D9E" w:rsidR="000F126C" w:rsidRPr="00B74374" w:rsidRDefault="00100323" w:rsidP="000F126C">
            <w:pPr>
              <w:widowControl w:val="0"/>
              <w:pBdr>
                <w:bottom w:val="double" w:sz="4" w:space="0" w:color="auto"/>
              </w:pBdr>
              <w:spacing w:before="120"/>
              <w:ind w:left="57" w:right="-85"/>
              <w:jc w:val="right"/>
              <w:rPr>
                <w:rFonts w:eastAsia="Batang" w:cs="Arial"/>
                <w:b/>
                <w:bCs/>
                <w:lang w:eastAsia="ko-KR"/>
              </w:rPr>
            </w:pPr>
            <w:r w:rsidRPr="007613D6">
              <w:rPr>
                <w:rFonts w:eastAsia="Batang" w:cs="Arial"/>
                <w:b/>
                <w:lang w:eastAsia="ko-KR"/>
              </w:rPr>
              <w:t>1</w:t>
            </w:r>
            <w:r>
              <w:rPr>
                <w:rFonts w:eastAsia="Batang" w:cs="Arial"/>
                <w:b/>
                <w:lang w:eastAsia="ko-KR"/>
              </w:rPr>
              <w:t>,</w:t>
            </w:r>
            <w:r w:rsidRPr="007613D6">
              <w:rPr>
                <w:rFonts w:eastAsia="Batang" w:cs="Arial"/>
                <w:b/>
                <w:lang w:eastAsia="ko-KR"/>
              </w:rPr>
              <w:t>185</w:t>
            </w:r>
            <w:r>
              <w:rPr>
                <w:rFonts w:eastAsia="Batang" w:cs="Arial"/>
                <w:b/>
                <w:lang w:eastAsia="ko-KR"/>
              </w:rPr>
              <w:t>,</w:t>
            </w:r>
            <w:r w:rsidRPr="007613D6">
              <w:rPr>
                <w:rFonts w:eastAsia="Batang" w:cs="Arial"/>
                <w:b/>
                <w:lang w:eastAsia="ko-KR"/>
              </w:rPr>
              <w:t>000</w:t>
            </w:r>
            <w:r>
              <w:rPr>
                <w:rFonts w:eastAsia="Batang" w:cs="Arial"/>
                <w:b/>
                <w:lang w:eastAsia="ko-KR"/>
              </w:rPr>
              <w:t>,</w:t>
            </w:r>
            <w:r w:rsidRPr="007613D6">
              <w:rPr>
                <w:rFonts w:eastAsia="Batang" w:cs="Arial"/>
                <w:b/>
                <w:lang w:eastAsia="ko-KR"/>
              </w:rPr>
              <w:t>000</w:t>
            </w:r>
            <w:r>
              <w:rPr>
                <w:rFonts w:eastAsia="Batang" w:cs="Arial"/>
                <w:b/>
                <w:lang w:eastAsia="ko-KR"/>
              </w:rPr>
              <w:t>,</w:t>
            </w:r>
            <w:r w:rsidRPr="007613D6">
              <w:rPr>
                <w:rFonts w:eastAsia="Batang" w:cs="Arial"/>
                <w:b/>
                <w:lang w:eastAsia="ko-KR"/>
              </w:rPr>
              <w:t xml:space="preserve">000 </w:t>
            </w:r>
          </w:p>
        </w:tc>
        <w:tc>
          <w:tcPr>
            <w:tcW w:w="2016" w:type="dxa"/>
            <w:hideMark/>
          </w:tcPr>
          <w:p w14:paraId="1A808F2F" w14:textId="5491A0EE" w:rsidR="000F126C" w:rsidRPr="00C41054" w:rsidRDefault="00100323" w:rsidP="000F126C">
            <w:pPr>
              <w:widowControl w:val="0"/>
              <w:pBdr>
                <w:bottom w:val="double" w:sz="4" w:space="0" w:color="auto"/>
              </w:pBdr>
              <w:spacing w:before="120"/>
              <w:ind w:left="57" w:right="-85"/>
              <w:jc w:val="right"/>
              <w:rPr>
                <w:rFonts w:cs="Arial"/>
                <w:b/>
                <w:bCs/>
              </w:rPr>
            </w:pPr>
            <w:r>
              <w:rPr>
                <w:rFonts w:eastAsia="Batang" w:cs="Arial"/>
                <w:b/>
                <w:lang w:eastAsia="ko-KR"/>
              </w:rPr>
              <w:t>761,000,000,000</w:t>
            </w:r>
          </w:p>
        </w:tc>
      </w:tr>
    </w:tbl>
    <w:p w14:paraId="391A304C" w14:textId="0B59BB2C" w:rsidR="00782259" w:rsidRPr="002A0B87" w:rsidRDefault="00782259" w:rsidP="00760439">
      <w:pPr>
        <w:pStyle w:val="NoSpacing"/>
      </w:pPr>
    </w:p>
    <w:p w14:paraId="3AA3F228" w14:textId="77777777" w:rsidR="00E03D65" w:rsidRPr="002A0B87" w:rsidRDefault="00E03D65" w:rsidP="00123D01">
      <w:pPr>
        <w:rPr>
          <w:rFonts w:cs="Arial"/>
        </w:rPr>
        <w:sectPr w:rsidR="00E03D65" w:rsidRPr="002A0B87" w:rsidSect="00130EB1">
          <w:pgSz w:w="16834" w:h="11909" w:orient="landscape" w:code="9"/>
          <w:pgMar w:top="1440" w:right="1440" w:bottom="864" w:left="1584" w:header="720" w:footer="576" w:gutter="0"/>
          <w:cols w:space="720"/>
          <w:docGrid w:linePitch="272"/>
        </w:sectPr>
      </w:pPr>
    </w:p>
    <w:p w14:paraId="0B928182" w14:textId="4E58AAB2" w:rsidR="00360071" w:rsidRPr="002A0B87" w:rsidRDefault="00852E2F" w:rsidP="00360071">
      <w:pPr>
        <w:pStyle w:val="BodyText"/>
        <w:ind w:left="720" w:hanging="720"/>
        <w:textAlignment w:val="auto"/>
        <w:outlineLvl w:val="0"/>
        <w:rPr>
          <w:rFonts w:ascii="Arial" w:hAnsi="Arial" w:cs="Arial"/>
          <w:b/>
          <w:bCs/>
        </w:rPr>
      </w:pPr>
      <w:r w:rsidRPr="002A0B87">
        <w:rPr>
          <w:rFonts w:ascii="Arial" w:hAnsi="Arial" w:cs="Arial"/>
          <w:b/>
          <w:bCs/>
        </w:rPr>
        <w:lastRenderedPageBreak/>
        <w:t>1</w:t>
      </w:r>
      <w:r w:rsidR="00DE3227">
        <w:rPr>
          <w:rFonts w:ascii="Arial" w:hAnsi="Arial" w:cs="Arial"/>
          <w:b/>
          <w:bCs/>
        </w:rPr>
        <w:t>5</w:t>
      </w:r>
      <w:r w:rsidR="00360071" w:rsidRPr="002A0B87">
        <w:rPr>
          <w:rFonts w:ascii="Arial" w:hAnsi="Arial" w:cs="Arial"/>
          <w:b/>
          <w:bCs/>
        </w:rPr>
        <w:t>.</w:t>
      </w:r>
      <w:r w:rsidR="00360071" w:rsidRPr="002A0B87">
        <w:rPr>
          <w:rFonts w:ascii="Arial" w:hAnsi="Arial" w:cs="Arial"/>
          <w:b/>
          <w:bCs/>
        </w:rPr>
        <w:tab/>
      </w:r>
      <w:r w:rsidR="006D0FE4" w:rsidRPr="006D0FE4">
        <w:rPr>
          <w:rFonts w:ascii="Arial" w:hAnsi="Arial" w:cs="Arial"/>
          <w:b/>
          <w:bCs/>
        </w:rPr>
        <w:t>SHORT-TERM TRADE PAYABLES</w:t>
      </w:r>
      <w:r w:rsidR="006D0FE4" w:rsidRPr="006D0FE4" w:rsidDel="006D0FE4">
        <w:rPr>
          <w:rFonts w:ascii="Arial" w:hAnsi="Arial" w:cs="Arial"/>
          <w:b/>
          <w:bCs/>
        </w:rPr>
        <w:t xml:space="preserve"> </w:t>
      </w:r>
    </w:p>
    <w:p w14:paraId="0E7F14CF" w14:textId="77777777" w:rsidR="00360071" w:rsidRPr="002A0B87" w:rsidRDefault="00360071" w:rsidP="00760439">
      <w:pPr>
        <w:pStyle w:val="NoSpacing"/>
      </w:pPr>
    </w:p>
    <w:tbl>
      <w:tblPr>
        <w:tblW w:w="8160" w:type="dxa"/>
        <w:tblInd w:w="720" w:type="dxa"/>
        <w:tblLayout w:type="fixed"/>
        <w:tblLook w:val="01E0" w:firstRow="1" w:lastRow="1" w:firstColumn="1" w:lastColumn="1" w:noHBand="0" w:noVBand="0"/>
      </w:tblPr>
      <w:tblGrid>
        <w:gridCol w:w="4764"/>
        <w:gridCol w:w="1626"/>
        <w:gridCol w:w="1770"/>
      </w:tblGrid>
      <w:tr w:rsidR="00360071" w:rsidRPr="002A0B87" w14:paraId="2D78BAEF" w14:textId="77777777" w:rsidTr="00FA28E4">
        <w:trPr>
          <w:trHeight w:val="20"/>
          <w:tblHeader/>
        </w:trPr>
        <w:tc>
          <w:tcPr>
            <w:tcW w:w="4764" w:type="dxa"/>
            <w:vAlign w:val="bottom"/>
          </w:tcPr>
          <w:p w14:paraId="07AF73A0" w14:textId="77777777" w:rsidR="00360071" w:rsidRPr="002A0B87" w:rsidRDefault="00360071" w:rsidP="00956B6D">
            <w:pPr>
              <w:widowControl w:val="0"/>
              <w:overflowPunct/>
              <w:autoSpaceDE/>
              <w:autoSpaceDN/>
              <w:adjustRightInd/>
              <w:ind w:left="-115"/>
              <w:textAlignment w:val="auto"/>
              <w:rPr>
                <w:rFonts w:eastAsia="Batang" w:cs="Arial"/>
                <w:i/>
                <w:lang w:val="es-ES"/>
              </w:rPr>
            </w:pPr>
          </w:p>
        </w:tc>
        <w:tc>
          <w:tcPr>
            <w:tcW w:w="1626" w:type="dxa"/>
            <w:vAlign w:val="bottom"/>
            <w:hideMark/>
          </w:tcPr>
          <w:p w14:paraId="70F36517" w14:textId="699661DE" w:rsidR="00360071" w:rsidRPr="002A0B87" w:rsidRDefault="00FC0E63" w:rsidP="004C4D08">
            <w:pPr>
              <w:widowControl w:val="0"/>
              <w:pBdr>
                <w:bottom w:val="single" w:sz="4" w:space="0" w:color="auto"/>
              </w:pBdr>
              <w:overflowPunct/>
              <w:autoSpaceDE/>
              <w:autoSpaceDN/>
              <w:adjustRightInd/>
              <w:ind w:left="57" w:right="-85"/>
              <w:jc w:val="right"/>
              <w:textAlignment w:val="auto"/>
              <w:rPr>
                <w:rFonts w:eastAsia="Batang" w:cs="Arial"/>
                <w:bCs/>
                <w:i/>
              </w:rPr>
            </w:pPr>
            <w:r w:rsidRPr="00FC0E63">
              <w:rPr>
                <w:rFonts w:eastAsia="Batang" w:cs="Arial"/>
                <w:bCs/>
                <w:i/>
              </w:rPr>
              <w:t>Ending balance</w:t>
            </w:r>
          </w:p>
          <w:p w14:paraId="447A0463" w14:textId="77777777" w:rsidR="00360071" w:rsidRPr="002A0B87" w:rsidRDefault="00360071" w:rsidP="004C4D08">
            <w:pPr>
              <w:widowControl w:val="0"/>
              <w:pBdr>
                <w:bottom w:val="single" w:sz="4" w:space="0" w:color="auto"/>
              </w:pBdr>
              <w:ind w:left="57" w:right="-85"/>
              <w:jc w:val="right"/>
              <w:rPr>
                <w:rFonts w:cs="Arial"/>
                <w:bCs/>
                <w:i/>
              </w:rPr>
            </w:pPr>
            <w:r w:rsidRPr="002A0B87">
              <w:rPr>
                <w:rFonts w:eastAsia="Batang" w:cs="Arial"/>
                <w:i/>
                <w:iCs/>
              </w:rPr>
              <w:t>VND</w:t>
            </w:r>
          </w:p>
        </w:tc>
        <w:tc>
          <w:tcPr>
            <w:tcW w:w="1770" w:type="dxa"/>
            <w:vAlign w:val="bottom"/>
            <w:hideMark/>
          </w:tcPr>
          <w:p w14:paraId="18072C80" w14:textId="142090C9" w:rsidR="00360071" w:rsidRPr="002A0B87" w:rsidRDefault="00736CC6" w:rsidP="004C4D08">
            <w:pPr>
              <w:widowControl w:val="0"/>
              <w:pBdr>
                <w:bottom w:val="single" w:sz="4" w:space="0" w:color="auto"/>
              </w:pBdr>
              <w:overflowPunct/>
              <w:autoSpaceDE/>
              <w:autoSpaceDN/>
              <w:adjustRightInd/>
              <w:ind w:left="57" w:right="-85"/>
              <w:jc w:val="right"/>
              <w:textAlignment w:val="auto"/>
              <w:rPr>
                <w:rFonts w:eastAsia="Batang" w:cs="Arial"/>
                <w:bCs/>
                <w:i/>
              </w:rPr>
            </w:pPr>
            <w:r w:rsidRPr="00736CC6">
              <w:rPr>
                <w:rFonts w:eastAsia="Batang" w:cs="Arial"/>
                <w:bCs/>
                <w:i/>
              </w:rPr>
              <w:t>Opening balance</w:t>
            </w:r>
          </w:p>
          <w:p w14:paraId="6642D881" w14:textId="77777777" w:rsidR="00360071" w:rsidRPr="002A0B87" w:rsidRDefault="00360071" w:rsidP="004C4D08">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3354F6" w:rsidRPr="002A0B87" w14:paraId="111586BD" w14:textId="77777777" w:rsidTr="00C469EB">
        <w:trPr>
          <w:trHeight w:val="20"/>
        </w:trPr>
        <w:tc>
          <w:tcPr>
            <w:tcW w:w="4764" w:type="dxa"/>
            <w:vAlign w:val="bottom"/>
          </w:tcPr>
          <w:p w14:paraId="19635236" w14:textId="1C7A66D6" w:rsidR="003354F6" w:rsidRPr="00BA7E21" w:rsidRDefault="003354F6" w:rsidP="003354F6">
            <w:pPr>
              <w:widowControl w:val="0"/>
              <w:ind w:left="-115"/>
              <w:rPr>
                <w:rFonts w:cs="Arial"/>
              </w:rPr>
            </w:pPr>
            <w:r w:rsidRPr="00C665F4">
              <w:rPr>
                <w:rFonts w:cs="Arial"/>
              </w:rPr>
              <w:t xml:space="preserve">Lotte </w:t>
            </w:r>
            <w:proofErr w:type="spellStart"/>
            <w:r w:rsidRPr="00C665F4">
              <w:rPr>
                <w:rFonts w:cs="Arial"/>
              </w:rPr>
              <w:t>Coralis</w:t>
            </w:r>
            <w:proofErr w:type="spellEnd"/>
            <w:r w:rsidRPr="00C665F4">
              <w:rPr>
                <w:rFonts w:cs="Arial"/>
              </w:rPr>
              <w:t xml:space="preserve"> Vietnam Co., Ltd</w:t>
            </w:r>
          </w:p>
        </w:tc>
        <w:tc>
          <w:tcPr>
            <w:tcW w:w="1626" w:type="dxa"/>
          </w:tcPr>
          <w:p w14:paraId="12559A91" w14:textId="6BF3A5D0" w:rsidR="003354F6" w:rsidRPr="00BA7E21" w:rsidRDefault="003354F6" w:rsidP="003354F6">
            <w:pPr>
              <w:widowControl w:val="0"/>
              <w:ind w:left="57" w:right="-85"/>
              <w:jc w:val="right"/>
              <w:rPr>
                <w:rFonts w:cs="Arial"/>
                <w:highlight w:val="yellow"/>
              </w:rPr>
            </w:pPr>
            <w:r w:rsidRPr="00F12D7E">
              <w:t>26</w:t>
            </w:r>
            <w:r>
              <w:t>,</w:t>
            </w:r>
            <w:r w:rsidRPr="00F12D7E">
              <w:t>399</w:t>
            </w:r>
            <w:r>
              <w:t>,</w:t>
            </w:r>
            <w:r w:rsidRPr="00F12D7E">
              <w:t xml:space="preserve">718 </w:t>
            </w:r>
          </w:p>
        </w:tc>
        <w:tc>
          <w:tcPr>
            <w:tcW w:w="1770" w:type="dxa"/>
          </w:tcPr>
          <w:p w14:paraId="791761F2" w14:textId="661E62CD" w:rsidR="003354F6" w:rsidRPr="00BA7E21" w:rsidRDefault="003354F6" w:rsidP="003354F6">
            <w:pPr>
              <w:widowControl w:val="0"/>
              <w:ind w:left="57" w:right="-85"/>
              <w:jc w:val="right"/>
              <w:rPr>
                <w:rFonts w:cs="Arial"/>
              </w:rPr>
            </w:pPr>
            <w:r w:rsidRPr="00F12D7E">
              <w:t>57</w:t>
            </w:r>
            <w:r>
              <w:t>,</w:t>
            </w:r>
            <w:r w:rsidRPr="00F12D7E">
              <w:t>841</w:t>
            </w:r>
            <w:r>
              <w:t>,</w:t>
            </w:r>
            <w:r w:rsidRPr="00F12D7E">
              <w:t xml:space="preserve">093 </w:t>
            </w:r>
          </w:p>
        </w:tc>
      </w:tr>
      <w:tr w:rsidR="003354F6" w:rsidRPr="002A0B87" w14:paraId="7519CC35" w14:textId="77777777" w:rsidTr="00C469EB">
        <w:trPr>
          <w:trHeight w:val="20"/>
        </w:trPr>
        <w:tc>
          <w:tcPr>
            <w:tcW w:w="4764" w:type="dxa"/>
            <w:vAlign w:val="bottom"/>
          </w:tcPr>
          <w:p w14:paraId="73023878" w14:textId="39B70F63" w:rsidR="003354F6" w:rsidRPr="00D85E6A" w:rsidRDefault="003354F6" w:rsidP="003354F6">
            <w:pPr>
              <w:widowControl w:val="0"/>
              <w:ind w:left="-115"/>
              <w:rPr>
                <w:rFonts w:cs="Arial"/>
              </w:rPr>
            </w:pPr>
            <w:r w:rsidRPr="00C665F4">
              <w:rPr>
                <w:rFonts w:cs="Arial"/>
              </w:rPr>
              <w:t>L</w:t>
            </w:r>
            <w:r>
              <w:rPr>
                <w:rFonts w:cs="Arial"/>
              </w:rPr>
              <w:t>otte</w:t>
            </w:r>
            <w:r w:rsidRPr="00C665F4">
              <w:rPr>
                <w:rFonts w:cs="Arial"/>
              </w:rPr>
              <w:t xml:space="preserve">-HPT </w:t>
            </w:r>
            <w:r>
              <w:rPr>
                <w:rFonts w:cs="Arial"/>
              </w:rPr>
              <w:t>High Tech</w:t>
            </w:r>
            <w:r w:rsidRPr="00C665F4">
              <w:rPr>
                <w:rFonts w:cs="Arial"/>
              </w:rPr>
              <w:t xml:space="preserve"> Vietnam Co., Ltd</w:t>
            </w:r>
          </w:p>
        </w:tc>
        <w:tc>
          <w:tcPr>
            <w:tcW w:w="1626" w:type="dxa"/>
          </w:tcPr>
          <w:p w14:paraId="373D579E" w14:textId="037FBAB6" w:rsidR="003354F6" w:rsidRPr="00F2760D" w:rsidRDefault="003354F6" w:rsidP="003354F6">
            <w:pPr>
              <w:widowControl w:val="0"/>
              <w:ind w:left="57" w:right="-85"/>
              <w:jc w:val="right"/>
              <w:rPr>
                <w:rFonts w:cs="Arial"/>
              </w:rPr>
            </w:pPr>
            <w:r w:rsidRPr="00F12D7E">
              <w:t>1</w:t>
            </w:r>
            <w:r>
              <w:t>,</w:t>
            </w:r>
            <w:r w:rsidRPr="00F12D7E">
              <w:t>049</w:t>
            </w:r>
            <w:r>
              <w:t>,</w:t>
            </w:r>
            <w:r w:rsidRPr="00F12D7E">
              <w:t>030</w:t>
            </w:r>
            <w:r>
              <w:t>,</w:t>
            </w:r>
            <w:r w:rsidRPr="00F12D7E">
              <w:t>000</w:t>
            </w:r>
          </w:p>
        </w:tc>
        <w:tc>
          <w:tcPr>
            <w:tcW w:w="1770" w:type="dxa"/>
          </w:tcPr>
          <w:p w14:paraId="47572456" w14:textId="2744FEC3" w:rsidR="003354F6" w:rsidRDefault="003354F6" w:rsidP="003354F6">
            <w:pPr>
              <w:widowControl w:val="0"/>
              <w:ind w:left="57" w:right="-85"/>
              <w:jc w:val="right"/>
              <w:rPr>
                <w:rFonts w:cs="Arial"/>
              </w:rPr>
            </w:pPr>
            <w:r w:rsidRPr="00F12D7E">
              <w:t>1</w:t>
            </w:r>
            <w:r>
              <w:t>,</w:t>
            </w:r>
            <w:r w:rsidRPr="00F12D7E">
              <w:t>984</w:t>
            </w:r>
            <w:r>
              <w:t>,</w:t>
            </w:r>
            <w:r w:rsidRPr="00F12D7E">
              <w:t>035</w:t>
            </w:r>
            <w:r>
              <w:t>,</w:t>
            </w:r>
            <w:r w:rsidRPr="00F12D7E">
              <w:t>000</w:t>
            </w:r>
          </w:p>
        </w:tc>
      </w:tr>
      <w:tr w:rsidR="003354F6" w:rsidRPr="002A0B87" w14:paraId="439AEFFE" w14:textId="77777777" w:rsidTr="00C469EB">
        <w:trPr>
          <w:trHeight w:val="20"/>
        </w:trPr>
        <w:tc>
          <w:tcPr>
            <w:tcW w:w="4764" w:type="dxa"/>
            <w:vAlign w:val="bottom"/>
          </w:tcPr>
          <w:p w14:paraId="2F24E0B4" w14:textId="7B754F40" w:rsidR="003354F6" w:rsidRPr="00D85E6A" w:rsidRDefault="003354F6" w:rsidP="003354F6">
            <w:pPr>
              <w:widowControl w:val="0"/>
              <w:ind w:left="-115"/>
              <w:rPr>
                <w:rFonts w:cs="Arial"/>
              </w:rPr>
            </w:pPr>
            <w:r w:rsidRPr="00776938">
              <w:rPr>
                <w:rFonts w:cs="Arial"/>
              </w:rPr>
              <w:t>Collaborators</w:t>
            </w:r>
          </w:p>
        </w:tc>
        <w:tc>
          <w:tcPr>
            <w:tcW w:w="1626" w:type="dxa"/>
          </w:tcPr>
          <w:p w14:paraId="34CD2A77" w14:textId="7228193F" w:rsidR="003354F6" w:rsidRPr="00BA7E21" w:rsidRDefault="003354F6" w:rsidP="003354F6">
            <w:pPr>
              <w:widowControl w:val="0"/>
              <w:ind w:left="57" w:right="-85"/>
              <w:jc w:val="right"/>
              <w:rPr>
                <w:rFonts w:cs="Arial"/>
              </w:rPr>
            </w:pPr>
            <w:r w:rsidRPr="00F12D7E">
              <w:t>527</w:t>
            </w:r>
            <w:r>
              <w:t>,</w:t>
            </w:r>
            <w:r w:rsidRPr="00F12D7E">
              <w:t>066</w:t>
            </w:r>
            <w:r>
              <w:t>,</w:t>
            </w:r>
            <w:r w:rsidRPr="00F12D7E">
              <w:t xml:space="preserve">989 </w:t>
            </w:r>
          </w:p>
        </w:tc>
        <w:tc>
          <w:tcPr>
            <w:tcW w:w="1770" w:type="dxa"/>
          </w:tcPr>
          <w:p w14:paraId="3DE2DF3D" w14:textId="1B322836" w:rsidR="003354F6" w:rsidRPr="00BA7E21" w:rsidRDefault="003354F6" w:rsidP="003354F6">
            <w:pPr>
              <w:widowControl w:val="0"/>
              <w:ind w:left="57" w:right="-85"/>
              <w:jc w:val="right"/>
              <w:rPr>
                <w:rFonts w:cs="Arial"/>
              </w:rPr>
            </w:pPr>
            <w:r w:rsidRPr="00F12D7E">
              <w:t>742</w:t>
            </w:r>
            <w:r>
              <w:t>,</w:t>
            </w:r>
            <w:r w:rsidRPr="00F12D7E">
              <w:t>305</w:t>
            </w:r>
            <w:r>
              <w:t>,</w:t>
            </w:r>
            <w:r w:rsidRPr="00F12D7E">
              <w:t xml:space="preserve">903 </w:t>
            </w:r>
          </w:p>
        </w:tc>
      </w:tr>
      <w:tr w:rsidR="003354F6" w:rsidRPr="002A0B87" w14:paraId="5BEBE88A" w14:textId="77777777" w:rsidTr="00C469EB">
        <w:trPr>
          <w:trHeight w:val="20"/>
        </w:trPr>
        <w:tc>
          <w:tcPr>
            <w:tcW w:w="4764" w:type="dxa"/>
            <w:vAlign w:val="bottom"/>
          </w:tcPr>
          <w:p w14:paraId="75C007CC" w14:textId="7830C711" w:rsidR="003354F6" w:rsidRPr="00BA7E21" w:rsidRDefault="003354F6" w:rsidP="003354F6">
            <w:pPr>
              <w:widowControl w:val="0"/>
              <w:ind w:left="-115"/>
              <w:rPr>
                <w:rFonts w:cs="Arial"/>
              </w:rPr>
            </w:pPr>
            <w:r w:rsidRPr="00D07932">
              <w:rPr>
                <w:rFonts w:cs="Arial"/>
              </w:rPr>
              <w:t>Others</w:t>
            </w:r>
          </w:p>
        </w:tc>
        <w:tc>
          <w:tcPr>
            <w:tcW w:w="1626" w:type="dxa"/>
          </w:tcPr>
          <w:p w14:paraId="62F826D3" w14:textId="08E2AAC7" w:rsidR="003354F6" w:rsidRPr="00BA7E21" w:rsidRDefault="003354F6" w:rsidP="003354F6">
            <w:pPr>
              <w:widowControl w:val="0"/>
              <w:pBdr>
                <w:bottom w:val="single" w:sz="4" w:space="0" w:color="auto"/>
              </w:pBdr>
              <w:ind w:left="57" w:right="-85"/>
              <w:jc w:val="right"/>
              <w:rPr>
                <w:rFonts w:cs="Arial"/>
                <w:highlight w:val="yellow"/>
              </w:rPr>
            </w:pPr>
            <w:r w:rsidRPr="00F12D7E">
              <w:t>162</w:t>
            </w:r>
            <w:r>
              <w:t>,</w:t>
            </w:r>
            <w:r w:rsidRPr="00F12D7E">
              <w:t>549</w:t>
            </w:r>
            <w:r>
              <w:t>,</w:t>
            </w:r>
            <w:r w:rsidRPr="00F12D7E">
              <w:t xml:space="preserve">292 </w:t>
            </w:r>
          </w:p>
        </w:tc>
        <w:tc>
          <w:tcPr>
            <w:tcW w:w="1770" w:type="dxa"/>
          </w:tcPr>
          <w:p w14:paraId="64F66775" w14:textId="069FB649" w:rsidR="003354F6" w:rsidRPr="00BA7E21" w:rsidRDefault="003354F6" w:rsidP="003354F6">
            <w:pPr>
              <w:widowControl w:val="0"/>
              <w:pBdr>
                <w:bottom w:val="single" w:sz="4" w:space="0" w:color="auto"/>
              </w:pBdr>
              <w:ind w:left="57" w:right="-85"/>
              <w:jc w:val="right"/>
              <w:rPr>
                <w:rFonts w:cs="Arial"/>
              </w:rPr>
            </w:pPr>
            <w:r w:rsidRPr="00F12D7E">
              <w:t>352</w:t>
            </w:r>
            <w:r>
              <w:t>,</w:t>
            </w:r>
            <w:r w:rsidRPr="00F12D7E">
              <w:t>264</w:t>
            </w:r>
            <w:r>
              <w:t>,</w:t>
            </w:r>
            <w:r w:rsidRPr="00F12D7E">
              <w:t xml:space="preserve">530 </w:t>
            </w:r>
          </w:p>
        </w:tc>
      </w:tr>
      <w:tr w:rsidR="003354F6" w:rsidRPr="002A0B87" w14:paraId="4624B8FD" w14:textId="77777777" w:rsidTr="00C469EB">
        <w:trPr>
          <w:trHeight w:val="20"/>
        </w:trPr>
        <w:tc>
          <w:tcPr>
            <w:tcW w:w="4764" w:type="dxa"/>
            <w:vAlign w:val="bottom"/>
          </w:tcPr>
          <w:p w14:paraId="6EAD0A62" w14:textId="77777777" w:rsidR="003354F6" w:rsidRPr="002A0B87" w:rsidRDefault="003354F6" w:rsidP="003354F6">
            <w:pPr>
              <w:widowControl w:val="0"/>
              <w:spacing w:before="120"/>
              <w:ind w:left="-115"/>
              <w:rPr>
                <w:rFonts w:cs="Arial"/>
                <w:b/>
              </w:rPr>
            </w:pPr>
          </w:p>
        </w:tc>
        <w:tc>
          <w:tcPr>
            <w:tcW w:w="1626" w:type="dxa"/>
          </w:tcPr>
          <w:p w14:paraId="7F743986" w14:textId="78BF4B77" w:rsidR="003354F6" w:rsidRPr="003354F6" w:rsidRDefault="003354F6" w:rsidP="003354F6">
            <w:pPr>
              <w:widowControl w:val="0"/>
              <w:pBdr>
                <w:bottom w:val="double" w:sz="4" w:space="0" w:color="auto"/>
              </w:pBdr>
              <w:spacing w:before="120"/>
              <w:ind w:left="57" w:right="-85"/>
              <w:jc w:val="right"/>
              <w:rPr>
                <w:rFonts w:eastAsia="Batang" w:cs="Arial"/>
                <w:b/>
                <w:bCs/>
                <w:highlight w:val="yellow"/>
                <w:lang w:eastAsia="ko-KR"/>
              </w:rPr>
            </w:pPr>
            <w:r w:rsidRPr="003354F6">
              <w:rPr>
                <w:b/>
                <w:bCs/>
              </w:rPr>
              <w:t xml:space="preserve">1,765,045,999 </w:t>
            </w:r>
          </w:p>
        </w:tc>
        <w:tc>
          <w:tcPr>
            <w:tcW w:w="1770" w:type="dxa"/>
            <w:hideMark/>
          </w:tcPr>
          <w:p w14:paraId="28CFC77C" w14:textId="5E2B516E" w:rsidR="003354F6" w:rsidRPr="003354F6" w:rsidRDefault="003354F6" w:rsidP="003354F6">
            <w:pPr>
              <w:widowControl w:val="0"/>
              <w:pBdr>
                <w:bottom w:val="double" w:sz="4" w:space="0" w:color="auto"/>
              </w:pBdr>
              <w:spacing w:before="120"/>
              <w:ind w:left="57" w:right="-85"/>
              <w:jc w:val="right"/>
              <w:rPr>
                <w:rFonts w:cs="Arial"/>
                <w:b/>
                <w:bCs/>
              </w:rPr>
            </w:pPr>
            <w:r w:rsidRPr="003354F6">
              <w:rPr>
                <w:b/>
                <w:bCs/>
              </w:rPr>
              <w:t xml:space="preserve">3,136,446,526 </w:t>
            </w:r>
          </w:p>
        </w:tc>
      </w:tr>
    </w:tbl>
    <w:p w14:paraId="3554A6DF" w14:textId="55DAF4D6" w:rsidR="00360071" w:rsidRDefault="00360071" w:rsidP="00760439">
      <w:pPr>
        <w:pStyle w:val="NoSpacing"/>
      </w:pPr>
    </w:p>
    <w:p w14:paraId="4BEF99C5" w14:textId="77777777" w:rsidR="009D0591" w:rsidRPr="009D0591" w:rsidRDefault="009D0591" w:rsidP="009D0591">
      <w:pPr>
        <w:pStyle w:val="NoSpacing"/>
      </w:pPr>
    </w:p>
    <w:p w14:paraId="1D8FEB60" w14:textId="413F8431" w:rsidR="00C12116" w:rsidRPr="002A0B87" w:rsidRDefault="00852E2F" w:rsidP="00C12116">
      <w:pPr>
        <w:pStyle w:val="BodyText"/>
        <w:ind w:left="720" w:hanging="720"/>
        <w:textAlignment w:val="auto"/>
        <w:outlineLvl w:val="0"/>
        <w:rPr>
          <w:rFonts w:ascii="Arial" w:hAnsi="Arial" w:cs="Arial"/>
          <w:b/>
          <w:bCs/>
        </w:rPr>
      </w:pPr>
      <w:r w:rsidRPr="002A0B87">
        <w:rPr>
          <w:rFonts w:ascii="Arial" w:hAnsi="Arial" w:cs="Arial"/>
          <w:b/>
          <w:bCs/>
        </w:rPr>
        <w:t>1</w:t>
      </w:r>
      <w:r w:rsidR="009D0591">
        <w:rPr>
          <w:rFonts w:ascii="Arial" w:hAnsi="Arial" w:cs="Arial"/>
          <w:b/>
          <w:bCs/>
        </w:rPr>
        <w:t>6</w:t>
      </w:r>
      <w:r w:rsidR="00C12116" w:rsidRPr="002A0B87">
        <w:rPr>
          <w:rFonts w:ascii="Arial" w:hAnsi="Arial" w:cs="Arial"/>
          <w:b/>
          <w:bCs/>
        </w:rPr>
        <w:t>.</w:t>
      </w:r>
      <w:r w:rsidR="00C12116" w:rsidRPr="002A0B87">
        <w:rPr>
          <w:rFonts w:ascii="Arial" w:hAnsi="Arial" w:cs="Arial"/>
          <w:b/>
          <w:bCs/>
        </w:rPr>
        <w:tab/>
      </w:r>
      <w:r w:rsidR="00AC1F99" w:rsidRPr="00AC1F99">
        <w:rPr>
          <w:rFonts w:ascii="Arial" w:hAnsi="Arial" w:cs="Arial"/>
          <w:b/>
          <w:bCs/>
        </w:rPr>
        <w:t>STATUTORY OBLIGATIONS</w:t>
      </w:r>
      <w:r w:rsidR="00AC1F99" w:rsidRPr="00AC1F99" w:rsidDel="00AC1F99">
        <w:rPr>
          <w:rFonts w:ascii="Arial" w:hAnsi="Arial" w:cs="Arial"/>
          <w:b/>
          <w:bCs/>
        </w:rPr>
        <w:t xml:space="preserve"> </w:t>
      </w:r>
    </w:p>
    <w:p w14:paraId="354574D4" w14:textId="77777777" w:rsidR="00C12116" w:rsidRPr="002A0B87" w:rsidRDefault="00C12116" w:rsidP="00760439">
      <w:pPr>
        <w:pStyle w:val="NoSpacing"/>
      </w:pPr>
    </w:p>
    <w:tbl>
      <w:tblPr>
        <w:tblW w:w="8160" w:type="dxa"/>
        <w:tblInd w:w="720" w:type="dxa"/>
        <w:tblLayout w:type="fixed"/>
        <w:tblLook w:val="01E0" w:firstRow="1" w:lastRow="1" w:firstColumn="1" w:lastColumn="1" w:noHBand="0" w:noVBand="0"/>
      </w:tblPr>
      <w:tblGrid>
        <w:gridCol w:w="4764"/>
        <w:gridCol w:w="1626"/>
        <w:gridCol w:w="1770"/>
      </w:tblGrid>
      <w:tr w:rsidR="00C12116" w:rsidRPr="002A0B87" w14:paraId="21255CF5" w14:textId="77777777" w:rsidTr="00FA28E4">
        <w:trPr>
          <w:trHeight w:val="20"/>
          <w:tblHeader/>
        </w:trPr>
        <w:tc>
          <w:tcPr>
            <w:tcW w:w="4764" w:type="dxa"/>
            <w:vAlign w:val="bottom"/>
          </w:tcPr>
          <w:p w14:paraId="449FB046" w14:textId="77777777" w:rsidR="00C12116" w:rsidRPr="002A0B87" w:rsidRDefault="00C12116" w:rsidP="00C12116">
            <w:pPr>
              <w:widowControl w:val="0"/>
              <w:overflowPunct/>
              <w:autoSpaceDE/>
              <w:autoSpaceDN/>
              <w:adjustRightInd/>
              <w:ind w:left="-115"/>
              <w:textAlignment w:val="auto"/>
              <w:rPr>
                <w:rFonts w:eastAsia="Batang" w:cs="Arial"/>
                <w:i/>
                <w:lang w:val="es-ES"/>
              </w:rPr>
            </w:pPr>
          </w:p>
        </w:tc>
        <w:tc>
          <w:tcPr>
            <w:tcW w:w="1626" w:type="dxa"/>
            <w:vAlign w:val="bottom"/>
            <w:hideMark/>
          </w:tcPr>
          <w:p w14:paraId="3D3A3D4E" w14:textId="6AC0389A" w:rsidR="00C12116" w:rsidRPr="002A0B87" w:rsidRDefault="005E6476" w:rsidP="00C12116">
            <w:pPr>
              <w:widowControl w:val="0"/>
              <w:pBdr>
                <w:bottom w:val="single" w:sz="4" w:space="0" w:color="auto"/>
              </w:pBdr>
              <w:overflowPunct/>
              <w:autoSpaceDE/>
              <w:autoSpaceDN/>
              <w:adjustRightInd/>
              <w:ind w:left="57" w:right="-85"/>
              <w:jc w:val="right"/>
              <w:textAlignment w:val="auto"/>
              <w:rPr>
                <w:rFonts w:eastAsia="Batang" w:cs="Arial"/>
                <w:bCs/>
                <w:i/>
              </w:rPr>
            </w:pPr>
            <w:r w:rsidRPr="005E6476">
              <w:rPr>
                <w:rFonts w:eastAsia="Batang" w:cs="Arial"/>
                <w:bCs/>
                <w:i/>
              </w:rPr>
              <w:t>Ending balance</w:t>
            </w:r>
          </w:p>
          <w:p w14:paraId="7E4EA4EF" w14:textId="77777777" w:rsidR="00C12116" w:rsidRPr="002A0B87" w:rsidRDefault="00C12116" w:rsidP="00C12116">
            <w:pPr>
              <w:widowControl w:val="0"/>
              <w:pBdr>
                <w:bottom w:val="single" w:sz="4" w:space="0" w:color="auto"/>
              </w:pBdr>
              <w:ind w:left="57" w:right="-85"/>
              <w:jc w:val="right"/>
              <w:rPr>
                <w:rFonts w:cs="Arial"/>
                <w:bCs/>
                <w:i/>
              </w:rPr>
            </w:pPr>
            <w:r w:rsidRPr="002A0B87">
              <w:rPr>
                <w:rFonts w:eastAsia="Batang" w:cs="Arial"/>
                <w:i/>
                <w:iCs/>
              </w:rPr>
              <w:t>VND</w:t>
            </w:r>
          </w:p>
        </w:tc>
        <w:tc>
          <w:tcPr>
            <w:tcW w:w="1770" w:type="dxa"/>
            <w:vAlign w:val="bottom"/>
            <w:hideMark/>
          </w:tcPr>
          <w:p w14:paraId="2A1A6F98" w14:textId="2B2A0B86" w:rsidR="00C12116" w:rsidRPr="002A0B87" w:rsidRDefault="009E3448" w:rsidP="00C12116">
            <w:pPr>
              <w:widowControl w:val="0"/>
              <w:pBdr>
                <w:bottom w:val="single" w:sz="4" w:space="0" w:color="auto"/>
              </w:pBdr>
              <w:overflowPunct/>
              <w:autoSpaceDE/>
              <w:autoSpaceDN/>
              <w:adjustRightInd/>
              <w:ind w:left="57" w:right="-85"/>
              <w:jc w:val="right"/>
              <w:textAlignment w:val="auto"/>
              <w:rPr>
                <w:rFonts w:eastAsia="Batang" w:cs="Arial"/>
                <w:bCs/>
                <w:i/>
              </w:rPr>
            </w:pPr>
            <w:r w:rsidRPr="009E3448">
              <w:rPr>
                <w:rFonts w:eastAsia="Batang" w:cs="Arial"/>
                <w:bCs/>
                <w:i/>
              </w:rPr>
              <w:t>Opening balance</w:t>
            </w:r>
          </w:p>
          <w:p w14:paraId="5337DCFB" w14:textId="77777777" w:rsidR="00C12116" w:rsidRPr="002A0B87" w:rsidRDefault="00C12116" w:rsidP="00C12116">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843607" w:rsidRPr="002A0B87" w14:paraId="43CC6593" w14:textId="77777777" w:rsidTr="00642825">
        <w:trPr>
          <w:trHeight w:val="20"/>
        </w:trPr>
        <w:tc>
          <w:tcPr>
            <w:tcW w:w="4764" w:type="dxa"/>
            <w:vAlign w:val="bottom"/>
          </w:tcPr>
          <w:p w14:paraId="6D69DE23" w14:textId="357A562D" w:rsidR="00843607" w:rsidRPr="002A0B87" w:rsidRDefault="00843607" w:rsidP="00843607">
            <w:pPr>
              <w:widowControl w:val="0"/>
              <w:ind w:left="-115"/>
              <w:jc w:val="left"/>
              <w:rPr>
                <w:rFonts w:cs="Arial"/>
              </w:rPr>
            </w:pPr>
            <w:r w:rsidRPr="00C57422">
              <w:rPr>
                <w:rFonts w:cs="Arial"/>
                <w:lang w:val="nl-NL"/>
              </w:rPr>
              <w:t>Corporate income tax (“CIT”)</w:t>
            </w:r>
          </w:p>
        </w:tc>
        <w:tc>
          <w:tcPr>
            <w:tcW w:w="1626" w:type="dxa"/>
          </w:tcPr>
          <w:p w14:paraId="117BC753" w14:textId="02F7EA76" w:rsidR="00843607" w:rsidRPr="00254501" w:rsidRDefault="00843607" w:rsidP="00843607">
            <w:pPr>
              <w:widowControl w:val="0"/>
              <w:spacing w:before="120"/>
              <w:ind w:left="57" w:right="-85"/>
              <w:jc w:val="right"/>
              <w:rPr>
                <w:rFonts w:eastAsia="Batang" w:cs="Arial"/>
              </w:rPr>
            </w:pPr>
            <w:r w:rsidRPr="00570A0D">
              <w:t>304</w:t>
            </w:r>
            <w:r>
              <w:t>,</w:t>
            </w:r>
            <w:r w:rsidRPr="00570A0D">
              <w:t>264</w:t>
            </w:r>
            <w:r>
              <w:t>,</w:t>
            </w:r>
            <w:r w:rsidRPr="00570A0D">
              <w:t xml:space="preserve">644 </w:t>
            </w:r>
          </w:p>
        </w:tc>
        <w:tc>
          <w:tcPr>
            <w:tcW w:w="1770" w:type="dxa"/>
          </w:tcPr>
          <w:p w14:paraId="549A7020" w14:textId="1912ED4D" w:rsidR="00843607" w:rsidRPr="00254501" w:rsidRDefault="00843607" w:rsidP="00843607">
            <w:pPr>
              <w:widowControl w:val="0"/>
              <w:spacing w:before="120"/>
              <w:ind w:left="57" w:right="-85"/>
              <w:jc w:val="right"/>
              <w:rPr>
                <w:rFonts w:eastAsia="Batang" w:cs="Arial"/>
              </w:rPr>
            </w:pPr>
            <w:r w:rsidRPr="00570A0D">
              <w:t>2</w:t>
            </w:r>
            <w:r>
              <w:t>,</w:t>
            </w:r>
            <w:r w:rsidRPr="00570A0D">
              <w:t>837</w:t>
            </w:r>
            <w:r>
              <w:t>,</w:t>
            </w:r>
            <w:r w:rsidRPr="00570A0D">
              <w:t>904</w:t>
            </w:r>
            <w:r>
              <w:t>,</w:t>
            </w:r>
            <w:r w:rsidRPr="00570A0D">
              <w:t xml:space="preserve">262 </w:t>
            </w:r>
          </w:p>
        </w:tc>
      </w:tr>
      <w:tr w:rsidR="00843607" w:rsidRPr="002A0B87" w14:paraId="53FDD62F" w14:textId="77777777" w:rsidTr="00642825">
        <w:trPr>
          <w:trHeight w:val="20"/>
        </w:trPr>
        <w:tc>
          <w:tcPr>
            <w:tcW w:w="4764" w:type="dxa"/>
            <w:vAlign w:val="bottom"/>
            <w:hideMark/>
          </w:tcPr>
          <w:p w14:paraId="13618C1A" w14:textId="1C246599" w:rsidR="00843607" w:rsidRPr="002A0B87" w:rsidRDefault="00843607" w:rsidP="00843607">
            <w:pPr>
              <w:widowControl w:val="0"/>
              <w:ind w:left="-115"/>
              <w:rPr>
                <w:rFonts w:cs="Arial"/>
              </w:rPr>
            </w:pPr>
            <w:r w:rsidRPr="0078075B">
              <w:rPr>
                <w:rFonts w:cs="Arial"/>
              </w:rPr>
              <w:t>Personal income tax (“PIT”)</w:t>
            </w:r>
          </w:p>
        </w:tc>
        <w:tc>
          <w:tcPr>
            <w:tcW w:w="1626" w:type="dxa"/>
          </w:tcPr>
          <w:p w14:paraId="204870CD" w14:textId="2DB4193A" w:rsidR="00843607" w:rsidRPr="002A0B87" w:rsidRDefault="00843607" w:rsidP="00843607">
            <w:pPr>
              <w:widowControl w:val="0"/>
              <w:ind w:left="57" w:right="-85"/>
              <w:jc w:val="right"/>
              <w:rPr>
                <w:rFonts w:eastAsia="Batang" w:cs="Arial"/>
                <w:highlight w:val="yellow"/>
                <w:lang w:eastAsia="ko-KR"/>
              </w:rPr>
            </w:pPr>
            <w:r w:rsidRPr="00570A0D">
              <w:t>2</w:t>
            </w:r>
            <w:r>
              <w:t>,</w:t>
            </w:r>
            <w:r w:rsidRPr="00570A0D">
              <w:t>141</w:t>
            </w:r>
            <w:r>
              <w:t>,</w:t>
            </w:r>
            <w:r w:rsidRPr="00570A0D">
              <w:t>580</w:t>
            </w:r>
            <w:r>
              <w:t>,</w:t>
            </w:r>
            <w:r w:rsidRPr="00570A0D">
              <w:t xml:space="preserve">575 </w:t>
            </w:r>
          </w:p>
        </w:tc>
        <w:tc>
          <w:tcPr>
            <w:tcW w:w="1770" w:type="dxa"/>
            <w:hideMark/>
          </w:tcPr>
          <w:p w14:paraId="161C3A86" w14:textId="0F62CD3E" w:rsidR="00843607" w:rsidRPr="002A0B87" w:rsidRDefault="00843607" w:rsidP="00843607">
            <w:pPr>
              <w:widowControl w:val="0"/>
              <w:ind w:left="57" w:right="-85"/>
              <w:jc w:val="right"/>
              <w:rPr>
                <w:rFonts w:eastAsia="Batang" w:cs="Arial"/>
                <w:lang w:eastAsia="ko-KR"/>
              </w:rPr>
            </w:pPr>
            <w:r w:rsidRPr="00570A0D">
              <w:t>10</w:t>
            </w:r>
            <w:r>
              <w:t>,</w:t>
            </w:r>
            <w:r w:rsidRPr="00570A0D">
              <w:t>839</w:t>
            </w:r>
            <w:r>
              <w:t>,</w:t>
            </w:r>
            <w:r w:rsidRPr="00570A0D">
              <w:t>437</w:t>
            </w:r>
            <w:r>
              <w:t>,</w:t>
            </w:r>
            <w:r w:rsidRPr="00570A0D">
              <w:t xml:space="preserve">539 </w:t>
            </w:r>
          </w:p>
        </w:tc>
      </w:tr>
      <w:tr w:rsidR="00843607" w:rsidRPr="002A0B87" w14:paraId="0AE15861" w14:textId="77777777" w:rsidTr="00642825">
        <w:trPr>
          <w:trHeight w:val="20"/>
        </w:trPr>
        <w:tc>
          <w:tcPr>
            <w:tcW w:w="4764" w:type="dxa"/>
            <w:vAlign w:val="bottom"/>
          </w:tcPr>
          <w:p w14:paraId="7AAA8582" w14:textId="23235E4F" w:rsidR="00843607" w:rsidRPr="002A0B87" w:rsidRDefault="00843607" w:rsidP="00843607">
            <w:pPr>
              <w:widowControl w:val="0"/>
              <w:ind w:left="-115"/>
              <w:rPr>
                <w:rFonts w:cs="Arial"/>
              </w:rPr>
            </w:pPr>
            <w:r>
              <w:rPr>
                <w:rFonts w:cs="Arial"/>
              </w:rPr>
              <w:t>Other taxes</w:t>
            </w:r>
          </w:p>
        </w:tc>
        <w:tc>
          <w:tcPr>
            <w:tcW w:w="1626" w:type="dxa"/>
          </w:tcPr>
          <w:p w14:paraId="7AD0CFB9" w14:textId="576FFE6A" w:rsidR="00843607" w:rsidRPr="00F2760D" w:rsidRDefault="00843607" w:rsidP="00843607">
            <w:pPr>
              <w:widowControl w:val="0"/>
              <w:pBdr>
                <w:bottom w:val="single" w:sz="4" w:space="0" w:color="auto"/>
              </w:pBdr>
              <w:ind w:left="57" w:right="-85"/>
              <w:jc w:val="right"/>
              <w:rPr>
                <w:rFonts w:cs="Arial"/>
                <w:color w:val="000000"/>
              </w:rPr>
            </w:pPr>
            <w:r w:rsidRPr="00570A0D">
              <w:t>15</w:t>
            </w:r>
            <w:r>
              <w:t>,</w:t>
            </w:r>
            <w:r w:rsidRPr="00570A0D">
              <w:t>015</w:t>
            </w:r>
            <w:r>
              <w:t>,</w:t>
            </w:r>
            <w:r w:rsidRPr="00570A0D">
              <w:t>985</w:t>
            </w:r>
          </w:p>
        </w:tc>
        <w:tc>
          <w:tcPr>
            <w:tcW w:w="1770" w:type="dxa"/>
          </w:tcPr>
          <w:p w14:paraId="37BDE405" w14:textId="0A01A069" w:rsidR="00843607" w:rsidRDefault="00843607" w:rsidP="00843607">
            <w:pPr>
              <w:widowControl w:val="0"/>
              <w:pBdr>
                <w:bottom w:val="single" w:sz="4" w:space="0" w:color="auto"/>
              </w:pBdr>
              <w:ind w:left="57" w:right="-85"/>
              <w:jc w:val="right"/>
              <w:rPr>
                <w:rFonts w:cs="Arial"/>
                <w:color w:val="000000"/>
              </w:rPr>
            </w:pPr>
            <w:r w:rsidRPr="00570A0D">
              <w:t>23</w:t>
            </w:r>
            <w:r>
              <w:t>,</w:t>
            </w:r>
            <w:r w:rsidRPr="00570A0D">
              <w:t>568</w:t>
            </w:r>
            <w:r>
              <w:t>,</w:t>
            </w:r>
            <w:r w:rsidRPr="00570A0D">
              <w:t>315</w:t>
            </w:r>
          </w:p>
        </w:tc>
      </w:tr>
      <w:tr w:rsidR="00843607" w:rsidRPr="002A0B87" w14:paraId="0F0CEACD" w14:textId="77777777" w:rsidTr="00642825">
        <w:trPr>
          <w:trHeight w:val="20"/>
        </w:trPr>
        <w:tc>
          <w:tcPr>
            <w:tcW w:w="4764" w:type="dxa"/>
            <w:vAlign w:val="bottom"/>
          </w:tcPr>
          <w:p w14:paraId="4C0EA90F" w14:textId="77777777" w:rsidR="00843607" w:rsidRPr="002A0B87" w:rsidRDefault="00843607" w:rsidP="00843607">
            <w:pPr>
              <w:widowControl w:val="0"/>
              <w:spacing w:before="120"/>
              <w:ind w:left="-115"/>
              <w:rPr>
                <w:rFonts w:cs="Arial"/>
                <w:b/>
              </w:rPr>
            </w:pPr>
          </w:p>
        </w:tc>
        <w:tc>
          <w:tcPr>
            <w:tcW w:w="1626" w:type="dxa"/>
          </w:tcPr>
          <w:p w14:paraId="69787213" w14:textId="075E9D30" w:rsidR="00843607" w:rsidRPr="00843607" w:rsidRDefault="00843607" w:rsidP="00843607">
            <w:pPr>
              <w:widowControl w:val="0"/>
              <w:pBdr>
                <w:bottom w:val="double" w:sz="4" w:space="0" w:color="auto"/>
              </w:pBdr>
              <w:spacing w:before="120"/>
              <w:ind w:left="57" w:right="-85"/>
              <w:jc w:val="right"/>
              <w:rPr>
                <w:rFonts w:eastAsia="Batang" w:cs="Arial"/>
                <w:b/>
                <w:bCs/>
                <w:highlight w:val="yellow"/>
                <w:lang w:eastAsia="ko-KR"/>
              </w:rPr>
            </w:pPr>
            <w:r w:rsidRPr="00843607">
              <w:rPr>
                <w:b/>
                <w:bCs/>
              </w:rPr>
              <w:t>2</w:t>
            </w:r>
            <w:r>
              <w:rPr>
                <w:b/>
                <w:bCs/>
              </w:rPr>
              <w:t>,</w:t>
            </w:r>
            <w:r w:rsidRPr="00843607">
              <w:rPr>
                <w:b/>
                <w:bCs/>
              </w:rPr>
              <w:t>460</w:t>
            </w:r>
            <w:r>
              <w:rPr>
                <w:b/>
                <w:bCs/>
              </w:rPr>
              <w:t>,</w:t>
            </w:r>
            <w:r w:rsidRPr="00843607">
              <w:rPr>
                <w:b/>
                <w:bCs/>
              </w:rPr>
              <w:t>861</w:t>
            </w:r>
            <w:r>
              <w:rPr>
                <w:b/>
                <w:bCs/>
              </w:rPr>
              <w:t>,</w:t>
            </w:r>
            <w:r w:rsidRPr="00843607">
              <w:rPr>
                <w:b/>
                <w:bCs/>
              </w:rPr>
              <w:t xml:space="preserve">204 </w:t>
            </w:r>
          </w:p>
        </w:tc>
        <w:tc>
          <w:tcPr>
            <w:tcW w:w="1770" w:type="dxa"/>
            <w:hideMark/>
          </w:tcPr>
          <w:p w14:paraId="4CBD23A2" w14:textId="09A2EC3B" w:rsidR="00843607" w:rsidRPr="00843607" w:rsidRDefault="00843607" w:rsidP="00843607">
            <w:pPr>
              <w:widowControl w:val="0"/>
              <w:pBdr>
                <w:bottom w:val="double" w:sz="4" w:space="0" w:color="auto"/>
              </w:pBdr>
              <w:spacing w:before="120"/>
              <w:ind w:left="57" w:right="-85"/>
              <w:jc w:val="right"/>
              <w:rPr>
                <w:rFonts w:cs="Arial"/>
                <w:b/>
                <w:bCs/>
              </w:rPr>
            </w:pPr>
            <w:r w:rsidRPr="00843607">
              <w:rPr>
                <w:b/>
                <w:bCs/>
              </w:rPr>
              <w:t>13</w:t>
            </w:r>
            <w:r>
              <w:rPr>
                <w:b/>
                <w:bCs/>
              </w:rPr>
              <w:t>,</w:t>
            </w:r>
            <w:r w:rsidRPr="00843607">
              <w:rPr>
                <w:b/>
                <w:bCs/>
              </w:rPr>
              <w:t>700</w:t>
            </w:r>
            <w:r>
              <w:rPr>
                <w:b/>
                <w:bCs/>
              </w:rPr>
              <w:t>,</w:t>
            </w:r>
            <w:r w:rsidRPr="00843607">
              <w:rPr>
                <w:b/>
                <w:bCs/>
              </w:rPr>
              <w:t>910</w:t>
            </w:r>
            <w:r>
              <w:rPr>
                <w:b/>
                <w:bCs/>
              </w:rPr>
              <w:t>,</w:t>
            </w:r>
            <w:r w:rsidRPr="00843607">
              <w:rPr>
                <w:b/>
                <w:bCs/>
              </w:rPr>
              <w:t xml:space="preserve">116 </w:t>
            </w:r>
          </w:p>
        </w:tc>
      </w:tr>
    </w:tbl>
    <w:p w14:paraId="7D9871FE" w14:textId="77777777" w:rsidR="00C12116" w:rsidRPr="002A0B87" w:rsidRDefault="00C12116" w:rsidP="00760439">
      <w:pPr>
        <w:pStyle w:val="NoSpacing"/>
      </w:pPr>
    </w:p>
    <w:p w14:paraId="5C5A0DF7" w14:textId="0AC783AF" w:rsidR="00C12116" w:rsidRPr="002A0B87" w:rsidRDefault="00E3561A" w:rsidP="00760439">
      <w:pPr>
        <w:pStyle w:val="NoSpacing"/>
      </w:pPr>
      <w:r w:rsidRPr="00E3561A">
        <w:t>Movements of statutory obligations during the year:</w:t>
      </w:r>
    </w:p>
    <w:p w14:paraId="05D69DC4" w14:textId="77777777" w:rsidR="00C12116" w:rsidRPr="002A0B87" w:rsidRDefault="00C12116" w:rsidP="00760439">
      <w:pPr>
        <w:pStyle w:val="NoSpacing"/>
      </w:pPr>
    </w:p>
    <w:p w14:paraId="156F244C" w14:textId="2313748B" w:rsidR="00C12116" w:rsidRPr="002A0B87" w:rsidRDefault="0049539D" w:rsidP="00C12116">
      <w:pPr>
        <w:ind w:left="720"/>
        <w:jc w:val="right"/>
        <w:rPr>
          <w:rFonts w:cs="Arial"/>
          <w:i/>
        </w:rPr>
      </w:pPr>
      <w:r w:rsidRPr="0049539D">
        <w:rPr>
          <w:rFonts w:cs="Arial"/>
          <w:i/>
        </w:rPr>
        <w:t>Unit:</w:t>
      </w:r>
      <w:r w:rsidR="00C12116" w:rsidRPr="002A0B87">
        <w:rPr>
          <w:rFonts w:cs="Arial"/>
          <w:i/>
        </w:rPr>
        <w:t xml:space="preserve"> VND</w:t>
      </w:r>
    </w:p>
    <w:tbl>
      <w:tblPr>
        <w:tblW w:w="8161" w:type="dxa"/>
        <w:tblInd w:w="720" w:type="dxa"/>
        <w:tblLayout w:type="fixed"/>
        <w:tblLook w:val="04A0" w:firstRow="1" w:lastRow="0" w:firstColumn="1" w:lastColumn="0" w:noHBand="0" w:noVBand="1"/>
      </w:tblPr>
      <w:tblGrid>
        <w:gridCol w:w="1238"/>
        <w:gridCol w:w="1728"/>
        <w:gridCol w:w="1733"/>
        <w:gridCol w:w="1734"/>
        <w:gridCol w:w="1728"/>
      </w:tblGrid>
      <w:tr w:rsidR="00C12116" w:rsidRPr="002A0B87" w14:paraId="5DE28500" w14:textId="77777777" w:rsidTr="003E0DB9">
        <w:trPr>
          <w:trHeight w:val="20"/>
        </w:trPr>
        <w:tc>
          <w:tcPr>
            <w:tcW w:w="1238" w:type="dxa"/>
            <w:vMerge w:val="restart"/>
            <w:noWrap/>
            <w:vAlign w:val="bottom"/>
          </w:tcPr>
          <w:p w14:paraId="47F44FEB" w14:textId="77777777" w:rsidR="00C12116" w:rsidRPr="002A0B87" w:rsidRDefault="00C12116" w:rsidP="00C12116">
            <w:pPr>
              <w:widowControl w:val="0"/>
              <w:ind w:left="-115"/>
              <w:rPr>
                <w:rFonts w:cs="Arial"/>
                <w:i/>
              </w:rPr>
            </w:pPr>
          </w:p>
        </w:tc>
        <w:tc>
          <w:tcPr>
            <w:tcW w:w="1728" w:type="dxa"/>
            <w:vMerge w:val="restart"/>
            <w:noWrap/>
            <w:vAlign w:val="bottom"/>
            <w:hideMark/>
          </w:tcPr>
          <w:p w14:paraId="02AABD52" w14:textId="3C6AB32A" w:rsidR="00C12116" w:rsidRPr="002A0B87" w:rsidRDefault="00991881" w:rsidP="00C12116">
            <w:pPr>
              <w:widowControl w:val="0"/>
              <w:pBdr>
                <w:bottom w:val="single" w:sz="4" w:space="0" w:color="auto"/>
              </w:pBdr>
              <w:ind w:left="57" w:right="-85"/>
              <w:jc w:val="right"/>
              <w:rPr>
                <w:rFonts w:cs="Arial"/>
                <w:i/>
              </w:rPr>
            </w:pPr>
            <w:r w:rsidRPr="00991881">
              <w:rPr>
                <w:rFonts w:cs="Arial"/>
                <w:bCs/>
                <w:i/>
              </w:rPr>
              <w:t>Opening balance</w:t>
            </w:r>
          </w:p>
        </w:tc>
        <w:tc>
          <w:tcPr>
            <w:tcW w:w="3467" w:type="dxa"/>
            <w:gridSpan w:val="2"/>
            <w:noWrap/>
            <w:vAlign w:val="bottom"/>
            <w:hideMark/>
          </w:tcPr>
          <w:p w14:paraId="6B2DA92F" w14:textId="0CBB1DE3" w:rsidR="00C12116" w:rsidRPr="002A0B87" w:rsidRDefault="00F81620" w:rsidP="00244854">
            <w:pPr>
              <w:widowControl w:val="0"/>
              <w:pBdr>
                <w:bottom w:val="single" w:sz="4" w:space="0" w:color="auto"/>
              </w:pBdr>
              <w:spacing w:before="120"/>
              <w:ind w:left="57" w:right="-85"/>
              <w:jc w:val="center"/>
              <w:rPr>
                <w:rFonts w:cs="Arial"/>
                <w:i/>
              </w:rPr>
            </w:pPr>
            <w:r w:rsidRPr="00F81620">
              <w:rPr>
                <w:rFonts w:cs="Arial"/>
                <w:bCs/>
                <w:i/>
              </w:rPr>
              <w:t>Movements in the year</w:t>
            </w:r>
          </w:p>
        </w:tc>
        <w:tc>
          <w:tcPr>
            <w:tcW w:w="1728" w:type="dxa"/>
            <w:vMerge w:val="restart"/>
            <w:noWrap/>
            <w:vAlign w:val="bottom"/>
            <w:hideMark/>
          </w:tcPr>
          <w:p w14:paraId="51C06B55" w14:textId="2E8CA768" w:rsidR="00C12116" w:rsidRPr="002A0B87" w:rsidRDefault="00740014" w:rsidP="00C12116">
            <w:pPr>
              <w:widowControl w:val="0"/>
              <w:pBdr>
                <w:bottom w:val="single" w:sz="4" w:space="0" w:color="auto"/>
              </w:pBdr>
              <w:ind w:left="57" w:right="-85"/>
              <w:jc w:val="right"/>
              <w:rPr>
                <w:rFonts w:eastAsia="Batang" w:cs="Arial"/>
                <w:szCs w:val="24"/>
                <w:lang w:eastAsia="ko-KR"/>
              </w:rPr>
            </w:pPr>
            <w:r w:rsidRPr="00740014">
              <w:rPr>
                <w:rFonts w:cs="Arial"/>
                <w:bCs/>
                <w:i/>
              </w:rPr>
              <w:t>Ending balance</w:t>
            </w:r>
          </w:p>
        </w:tc>
      </w:tr>
      <w:tr w:rsidR="00C12116" w:rsidRPr="002A0B87" w14:paraId="33B726E0" w14:textId="77777777" w:rsidTr="003E0DB9">
        <w:trPr>
          <w:trHeight w:val="20"/>
        </w:trPr>
        <w:tc>
          <w:tcPr>
            <w:tcW w:w="1238" w:type="dxa"/>
            <w:vMerge/>
            <w:vAlign w:val="center"/>
            <w:hideMark/>
          </w:tcPr>
          <w:p w14:paraId="56154B22" w14:textId="77777777" w:rsidR="00C12116" w:rsidRPr="002A0B87" w:rsidRDefault="00C12116" w:rsidP="00C12116">
            <w:pPr>
              <w:overflowPunct/>
              <w:autoSpaceDE/>
              <w:autoSpaceDN/>
              <w:adjustRightInd/>
              <w:textAlignment w:val="auto"/>
              <w:rPr>
                <w:rFonts w:cs="Arial"/>
                <w:i/>
              </w:rPr>
            </w:pPr>
          </w:p>
        </w:tc>
        <w:tc>
          <w:tcPr>
            <w:tcW w:w="1728" w:type="dxa"/>
            <w:vMerge/>
            <w:vAlign w:val="center"/>
            <w:hideMark/>
          </w:tcPr>
          <w:p w14:paraId="09F0340B" w14:textId="77777777" w:rsidR="00C12116" w:rsidRPr="002A0B87" w:rsidRDefault="00C12116" w:rsidP="00C12116">
            <w:pPr>
              <w:overflowPunct/>
              <w:autoSpaceDE/>
              <w:autoSpaceDN/>
              <w:adjustRightInd/>
              <w:textAlignment w:val="auto"/>
              <w:rPr>
                <w:rFonts w:cs="Arial"/>
                <w:i/>
              </w:rPr>
            </w:pPr>
          </w:p>
        </w:tc>
        <w:tc>
          <w:tcPr>
            <w:tcW w:w="1733" w:type="dxa"/>
            <w:noWrap/>
            <w:vAlign w:val="bottom"/>
            <w:hideMark/>
          </w:tcPr>
          <w:p w14:paraId="5F09318F" w14:textId="64FF1D8B" w:rsidR="00C12116" w:rsidRPr="002A0B87" w:rsidRDefault="008E1E52" w:rsidP="00C12116">
            <w:pPr>
              <w:widowControl w:val="0"/>
              <w:pBdr>
                <w:bottom w:val="single" w:sz="4" w:space="0" w:color="auto"/>
              </w:pBdr>
              <w:spacing w:before="120"/>
              <w:ind w:left="57" w:right="-85"/>
              <w:jc w:val="right"/>
              <w:rPr>
                <w:rFonts w:cs="Arial"/>
                <w:i/>
              </w:rPr>
            </w:pPr>
            <w:r w:rsidRPr="008E1E52">
              <w:rPr>
                <w:rFonts w:cs="Arial"/>
                <w:bCs/>
                <w:i/>
              </w:rPr>
              <w:t>Increase</w:t>
            </w:r>
          </w:p>
        </w:tc>
        <w:tc>
          <w:tcPr>
            <w:tcW w:w="1734" w:type="dxa"/>
            <w:noWrap/>
            <w:vAlign w:val="bottom"/>
            <w:hideMark/>
          </w:tcPr>
          <w:p w14:paraId="7EBF1130" w14:textId="2A1D3DE5" w:rsidR="00C12116" w:rsidRPr="002A0B87" w:rsidRDefault="00C0368E" w:rsidP="00C12116">
            <w:pPr>
              <w:widowControl w:val="0"/>
              <w:pBdr>
                <w:bottom w:val="single" w:sz="4" w:space="0" w:color="auto"/>
              </w:pBdr>
              <w:spacing w:before="120"/>
              <w:ind w:left="57" w:right="-85"/>
              <w:jc w:val="right"/>
              <w:rPr>
                <w:rFonts w:cs="Arial"/>
                <w:i/>
              </w:rPr>
            </w:pPr>
            <w:r w:rsidRPr="00C0368E">
              <w:rPr>
                <w:rFonts w:cs="Arial"/>
                <w:bCs/>
                <w:i/>
              </w:rPr>
              <w:t>Decrease</w:t>
            </w:r>
          </w:p>
        </w:tc>
        <w:tc>
          <w:tcPr>
            <w:tcW w:w="1728" w:type="dxa"/>
            <w:vMerge/>
            <w:vAlign w:val="center"/>
            <w:hideMark/>
          </w:tcPr>
          <w:p w14:paraId="03036144" w14:textId="77777777" w:rsidR="00C12116" w:rsidRPr="002A0B87" w:rsidRDefault="00C12116" w:rsidP="00C12116">
            <w:pPr>
              <w:overflowPunct/>
              <w:autoSpaceDE/>
              <w:autoSpaceDN/>
              <w:adjustRightInd/>
              <w:textAlignment w:val="auto"/>
              <w:rPr>
                <w:rFonts w:eastAsia="Batang" w:cs="Arial"/>
                <w:szCs w:val="24"/>
                <w:lang w:eastAsia="ko-KR"/>
              </w:rPr>
            </w:pPr>
          </w:p>
        </w:tc>
      </w:tr>
      <w:tr w:rsidR="00B759AC" w:rsidRPr="002A0B87" w14:paraId="6643D6E0" w14:textId="77777777" w:rsidTr="008F1B96">
        <w:trPr>
          <w:trHeight w:val="20"/>
        </w:trPr>
        <w:tc>
          <w:tcPr>
            <w:tcW w:w="1238" w:type="dxa"/>
            <w:noWrap/>
            <w:vAlign w:val="bottom"/>
            <w:hideMark/>
          </w:tcPr>
          <w:p w14:paraId="2B7CAA9D" w14:textId="2920D52D" w:rsidR="00B759AC" w:rsidRPr="002A0B87" w:rsidRDefault="00B759AC" w:rsidP="00B759AC">
            <w:pPr>
              <w:widowControl w:val="0"/>
              <w:spacing w:before="120"/>
              <w:ind w:left="-115"/>
              <w:rPr>
                <w:rFonts w:cs="Arial"/>
              </w:rPr>
            </w:pPr>
            <w:r>
              <w:rPr>
                <w:rFonts w:cs="Arial"/>
              </w:rPr>
              <w:t>VAT</w:t>
            </w:r>
          </w:p>
        </w:tc>
        <w:tc>
          <w:tcPr>
            <w:tcW w:w="1728" w:type="dxa"/>
            <w:noWrap/>
          </w:tcPr>
          <w:p w14:paraId="68AA1A68" w14:textId="62A38053" w:rsidR="00B759AC" w:rsidRPr="002A0B87" w:rsidRDefault="00B759AC" w:rsidP="00B759AC">
            <w:pPr>
              <w:overflowPunct/>
              <w:autoSpaceDE/>
              <w:autoSpaceDN/>
              <w:adjustRightInd/>
              <w:spacing w:before="120"/>
              <w:ind w:left="57" w:right="-85"/>
              <w:jc w:val="right"/>
              <w:textAlignment w:val="auto"/>
              <w:rPr>
                <w:rFonts w:eastAsia="Batang" w:cs="Arial"/>
              </w:rPr>
            </w:pPr>
            <w:r w:rsidRPr="001155F7">
              <w:t>-</w:t>
            </w:r>
          </w:p>
        </w:tc>
        <w:tc>
          <w:tcPr>
            <w:tcW w:w="1733" w:type="dxa"/>
            <w:noWrap/>
          </w:tcPr>
          <w:p w14:paraId="60C3EBA9" w14:textId="1B2582B7" w:rsidR="00B759AC" w:rsidRPr="002A0B87" w:rsidRDefault="00B759AC" w:rsidP="00B759AC">
            <w:pPr>
              <w:overflowPunct/>
              <w:autoSpaceDE/>
              <w:autoSpaceDN/>
              <w:adjustRightInd/>
              <w:spacing w:before="120"/>
              <w:ind w:left="57" w:right="-85"/>
              <w:jc w:val="right"/>
              <w:textAlignment w:val="auto"/>
              <w:rPr>
                <w:rFonts w:eastAsia="Batang" w:cs="Arial"/>
                <w:highlight w:val="yellow"/>
              </w:rPr>
            </w:pPr>
            <w:r w:rsidRPr="001155F7">
              <w:t>51</w:t>
            </w:r>
            <w:r>
              <w:t>,</w:t>
            </w:r>
            <w:r w:rsidRPr="001155F7">
              <w:t>841</w:t>
            </w:r>
            <w:r>
              <w:t>,</w:t>
            </w:r>
            <w:r w:rsidRPr="001155F7">
              <w:t>525</w:t>
            </w:r>
          </w:p>
        </w:tc>
        <w:tc>
          <w:tcPr>
            <w:tcW w:w="1734" w:type="dxa"/>
            <w:noWrap/>
          </w:tcPr>
          <w:p w14:paraId="5734911A" w14:textId="23C03E9B" w:rsidR="00B759AC" w:rsidRPr="002A0B87" w:rsidRDefault="00B759AC" w:rsidP="00B759AC">
            <w:pPr>
              <w:overflowPunct/>
              <w:autoSpaceDE/>
              <w:autoSpaceDN/>
              <w:adjustRightInd/>
              <w:spacing w:before="120"/>
              <w:ind w:left="57" w:right="-85"/>
              <w:jc w:val="right"/>
              <w:textAlignment w:val="auto"/>
              <w:rPr>
                <w:rFonts w:eastAsia="Batang" w:cs="Arial"/>
                <w:highlight w:val="yellow"/>
              </w:rPr>
            </w:pPr>
            <w:r w:rsidRPr="001155F7">
              <w:t>(51</w:t>
            </w:r>
            <w:r>
              <w:t>,</w:t>
            </w:r>
            <w:r w:rsidRPr="001155F7">
              <w:t>841</w:t>
            </w:r>
            <w:r>
              <w:t>,</w:t>
            </w:r>
            <w:r w:rsidRPr="001155F7">
              <w:t>525)</w:t>
            </w:r>
          </w:p>
        </w:tc>
        <w:tc>
          <w:tcPr>
            <w:tcW w:w="1728" w:type="dxa"/>
            <w:noWrap/>
          </w:tcPr>
          <w:p w14:paraId="16AF8311" w14:textId="1C41F9F5" w:rsidR="00B759AC" w:rsidRPr="002A0B87" w:rsidRDefault="00B759AC" w:rsidP="00B759AC">
            <w:pPr>
              <w:overflowPunct/>
              <w:autoSpaceDE/>
              <w:autoSpaceDN/>
              <w:adjustRightInd/>
              <w:spacing w:before="120"/>
              <w:ind w:left="57" w:right="-85"/>
              <w:jc w:val="right"/>
              <w:textAlignment w:val="auto"/>
              <w:rPr>
                <w:rFonts w:eastAsia="Batang" w:cs="Arial"/>
                <w:highlight w:val="yellow"/>
              </w:rPr>
            </w:pPr>
            <w:r w:rsidRPr="001155F7">
              <w:t>-</w:t>
            </w:r>
          </w:p>
        </w:tc>
      </w:tr>
      <w:tr w:rsidR="00B759AC" w:rsidRPr="002A0B87" w14:paraId="3074FE7E" w14:textId="77777777" w:rsidTr="008F1B96">
        <w:trPr>
          <w:trHeight w:val="20"/>
        </w:trPr>
        <w:tc>
          <w:tcPr>
            <w:tcW w:w="1238" w:type="dxa"/>
            <w:noWrap/>
            <w:vAlign w:val="bottom"/>
          </w:tcPr>
          <w:p w14:paraId="351EAD33" w14:textId="3081083F" w:rsidR="00B759AC" w:rsidRPr="006129CF" w:rsidRDefault="00B759AC" w:rsidP="00B759AC">
            <w:pPr>
              <w:widowControl w:val="0"/>
              <w:ind w:left="-115"/>
              <w:rPr>
                <w:rFonts w:cs="Arial"/>
              </w:rPr>
            </w:pPr>
            <w:r>
              <w:rPr>
                <w:rFonts w:cs="Arial"/>
              </w:rPr>
              <w:t>CIT</w:t>
            </w:r>
          </w:p>
        </w:tc>
        <w:tc>
          <w:tcPr>
            <w:tcW w:w="1728" w:type="dxa"/>
            <w:noWrap/>
          </w:tcPr>
          <w:p w14:paraId="74E750B2" w14:textId="6E4A8468" w:rsidR="00B759AC" w:rsidRDefault="00B759AC" w:rsidP="00B759AC">
            <w:pPr>
              <w:overflowPunct/>
              <w:autoSpaceDE/>
              <w:autoSpaceDN/>
              <w:adjustRightInd/>
              <w:ind w:left="57" w:right="-85"/>
              <w:jc w:val="right"/>
              <w:textAlignment w:val="auto"/>
              <w:rPr>
                <w:rFonts w:cs="Arial"/>
              </w:rPr>
            </w:pPr>
            <w:r w:rsidRPr="001155F7">
              <w:t>2</w:t>
            </w:r>
            <w:r>
              <w:t>,</w:t>
            </w:r>
            <w:r w:rsidRPr="001155F7">
              <w:t>837</w:t>
            </w:r>
            <w:r>
              <w:t>,</w:t>
            </w:r>
            <w:r w:rsidRPr="001155F7">
              <w:t>904</w:t>
            </w:r>
            <w:r>
              <w:t>,</w:t>
            </w:r>
            <w:r w:rsidRPr="001155F7">
              <w:t xml:space="preserve">262 </w:t>
            </w:r>
          </w:p>
        </w:tc>
        <w:tc>
          <w:tcPr>
            <w:tcW w:w="1733" w:type="dxa"/>
            <w:noWrap/>
          </w:tcPr>
          <w:p w14:paraId="690FAE54" w14:textId="26D70C42" w:rsidR="00B759AC" w:rsidRPr="0074153C" w:rsidRDefault="00B759AC" w:rsidP="00B759AC">
            <w:pPr>
              <w:overflowPunct/>
              <w:autoSpaceDE/>
              <w:autoSpaceDN/>
              <w:adjustRightInd/>
              <w:ind w:left="57" w:right="-85"/>
              <w:jc w:val="right"/>
              <w:textAlignment w:val="auto"/>
              <w:rPr>
                <w:rFonts w:cs="Arial"/>
              </w:rPr>
            </w:pPr>
            <w:r w:rsidRPr="001155F7">
              <w:t>7</w:t>
            </w:r>
            <w:r>
              <w:t>,</w:t>
            </w:r>
            <w:r w:rsidRPr="001155F7">
              <w:t>028</w:t>
            </w:r>
            <w:r>
              <w:t>,</w:t>
            </w:r>
            <w:r w:rsidRPr="001155F7">
              <w:t>527</w:t>
            </w:r>
            <w:r>
              <w:t>,</w:t>
            </w:r>
            <w:r w:rsidRPr="001155F7">
              <w:t>633</w:t>
            </w:r>
          </w:p>
        </w:tc>
        <w:tc>
          <w:tcPr>
            <w:tcW w:w="1734" w:type="dxa"/>
            <w:noWrap/>
          </w:tcPr>
          <w:p w14:paraId="199FBB7D" w14:textId="672909A9" w:rsidR="00B759AC" w:rsidRPr="0074153C" w:rsidRDefault="00B759AC" w:rsidP="00B759AC">
            <w:pPr>
              <w:overflowPunct/>
              <w:autoSpaceDE/>
              <w:autoSpaceDN/>
              <w:adjustRightInd/>
              <w:ind w:left="57" w:right="-85"/>
              <w:jc w:val="right"/>
              <w:textAlignment w:val="auto"/>
              <w:rPr>
                <w:rFonts w:cs="Arial"/>
              </w:rPr>
            </w:pPr>
            <w:r w:rsidRPr="001155F7">
              <w:t>(9</w:t>
            </w:r>
            <w:r>
              <w:t>,</w:t>
            </w:r>
            <w:r w:rsidRPr="001155F7">
              <w:t>562</w:t>
            </w:r>
            <w:r>
              <w:t>,</w:t>
            </w:r>
            <w:r w:rsidRPr="001155F7">
              <w:t>167</w:t>
            </w:r>
            <w:r>
              <w:t>,</w:t>
            </w:r>
            <w:r w:rsidRPr="001155F7">
              <w:t>251)</w:t>
            </w:r>
          </w:p>
        </w:tc>
        <w:tc>
          <w:tcPr>
            <w:tcW w:w="1728" w:type="dxa"/>
            <w:noWrap/>
          </w:tcPr>
          <w:p w14:paraId="1FE85E43" w14:textId="774A2BD7" w:rsidR="00B759AC" w:rsidRPr="0074153C" w:rsidRDefault="00B759AC" w:rsidP="00B759AC">
            <w:pPr>
              <w:overflowPunct/>
              <w:autoSpaceDE/>
              <w:autoSpaceDN/>
              <w:adjustRightInd/>
              <w:ind w:left="57" w:right="-85"/>
              <w:jc w:val="right"/>
              <w:textAlignment w:val="auto"/>
              <w:rPr>
                <w:rFonts w:cs="Arial"/>
              </w:rPr>
            </w:pPr>
            <w:r w:rsidRPr="001155F7">
              <w:t>304</w:t>
            </w:r>
            <w:r>
              <w:t>,</w:t>
            </w:r>
            <w:r w:rsidRPr="001155F7">
              <w:t>264</w:t>
            </w:r>
            <w:r>
              <w:t>,</w:t>
            </w:r>
            <w:r w:rsidRPr="001155F7">
              <w:t>644</w:t>
            </w:r>
          </w:p>
        </w:tc>
      </w:tr>
      <w:tr w:rsidR="00B759AC" w:rsidRPr="002A0B87" w14:paraId="1451D525" w14:textId="77777777" w:rsidTr="008F1B96">
        <w:trPr>
          <w:trHeight w:val="20"/>
        </w:trPr>
        <w:tc>
          <w:tcPr>
            <w:tcW w:w="1238" w:type="dxa"/>
            <w:noWrap/>
            <w:vAlign w:val="bottom"/>
          </w:tcPr>
          <w:p w14:paraId="229DE419" w14:textId="2C04D0DD" w:rsidR="00B759AC" w:rsidRPr="002A0B87" w:rsidRDefault="00B759AC" w:rsidP="00B759AC">
            <w:pPr>
              <w:widowControl w:val="0"/>
              <w:ind w:left="-115"/>
              <w:rPr>
                <w:rFonts w:cs="Arial"/>
              </w:rPr>
            </w:pPr>
            <w:r w:rsidRPr="009D2B62">
              <w:rPr>
                <w:rFonts w:cs="Arial"/>
              </w:rPr>
              <w:t>PIT</w:t>
            </w:r>
          </w:p>
        </w:tc>
        <w:tc>
          <w:tcPr>
            <w:tcW w:w="1728" w:type="dxa"/>
            <w:noWrap/>
          </w:tcPr>
          <w:p w14:paraId="1E445D0A" w14:textId="7455040F" w:rsidR="00B759AC" w:rsidRPr="002A0B87" w:rsidRDefault="00B759AC" w:rsidP="00B759AC">
            <w:pPr>
              <w:overflowPunct/>
              <w:autoSpaceDE/>
              <w:autoSpaceDN/>
              <w:adjustRightInd/>
              <w:ind w:left="57" w:right="-85"/>
              <w:jc w:val="right"/>
              <w:textAlignment w:val="auto"/>
              <w:rPr>
                <w:rFonts w:cs="Arial"/>
              </w:rPr>
            </w:pPr>
            <w:r w:rsidRPr="001155F7">
              <w:t>10</w:t>
            </w:r>
            <w:r>
              <w:t>,</w:t>
            </w:r>
            <w:r w:rsidRPr="001155F7">
              <w:t>839</w:t>
            </w:r>
            <w:r>
              <w:t>,</w:t>
            </w:r>
            <w:r w:rsidRPr="001155F7">
              <w:t>437</w:t>
            </w:r>
            <w:r>
              <w:t>,</w:t>
            </w:r>
            <w:r w:rsidRPr="001155F7">
              <w:t xml:space="preserve">539 </w:t>
            </w:r>
          </w:p>
        </w:tc>
        <w:tc>
          <w:tcPr>
            <w:tcW w:w="1733" w:type="dxa"/>
            <w:noWrap/>
          </w:tcPr>
          <w:p w14:paraId="3FB206D3" w14:textId="16F52402" w:rsidR="00B759AC" w:rsidRPr="002A0B87" w:rsidRDefault="00B759AC" w:rsidP="00B759AC">
            <w:pPr>
              <w:overflowPunct/>
              <w:autoSpaceDE/>
              <w:autoSpaceDN/>
              <w:adjustRightInd/>
              <w:ind w:left="57" w:right="-85"/>
              <w:jc w:val="right"/>
              <w:textAlignment w:val="auto"/>
              <w:rPr>
                <w:rFonts w:cs="Arial"/>
              </w:rPr>
            </w:pPr>
            <w:r w:rsidRPr="001155F7">
              <w:t>31</w:t>
            </w:r>
            <w:r>
              <w:t>,</w:t>
            </w:r>
            <w:r w:rsidRPr="001155F7">
              <w:t>990</w:t>
            </w:r>
            <w:r>
              <w:t>,</w:t>
            </w:r>
            <w:r w:rsidRPr="001155F7">
              <w:t>902</w:t>
            </w:r>
            <w:r>
              <w:t>,</w:t>
            </w:r>
            <w:r w:rsidRPr="001155F7">
              <w:t>213</w:t>
            </w:r>
          </w:p>
        </w:tc>
        <w:tc>
          <w:tcPr>
            <w:tcW w:w="1734" w:type="dxa"/>
            <w:noWrap/>
          </w:tcPr>
          <w:p w14:paraId="2BBC9D5A" w14:textId="6653CDC0" w:rsidR="00B759AC" w:rsidRPr="002A0B87" w:rsidRDefault="00B759AC" w:rsidP="00B759AC">
            <w:pPr>
              <w:overflowPunct/>
              <w:autoSpaceDE/>
              <w:autoSpaceDN/>
              <w:adjustRightInd/>
              <w:ind w:left="57" w:right="-85"/>
              <w:jc w:val="right"/>
              <w:textAlignment w:val="auto"/>
              <w:rPr>
                <w:rFonts w:cs="Arial"/>
              </w:rPr>
            </w:pPr>
            <w:r w:rsidRPr="001155F7">
              <w:t>(40</w:t>
            </w:r>
            <w:r>
              <w:t>,</w:t>
            </w:r>
            <w:r w:rsidRPr="001155F7">
              <w:t>688</w:t>
            </w:r>
            <w:r>
              <w:t>,</w:t>
            </w:r>
            <w:r w:rsidRPr="001155F7">
              <w:t>759</w:t>
            </w:r>
            <w:r>
              <w:t>,</w:t>
            </w:r>
            <w:r w:rsidRPr="001155F7">
              <w:t>177)</w:t>
            </w:r>
          </w:p>
        </w:tc>
        <w:tc>
          <w:tcPr>
            <w:tcW w:w="1728" w:type="dxa"/>
            <w:noWrap/>
          </w:tcPr>
          <w:p w14:paraId="7DED5138" w14:textId="16E121C1" w:rsidR="00B759AC" w:rsidRPr="002A0B87" w:rsidRDefault="00B759AC" w:rsidP="00B759AC">
            <w:pPr>
              <w:overflowPunct/>
              <w:autoSpaceDE/>
              <w:autoSpaceDN/>
              <w:adjustRightInd/>
              <w:ind w:left="57" w:right="-85"/>
              <w:jc w:val="right"/>
              <w:textAlignment w:val="auto"/>
              <w:rPr>
                <w:rFonts w:cs="Arial"/>
              </w:rPr>
            </w:pPr>
            <w:r w:rsidRPr="001155F7">
              <w:t>2</w:t>
            </w:r>
            <w:r>
              <w:t>,</w:t>
            </w:r>
            <w:r w:rsidRPr="001155F7">
              <w:t>141</w:t>
            </w:r>
            <w:r>
              <w:t>,</w:t>
            </w:r>
            <w:r w:rsidRPr="001155F7">
              <w:t>580</w:t>
            </w:r>
            <w:r>
              <w:t>,</w:t>
            </w:r>
            <w:r w:rsidRPr="001155F7">
              <w:t>575</w:t>
            </w:r>
          </w:p>
        </w:tc>
      </w:tr>
      <w:tr w:rsidR="00B759AC" w:rsidRPr="002A0B87" w14:paraId="3F2258E9" w14:textId="77777777" w:rsidTr="008F1B96">
        <w:trPr>
          <w:trHeight w:val="20"/>
        </w:trPr>
        <w:tc>
          <w:tcPr>
            <w:tcW w:w="1238" w:type="dxa"/>
            <w:noWrap/>
            <w:vAlign w:val="bottom"/>
            <w:hideMark/>
          </w:tcPr>
          <w:p w14:paraId="539735F3" w14:textId="0BE3A3AE" w:rsidR="00B759AC" w:rsidRPr="002A0B87" w:rsidRDefault="00B759AC" w:rsidP="00B759AC">
            <w:pPr>
              <w:widowControl w:val="0"/>
              <w:ind w:left="-115"/>
              <w:rPr>
                <w:rFonts w:cs="Arial"/>
              </w:rPr>
            </w:pPr>
            <w:r w:rsidRPr="00D236C7">
              <w:rPr>
                <w:rFonts w:cs="Arial"/>
              </w:rPr>
              <w:t>Others</w:t>
            </w:r>
          </w:p>
        </w:tc>
        <w:tc>
          <w:tcPr>
            <w:tcW w:w="1728" w:type="dxa"/>
            <w:noWrap/>
          </w:tcPr>
          <w:p w14:paraId="6AFD9EAA" w14:textId="2C779639" w:rsidR="00B759AC" w:rsidRPr="002A0B87" w:rsidRDefault="00B759AC" w:rsidP="00B759AC">
            <w:pPr>
              <w:pBdr>
                <w:bottom w:val="single" w:sz="4" w:space="0" w:color="auto"/>
              </w:pBdr>
              <w:overflowPunct/>
              <w:autoSpaceDE/>
              <w:autoSpaceDN/>
              <w:adjustRightInd/>
              <w:ind w:left="57" w:right="-85"/>
              <w:jc w:val="right"/>
              <w:textAlignment w:val="auto"/>
              <w:rPr>
                <w:rFonts w:eastAsia="Batang" w:cs="Arial"/>
              </w:rPr>
            </w:pPr>
            <w:r w:rsidRPr="001155F7">
              <w:t>23</w:t>
            </w:r>
            <w:r>
              <w:t>,</w:t>
            </w:r>
            <w:r w:rsidRPr="001155F7">
              <w:t>568</w:t>
            </w:r>
            <w:r>
              <w:t>,</w:t>
            </w:r>
            <w:r w:rsidRPr="001155F7">
              <w:t xml:space="preserve">315 </w:t>
            </w:r>
          </w:p>
        </w:tc>
        <w:tc>
          <w:tcPr>
            <w:tcW w:w="1733" w:type="dxa"/>
            <w:noWrap/>
          </w:tcPr>
          <w:p w14:paraId="1EBCD579" w14:textId="5A1CE976" w:rsidR="00B759AC" w:rsidRPr="002A0B87" w:rsidRDefault="00B759AC" w:rsidP="00B759AC">
            <w:pPr>
              <w:pBdr>
                <w:bottom w:val="single" w:sz="4" w:space="0" w:color="auto"/>
              </w:pBdr>
              <w:overflowPunct/>
              <w:autoSpaceDE/>
              <w:autoSpaceDN/>
              <w:adjustRightInd/>
              <w:ind w:left="57" w:right="-85"/>
              <w:jc w:val="right"/>
              <w:textAlignment w:val="auto"/>
              <w:rPr>
                <w:rFonts w:eastAsia="Batang" w:cs="Arial"/>
                <w:highlight w:val="yellow"/>
              </w:rPr>
            </w:pPr>
            <w:r w:rsidRPr="001155F7">
              <w:t>1</w:t>
            </w:r>
            <w:r>
              <w:t>,</w:t>
            </w:r>
            <w:r w:rsidRPr="001155F7">
              <w:t>226</w:t>
            </w:r>
            <w:r>
              <w:t>,</w:t>
            </w:r>
            <w:r w:rsidRPr="001155F7">
              <w:t>558</w:t>
            </w:r>
            <w:r>
              <w:t>,</w:t>
            </w:r>
            <w:r w:rsidRPr="001155F7">
              <w:t>576</w:t>
            </w:r>
          </w:p>
        </w:tc>
        <w:tc>
          <w:tcPr>
            <w:tcW w:w="1734" w:type="dxa"/>
            <w:noWrap/>
          </w:tcPr>
          <w:p w14:paraId="4D564438" w14:textId="70E3E172" w:rsidR="00B759AC" w:rsidRPr="002A0B87" w:rsidRDefault="00B759AC" w:rsidP="00B759AC">
            <w:pPr>
              <w:pBdr>
                <w:bottom w:val="single" w:sz="4" w:space="0" w:color="auto"/>
              </w:pBdr>
              <w:overflowPunct/>
              <w:autoSpaceDE/>
              <w:autoSpaceDN/>
              <w:adjustRightInd/>
              <w:ind w:left="57" w:right="-85"/>
              <w:jc w:val="right"/>
              <w:textAlignment w:val="auto"/>
              <w:rPr>
                <w:rFonts w:eastAsia="Batang" w:cs="Arial"/>
                <w:highlight w:val="yellow"/>
              </w:rPr>
            </w:pPr>
            <w:r w:rsidRPr="001155F7">
              <w:t>(1</w:t>
            </w:r>
            <w:r>
              <w:t>,</w:t>
            </w:r>
            <w:r w:rsidRPr="001155F7">
              <w:t>235</w:t>
            </w:r>
            <w:r>
              <w:t>,</w:t>
            </w:r>
            <w:r w:rsidRPr="001155F7">
              <w:t>110</w:t>
            </w:r>
            <w:r>
              <w:t>,</w:t>
            </w:r>
            <w:r w:rsidRPr="001155F7">
              <w:t>906)</w:t>
            </w:r>
          </w:p>
        </w:tc>
        <w:tc>
          <w:tcPr>
            <w:tcW w:w="1728" w:type="dxa"/>
            <w:noWrap/>
          </w:tcPr>
          <w:p w14:paraId="0183FA34" w14:textId="6171736F" w:rsidR="00B759AC" w:rsidRPr="002A0B87" w:rsidRDefault="00B759AC" w:rsidP="00B759AC">
            <w:pPr>
              <w:pBdr>
                <w:bottom w:val="single" w:sz="4" w:space="0" w:color="auto"/>
              </w:pBdr>
              <w:overflowPunct/>
              <w:autoSpaceDE/>
              <w:autoSpaceDN/>
              <w:adjustRightInd/>
              <w:ind w:left="57" w:right="-85"/>
              <w:jc w:val="right"/>
              <w:textAlignment w:val="auto"/>
              <w:rPr>
                <w:rFonts w:eastAsia="Batang" w:cs="Arial"/>
                <w:highlight w:val="yellow"/>
              </w:rPr>
            </w:pPr>
            <w:r w:rsidRPr="001155F7">
              <w:t>15</w:t>
            </w:r>
            <w:r>
              <w:t>,</w:t>
            </w:r>
            <w:r w:rsidRPr="001155F7">
              <w:t>015</w:t>
            </w:r>
            <w:r>
              <w:t>,</w:t>
            </w:r>
            <w:r w:rsidRPr="001155F7">
              <w:t>985</w:t>
            </w:r>
          </w:p>
        </w:tc>
      </w:tr>
      <w:tr w:rsidR="00B759AC" w:rsidRPr="002A0B87" w14:paraId="25B34A3C" w14:textId="77777777" w:rsidTr="008F1B96">
        <w:trPr>
          <w:trHeight w:val="20"/>
        </w:trPr>
        <w:tc>
          <w:tcPr>
            <w:tcW w:w="1238" w:type="dxa"/>
            <w:noWrap/>
            <w:vAlign w:val="bottom"/>
          </w:tcPr>
          <w:p w14:paraId="23B9A915" w14:textId="77777777" w:rsidR="00B759AC" w:rsidRPr="002A0B87" w:rsidRDefault="00B759AC" w:rsidP="00B759AC">
            <w:pPr>
              <w:widowControl w:val="0"/>
              <w:spacing w:before="120"/>
              <w:ind w:left="-115"/>
              <w:rPr>
                <w:rFonts w:cs="Arial"/>
                <w:b/>
              </w:rPr>
            </w:pPr>
          </w:p>
        </w:tc>
        <w:tc>
          <w:tcPr>
            <w:tcW w:w="1728" w:type="dxa"/>
            <w:noWrap/>
          </w:tcPr>
          <w:p w14:paraId="24983FAE" w14:textId="31CF690F" w:rsidR="00B759AC" w:rsidRPr="00B759AC" w:rsidRDefault="00B759AC" w:rsidP="00B759AC">
            <w:pPr>
              <w:pBdr>
                <w:bottom w:val="double" w:sz="4" w:space="0" w:color="auto"/>
              </w:pBdr>
              <w:overflowPunct/>
              <w:autoSpaceDE/>
              <w:autoSpaceDN/>
              <w:adjustRightInd/>
              <w:spacing w:before="120"/>
              <w:ind w:left="57" w:right="-85"/>
              <w:jc w:val="right"/>
              <w:textAlignment w:val="auto"/>
              <w:rPr>
                <w:rFonts w:eastAsia="Batang" w:cs="Arial"/>
                <w:b/>
                <w:bCs/>
              </w:rPr>
            </w:pPr>
            <w:r w:rsidRPr="00B759AC">
              <w:rPr>
                <w:b/>
                <w:bCs/>
              </w:rPr>
              <w:t xml:space="preserve">13,700,910,116 </w:t>
            </w:r>
          </w:p>
        </w:tc>
        <w:tc>
          <w:tcPr>
            <w:tcW w:w="1733" w:type="dxa"/>
            <w:noWrap/>
          </w:tcPr>
          <w:p w14:paraId="7FCFC0C3" w14:textId="11C95676" w:rsidR="00B759AC" w:rsidRPr="00B759AC" w:rsidRDefault="00B759AC" w:rsidP="00B759AC">
            <w:pPr>
              <w:pBdr>
                <w:bottom w:val="double" w:sz="4" w:space="0" w:color="auto"/>
              </w:pBdr>
              <w:overflowPunct/>
              <w:autoSpaceDE/>
              <w:autoSpaceDN/>
              <w:adjustRightInd/>
              <w:spacing w:before="120"/>
              <w:ind w:left="57" w:right="-85"/>
              <w:jc w:val="right"/>
              <w:textAlignment w:val="auto"/>
              <w:rPr>
                <w:rFonts w:eastAsia="Batang" w:cs="Arial"/>
                <w:b/>
                <w:bCs/>
                <w:color w:val="000000"/>
                <w:highlight w:val="yellow"/>
                <w:lang w:eastAsia="ko-KR"/>
              </w:rPr>
            </w:pPr>
            <w:r w:rsidRPr="00B759AC">
              <w:rPr>
                <w:b/>
                <w:bCs/>
              </w:rPr>
              <w:t>40,297,829,947</w:t>
            </w:r>
          </w:p>
        </w:tc>
        <w:tc>
          <w:tcPr>
            <w:tcW w:w="1734" w:type="dxa"/>
            <w:noWrap/>
          </w:tcPr>
          <w:p w14:paraId="6022EEC6" w14:textId="5E525398" w:rsidR="00B759AC" w:rsidRPr="00B759AC" w:rsidRDefault="00B759AC" w:rsidP="00B759AC">
            <w:pPr>
              <w:pBdr>
                <w:bottom w:val="double" w:sz="4" w:space="0" w:color="auto"/>
              </w:pBdr>
              <w:overflowPunct/>
              <w:autoSpaceDE/>
              <w:autoSpaceDN/>
              <w:adjustRightInd/>
              <w:spacing w:before="120"/>
              <w:ind w:left="57" w:right="-85"/>
              <w:jc w:val="right"/>
              <w:textAlignment w:val="auto"/>
              <w:rPr>
                <w:rFonts w:eastAsia="Batang" w:cs="Arial"/>
                <w:b/>
                <w:bCs/>
                <w:color w:val="000000"/>
                <w:highlight w:val="yellow"/>
                <w:lang w:eastAsia="ko-KR"/>
              </w:rPr>
            </w:pPr>
            <w:r w:rsidRPr="00B759AC">
              <w:rPr>
                <w:b/>
                <w:bCs/>
              </w:rPr>
              <w:t>(51,537,878,859)</w:t>
            </w:r>
          </w:p>
        </w:tc>
        <w:tc>
          <w:tcPr>
            <w:tcW w:w="1728" w:type="dxa"/>
            <w:noWrap/>
          </w:tcPr>
          <w:p w14:paraId="372F1E89" w14:textId="1D9EBA2B" w:rsidR="00B759AC" w:rsidRPr="00B759AC" w:rsidRDefault="00B759AC" w:rsidP="00B759AC">
            <w:pPr>
              <w:pBdr>
                <w:bottom w:val="double" w:sz="4" w:space="0" w:color="auto"/>
              </w:pBdr>
              <w:overflowPunct/>
              <w:autoSpaceDE/>
              <w:autoSpaceDN/>
              <w:adjustRightInd/>
              <w:spacing w:before="120"/>
              <w:ind w:left="57" w:right="-85"/>
              <w:jc w:val="right"/>
              <w:textAlignment w:val="auto"/>
              <w:rPr>
                <w:rFonts w:eastAsia="Batang" w:cs="Arial"/>
                <w:b/>
                <w:bCs/>
                <w:color w:val="000000"/>
                <w:highlight w:val="yellow"/>
                <w:lang w:eastAsia="ko-KR"/>
              </w:rPr>
            </w:pPr>
            <w:r w:rsidRPr="00B759AC">
              <w:rPr>
                <w:b/>
                <w:bCs/>
              </w:rPr>
              <w:t>2,460,861,204</w:t>
            </w:r>
          </w:p>
        </w:tc>
      </w:tr>
    </w:tbl>
    <w:p w14:paraId="6A3398D1" w14:textId="587A6C88" w:rsidR="00C12116" w:rsidRPr="002A0B87" w:rsidRDefault="00C12116" w:rsidP="00760439">
      <w:pPr>
        <w:pStyle w:val="NoSpacing"/>
      </w:pPr>
    </w:p>
    <w:p w14:paraId="6BA278BE" w14:textId="77777777" w:rsidR="00C12116" w:rsidRPr="002A0B87" w:rsidRDefault="00C12116" w:rsidP="00760439">
      <w:pPr>
        <w:pStyle w:val="NoSpacing"/>
      </w:pPr>
    </w:p>
    <w:p w14:paraId="4E4D458A" w14:textId="55914F7D" w:rsidR="004C4D08" w:rsidRPr="002A0B87" w:rsidRDefault="00024C64" w:rsidP="004C4D08">
      <w:pPr>
        <w:pStyle w:val="BodyText"/>
        <w:ind w:left="720" w:hanging="720"/>
        <w:textAlignment w:val="auto"/>
        <w:outlineLvl w:val="0"/>
        <w:rPr>
          <w:rFonts w:ascii="Arial" w:hAnsi="Arial" w:cs="Arial"/>
          <w:b/>
          <w:bCs/>
        </w:rPr>
      </w:pPr>
      <w:r>
        <w:rPr>
          <w:rFonts w:ascii="Arial" w:hAnsi="Arial" w:cs="Arial"/>
          <w:b/>
          <w:bCs/>
        </w:rPr>
        <w:t>1</w:t>
      </w:r>
      <w:r w:rsidR="00E31DFE">
        <w:rPr>
          <w:rFonts w:ascii="Arial" w:hAnsi="Arial" w:cs="Arial"/>
          <w:b/>
          <w:bCs/>
        </w:rPr>
        <w:t>7</w:t>
      </w:r>
      <w:r w:rsidR="004C4D08" w:rsidRPr="002A0B87">
        <w:rPr>
          <w:rFonts w:ascii="Arial" w:hAnsi="Arial" w:cs="Arial"/>
          <w:b/>
          <w:bCs/>
        </w:rPr>
        <w:t>.</w:t>
      </w:r>
      <w:r w:rsidR="004C4D08" w:rsidRPr="002A0B87">
        <w:rPr>
          <w:rFonts w:ascii="Arial" w:hAnsi="Arial" w:cs="Arial"/>
          <w:b/>
          <w:bCs/>
        </w:rPr>
        <w:tab/>
      </w:r>
      <w:r w:rsidR="00492268" w:rsidRPr="00492268">
        <w:rPr>
          <w:rFonts w:ascii="Arial" w:hAnsi="Arial" w:cs="Arial"/>
          <w:b/>
          <w:bCs/>
        </w:rPr>
        <w:t>SHORT-TERM ACCRUED EXPENSES</w:t>
      </w:r>
      <w:r w:rsidR="00492268" w:rsidRPr="00492268" w:rsidDel="00492268">
        <w:rPr>
          <w:rFonts w:ascii="Arial" w:hAnsi="Arial" w:cs="Arial"/>
          <w:b/>
          <w:bCs/>
        </w:rPr>
        <w:t xml:space="preserve"> </w:t>
      </w:r>
    </w:p>
    <w:p w14:paraId="0571984D" w14:textId="40188E86" w:rsidR="004C4D08" w:rsidRPr="002A0B87" w:rsidRDefault="004C4D08" w:rsidP="00760439">
      <w:pPr>
        <w:pStyle w:val="NoSpacing"/>
      </w:pPr>
    </w:p>
    <w:tbl>
      <w:tblPr>
        <w:tblW w:w="8160" w:type="dxa"/>
        <w:tblInd w:w="720" w:type="dxa"/>
        <w:tblLayout w:type="fixed"/>
        <w:tblLook w:val="01E0" w:firstRow="1" w:lastRow="1" w:firstColumn="1" w:lastColumn="1" w:noHBand="0" w:noVBand="0"/>
      </w:tblPr>
      <w:tblGrid>
        <w:gridCol w:w="4764"/>
        <w:gridCol w:w="1626"/>
        <w:gridCol w:w="1770"/>
      </w:tblGrid>
      <w:tr w:rsidR="00357193" w:rsidRPr="002A0B87" w14:paraId="6395E8A3" w14:textId="77777777" w:rsidTr="00FA28E4">
        <w:trPr>
          <w:trHeight w:val="20"/>
          <w:tblHeader/>
        </w:trPr>
        <w:tc>
          <w:tcPr>
            <w:tcW w:w="4764" w:type="dxa"/>
            <w:vAlign w:val="bottom"/>
          </w:tcPr>
          <w:p w14:paraId="3D274F68" w14:textId="77777777" w:rsidR="00357193" w:rsidRPr="002A0B87" w:rsidRDefault="00357193" w:rsidP="00F004D4">
            <w:pPr>
              <w:widowControl w:val="0"/>
              <w:overflowPunct/>
              <w:autoSpaceDE/>
              <w:autoSpaceDN/>
              <w:adjustRightInd/>
              <w:ind w:left="-115"/>
              <w:textAlignment w:val="auto"/>
              <w:rPr>
                <w:rFonts w:eastAsia="Batang" w:cs="Arial"/>
                <w:i/>
                <w:lang w:val="es-ES"/>
              </w:rPr>
            </w:pPr>
          </w:p>
        </w:tc>
        <w:tc>
          <w:tcPr>
            <w:tcW w:w="1626" w:type="dxa"/>
            <w:vAlign w:val="bottom"/>
            <w:hideMark/>
          </w:tcPr>
          <w:p w14:paraId="281E197B" w14:textId="73C5A35A" w:rsidR="00357193" w:rsidRPr="002A0B87" w:rsidRDefault="00713B0B" w:rsidP="00B656BB">
            <w:pPr>
              <w:widowControl w:val="0"/>
              <w:pBdr>
                <w:bottom w:val="single" w:sz="4" w:space="0" w:color="auto"/>
              </w:pBdr>
              <w:overflowPunct/>
              <w:autoSpaceDE/>
              <w:autoSpaceDN/>
              <w:adjustRightInd/>
              <w:ind w:left="57" w:right="-85"/>
              <w:jc w:val="right"/>
              <w:textAlignment w:val="auto"/>
              <w:rPr>
                <w:rFonts w:eastAsia="Batang" w:cs="Arial"/>
                <w:bCs/>
                <w:i/>
              </w:rPr>
            </w:pPr>
            <w:r w:rsidRPr="00713B0B">
              <w:rPr>
                <w:rFonts w:eastAsia="Batang" w:cs="Arial"/>
                <w:bCs/>
                <w:i/>
              </w:rPr>
              <w:t>Ending balance</w:t>
            </w:r>
          </w:p>
          <w:p w14:paraId="25C44F37" w14:textId="77777777" w:rsidR="00357193" w:rsidRPr="002A0B87" w:rsidRDefault="00357193" w:rsidP="00B656BB">
            <w:pPr>
              <w:widowControl w:val="0"/>
              <w:pBdr>
                <w:bottom w:val="single" w:sz="4" w:space="0" w:color="auto"/>
              </w:pBdr>
              <w:ind w:left="57" w:right="-85"/>
              <w:jc w:val="right"/>
              <w:rPr>
                <w:rFonts w:cs="Arial"/>
                <w:bCs/>
                <w:i/>
              </w:rPr>
            </w:pPr>
            <w:r w:rsidRPr="002A0B87">
              <w:rPr>
                <w:rFonts w:eastAsia="Batang" w:cs="Arial"/>
                <w:i/>
                <w:iCs/>
              </w:rPr>
              <w:t>VND</w:t>
            </w:r>
          </w:p>
        </w:tc>
        <w:tc>
          <w:tcPr>
            <w:tcW w:w="1770" w:type="dxa"/>
            <w:vAlign w:val="bottom"/>
            <w:hideMark/>
          </w:tcPr>
          <w:p w14:paraId="771FA80D" w14:textId="490C60FE" w:rsidR="00357193" w:rsidRPr="002A0B87" w:rsidRDefault="002B0921" w:rsidP="00B656BB">
            <w:pPr>
              <w:widowControl w:val="0"/>
              <w:pBdr>
                <w:bottom w:val="single" w:sz="4" w:space="0" w:color="auto"/>
              </w:pBdr>
              <w:overflowPunct/>
              <w:autoSpaceDE/>
              <w:autoSpaceDN/>
              <w:adjustRightInd/>
              <w:ind w:left="57" w:right="-85"/>
              <w:jc w:val="right"/>
              <w:textAlignment w:val="auto"/>
              <w:rPr>
                <w:rFonts w:eastAsia="Batang" w:cs="Arial"/>
                <w:bCs/>
                <w:i/>
              </w:rPr>
            </w:pPr>
            <w:r>
              <w:rPr>
                <w:rFonts w:eastAsia="Batang" w:cs="Arial"/>
                <w:bCs/>
                <w:i/>
              </w:rPr>
              <w:t>Opening balance</w:t>
            </w:r>
          </w:p>
          <w:p w14:paraId="147EE7F9" w14:textId="77777777" w:rsidR="00357193" w:rsidRPr="002A0B87" w:rsidRDefault="00357193" w:rsidP="00B656BB">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5F5927" w:rsidRPr="002A0B87" w14:paraId="17DD59BD" w14:textId="77777777" w:rsidTr="005F5927">
        <w:trPr>
          <w:trHeight w:val="20"/>
        </w:trPr>
        <w:tc>
          <w:tcPr>
            <w:tcW w:w="4764" w:type="dxa"/>
            <w:vAlign w:val="bottom"/>
          </w:tcPr>
          <w:p w14:paraId="7E85B832" w14:textId="7AF1CE4E" w:rsidR="005F5927" w:rsidRPr="002A0B87" w:rsidRDefault="005F5927" w:rsidP="005F5927">
            <w:pPr>
              <w:widowControl w:val="0"/>
              <w:spacing w:before="120"/>
              <w:ind w:left="-115"/>
              <w:jc w:val="left"/>
              <w:rPr>
                <w:rFonts w:cs="Arial"/>
              </w:rPr>
            </w:pPr>
            <w:r w:rsidRPr="00FA66EF">
              <w:rPr>
                <w:rFonts w:cs="Arial"/>
              </w:rPr>
              <w:t>Accrued interests for borrowings from credit institutions</w:t>
            </w:r>
          </w:p>
        </w:tc>
        <w:tc>
          <w:tcPr>
            <w:tcW w:w="1626" w:type="dxa"/>
            <w:vAlign w:val="bottom"/>
          </w:tcPr>
          <w:p w14:paraId="6AF8607B" w14:textId="6C1238DE" w:rsidR="005F5927" w:rsidRPr="002A0B87" w:rsidRDefault="005F5927" w:rsidP="005F5927">
            <w:pPr>
              <w:widowControl w:val="0"/>
              <w:spacing w:before="120"/>
              <w:ind w:left="57" w:right="-85"/>
              <w:jc w:val="right"/>
              <w:rPr>
                <w:rFonts w:eastAsia="Batang" w:cs="Arial"/>
                <w:highlight w:val="yellow"/>
                <w:lang w:eastAsia="ko-KR"/>
              </w:rPr>
            </w:pPr>
            <w:r w:rsidRPr="002640CB">
              <w:t>10</w:t>
            </w:r>
            <w:r w:rsidR="00F919DC">
              <w:t>,</w:t>
            </w:r>
            <w:r w:rsidRPr="002640CB">
              <w:t>670</w:t>
            </w:r>
            <w:r w:rsidR="00F919DC">
              <w:t>,</w:t>
            </w:r>
            <w:r w:rsidRPr="002640CB">
              <w:t>288</w:t>
            </w:r>
            <w:r w:rsidR="00F919DC">
              <w:t>,</w:t>
            </w:r>
            <w:r w:rsidRPr="002640CB">
              <w:t xml:space="preserve">860 </w:t>
            </w:r>
          </w:p>
        </w:tc>
        <w:tc>
          <w:tcPr>
            <w:tcW w:w="1770" w:type="dxa"/>
            <w:vAlign w:val="bottom"/>
          </w:tcPr>
          <w:p w14:paraId="559A3483" w14:textId="24F37C64" w:rsidR="005F5927" w:rsidRPr="002A0B87" w:rsidRDefault="005F5927" w:rsidP="005F5927">
            <w:pPr>
              <w:widowControl w:val="0"/>
              <w:spacing w:before="120"/>
              <w:ind w:left="57" w:right="-85"/>
              <w:jc w:val="right"/>
              <w:rPr>
                <w:rFonts w:eastAsia="Batang" w:cs="Arial"/>
                <w:lang w:eastAsia="ko-KR"/>
              </w:rPr>
            </w:pPr>
            <w:r w:rsidRPr="002640CB">
              <w:t>4</w:t>
            </w:r>
            <w:r w:rsidR="00F919DC">
              <w:t>,</w:t>
            </w:r>
            <w:r w:rsidRPr="002640CB">
              <w:t>001</w:t>
            </w:r>
            <w:r w:rsidR="00F919DC">
              <w:t>,</w:t>
            </w:r>
            <w:r w:rsidRPr="002640CB">
              <w:t>762</w:t>
            </w:r>
            <w:r w:rsidR="00F919DC">
              <w:t>,</w:t>
            </w:r>
            <w:r w:rsidRPr="002640CB">
              <w:t xml:space="preserve">120 </w:t>
            </w:r>
          </w:p>
        </w:tc>
      </w:tr>
      <w:tr w:rsidR="005F5927" w:rsidRPr="002A0B87" w14:paraId="2A748976" w14:textId="77777777" w:rsidTr="005F5927">
        <w:trPr>
          <w:trHeight w:val="20"/>
        </w:trPr>
        <w:tc>
          <w:tcPr>
            <w:tcW w:w="4764" w:type="dxa"/>
            <w:vAlign w:val="bottom"/>
            <w:hideMark/>
          </w:tcPr>
          <w:p w14:paraId="21C85A77" w14:textId="3CDF0E4B" w:rsidR="005F5927" w:rsidRPr="002A0B87" w:rsidRDefault="005F5927" w:rsidP="005F5927">
            <w:pPr>
              <w:widowControl w:val="0"/>
              <w:ind w:left="-115"/>
              <w:rPr>
                <w:rFonts w:cs="Arial"/>
              </w:rPr>
            </w:pPr>
            <w:r w:rsidRPr="00673793">
              <w:rPr>
                <w:rFonts w:cs="Arial"/>
              </w:rPr>
              <w:t>Other accrued expenses</w:t>
            </w:r>
          </w:p>
        </w:tc>
        <w:tc>
          <w:tcPr>
            <w:tcW w:w="1626" w:type="dxa"/>
            <w:vAlign w:val="bottom"/>
          </w:tcPr>
          <w:p w14:paraId="1E43408E" w14:textId="47023994" w:rsidR="005F5927" w:rsidRPr="002A0B87" w:rsidRDefault="005F5927" w:rsidP="005F5927">
            <w:pPr>
              <w:widowControl w:val="0"/>
              <w:pBdr>
                <w:bottom w:val="single" w:sz="4" w:space="0" w:color="auto"/>
              </w:pBdr>
              <w:ind w:left="57" w:right="-85"/>
              <w:jc w:val="right"/>
              <w:rPr>
                <w:rFonts w:eastAsia="Batang" w:cs="Arial"/>
                <w:highlight w:val="yellow"/>
                <w:lang w:eastAsia="ko-KR"/>
              </w:rPr>
            </w:pPr>
            <w:r w:rsidRPr="002640CB">
              <w:t>8</w:t>
            </w:r>
            <w:r w:rsidR="00F919DC">
              <w:t>,</w:t>
            </w:r>
            <w:r w:rsidRPr="002640CB">
              <w:t>220</w:t>
            </w:r>
            <w:r w:rsidR="00F919DC">
              <w:t>,</w:t>
            </w:r>
            <w:r w:rsidRPr="002640CB">
              <w:t>338</w:t>
            </w:r>
            <w:r w:rsidR="00F919DC">
              <w:t>,</w:t>
            </w:r>
            <w:r w:rsidRPr="002640CB">
              <w:t xml:space="preserve">233 </w:t>
            </w:r>
          </w:p>
        </w:tc>
        <w:tc>
          <w:tcPr>
            <w:tcW w:w="1770" w:type="dxa"/>
            <w:vAlign w:val="bottom"/>
            <w:hideMark/>
          </w:tcPr>
          <w:p w14:paraId="15103957" w14:textId="526B2A23" w:rsidR="005F5927" w:rsidRPr="002A0B87" w:rsidRDefault="005F5927" w:rsidP="005F5927">
            <w:pPr>
              <w:widowControl w:val="0"/>
              <w:pBdr>
                <w:bottom w:val="single" w:sz="4" w:space="0" w:color="auto"/>
              </w:pBdr>
              <w:ind w:left="57" w:right="-85"/>
              <w:jc w:val="right"/>
              <w:rPr>
                <w:rFonts w:eastAsia="Batang" w:cs="Arial"/>
                <w:lang w:eastAsia="ko-KR"/>
              </w:rPr>
            </w:pPr>
            <w:r w:rsidRPr="002640CB">
              <w:t>1</w:t>
            </w:r>
            <w:r w:rsidR="00F919DC">
              <w:t>,</w:t>
            </w:r>
            <w:r w:rsidRPr="002640CB">
              <w:t>399</w:t>
            </w:r>
            <w:r w:rsidR="00F919DC">
              <w:t>,</w:t>
            </w:r>
            <w:r w:rsidRPr="002640CB">
              <w:t>638</w:t>
            </w:r>
            <w:r w:rsidR="00F919DC">
              <w:t>,</w:t>
            </w:r>
            <w:r w:rsidRPr="002640CB">
              <w:t xml:space="preserve">655 </w:t>
            </w:r>
          </w:p>
        </w:tc>
      </w:tr>
      <w:tr w:rsidR="005F5927" w:rsidRPr="002A0B87" w14:paraId="7C725FF7" w14:textId="77777777" w:rsidTr="005F5927">
        <w:trPr>
          <w:trHeight w:val="20"/>
        </w:trPr>
        <w:tc>
          <w:tcPr>
            <w:tcW w:w="4764" w:type="dxa"/>
            <w:vAlign w:val="bottom"/>
          </w:tcPr>
          <w:p w14:paraId="53CA38F3" w14:textId="77777777" w:rsidR="005F5927" w:rsidRPr="002A0B87" w:rsidRDefault="005F5927" w:rsidP="005F5927">
            <w:pPr>
              <w:widowControl w:val="0"/>
              <w:spacing w:before="120"/>
              <w:ind w:left="-115"/>
              <w:rPr>
                <w:rFonts w:cs="Arial"/>
                <w:b/>
              </w:rPr>
            </w:pPr>
          </w:p>
        </w:tc>
        <w:tc>
          <w:tcPr>
            <w:tcW w:w="1626" w:type="dxa"/>
            <w:vAlign w:val="bottom"/>
          </w:tcPr>
          <w:p w14:paraId="0FF7AE41" w14:textId="5D4F8053" w:rsidR="005F5927" w:rsidRPr="00F919DC" w:rsidRDefault="005F5927" w:rsidP="005F5927">
            <w:pPr>
              <w:widowControl w:val="0"/>
              <w:pBdr>
                <w:bottom w:val="double" w:sz="4" w:space="0" w:color="auto"/>
              </w:pBdr>
              <w:spacing w:before="120"/>
              <w:ind w:left="57" w:right="-85"/>
              <w:jc w:val="right"/>
              <w:rPr>
                <w:rFonts w:eastAsia="Batang" w:cs="Arial"/>
                <w:b/>
                <w:bCs/>
                <w:highlight w:val="yellow"/>
                <w:lang w:eastAsia="ko-KR"/>
              </w:rPr>
            </w:pPr>
            <w:r w:rsidRPr="00F919DC">
              <w:rPr>
                <w:b/>
                <w:bCs/>
              </w:rPr>
              <w:t>18</w:t>
            </w:r>
            <w:r w:rsidR="00F919DC" w:rsidRPr="00F919DC">
              <w:rPr>
                <w:b/>
                <w:bCs/>
              </w:rPr>
              <w:t>,</w:t>
            </w:r>
            <w:r w:rsidRPr="00F919DC">
              <w:rPr>
                <w:b/>
                <w:bCs/>
              </w:rPr>
              <w:t>890</w:t>
            </w:r>
            <w:r w:rsidR="00F919DC" w:rsidRPr="00F919DC">
              <w:rPr>
                <w:b/>
                <w:bCs/>
              </w:rPr>
              <w:t>,</w:t>
            </w:r>
            <w:r w:rsidRPr="00F919DC">
              <w:rPr>
                <w:b/>
                <w:bCs/>
              </w:rPr>
              <w:t>627</w:t>
            </w:r>
            <w:r w:rsidR="00F919DC" w:rsidRPr="00F919DC">
              <w:rPr>
                <w:b/>
                <w:bCs/>
              </w:rPr>
              <w:t>,</w:t>
            </w:r>
            <w:r w:rsidRPr="00F919DC">
              <w:rPr>
                <w:b/>
                <w:bCs/>
              </w:rPr>
              <w:t xml:space="preserve">093 </w:t>
            </w:r>
          </w:p>
        </w:tc>
        <w:tc>
          <w:tcPr>
            <w:tcW w:w="1770" w:type="dxa"/>
            <w:vAlign w:val="bottom"/>
            <w:hideMark/>
          </w:tcPr>
          <w:p w14:paraId="2BE49D46" w14:textId="234C07BB" w:rsidR="005F5927" w:rsidRPr="00F919DC" w:rsidRDefault="005F5927" w:rsidP="005F5927">
            <w:pPr>
              <w:widowControl w:val="0"/>
              <w:pBdr>
                <w:bottom w:val="double" w:sz="4" w:space="0" w:color="auto"/>
              </w:pBdr>
              <w:spacing w:before="120"/>
              <w:ind w:left="57" w:right="-85"/>
              <w:jc w:val="right"/>
              <w:rPr>
                <w:rFonts w:cs="Arial"/>
                <w:b/>
                <w:bCs/>
              </w:rPr>
            </w:pPr>
            <w:r w:rsidRPr="00F919DC">
              <w:rPr>
                <w:b/>
                <w:bCs/>
              </w:rPr>
              <w:t>5</w:t>
            </w:r>
            <w:r w:rsidR="00F919DC" w:rsidRPr="00F919DC">
              <w:rPr>
                <w:b/>
                <w:bCs/>
              </w:rPr>
              <w:t>,</w:t>
            </w:r>
            <w:r w:rsidRPr="00F919DC">
              <w:rPr>
                <w:b/>
                <w:bCs/>
              </w:rPr>
              <w:t>401</w:t>
            </w:r>
            <w:r w:rsidR="00F919DC" w:rsidRPr="00F919DC">
              <w:rPr>
                <w:b/>
                <w:bCs/>
              </w:rPr>
              <w:t>,</w:t>
            </w:r>
            <w:r w:rsidRPr="00F919DC">
              <w:rPr>
                <w:b/>
                <w:bCs/>
              </w:rPr>
              <w:t>400</w:t>
            </w:r>
            <w:r w:rsidR="00F919DC" w:rsidRPr="00F919DC">
              <w:rPr>
                <w:b/>
                <w:bCs/>
              </w:rPr>
              <w:t>,</w:t>
            </w:r>
            <w:r w:rsidRPr="00F919DC">
              <w:rPr>
                <w:b/>
                <w:bCs/>
              </w:rPr>
              <w:t xml:space="preserve">775 </w:t>
            </w:r>
          </w:p>
        </w:tc>
      </w:tr>
    </w:tbl>
    <w:p w14:paraId="5C6FDCBA" w14:textId="77777777" w:rsidR="002D7052" w:rsidRPr="006745D2" w:rsidRDefault="002D7052" w:rsidP="002D7052">
      <w:pPr>
        <w:pStyle w:val="NoSpacing"/>
      </w:pPr>
    </w:p>
    <w:p w14:paraId="43040379" w14:textId="0A890981" w:rsidR="002D7052" w:rsidRPr="002D7052" w:rsidRDefault="002D7052" w:rsidP="003124EE">
      <w:pPr>
        <w:sectPr w:rsidR="002D7052" w:rsidRPr="002D7052" w:rsidSect="009032CF">
          <w:pgSz w:w="11909" w:h="16834" w:code="9"/>
          <w:pgMar w:top="1440" w:right="1440" w:bottom="862" w:left="1582" w:header="720" w:footer="578" w:gutter="0"/>
          <w:cols w:space="720"/>
          <w:docGrid w:linePitch="272"/>
        </w:sectPr>
      </w:pPr>
    </w:p>
    <w:p w14:paraId="26432ECA" w14:textId="42ED6FD7" w:rsidR="00495A95" w:rsidRPr="002A0B87" w:rsidRDefault="005B2D52" w:rsidP="00495A95">
      <w:pPr>
        <w:pStyle w:val="BodyText"/>
        <w:ind w:left="720" w:hanging="720"/>
        <w:textAlignment w:val="auto"/>
        <w:outlineLvl w:val="0"/>
        <w:rPr>
          <w:rFonts w:ascii="Arial" w:hAnsi="Arial" w:cs="Arial"/>
          <w:b/>
          <w:bCs/>
        </w:rPr>
      </w:pPr>
      <w:r>
        <w:rPr>
          <w:rFonts w:ascii="Arial" w:hAnsi="Arial" w:cs="Arial"/>
          <w:b/>
          <w:bCs/>
        </w:rPr>
        <w:lastRenderedPageBreak/>
        <w:t>18</w:t>
      </w:r>
      <w:r w:rsidR="00495A95" w:rsidRPr="002A0B87">
        <w:rPr>
          <w:rFonts w:ascii="Arial" w:hAnsi="Arial" w:cs="Arial"/>
          <w:b/>
          <w:bCs/>
        </w:rPr>
        <w:t>.</w:t>
      </w:r>
      <w:r w:rsidR="00495A95" w:rsidRPr="002A0B87">
        <w:rPr>
          <w:rFonts w:ascii="Arial" w:hAnsi="Arial" w:cs="Arial"/>
          <w:b/>
          <w:bCs/>
        </w:rPr>
        <w:tab/>
      </w:r>
      <w:r w:rsidR="00020B7F" w:rsidRPr="00020B7F">
        <w:rPr>
          <w:rFonts w:ascii="Arial" w:hAnsi="Arial" w:cs="Arial"/>
          <w:b/>
          <w:bCs/>
        </w:rPr>
        <w:t>OWNERS’ EQUITY</w:t>
      </w:r>
      <w:r w:rsidR="00020B7F" w:rsidRPr="00020B7F" w:rsidDel="00020B7F">
        <w:rPr>
          <w:rFonts w:ascii="Arial" w:hAnsi="Arial" w:cs="Arial"/>
          <w:b/>
          <w:bCs/>
        </w:rPr>
        <w:t xml:space="preserve"> </w:t>
      </w:r>
    </w:p>
    <w:p w14:paraId="75D88FC6" w14:textId="77777777" w:rsidR="003124EE" w:rsidRPr="00B00C7A" w:rsidRDefault="003124EE" w:rsidP="003124EE">
      <w:pPr>
        <w:pStyle w:val="NoSpacing"/>
      </w:pPr>
    </w:p>
    <w:p w14:paraId="101083C9" w14:textId="1116C7F5" w:rsidR="003124EE" w:rsidRPr="00B00C7A" w:rsidRDefault="003124EE" w:rsidP="003124EE">
      <w:pPr>
        <w:pStyle w:val="Heading2"/>
        <w:rPr>
          <w:rFonts w:cs="Arial"/>
          <w:b w:val="0"/>
          <w:i w:val="0"/>
          <w:color w:val="000000" w:themeColor="text1"/>
          <w:lang w:val="vi-VN"/>
        </w:rPr>
      </w:pPr>
      <w:r>
        <w:rPr>
          <w:rFonts w:cs="Arial"/>
          <w:color w:val="000000" w:themeColor="text1"/>
          <w:lang w:val="en-US"/>
        </w:rPr>
        <w:t>18</w:t>
      </w:r>
      <w:r w:rsidRPr="00B00C7A">
        <w:rPr>
          <w:rFonts w:cs="Arial"/>
          <w:color w:val="000000" w:themeColor="text1"/>
          <w:lang w:val="en-US"/>
        </w:rPr>
        <w:t>.1</w:t>
      </w:r>
      <w:r w:rsidRPr="00B00C7A">
        <w:rPr>
          <w:rFonts w:cs="Arial"/>
          <w:color w:val="000000" w:themeColor="text1"/>
          <w:lang w:val="vi-VN"/>
        </w:rPr>
        <w:tab/>
      </w:r>
      <w:r w:rsidR="003A7D67" w:rsidRPr="003A7D67">
        <w:rPr>
          <w:rFonts w:cs="Arial"/>
          <w:color w:val="000000" w:themeColor="text1"/>
          <w:lang w:val="vi-VN"/>
        </w:rPr>
        <w:t>Changes in owners’ equity</w:t>
      </w:r>
      <w:r w:rsidR="000767FC" w:rsidRPr="000767FC" w:rsidDel="000767FC">
        <w:rPr>
          <w:rFonts w:cs="Arial"/>
          <w:color w:val="000000" w:themeColor="text1"/>
          <w:lang w:val="vi-VN"/>
        </w:rPr>
        <w:t xml:space="preserve"> </w:t>
      </w:r>
    </w:p>
    <w:p w14:paraId="649C7C60" w14:textId="77777777" w:rsidR="003124EE" w:rsidRPr="00B00C7A" w:rsidRDefault="003124EE" w:rsidP="003124EE">
      <w:pPr>
        <w:pStyle w:val="NoSpacing"/>
        <w:rPr>
          <w:lang w:val="de-DE"/>
        </w:rPr>
      </w:pPr>
    </w:p>
    <w:tbl>
      <w:tblPr>
        <w:tblW w:w="13103" w:type="dxa"/>
        <w:tblInd w:w="720" w:type="dxa"/>
        <w:tblLayout w:type="fixed"/>
        <w:tblLook w:val="01E0" w:firstRow="1" w:lastRow="1" w:firstColumn="1" w:lastColumn="1" w:noHBand="0" w:noVBand="0"/>
      </w:tblPr>
      <w:tblGrid>
        <w:gridCol w:w="6797"/>
        <w:gridCol w:w="2102"/>
        <w:gridCol w:w="1051"/>
        <w:gridCol w:w="2102"/>
        <w:gridCol w:w="1051"/>
      </w:tblGrid>
      <w:tr w:rsidR="00C65AD5" w:rsidRPr="002D7FB7" w14:paraId="102C895F" w14:textId="77777777" w:rsidTr="000A1EE5">
        <w:trPr>
          <w:trHeight w:val="64"/>
          <w:tblHeader/>
        </w:trPr>
        <w:tc>
          <w:tcPr>
            <w:tcW w:w="6797" w:type="dxa"/>
            <w:vAlign w:val="bottom"/>
          </w:tcPr>
          <w:p w14:paraId="625C5E37" w14:textId="77777777" w:rsidR="00C65AD5" w:rsidRPr="00B00C7A" w:rsidRDefault="00C65AD5" w:rsidP="000A1EE5">
            <w:pPr>
              <w:overflowPunct/>
              <w:autoSpaceDE/>
              <w:autoSpaceDN/>
              <w:adjustRightInd/>
              <w:ind w:left="-115"/>
              <w:textAlignment w:val="auto"/>
              <w:rPr>
                <w:rFonts w:cs="Arial"/>
                <w:i/>
                <w:color w:val="000000" w:themeColor="text1"/>
              </w:rPr>
            </w:pPr>
          </w:p>
        </w:tc>
        <w:tc>
          <w:tcPr>
            <w:tcW w:w="3153" w:type="dxa"/>
            <w:gridSpan w:val="2"/>
            <w:vAlign w:val="bottom"/>
          </w:tcPr>
          <w:p w14:paraId="0C97610A" w14:textId="161D25BA" w:rsidR="00C65AD5" w:rsidRPr="00B00C7A" w:rsidRDefault="00E637F5" w:rsidP="000A1EE5">
            <w:pPr>
              <w:widowControl w:val="0"/>
              <w:pBdr>
                <w:bottom w:val="single" w:sz="4" w:space="0" w:color="auto"/>
              </w:pBdr>
              <w:ind w:left="58" w:right="-86"/>
              <w:jc w:val="center"/>
              <w:rPr>
                <w:rFonts w:eastAsia="Batang" w:cs="Arial"/>
                <w:bCs/>
                <w:i/>
                <w:color w:val="000000" w:themeColor="text1"/>
                <w:lang w:eastAsia="ko-KR"/>
              </w:rPr>
            </w:pPr>
            <w:r w:rsidRPr="00E637F5">
              <w:rPr>
                <w:rFonts w:eastAsia="Batang" w:cs="Arial"/>
                <w:bCs/>
                <w:i/>
                <w:color w:val="000000" w:themeColor="text1"/>
                <w:lang w:eastAsia="ko-KR"/>
              </w:rPr>
              <w:t>Ending balance</w:t>
            </w:r>
          </w:p>
        </w:tc>
        <w:tc>
          <w:tcPr>
            <w:tcW w:w="3153" w:type="dxa"/>
            <w:gridSpan w:val="2"/>
            <w:vAlign w:val="bottom"/>
          </w:tcPr>
          <w:p w14:paraId="2672762E" w14:textId="4E5186EB" w:rsidR="00C65AD5" w:rsidRPr="00B00C7A" w:rsidRDefault="00476CF6" w:rsidP="000A1EE5">
            <w:pPr>
              <w:widowControl w:val="0"/>
              <w:pBdr>
                <w:bottom w:val="single" w:sz="4" w:space="0" w:color="auto"/>
              </w:pBdr>
              <w:ind w:left="58" w:right="-86"/>
              <w:jc w:val="center"/>
              <w:rPr>
                <w:rFonts w:eastAsia="Batang" w:cs="Arial"/>
                <w:bCs/>
                <w:i/>
                <w:color w:val="000000" w:themeColor="text1"/>
                <w:lang w:eastAsia="ko-KR"/>
              </w:rPr>
            </w:pPr>
            <w:r w:rsidRPr="00476CF6">
              <w:rPr>
                <w:rFonts w:eastAsia="Batang" w:cs="Arial"/>
                <w:bCs/>
                <w:i/>
                <w:color w:val="000000" w:themeColor="text1"/>
                <w:lang w:eastAsia="ko-KR"/>
              </w:rPr>
              <w:t>Opening balance</w:t>
            </w:r>
          </w:p>
        </w:tc>
      </w:tr>
      <w:tr w:rsidR="003124EE" w:rsidRPr="002D7FB7" w14:paraId="67E15C58" w14:textId="77777777" w:rsidTr="00B624F6">
        <w:trPr>
          <w:trHeight w:val="64"/>
          <w:tblHeader/>
        </w:trPr>
        <w:tc>
          <w:tcPr>
            <w:tcW w:w="6797" w:type="dxa"/>
            <w:vAlign w:val="bottom"/>
            <w:hideMark/>
          </w:tcPr>
          <w:p w14:paraId="179EC001" w14:textId="77777777" w:rsidR="003124EE" w:rsidRPr="00B00C7A" w:rsidRDefault="003124EE" w:rsidP="000A1EE5">
            <w:pPr>
              <w:overflowPunct/>
              <w:autoSpaceDE/>
              <w:autoSpaceDN/>
              <w:adjustRightInd/>
              <w:ind w:left="-115"/>
              <w:textAlignment w:val="auto"/>
              <w:rPr>
                <w:rFonts w:cs="Arial"/>
                <w:i/>
                <w:color w:val="000000" w:themeColor="text1"/>
              </w:rPr>
            </w:pPr>
          </w:p>
        </w:tc>
        <w:tc>
          <w:tcPr>
            <w:tcW w:w="2102" w:type="dxa"/>
            <w:vAlign w:val="bottom"/>
            <w:hideMark/>
          </w:tcPr>
          <w:p w14:paraId="4038AC92" w14:textId="77777777" w:rsidR="003124EE" w:rsidRPr="00B00C7A" w:rsidRDefault="003124EE" w:rsidP="000A1EE5">
            <w:pPr>
              <w:widowControl w:val="0"/>
              <w:pBdr>
                <w:bottom w:val="single" w:sz="4" w:space="0" w:color="auto"/>
              </w:pBdr>
              <w:spacing w:before="120"/>
              <w:ind w:left="58" w:right="-86"/>
              <w:jc w:val="right"/>
              <w:rPr>
                <w:rFonts w:eastAsia="Batang" w:cs="Arial"/>
                <w:bCs/>
                <w:i/>
                <w:color w:val="000000" w:themeColor="text1"/>
                <w:lang w:eastAsia="ko-KR"/>
              </w:rPr>
            </w:pPr>
            <w:r w:rsidRPr="00B00C7A">
              <w:rPr>
                <w:rFonts w:eastAsia="Batang" w:cs="Arial"/>
                <w:bCs/>
                <w:i/>
                <w:color w:val="000000" w:themeColor="text1"/>
                <w:lang w:eastAsia="ko-KR"/>
              </w:rPr>
              <w:t>VND</w:t>
            </w:r>
          </w:p>
        </w:tc>
        <w:tc>
          <w:tcPr>
            <w:tcW w:w="1051" w:type="dxa"/>
            <w:vAlign w:val="bottom"/>
            <w:hideMark/>
          </w:tcPr>
          <w:p w14:paraId="59413E72" w14:textId="77777777" w:rsidR="003124EE" w:rsidRPr="00B00C7A" w:rsidRDefault="003124EE" w:rsidP="000A1EE5">
            <w:pPr>
              <w:widowControl w:val="0"/>
              <w:pBdr>
                <w:bottom w:val="single" w:sz="4" w:space="0" w:color="auto"/>
              </w:pBdr>
              <w:spacing w:before="120"/>
              <w:ind w:left="58" w:right="-86"/>
              <w:jc w:val="right"/>
              <w:rPr>
                <w:rFonts w:eastAsia="Batang" w:cs="Arial"/>
                <w:bCs/>
                <w:i/>
                <w:color w:val="000000" w:themeColor="text1"/>
                <w:lang w:eastAsia="ko-KR"/>
              </w:rPr>
            </w:pPr>
            <w:r w:rsidRPr="00B00C7A">
              <w:rPr>
                <w:rFonts w:eastAsia="Batang" w:cs="Arial"/>
                <w:bCs/>
                <w:i/>
                <w:color w:val="000000" w:themeColor="text1"/>
                <w:lang w:eastAsia="ko-KR"/>
              </w:rPr>
              <w:t>%</w:t>
            </w:r>
          </w:p>
        </w:tc>
        <w:tc>
          <w:tcPr>
            <w:tcW w:w="2102" w:type="dxa"/>
            <w:vAlign w:val="bottom"/>
            <w:hideMark/>
          </w:tcPr>
          <w:p w14:paraId="37057A59" w14:textId="77777777" w:rsidR="003124EE" w:rsidRPr="00B00C7A" w:rsidRDefault="003124EE" w:rsidP="000A1EE5">
            <w:pPr>
              <w:widowControl w:val="0"/>
              <w:pBdr>
                <w:bottom w:val="single" w:sz="4" w:space="0" w:color="auto"/>
              </w:pBdr>
              <w:spacing w:before="120"/>
              <w:ind w:left="58" w:right="-86"/>
              <w:jc w:val="right"/>
              <w:rPr>
                <w:rFonts w:eastAsia="Batang" w:cs="Arial"/>
                <w:bCs/>
                <w:i/>
                <w:color w:val="000000" w:themeColor="text1"/>
                <w:lang w:eastAsia="ko-KR"/>
              </w:rPr>
            </w:pPr>
            <w:r w:rsidRPr="00B00C7A">
              <w:rPr>
                <w:rFonts w:eastAsia="Batang" w:cs="Arial"/>
                <w:bCs/>
                <w:i/>
                <w:color w:val="000000" w:themeColor="text1"/>
                <w:lang w:eastAsia="ko-KR"/>
              </w:rPr>
              <w:t>VND</w:t>
            </w:r>
          </w:p>
        </w:tc>
        <w:tc>
          <w:tcPr>
            <w:tcW w:w="1051" w:type="dxa"/>
            <w:vAlign w:val="bottom"/>
            <w:hideMark/>
          </w:tcPr>
          <w:p w14:paraId="6833877D" w14:textId="77777777" w:rsidR="003124EE" w:rsidRPr="00B00C7A" w:rsidRDefault="003124EE" w:rsidP="000A1EE5">
            <w:pPr>
              <w:widowControl w:val="0"/>
              <w:pBdr>
                <w:bottom w:val="single" w:sz="4" w:space="0" w:color="auto"/>
              </w:pBdr>
              <w:spacing w:before="120"/>
              <w:ind w:left="58" w:right="-86"/>
              <w:jc w:val="right"/>
              <w:rPr>
                <w:rFonts w:eastAsia="Batang" w:cs="Arial"/>
                <w:bCs/>
                <w:i/>
                <w:color w:val="000000" w:themeColor="text1"/>
                <w:lang w:eastAsia="ko-KR"/>
              </w:rPr>
            </w:pPr>
            <w:r w:rsidRPr="00B00C7A">
              <w:rPr>
                <w:rFonts w:eastAsia="Batang" w:cs="Arial"/>
                <w:bCs/>
                <w:i/>
                <w:color w:val="000000" w:themeColor="text1"/>
                <w:lang w:eastAsia="ko-KR"/>
              </w:rPr>
              <w:t>%</w:t>
            </w:r>
          </w:p>
        </w:tc>
      </w:tr>
      <w:tr w:rsidR="003124EE" w:rsidRPr="002D7FB7" w14:paraId="7A46D4DF" w14:textId="77777777" w:rsidTr="00B624F6">
        <w:trPr>
          <w:trHeight w:val="20"/>
        </w:trPr>
        <w:tc>
          <w:tcPr>
            <w:tcW w:w="6797" w:type="dxa"/>
            <w:vAlign w:val="bottom"/>
            <w:hideMark/>
          </w:tcPr>
          <w:p w14:paraId="3DBB9BA9" w14:textId="7A5E9506" w:rsidR="003124EE" w:rsidRPr="00C5236D" w:rsidRDefault="005678BF" w:rsidP="000A1EE5">
            <w:pPr>
              <w:widowControl w:val="0"/>
              <w:spacing w:before="120"/>
              <w:ind w:left="-115"/>
              <w:rPr>
                <w:rFonts w:cs="Arial"/>
                <w:color w:val="000000" w:themeColor="text1"/>
                <w:lang w:val="nl-NL"/>
              </w:rPr>
            </w:pPr>
            <w:r w:rsidRPr="005678BF">
              <w:rPr>
                <w:rFonts w:cs="Arial"/>
                <w:color w:val="000000" w:themeColor="text1"/>
                <w:lang w:val="nl-NL"/>
              </w:rPr>
              <w:t>NH Investment &amp; Securities Co., Ltd</w:t>
            </w:r>
          </w:p>
        </w:tc>
        <w:tc>
          <w:tcPr>
            <w:tcW w:w="2102" w:type="dxa"/>
            <w:vAlign w:val="bottom"/>
            <w:hideMark/>
          </w:tcPr>
          <w:p w14:paraId="614F64DB" w14:textId="150E55E8" w:rsidR="003124EE" w:rsidRPr="00C5236D" w:rsidRDefault="0074153C" w:rsidP="000A1EE5">
            <w:pPr>
              <w:widowControl w:val="0"/>
              <w:pBdr>
                <w:bottom w:val="double" w:sz="4" w:space="0" w:color="auto"/>
              </w:pBdr>
              <w:spacing w:before="120"/>
              <w:ind w:left="58" w:right="-86"/>
              <w:jc w:val="right"/>
              <w:rPr>
                <w:rFonts w:eastAsia="Batang" w:cs="Arial"/>
                <w:color w:val="000000" w:themeColor="text1"/>
                <w:highlight w:val="yellow"/>
                <w:lang w:eastAsia="ko-KR"/>
              </w:rPr>
            </w:pPr>
            <w:r w:rsidRPr="0074153C">
              <w:rPr>
                <w:rFonts w:eastAsia="Batang" w:cs="Arial"/>
                <w:color w:val="000000" w:themeColor="text1"/>
                <w:lang w:eastAsia="ko-KR"/>
              </w:rPr>
              <w:t>1</w:t>
            </w:r>
            <w:r w:rsidR="00E969B9">
              <w:rPr>
                <w:rFonts w:eastAsia="Batang" w:cs="Arial"/>
                <w:color w:val="000000" w:themeColor="text1"/>
                <w:lang w:eastAsia="ko-KR"/>
              </w:rPr>
              <w:t>,</w:t>
            </w:r>
            <w:r w:rsidRPr="0074153C">
              <w:rPr>
                <w:rFonts w:eastAsia="Batang" w:cs="Arial"/>
                <w:color w:val="000000" w:themeColor="text1"/>
                <w:lang w:eastAsia="ko-KR"/>
              </w:rPr>
              <w:t>239</w:t>
            </w:r>
            <w:r w:rsidR="00E969B9">
              <w:rPr>
                <w:rFonts w:eastAsia="Batang" w:cs="Arial"/>
                <w:color w:val="000000" w:themeColor="text1"/>
                <w:lang w:eastAsia="ko-KR"/>
              </w:rPr>
              <w:t>,</w:t>
            </w:r>
            <w:r w:rsidRPr="0074153C">
              <w:rPr>
                <w:rFonts w:eastAsia="Batang" w:cs="Arial"/>
                <w:color w:val="000000" w:themeColor="text1"/>
                <w:lang w:eastAsia="ko-KR"/>
              </w:rPr>
              <w:t>000</w:t>
            </w:r>
            <w:r w:rsidR="00E969B9">
              <w:rPr>
                <w:rFonts w:eastAsia="Batang" w:cs="Arial"/>
                <w:color w:val="000000" w:themeColor="text1"/>
                <w:lang w:eastAsia="ko-KR"/>
              </w:rPr>
              <w:t>,</w:t>
            </w:r>
            <w:r w:rsidRPr="0074153C">
              <w:rPr>
                <w:rFonts w:eastAsia="Batang" w:cs="Arial"/>
                <w:color w:val="000000" w:themeColor="text1"/>
                <w:lang w:eastAsia="ko-KR"/>
              </w:rPr>
              <w:t>000</w:t>
            </w:r>
            <w:r w:rsidR="00E969B9">
              <w:rPr>
                <w:rFonts w:eastAsia="Batang" w:cs="Arial"/>
                <w:color w:val="000000" w:themeColor="text1"/>
                <w:lang w:eastAsia="ko-KR"/>
              </w:rPr>
              <w:t>,</w:t>
            </w:r>
            <w:r w:rsidRPr="0074153C">
              <w:rPr>
                <w:rFonts w:eastAsia="Batang" w:cs="Arial"/>
                <w:color w:val="000000" w:themeColor="text1"/>
                <w:lang w:eastAsia="ko-KR"/>
              </w:rPr>
              <w:t xml:space="preserve">000 </w:t>
            </w:r>
          </w:p>
        </w:tc>
        <w:tc>
          <w:tcPr>
            <w:tcW w:w="1051" w:type="dxa"/>
            <w:vAlign w:val="bottom"/>
            <w:hideMark/>
          </w:tcPr>
          <w:p w14:paraId="3DDD03D2" w14:textId="62026A23" w:rsidR="003124EE" w:rsidRPr="003124EE" w:rsidRDefault="0074153C" w:rsidP="000A1EE5">
            <w:pPr>
              <w:widowControl w:val="0"/>
              <w:pBdr>
                <w:bottom w:val="double" w:sz="4" w:space="0" w:color="auto"/>
              </w:pBdr>
              <w:spacing w:before="120"/>
              <w:ind w:left="58" w:right="-86"/>
              <w:jc w:val="right"/>
              <w:rPr>
                <w:rFonts w:eastAsia="Batang" w:cs="Arial"/>
                <w:color w:val="000000" w:themeColor="text1"/>
                <w:lang w:eastAsia="ko-KR"/>
              </w:rPr>
            </w:pPr>
            <w:r w:rsidRPr="0074153C">
              <w:rPr>
                <w:rFonts w:eastAsia="Batang" w:cs="Arial"/>
                <w:color w:val="000000" w:themeColor="text1"/>
                <w:lang w:eastAsia="ko-KR"/>
              </w:rPr>
              <w:t>100</w:t>
            </w:r>
            <w:r w:rsidR="00871B72">
              <w:rPr>
                <w:rFonts w:eastAsia="Batang" w:cs="Arial"/>
                <w:color w:val="000000" w:themeColor="text1"/>
                <w:lang w:eastAsia="ko-KR"/>
              </w:rPr>
              <w:t>.</w:t>
            </w:r>
            <w:r w:rsidRPr="0074153C">
              <w:rPr>
                <w:rFonts w:eastAsia="Batang" w:cs="Arial"/>
                <w:color w:val="000000" w:themeColor="text1"/>
                <w:lang w:eastAsia="ko-KR"/>
              </w:rPr>
              <w:t xml:space="preserve">00 </w:t>
            </w:r>
          </w:p>
        </w:tc>
        <w:tc>
          <w:tcPr>
            <w:tcW w:w="2102" w:type="dxa"/>
            <w:vAlign w:val="bottom"/>
            <w:hideMark/>
          </w:tcPr>
          <w:p w14:paraId="62E85618" w14:textId="40F800B0" w:rsidR="003124EE" w:rsidRPr="00C5236D" w:rsidRDefault="00AB3332" w:rsidP="000A1EE5">
            <w:pPr>
              <w:widowControl w:val="0"/>
              <w:pBdr>
                <w:bottom w:val="double" w:sz="4" w:space="0" w:color="auto"/>
              </w:pBdr>
              <w:spacing w:before="120"/>
              <w:ind w:left="58" w:right="-86"/>
              <w:jc w:val="right"/>
              <w:rPr>
                <w:rFonts w:cs="Arial"/>
                <w:color w:val="000000" w:themeColor="text1"/>
                <w:lang w:val="nl-NL"/>
              </w:rPr>
            </w:pPr>
            <w:r>
              <w:rPr>
                <w:rFonts w:eastAsia="Batang" w:cs="Arial"/>
                <w:color w:val="000000" w:themeColor="text1"/>
                <w:lang w:eastAsia="ko-KR"/>
              </w:rPr>
              <w:t>1</w:t>
            </w:r>
            <w:r w:rsidR="00E969B9">
              <w:rPr>
                <w:rFonts w:eastAsia="Batang" w:cs="Arial"/>
                <w:color w:val="000000" w:themeColor="text1"/>
                <w:lang w:eastAsia="ko-KR"/>
              </w:rPr>
              <w:t>,</w:t>
            </w:r>
            <w:r>
              <w:rPr>
                <w:rFonts w:eastAsia="Batang" w:cs="Arial"/>
                <w:color w:val="000000" w:themeColor="text1"/>
                <w:lang w:eastAsia="ko-KR"/>
              </w:rPr>
              <w:t>239</w:t>
            </w:r>
            <w:r w:rsidR="00E969B9">
              <w:rPr>
                <w:rFonts w:eastAsia="Batang" w:cs="Arial"/>
                <w:color w:val="000000" w:themeColor="text1"/>
                <w:lang w:eastAsia="ko-KR"/>
              </w:rPr>
              <w:t>,</w:t>
            </w:r>
            <w:r>
              <w:rPr>
                <w:rFonts w:eastAsia="Batang" w:cs="Arial"/>
                <w:color w:val="000000" w:themeColor="text1"/>
                <w:lang w:eastAsia="ko-KR"/>
              </w:rPr>
              <w:t>000</w:t>
            </w:r>
            <w:r w:rsidR="00E969B9">
              <w:rPr>
                <w:rFonts w:eastAsia="Batang" w:cs="Arial"/>
                <w:color w:val="000000" w:themeColor="text1"/>
                <w:lang w:eastAsia="ko-KR"/>
              </w:rPr>
              <w:t>,</w:t>
            </w:r>
            <w:r>
              <w:rPr>
                <w:rFonts w:eastAsia="Batang" w:cs="Arial"/>
                <w:color w:val="000000" w:themeColor="text1"/>
                <w:lang w:eastAsia="ko-KR"/>
              </w:rPr>
              <w:t>000</w:t>
            </w:r>
            <w:r w:rsidR="00E969B9">
              <w:rPr>
                <w:rFonts w:eastAsia="Batang" w:cs="Arial"/>
                <w:color w:val="000000" w:themeColor="text1"/>
                <w:lang w:eastAsia="ko-KR"/>
              </w:rPr>
              <w:t>,</w:t>
            </w:r>
            <w:r>
              <w:rPr>
                <w:rFonts w:eastAsia="Batang" w:cs="Arial"/>
                <w:color w:val="000000" w:themeColor="text1"/>
                <w:lang w:eastAsia="ko-KR"/>
              </w:rPr>
              <w:t>000</w:t>
            </w:r>
          </w:p>
        </w:tc>
        <w:tc>
          <w:tcPr>
            <w:tcW w:w="1051" w:type="dxa"/>
            <w:vAlign w:val="bottom"/>
            <w:hideMark/>
          </w:tcPr>
          <w:p w14:paraId="063BC983" w14:textId="053F3AE8" w:rsidR="003124EE" w:rsidRPr="00C5236D" w:rsidRDefault="00AB3332" w:rsidP="000A1EE5">
            <w:pPr>
              <w:widowControl w:val="0"/>
              <w:pBdr>
                <w:bottom w:val="double" w:sz="4" w:space="0" w:color="auto"/>
              </w:pBdr>
              <w:spacing w:before="120"/>
              <w:ind w:left="58" w:right="-86"/>
              <w:jc w:val="right"/>
              <w:rPr>
                <w:rFonts w:cs="Arial"/>
                <w:color w:val="000000" w:themeColor="text1"/>
                <w:lang w:val="nl-NL"/>
              </w:rPr>
            </w:pPr>
            <w:r>
              <w:rPr>
                <w:rFonts w:eastAsia="Batang" w:cs="Arial"/>
                <w:color w:val="000000" w:themeColor="text1"/>
                <w:lang w:eastAsia="ko-KR"/>
              </w:rPr>
              <w:t>100</w:t>
            </w:r>
            <w:r w:rsidR="00871B72">
              <w:rPr>
                <w:rFonts w:eastAsia="Batang" w:cs="Arial"/>
                <w:color w:val="000000" w:themeColor="text1"/>
                <w:lang w:eastAsia="ko-KR"/>
              </w:rPr>
              <w:t>.</w:t>
            </w:r>
            <w:r>
              <w:rPr>
                <w:rFonts w:eastAsia="Batang" w:cs="Arial"/>
                <w:color w:val="000000" w:themeColor="text1"/>
                <w:lang w:eastAsia="ko-KR"/>
              </w:rPr>
              <w:t>00</w:t>
            </w:r>
          </w:p>
        </w:tc>
      </w:tr>
    </w:tbl>
    <w:p w14:paraId="5652D71E" w14:textId="77777777" w:rsidR="006745D2" w:rsidRPr="006745D2" w:rsidRDefault="006745D2" w:rsidP="008F06D9">
      <w:pPr>
        <w:pStyle w:val="NoSpacing"/>
      </w:pPr>
    </w:p>
    <w:p w14:paraId="72B7ED6F" w14:textId="65C37706" w:rsidR="00495A95" w:rsidRPr="002A0B87" w:rsidRDefault="00D72794" w:rsidP="00760439">
      <w:pPr>
        <w:pStyle w:val="Heading2"/>
      </w:pPr>
      <w:r>
        <w:t>18</w:t>
      </w:r>
      <w:r w:rsidR="00495A95" w:rsidRPr="002A0B87">
        <w:t>.</w:t>
      </w:r>
      <w:r w:rsidR="00270E2A">
        <w:t>2</w:t>
      </w:r>
      <w:r w:rsidR="00495A95" w:rsidRPr="002A0B87">
        <w:tab/>
      </w:r>
      <w:r w:rsidR="00C052AF" w:rsidRPr="00C052AF">
        <w:t>Changes in owners’ equity</w:t>
      </w:r>
      <w:r w:rsidR="00C052AF" w:rsidRPr="00C052AF" w:rsidDel="00C052AF">
        <w:t xml:space="preserve"> </w:t>
      </w:r>
    </w:p>
    <w:p w14:paraId="151C9FA8" w14:textId="77777777" w:rsidR="00495A95" w:rsidRPr="002A0B87" w:rsidRDefault="00495A95" w:rsidP="00760439">
      <w:pPr>
        <w:pStyle w:val="NoSpacing"/>
        <w:rPr>
          <w:lang w:val="de-DE"/>
        </w:rPr>
      </w:pPr>
    </w:p>
    <w:tbl>
      <w:tblPr>
        <w:tblW w:w="13092" w:type="dxa"/>
        <w:tblInd w:w="720" w:type="dxa"/>
        <w:tblLayout w:type="fixed"/>
        <w:tblLook w:val="01E0" w:firstRow="1" w:lastRow="1" w:firstColumn="1" w:lastColumn="1" w:noHBand="0" w:noVBand="0"/>
      </w:tblPr>
      <w:tblGrid>
        <w:gridCol w:w="2610"/>
        <w:gridCol w:w="2096"/>
        <w:gridCol w:w="2096"/>
        <w:gridCol w:w="2097"/>
        <w:gridCol w:w="2096"/>
        <w:gridCol w:w="2097"/>
      </w:tblGrid>
      <w:tr w:rsidR="00D72794" w:rsidRPr="002A0B87" w14:paraId="3A6638B7" w14:textId="77777777" w:rsidTr="00D72794">
        <w:trPr>
          <w:trHeight w:val="472"/>
          <w:tblHeader/>
        </w:trPr>
        <w:tc>
          <w:tcPr>
            <w:tcW w:w="2610" w:type="dxa"/>
            <w:vAlign w:val="bottom"/>
            <w:hideMark/>
          </w:tcPr>
          <w:p w14:paraId="5E3F1CF8" w14:textId="77777777" w:rsidR="00D72794" w:rsidRPr="00D72794" w:rsidRDefault="00D72794" w:rsidP="00760439">
            <w:pPr>
              <w:overflowPunct/>
              <w:autoSpaceDE/>
              <w:autoSpaceDN/>
              <w:adjustRightInd/>
              <w:ind w:left="-115"/>
              <w:textAlignment w:val="auto"/>
              <w:rPr>
                <w:rFonts w:cs="Arial"/>
                <w:i/>
              </w:rPr>
            </w:pPr>
          </w:p>
        </w:tc>
        <w:tc>
          <w:tcPr>
            <w:tcW w:w="2096" w:type="dxa"/>
            <w:vAlign w:val="bottom"/>
            <w:hideMark/>
          </w:tcPr>
          <w:p w14:paraId="2EA9D6F7" w14:textId="4FC0990F" w:rsidR="00D72794" w:rsidRPr="00D72794" w:rsidRDefault="006B46DC" w:rsidP="00D72794">
            <w:pPr>
              <w:widowControl w:val="0"/>
              <w:ind w:left="58" w:right="-86"/>
              <w:jc w:val="right"/>
              <w:rPr>
                <w:rFonts w:eastAsia="Batang" w:cs="Arial"/>
                <w:bCs/>
                <w:i/>
                <w:lang w:eastAsia="ko-KR"/>
              </w:rPr>
            </w:pPr>
            <w:r w:rsidRPr="006B46DC">
              <w:rPr>
                <w:rFonts w:eastAsia="Batang" w:cs="Arial"/>
                <w:bCs/>
                <w:i/>
                <w:lang w:eastAsia="ko-KR"/>
              </w:rPr>
              <w:t>Contributed capital</w:t>
            </w:r>
          </w:p>
          <w:p w14:paraId="36474C7B" w14:textId="704F2E9B" w:rsidR="00D72794" w:rsidRPr="00D72794" w:rsidRDefault="00D72794" w:rsidP="00D72794">
            <w:pPr>
              <w:widowControl w:val="0"/>
              <w:pBdr>
                <w:bottom w:val="single" w:sz="4" w:space="0" w:color="auto"/>
              </w:pBdr>
              <w:ind w:left="58" w:right="-86"/>
              <w:jc w:val="right"/>
              <w:rPr>
                <w:rFonts w:eastAsia="Batang" w:cs="Arial"/>
                <w:bCs/>
                <w:i/>
                <w:lang w:eastAsia="ko-KR"/>
              </w:rPr>
            </w:pPr>
            <w:r w:rsidRPr="00D72794">
              <w:rPr>
                <w:rFonts w:eastAsia="Batang" w:cs="Arial"/>
                <w:bCs/>
                <w:i/>
                <w:lang w:eastAsia="ko-KR"/>
              </w:rPr>
              <w:t>VND</w:t>
            </w:r>
          </w:p>
        </w:tc>
        <w:tc>
          <w:tcPr>
            <w:tcW w:w="2096" w:type="dxa"/>
            <w:vAlign w:val="bottom"/>
            <w:hideMark/>
          </w:tcPr>
          <w:p w14:paraId="3FF3A8DB" w14:textId="77777777" w:rsidR="009B6E71" w:rsidRPr="006D0037" w:rsidRDefault="007922BB" w:rsidP="00D72794">
            <w:pPr>
              <w:widowControl w:val="0"/>
              <w:pBdr>
                <w:bottom w:val="single" w:sz="4" w:space="0" w:color="auto"/>
              </w:pBdr>
              <w:ind w:left="58" w:right="-86"/>
              <w:jc w:val="right"/>
              <w:rPr>
                <w:rFonts w:eastAsia="Batang" w:cs="Arial"/>
                <w:bCs/>
                <w:i/>
                <w:lang w:eastAsia="ko-KR"/>
              </w:rPr>
            </w:pPr>
            <w:r w:rsidRPr="005C55A7">
              <w:rPr>
                <w:rFonts w:eastAsia="Batang" w:cs="Arial"/>
                <w:bCs/>
                <w:i/>
                <w:lang w:eastAsia="ko-KR"/>
              </w:rPr>
              <w:t>C</w:t>
            </w:r>
            <w:r w:rsidRPr="006D0037">
              <w:rPr>
                <w:rFonts w:eastAsia="Batang" w:cs="Arial"/>
                <w:bCs/>
                <w:i/>
                <w:lang w:eastAsia="ko-KR"/>
              </w:rPr>
              <w:t>harter capital supplementary reserve</w:t>
            </w:r>
          </w:p>
          <w:p w14:paraId="21944086" w14:textId="1185441F" w:rsidR="00D72794" w:rsidRPr="00FA28E4" w:rsidRDefault="007922BB" w:rsidP="00D72794">
            <w:pPr>
              <w:widowControl w:val="0"/>
              <w:pBdr>
                <w:bottom w:val="single" w:sz="4" w:space="0" w:color="auto"/>
              </w:pBdr>
              <w:ind w:left="58" w:right="-86"/>
              <w:jc w:val="right"/>
              <w:rPr>
                <w:rFonts w:eastAsia="Batang" w:cs="Arial"/>
                <w:bCs/>
                <w:i/>
                <w:lang w:eastAsia="ko-KR"/>
              </w:rPr>
            </w:pPr>
            <w:r w:rsidRPr="00FA28E4" w:rsidDel="007922BB">
              <w:rPr>
                <w:rFonts w:eastAsia="Batang" w:cs="Arial"/>
                <w:bCs/>
                <w:i/>
                <w:lang w:eastAsia="ko-KR"/>
              </w:rPr>
              <w:t xml:space="preserve"> </w:t>
            </w:r>
            <w:r w:rsidR="00D72794" w:rsidRPr="00FA28E4">
              <w:rPr>
                <w:rFonts w:eastAsia="Batang" w:cs="Arial"/>
                <w:bCs/>
                <w:i/>
                <w:lang w:eastAsia="ko-KR"/>
              </w:rPr>
              <w:t>VND</w:t>
            </w:r>
          </w:p>
        </w:tc>
        <w:tc>
          <w:tcPr>
            <w:tcW w:w="2097" w:type="dxa"/>
            <w:vAlign w:val="bottom"/>
            <w:hideMark/>
          </w:tcPr>
          <w:p w14:paraId="4F7C2168" w14:textId="1F0F2C77" w:rsidR="00D72794" w:rsidRPr="00FA28E4" w:rsidRDefault="009B6E71" w:rsidP="00D72794">
            <w:pPr>
              <w:widowControl w:val="0"/>
              <w:pBdr>
                <w:bottom w:val="single" w:sz="4" w:space="0" w:color="auto"/>
              </w:pBdr>
              <w:ind w:left="58" w:right="-86"/>
              <w:jc w:val="right"/>
              <w:rPr>
                <w:rFonts w:eastAsia="Batang" w:cs="Arial"/>
                <w:bCs/>
                <w:i/>
                <w:lang w:eastAsia="ko-KR"/>
              </w:rPr>
            </w:pPr>
            <w:r w:rsidRPr="005C55A7">
              <w:rPr>
                <w:rFonts w:eastAsia="Batang" w:cs="Arial"/>
                <w:bCs/>
                <w:i/>
                <w:lang w:eastAsia="ko-KR"/>
              </w:rPr>
              <w:t>Operational risk and financial reserve</w:t>
            </w:r>
            <w:r w:rsidRPr="00FA28E4" w:rsidDel="009B6E71">
              <w:rPr>
                <w:rFonts w:eastAsia="Batang" w:cs="Arial"/>
                <w:bCs/>
                <w:i/>
                <w:lang w:eastAsia="ko-KR"/>
              </w:rPr>
              <w:t xml:space="preserve"> </w:t>
            </w:r>
            <w:r w:rsidR="00E03DC2" w:rsidRPr="00FA28E4">
              <w:rPr>
                <w:rFonts w:eastAsia="Batang" w:cs="Arial"/>
                <w:bCs/>
                <w:i/>
                <w:lang w:eastAsia="ko-KR"/>
              </w:rPr>
              <w:t>VND</w:t>
            </w:r>
          </w:p>
        </w:tc>
        <w:tc>
          <w:tcPr>
            <w:tcW w:w="2096" w:type="dxa"/>
            <w:vAlign w:val="bottom"/>
            <w:hideMark/>
          </w:tcPr>
          <w:p w14:paraId="4A8425A6" w14:textId="16086974" w:rsidR="00D72794" w:rsidRPr="00D72794" w:rsidRDefault="00810AB3" w:rsidP="00D72794">
            <w:pPr>
              <w:widowControl w:val="0"/>
              <w:pBdr>
                <w:bottom w:val="single" w:sz="4" w:space="0" w:color="auto"/>
              </w:pBdr>
              <w:ind w:left="58" w:right="-86"/>
              <w:jc w:val="right"/>
              <w:rPr>
                <w:rFonts w:eastAsia="Batang" w:cs="Arial"/>
                <w:bCs/>
                <w:i/>
                <w:lang w:eastAsia="ko-KR"/>
              </w:rPr>
            </w:pPr>
            <w:r w:rsidRPr="00810AB3">
              <w:rPr>
                <w:rFonts w:eastAsia="Batang" w:cs="Arial"/>
                <w:bCs/>
                <w:i/>
                <w:lang w:eastAsia="ko-KR"/>
              </w:rPr>
              <w:t>Undistributed profit/ (loss)</w:t>
            </w:r>
          </w:p>
          <w:p w14:paraId="681A6C9E" w14:textId="33EEEA17" w:rsidR="00D72794" w:rsidRPr="00D72794" w:rsidRDefault="00D72794" w:rsidP="00D72794">
            <w:pPr>
              <w:widowControl w:val="0"/>
              <w:pBdr>
                <w:bottom w:val="single" w:sz="4" w:space="0" w:color="auto"/>
              </w:pBdr>
              <w:ind w:left="58" w:right="-86"/>
              <w:jc w:val="right"/>
              <w:rPr>
                <w:rFonts w:eastAsia="Batang" w:cs="Arial"/>
                <w:bCs/>
                <w:i/>
                <w:lang w:eastAsia="ko-KR"/>
              </w:rPr>
            </w:pPr>
            <w:r w:rsidRPr="00D72794">
              <w:rPr>
                <w:rFonts w:eastAsia="Batang" w:cs="Arial"/>
                <w:bCs/>
                <w:i/>
                <w:lang w:eastAsia="ko-KR"/>
              </w:rPr>
              <w:t>VND</w:t>
            </w:r>
          </w:p>
        </w:tc>
        <w:tc>
          <w:tcPr>
            <w:tcW w:w="2097" w:type="dxa"/>
            <w:vAlign w:val="bottom"/>
            <w:hideMark/>
          </w:tcPr>
          <w:p w14:paraId="199FD159" w14:textId="1CED4687" w:rsidR="00D72794" w:rsidRPr="00D72794" w:rsidRDefault="003E0081" w:rsidP="00D72794">
            <w:pPr>
              <w:widowControl w:val="0"/>
              <w:pBdr>
                <w:bottom w:val="single" w:sz="4" w:space="0" w:color="auto"/>
              </w:pBdr>
              <w:ind w:left="58" w:right="-86"/>
              <w:jc w:val="right"/>
              <w:rPr>
                <w:rFonts w:eastAsia="Batang" w:cs="Arial"/>
                <w:bCs/>
                <w:i/>
                <w:lang w:eastAsia="ko-KR"/>
              </w:rPr>
            </w:pPr>
            <w:r w:rsidRPr="003E0081">
              <w:rPr>
                <w:rFonts w:eastAsia="Batang" w:cs="Arial"/>
                <w:bCs/>
                <w:i/>
                <w:lang w:eastAsia="ko-KR"/>
              </w:rPr>
              <w:t>Total</w:t>
            </w:r>
          </w:p>
          <w:p w14:paraId="58C5E16F" w14:textId="4AECCD91" w:rsidR="00D72794" w:rsidRPr="00D72794" w:rsidRDefault="00D72794" w:rsidP="00D72794">
            <w:pPr>
              <w:widowControl w:val="0"/>
              <w:pBdr>
                <w:bottom w:val="single" w:sz="4" w:space="0" w:color="auto"/>
              </w:pBdr>
              <w:ind w:left="58" w:right="-86"/>
              <w:jc w:val="right"/>
              <w:rPr>
                <w:rFonts w:eastAsia="Batang" w:cs="Arial"/>
                <w:bCs/>
                <w:i/>
                <w:lang w:eastAsia="ko-KR"/>
              </w:rPr>
            </w:pPr>
            <w:r w:rsidRPr="00D72794">
              <w:rPr>
                <w:rFonts w:eastAsia="Batang" w:cs="Arial"/>
                <w:bCs/>
                <w:i/>
                <w:lang w:eastAsia="ko-KR"/>
              </w:rPr>
              <w:t>VND</w:t>
            </w:r>
          </w:p>
        </w:tc>
      </w:tr>
      <w:tr w:rsidR="00E275DB" w:rsidRPr="002A0B87" w14:paraId="398173B0" w14:textId="77777777" w:rsidTr="009153E2">
        <w:trPr>
          <w:trHeight w:val="20"/>
        </w:trPr>
        <w:tc>
          <w:tcPr>
            <w:tcW w:w="2610" w:type="dxa"/>
            <w:vAlign w:val="bottom"/>
            <w:hideMark/>
          </w:tcPr>
          <w:p w14:paraId="7E9A92B4" w14:textId="3BA9F3E0" w:rsidR="00E275DB" w:rsidRPr="00D72794" w:rsidRDefault="00E275DB" w:rsidP="00E275DB">
            <w:pPr>
              <w:widowControl w:val="0"/>
              <w:spacing w:before="120"/>
              <w:ind w:left="-115" w:right="-58"/>
              <w:rPr>
                <w:rFonts w:cs="Arial"/>
                <w:b/>
                <w:bCs/>
                <w:lang w:val="nl-NL"/>
              </w:rPr>
            </w:pPr>
            <w:r w:rsidRPr="005F74EA">
              <w:rPr>
                <w:rFonts w:cs="Arial"/>
                <w:b/>
                <w:bCs/>
                <w:lang w:val="nl-NL"/>
              </w:rPr>
              <w:t>As at 1 January 202</w:t>
            </w:r>
            <w:r>
              <w:rPr>
                <w:rFonts w:cs="Arial"/>
                <w:b/>
                <w:bCs/>
                <w:lang w:val="nl-NL"/>
              </w:rPr>
              <w:t>1</w:t>
            </w:r>
          </w:p>
        </w:tc>
        <w:tc>
          <w:tcPr>
            <w:tcW w:w="2096" w:type="dxa"/>
          </w:tcPr>
          <w:p w14:paraId="0AFAF583" w14:textId="2F0DCF1B" w:rsidR="00E275DB" w:rsidRPr="00E275DB" w:rsidRDefault="00E275DB" w:rsidP="00E275DB">
            <w:pPr>
              <w:widowControl w:val="0"/>
              <w:spacing w:before="120"/>
              <w:ind w:left="58" w:right="-86"/>
              <w:jc w:val="right"/>
              <w:rPr>
                <w:rFonts w:eastAsia="Batang" w:cs="Arial"/>
                <w:b/>
                <w:bCs/>
                <w:lang w:eastAsia="ko-KR"/>
              </w:rPr>
            </w:pPr>
            <w:r w:rsidRPr="00E275DB">
              <w:rPr>
                <w:b/>
                <w:bCs/>
              </w:rPr>
              <w:t>1,239,000,000,000</w:t>
            </w:r>
          </w:p>
        </w:tc>
        <w:tc>
          <w:tcPr>
            <w:tcW w:w="2096" w:type="dxa"/>
          </w:tcPr>
          <w:p w14:paraId="40669157" w14:textId="3CD98C0A" w:rsidR="00E275DB" w:rsidRPr="00E275DB" w:rsidRDefault="00E275DB" w:rsidP="00E275DB">
            <w:pPr>
              <w:widowControl w:val="0"/>
              <w:spacing w:before="120"/>
              <w:ind w:left="58" w:right="-86"/>
              <w:jc w:val="right"/>
              <w:rPr>
                <w:rFonts w:eastAsia="Batang" w:cs="Arial"/>
                <w:b/>
                <w:bCs/>
                <w:lang w:eastAsia="ko-KR"/>
              </w:rPr>
            </w:pPr>
            <w:r w:rsidRPr="00E275DB">
              <w:rPr>
                <w:b/>
                <w:bCs/>
              </w:rPr>
              <w:t>113,649,448</w:t>
            </w:r>
          </w:p>
        </w:tc>
        <w:tc>
          <w:tcPr>
            <w:tcW w:w="2097" w:type="dxa"/>
          </w:tcPr>
          <w:p w14:paraId="39E28CB3" w14:textId="5FC694C9" w:rsidR="00E275DB" w:rsidRPr="00E275DB" w:rsidRDefault="00E275DB" w:rsidP="00E275DB">
            <w:pPr>
              <w:widowControl w:val="0"/>
              <w:spacing w:before="120"/>
              <w:ind w:left="58" w:right="-86"/>
              <w:jc w:val="right"/>
              <w:rPr>
                <w:rFonts w:eastAsia="Batang" w:cs="Arial"/>
                <w:b/>
                <w:bCs/>
                <w:lang w:eastAsia="ko-KR"/>
              </w:rPr>
            </w:pPr>
            <w:r w:rsidRPr="00E275DB">
              <w:rPr>
                <w:b/>
                <w:bCs/>
              </w:rPr>
              <w:t>113,649,448</w:t>
            </w:r>
          </w:p>
        </w:tc>
        <w:tc>
          <w:tcPr>
            <w:tcW w:w="2096" w:type="dxa"/>
          </w:tcPr>
          <w:p w14:paraId="433C7D8D" w14:textId="2758D611" w:rsidR="00E275DB" w:rsidRPr="00E275DB" w:rsidRDefault="00E275DB" w:rsidP="00E275DB">
            <w:pPr>
              <w:widowControl w:val="0"/>
              <w:spacing w:before="120"/>
              <w:ind w:left="58" w:right="-86"/>
              <w:jc w:val="right"/>
              <w:rPr>
                <w:rFonts w:cs="Arial"/>
                <w:b/>
                <w:bCs/>
                <w:lang w:val="nl-NL"/>
              </w:rPr>
            </w:pPr>
            <w:r w:rsidRPr="00E275DB">
              <w:rPr>
                <w:b/>
                <w:bCs/>
              </w:rPr>
              <w:t>(17,313,840,580)</w:t>
            </w:r>
          </w:p>
        </w:tc>
        <w:tc>
          <w:tcPr>
            <w:tcW w:w="2097" w:type="dxa"/>
          </w:tcPr>
          <w:p w14:paraId="02A971DA" w14:textId="4B2C5A08" w:rsidR="00E275DB" w:rsidRPr="00E275DB" w:rsidRDefault="00E275DB" w:rsidP="00E275DB">
            <w:pPr>
              <w:widowControl w:val="0"/>
              <w:spacing w:before="120"/>
              <w:ind w:left="58" w:right="-86"/>
              <w:jc w:val="right"/>
              <w:rPr>
                <w:rFonts w:cs="Arial"/>
                <w:b/>
                <w:bCs/>
                <w:lang w:val="nl-NL"/>
              </w:rPr>
            </w:pPr>
            <w:r w:rsidRPr="00E275DB">
              <w:rPr>
                <w:b/>
                <w:bCs/>
              </w:rPr>
              <w:t>1,221,913,458,316</w:t>
            </w:r>
          </w:p>
        </w:tc>
      </w:tr>
      <w:tr w:rsidR="00E275DB" w:rsidRPr="002A0B87" w14:paraId="484CDDEC" w14:textId="77777777" w:rsidTr="009153E2">
        <w:trPr>
          <w:trHeight w:val="20"/>
        </w:trPr>
        <w:tc>
          <w:tcPr>
            <w:tcW w:w="2610" w:type="dxa"/>
            <w:vAlign w:val="bottom"/>
            <w:hideMark/>
          </w:tcPr>
          <w:p w14:paraId="36400952" w14:textId="51541B14" w:rsidR="00E275DB" w:rsidRPr="00D72794" w:rsidRDefault="00E275DB" w:rsidP="00E275DB">
            <w:pPr>
              <w:widowControl w:val="0"/>
              <w:spacing w:before="120"/>
              <w:ind w:left="-115"/>
              <w:rPr>
                <w:rFonts w:cs="Arial"/>
                <w:bCs/>
                <w:lang w:val="nl-NL"/>
              </w:rPr>
            </w:pPr>
            <w:r w:rsidRPr="00D500F3">
              <w:rPr>
                <w:rFonts w:cs="Arial"/>
                <w:lang w:val="nl-NL"/>
              </w:rPr>
              <w:t>Capital increase</w:t>
            </w:r>
          </w:p>
        </w:tc>
        <w:tc>
          <w:tcPr>
            <w:tcW w:w="2096" w:type="dxa"/>
          </w:tcPr>
          <w:p w14:paraId="51B26C39" w14:textId="44123665" w:rsidR="00E275DB" w:rsidRPr="00D72794" w:rsidRDefault="00E275DB" w:rsidP="00E275DB">
            <w:pPr>
              <w:widowControl w:val="0"/>
              <w:spacing w:before="120"/>
              <w:ind w:left="58" w:right="-86"/>
              <w:jc w:val="right"/>
              <w:rPr>
                <w:rFonts w:eastAsia="Batang" w:cs="Arial"/>
                <w:lang w:eastAsia="ko-KR"/>
              </w:rPr>
            </w:pPr>
            <w:r w:rsidRPr="00F57BE7">
              <w:t>-</w:t>
            </w:r>
          </w:p>
        </w:tc>
        <w:tc>
          <w:tcPr>
            <w:tcW w:w="2096" w:type="dxa"/>
          </w:tcPr>
          <w:p w14:paraId="3769187A" w14:textId="4729643F" w:rsidR="00E275DB" w:rsidRPr="00D72794" w:rsidRDefault="00E275DB" w:rsidP="00E275DB">
            <w:pPr>
              <w:widowControl w:val="0"/>
              <w:spacing w:before="120"/>
              <w:ind w:left="58" w:right="-86"/>
              <w:jc w:val="right"/>
              <w:rPr>
                <w:rFonts w:eastAsia="Batang" w:cs="Arial"/>
                <w:bCs/>
                <w:lang w:eastAsia="ko-KR"/>
              </w:rPr>
            </w:pPr>
            <w:r w:rsidRPr="00F57BE7">
              <w:t>-</w:t>
            </w:r>
          </w:p>
        </w:tc>
        <w:tc>
          <w:tcPr>
            <w:tcW w:w="2097" w:type="dxa"/>
          </w:tcPr>
          <w:p w14:paraId="55DCE2DA" w14:textId="4ADBFF64" w:rsidR="00E275DB" w:rsidRPr="00D72794" w:rsidRDefault="00E275DB" w:rsidP="00E275DB">
            <w:pPr>
              <w:widowControl w:val="0"/>
              <w:spacing w:before="120"/>
              <w:ind w:left="58" w:right="-86"/>
              <w:jc w:val="right"/>
              <w:rPr>
                <w:rFonts w:eastAsia="Batang" w:cs="Arial"/>
                <w:bCs/>
                <w:lang w:eastAsia="ko-KR"/>
              </w:rPr>
            </w:pPr>
            <w:r w:rsidRPr="00F57BE7">
              <w:t>-</w:t>
            </w:r>
          </w:p>
        </w:tc>
        <w:tc>
          <w:tcPr>
            <w:tcW w:w="2096" w:type="dxa"/>
          </w:tcPr>
          <w:p w14:paraId="15F79991" w14:textId="078AE876" w:rsidR="00E275DB" w:rsidRPr="00D72794" w:rsidRDefault="00E275DB" w:rsidP="00E275DB">
            <w:pPr>
              <w:widowControl w:val="0"/>
              <w:spacing w:before="120"/>
              <w:ind w:left="58" w:right="-86"/>
              <w:jc w:val="right"/>
              <w:rPr>
                <w:rFonts w:cs="Arial"/>
                <w:lang w:val="nl-NL"/>
              </w:rPr>
            </w:pPr>
            <w:r w:rsidRPr="00F57BE7">
              <w:t>-</w:t>
            </w:r>
          </w:p>
        </w:tc>
        <w:tc>
          <w:tcPr>
            <w:tcW w:w="2097" w:type="dxa"/>
          </w:tcPr>
          <w:p w14:paraId="56CB1762" w14:textId="0B6EE7F8" w:rsidR="00E275DB" w:rsidRPr="00D72794" w:rsidRDefault="00E275DB" w:rsidP="00E275DB">
            <w:pPr>
              <w:widowControl w:val="0"/>
              <w:spacing w:before="120"/>
              <w:ind w:left="58" w:right="-86"/>
              <w:jc w:val="right"/>
              <w:rPr>
                <w:rFonts w:cs="Arial"/>
                <w:lang w:val="nl-NL"/>
              </w:rPr>
            </w:pPr>
            <w:r w:rsidRPr="00F57BE7">
              <w:t>-</w:t>
            </w:r>
          </w:p>
        </w:tc>
      </w:tr>
      <w:tr w:rsidR="00E275DB" w:rsidRPr="002A0B87" w14:paraId="42357A7E" w14:textId="77777777" w:rsidTr="009153E2">
        <w:trPr>
          <w:trHeight w:val="20"/>
        </w:trPr>
        <w:tc>
          <w:tcPr>
            <w:tcW w:w="2610" w:type="dxa"/>
            <w:vAlign w:val="bottom"/>
            <w:hideMark/>
          </w:tcPr>
          <w:p w14:paraId="47EA7FF9" w14:textId="5100D94E" w:rsidR="00E275DB" w:rsidRPr="00D72794" w:rsidRDefault="00E275DB" w:rsidP="00E275DB">
            <w:pPr>
              <w:widowControl w:val="0"/>
              <w:ind w:left="-115"/>
              <w:rPr>
                <w:rFonts w:cs="Arial"/>
                <w:bCs/>
                <w:lang w:val="nl-NL"/>
              </w:rPr>
            </w:pPr>
            <w:r w:rsidRPr="0030596F">
              <w:rPr>
                <w:rFonts w:cs="Arial"/>
                <w:lang w:val="nl-NL"/>
              </w:rPr>
              <w:t>Profit for the year</w:t>
            </w:r>
          </w:p>
        </w:tc>
        <w:tc>
          <w:tcPr>
            <w:tcW w:w="2096" w:type="dxa"/>
          </w:tcPr>
          <w:p w14:paraId="0A3C5A1D" w14:textId="16AC5AB7" w:rsidR="00E275DB" w:rsidRPr="00D72794" w:rsidRDefault="00E275DB" w:rsidP="00E275DB">
            <w:pPr>
              <w:widowControl w:val="0"/>
              <w:pBdr>
                <w:bottom w:val="single" w:sz="4" w:space="0" w:color="auto"/>
              </w:pBdr>
              <w:ind w:left="58" w:right="-86"/>
              <w:jc w:val="right"/>
              <w:rPr>
                <w:rFonts w:eastAsia="Batang" w:cs="Arial"/>
                <w:lang w:eastAsia="ko-KR"/>
              </w:rPr>
            </w:pPr>
            <w:r w:rsidRPr="00F57BE7">
              <w:t>-</w:t>
            </w:r>
          </w:p>
        </w:tc>
        <w:tc>
          <w:tcPr>
            <w:tcW w:w="2096" w:type="dxa"/>
          </w:tcPr>
          <w:p w14:paraId="1F5BB0C3" w14:textId="1F123674" w:rsidR="00E275DB" w:rsidRPr="00D72794" w:rsidRDefault="00E275DB" w:rsidP="00E275DB">
            <w:pPr>
              <w:widowControl w:val="0"/>
              <w:pBdr>
                <w:bottom w:val="single" w:sz="4" w:space="0" w:color="auto"/>
              </w:pBdr>
              <w:ind w:left="58" w:right="-86"/>
              <w:jc w:val="right"/>
              <w:rPr>
                <w:rFonts w:eastAsia="Batang" w:cs="Arial"/>
                <w:bCs/>
                <w:lang w:eastAsia="ko-KR"/>
              </w:rPr>
            </w:pPr>
            <w:r w:rsidRPr="00F57BE7">
              <w:t>-</w:t>
            </w:r>
          </w:p>
        </w:tc>
        <w:tc>
          <w:tcPr>
            <w:tcW w:w="2097" w:type="dxa"/>
          </w:tcPr>
          <w:p w14:paraId="1B98D9D8" w14:textId="10FDDC2C" w:rsidR="00E275DB" w:rsidRPr="00D72794" w:rsidRDefault="00E275DB" w:rsidP="00E275DB">
            <w:pPr>
              <w:widowControl w:val="0"/>
              <w:pBdr>
                <w:bottom w:val="single" w:sz="4" w:space="0" w:color="auto"/>
              </w:pBdr>
              <w:ind w:left="58" w:right="-86"/>
              <w:jc w:val="right"/>
              <w:rPr>
                <w:rFonts w:eastAsia="Batang" w:cs="Arial"/>
                <w:bCs/>
                <w:lang w:eastAsia="ko-KR"/>
              </w:rPr>
            </w:pPr>
            <w:r w:rsidRPr="00F57BE7">
              <w:t>-</w:t>
            </w:r>
          </w:p>
        </w:tc>
        <w:tc>
          <w:tcPr>
            <w:tcW w:w="2096" w:type="dxa"/>
          </w:tcPr>
          <w:p w14:paraId="51EA055D" w14:textId="4B61BF11" w:rsidR="00E275DB" w:rsidRPr="00D72794" w:rsidRDefault="00E275DB" w:rsidP="00E275DB">
            <w:pPr>
              <w:widowControl w:val="0"/>
              <w:pBdr>
                <w:bottom w:val="single" w:sz="4" w:space="0" w:color="auto"/>
              </w:pBdr>
              <w:ind w:left="58" w:right="-86"/>
              <w:jc w:val="right"/>
              <w:rPr>
                <w:rFonts w:cs="Arial"/>
                <w:lang w:val="nl-NL"/>
              </w:rPr>
            </w:pPr>
            <w:r w:rsidRPr="00F57BE7">
              <w:t>56</w:t>
            </w:r>
            <w:r>
              <w:t>,</w:t>
            </w:r>
            <w:r w:rsidRPr="00F57BE7">
              <w:t>517</w:t>
            </w:r>
            <w:r>
              <w:t>,</w:t>
            </w:r>
            <w:r w:rsidRPr="00F57BE7">
              <w:t>351</w:t>
            </w:r>
            <w:r>
              <w:t>,</w:t>
            </w:r>
            <w:r w:rsidRPr="00F57BE7">
              <w:t>728</w:t>
            </w:r>
          </w:p>
        </w:tc>
        <w:tc>
          <w:tcPr>
            <w:tcW w:w="2097" w:type="dxa"/>
          </w:tcPr>
          <w:p w14:paraId="19DCAF15" w14:textId="6ABCA22B" w:rsidR="00E275DB" w:rsidRPr="00D72794" w:rsidRDefault="00E275DB" w:rsidP="00E275DB">
            <w:pPr>
              <w:widowControl w:val="0"/>
              <w:pBdr>
                <w:bottom w:val="single" w:sz="4" w:space="0" w:color="auto"/>
              </w:pBdr>
              <w:ind w:left="58" w:right="-86"/>
              <w:jc w:val="right"/>
              <w:rPr>
                <w:rFonts w:cs="Arial"/>
                <w:lang w:val="nl-NL"/>
              </w:rPr>
            </w:pPr>
            <w:r w:rsidRPr="00F57BE7">
              <w:t>56</w:t>
            </w:r>
            <w:r>
              <w:t>,</w:t>
            </w:r>
            <w:r w:rsidRPr="00F57BE7">
              <w:t>517</w:t>
            </w:r>
            <w:r>
              <w:t>,</w:t>
            </w:r>
            <w:r w:rsidRPr="00F57BE7">
              <w:t>351</w:t>
            </w:r>
            <w:r>
              <w:t>,</w:t>
            </w:r>
            <w:r w:rsidRPr="00F57BE7">
              <w:t>728</w:t>
            </w:r>
          </w:p>
        </w:tc>
      </w:tr>
      <w:tr w:rsidR="00E275DB" w:rsidRPr="002A0B87" w14:paraId="5BA68136" w14:textId="77777777" w:rsidTr="009153E2">
        <w:trPr>
          <w:trHeight w:val="20"/>
        </w:trPr>
        <w:tc>
          <w:tcPr>
            <w:tcW w:w="2610" w:type="dxa"/>
            <w:vAlign w:val="bottom"/>
            <w:hideMark/>
          </w:tcPr>
          <w:p w14:paraId="18A900A7" w14:textId="79943D37" w:rsidR="00E275DB" w:rsidRPr="00D72794" w:rsidRDefault="00E275DB" w:rsidP="00E275DB">
            <w:pPr>
              <w:widowControl w:val="0"/>
              <w:spacing w:before="120"/>
              <w:ind w:left="-115" w:right="-58"/>
              <w:rPr>
                <w:rFonts w:cs="Arial"/>
                <w:b/>
                <w:bCs/>
                <w:lang w:val="nl-NL"/>
              </w:rPr>
            </w:pPr>
            <w:r w:rsidRPr="00A56F55">
              <w:rPr>
                <w:rFonts w:cs="Arial"/>
                <w:b/>
                <w:bCs/>
                <w:lang w:val="nl-NL"/>
              </w:rPr>
              <w:t>As at 31 December 202</w:t>
            </w:r>
            <w:r>
              <w:rPr>
                <w:rFonts w:cs="Arial"/>
                <w:b/>
                <w:bCs/>
                <w:lang w:val="nl-NL"/>
              </w:rPr>
              <w:t>1</w:t>
            </w:r>
          </w:p>
        </w:tc>
        <w:tc>
          <w:tcPr>
            <w:tcW w:w="2096" w:type="dxa"/>
          </w:tcPr>
          <w:p w14:paraId="268AC815" w14:textId="4C5B28F1" w:rsidR="00E275DB" w:rsidRPr="00E275DB" w:rsidRDefault="00E275DB" w:rsidP="00E275DB">
            <w:pPr>
              <w:widowControl w:val="0"/>
              <w:spacing w:before="120"/>
              <w:ind w:left="58" w:right="-86"/>
              <w:jc w:val="right"/>
              <w:rPr>
                <w:rFonts w:eastAsia="Batang" w:cs="Arial"/>
                <w:b/>
                <w:bCs/>
                <w:lang w:eastAsia="ko-KR"/>
              </w:rPr>
            </w:pPr>
            <w:r w:rsidRPr="00E275DB">
              <w:rPr>
                <w:b/>
                <w:bCs/>
              </w:rPr>
              <w:t>1,239,000,000,000</w:t>
            </w:r>
          </w:p>
        </w:tc>
        <w:tc>
          <w:tcPr>
            <w:tcW w:w="2096" w:type="dxa"/>
          </w:tcPr>
          <w:p w14:paraId="06410C0B" w14:textId="2702F695" w:rsidR="00E275DB" w:rsidRPr="00E275DB" w:rsidRDefault="00E275DB" w:rsidP="00E275DB">
            <w:pPr>
              <w:widowControl w:val="0"/>
              <w:spacing w:before="120"/>
              <w:ind w:left="58" w:right="-86"/>
              <w:jc w:val="right"/>
              <w:rPr>
                <w:rFonts w:eastAsia="Batang" w:cs="Arial"/>
                <w:b/>
                <w:bCs/>
                <w:lang w:eastAsia="ko-KR"/>
              </w:rPr>
            </w:pPr>
            <w:r w:rsidRPr="00E275DB">
              <w:rPr>
                <w:b/>
                <w:bCs/>
              </w:rPr>
              <w:t>113,649,448</w:t>
            </w:r>
          </w:p>
        </w:tc>
        <w:tc>
          <w:tcPr>
            <w:tcW w:w="2097" w:type="dxa"/>
          </w:tcPr>
          <w:p w14:paraId="0877A48B" w14:textId="4D46D227" w:rsidR="00E275DB" w:rsidRPr="00E275DB" w:rsidRDefault="00E275DB" w:rsidP="00E275DB">
            <w:pPr>
              <w:widowControl w:val="0"/>
              <w:spacing w:before="120"/>
              <w:ind w:left="58" w:right="-86"/>
              <w:jc w:val="right"/>
              <w:rPr>
                <w:rFonts w:eastAsia="Batang" w:cs="Arial"/>
                <w:b/>
                <w:bCs/>
                <w:lang w:eastAsia="ko-KR"/>
              </w:rPr>
            </w:pPr>
            <w:r w:rsidRPr="00E275DB">
              <w:rPr>
                <w:b/>
                <w:bCs/>
              </w:rPr>
              <w:t>113,649,448</w:t>
            </w:r>
          </w:p>
        </w:tc>
        <w:tc>
          <w:tcPr>
            <w:tcW w:w="2096" w:type="dxa"/>
          </w:tcPr>
          <w:p w14:paraId="70F011DB" w14:textId="27D10EDA" w:rsidR="00E275DB" w:rsidRPr="00E275DB" w:rsidRDefault="00E275DB" w:rsidP="00E275DB">
            <w:pPr>
              <w:widowControl w:val="0"/>
              <w:spacing w:before="120"/>
              <w:ind w:left="58" w:right="-86"/>
              <w:jc w:val="right"/>
              <w:rPr>
                <w:rFonts w:cs="Arial"/>
                <w:b/>
                <w:bCs/>
                <w:lang w:val="nl-NL"/>
              </w:rPr>
            </w:pPr>
            <w:r w:rsidRPr="00E275DB">
              <w:rPr>
                <w:b/>
                <w:bCs/>
              </w:rPr>
              <w:t>39,203,511,148</w:t>
            </w:r>
          </w:p>
        </w:tc>
        <w:tc>
          <w:tcPr>
            <w:tcW w:w="2097" w:type="dxa"/>
          </w:tcPr>
          <w:p w14:paraId="44E9E297" w14:textId="7C988A72" w:rsidR="00E275DB" w:rsidRPr="00E275DB" w:rsidRDefault="00E275DB" w:rsidP="00E275DB">
            <w:pPr>
              <w:widowControl w:val="0"/>
              <w:spacing w:before="120"/>
              <w:ind w:left="58" w:right="-86"/>
              <w:jc w:val="right"/>
              <w:rPr>
                <w:rFonts w:cs="Arial"/>
                <w:b/>
                <w:bCs/>
                <w:lang w:val="nl-NL"/>
              </w:rPr>
            </w:pPr>
            <w:r w:rsidRPr="00E275DB">
              <w:rPr>
                <w:b/>
                <w:bCs/>
              </w:rPr>
              <w:t>1,278,430,810,044</w:t>
            </w:r>
          </w:p>
        </w:tc>
      </w:tr>
      <w:tr w:rsidR="00E275DB" w:rsidRPr="002A0B87" w14:paraId="4423305C" w14:textId="77777777" w:rsidTr="009153E2">
        <w:trPr>
          <w:trHeight w:val="20"/>
        </w:trPr>
        <w:tc>
          <w:tcPr>
            <w:tcW w:w="2610" w:type="dxa"/>
            <w:vAlign w:val="bottom"/>
          </w:tcPr>
          <w:p w14:paraId="4AA4D83F" w14:textId="3E8DB8EA" w:rsidR="00E275DB" w:rsidRPr="00D72794" w:rsidRDefault="00E275DB" w:rsidP="00E275DB">
            <w:pPr>
              <w:widowControl w:val="0"/>
              <w:spacing w:before="120"/>
              <w:ind w:left="-115"/>
              <w:jc w:val="left"/>
              <w:rPr>
                <w:rFonts w:cs="Arial"/>
                <w:lang w:val="nl-NL"/>
              </w:rPr>
            </w:pPr>
            <w:r w:rsidRPr="00EC4473">
              <w:rPr>
                <w:rFonts w:cs="Arial"/>
                <w:lang w:val="nl-NL"/>
              </w:rPr>
              <w:t>Profit for the year</w:t>
            </w:r>
          </w:p>
        </w:tc>
        <w:tc>
          <w:tcPr>
            <w:tcW w:w="2096" w:type="dxa"/>
          </w:tcPr>
          <w:p w14:paraId="3108D0AA" w14:textId="3DB117B9" w:rsidR="00E275DB" w:rsidRPr="00D72794" w:rsidRDefault="00E275DB" w:rsidP="00E275DB">
            <w:pPr>
              <w:widowControl w:val="0"/>
              <w:pBdr>
                <w:bottom w:val="single" w:sz="4" w:space="0" w:color="auto"/>
              </w:pBdr>
              <w:spacing w:before="120"/>
              <w:ind w:left="58" w:right="-86"/>
              <w:jc w:val="right"/>
              <w:rPr>
                <w:rFonts w:cs="Arial"/>
                <w:highlight w:val="yellow"/>
                <w:lang w:val="nl-NL"/>
              </w:rPr>
            </w:pPr>
            <w:r w:rsidRPr="00F57BE7">
              <w:t xml:space="preserve">- </w:t>
            </w:r>
          </w:p>
        </w:tc>
        <w:tc>
          <w:tcPr>
            <w:tcW w:w="2096" w:type="dxa"/>
          </w:tcPr>
          <w:p w14:paraId="403A9EF3" w14:textId="53AA2ACB" w:rsidR="00E275DB" w:rsidRPr="00D72794" w:rsidRDefault="00E275DB" w:rsidP="00E275DB">
            <w:pPr>
              <w:widowControl w:val="0"/>
              <w:pBdr>
                <w:bottom w:val="single" w:sz="4" w:space="0" w:color="auto"/>
              </w:pBdr>
              <w:spacing w:before="120"/>
              <w:ind w:left="58" w:right="-86"/>
              <w:jc w:val="right"/>
              <w:rPr>
                <w:rFonts w:cs="Arial"/>
                <w:highlight w:val="yellow"/>
                <w:lang w:val="nl-NL"/>
              </w:rPr>
            </w:pPr>
            <w:r w:rsidRPr="00F57BE7">
              <w:t xml:space="preserve">- </w:t>
            </w:r>
          </w:p>
        </w:tc>
        <w:tc>
          <w:tcPr>
            <w:tcW w:w="2097" w:type="dxa"/>
          </w:tcPr>
          <w:p w14:paraId="23F0992F" w14:textId="0D1B1E27" w:rsidR="00E275DB" w:rsidRPr="00D72794" w:rsidRDefault="00E275DB" w:rsidP="00E275DB">
            <w:pPr>
              <w:widowControl w:val="0"/>
              <w:pBdr>
                <w:bottom w:val="single" w:sz="4" w:space="0" w:color="auto"/>
              </w:pBdr>
              <w:spacing w:before="120"/>
              <w:ind w:left="58" w:right="-86"/>
              <w:jc w:val="right"/>
              <w:rPr>
                <w:rFonts w:cs="Arial"/>
                <w:highlight w:val="yellow"/>
                <w:lang w:val="nl-NL"/>
              </w:rPr>
            </w:pPr>
            <w:r w:rsidRPr="00F57BE7">
              <w:t xml:space="preserve">- </w:t>
            </w:r>
          </w:p>
        </w:tc>
        <w:tc>
          <w:tcPr>
            <w:tcW w:w="2096" w:type="dxa"/>
          </w:tcPr>
          <w:p w14:paraId="60316FCC" w14:textId="7186349F" w:rsidR="00E275DB" w:rsidRPr="00D72794" w:rsidRDefault="00E275DB" w:rsidP="00E275DB">
            <w:pPr>
              <w:widowControl w:val="0"/>
              <w:pBdr>
                <w:bottom w:val="single" w:sz="4" w:space="0" w:color="auto"/>
              </w:pBdr>
              <w:spacing w:before="120"/>
              <w:ind w:left="58" w:right="-86"/>
              <w:jc w:val="right"/>
              <w:rPr>
                <w:rFonts w:cs="Arial"/>
                <w:highlight w:val="yellow"/>
                <w:lang w:val="nl-NL"/>
              </w:rPr>
            </w:pPr>
            <w:r w:rsidRPr="00F57BE7">
              <w:t>30</w:t>
            </w:r>
            <w:r>
              <w:t>,</w:t>
            </w:r>
            <w:r w:rsidRPr="00F57BE7">
              <w:t>563</w:t>
            </w:r>
            <w:r>
              <w:t>,</w:t>
            </w:r>
            <w:r w:rsidRPr="00F57BE7">
              <w:t>714</w:t>
            </w:r>
            <w:r>
              <w:t>,</w:t>
            </w:r>
            <w:r w:rsidRPr="00F57BE7">
              <w:t xml:space="preserve">452 </w:t>
            </w:r>
          </w:p>
        </w:tc>
        <w:tc>
          <w:tcPr>
            <w:tcW w:w="2097" w:type="dxa"/>
          </w:tcPr>
          <w:p w14:paraId="639AC923" w14:textId="2EE94C76" w:rsidR="00E275DB" w:rsidRPr="00D72794" w:rsidRDefault="00E275DB" w:rsidP="00E275DB">
            <w:pPr>
              <w:widowControl w:val="0"/>
              <w:pBdr>
                <w:bottom w:val="single" w:sz="4" w:space="0" w:color="auto"/>
              </w:pBdr>
              <w:spacing w:before="120"/>
              <w:ind w:left="58" w:right="-86"/>
              <w:jc w:val="right"/>
              <w:rPr>
                <w:rFonts w:cs="Arial"/>
                <w:highlight w:val="yellow"/>
                <w:lang w:val="nl-NL"/>
              </w:rPr>
            </w:pPr>
            <w:r w:rsidRPr="00F57BE7">
              <w:t>30</w:t>
            </w:r>
            <w:r>
              <w:t>,</w:t>
            </w:r>
            <w:r w:rsidRPr="00F57BE7">
              <w:t>563</w:t>
            </w:r>
            <w:r>
              <w:t>,</w:t>
            </w:r>
            <w:r w:rsidRPr="00F57BE7">
              <w:t>714</w:t>
            </w:r>
            <w:r>
              <w:t>,</w:t>
            </w:r>
            <w:r w:rsidRPr="00F57BE7">
              <w:t>452</w:t>
            </w:r>
          </w:p>
        </w:tc>
      </w:tr>
      <w:tr w:rsidR="00E275DB" w:rsidRPr="002A0B87" w14:paraId="02EB8E58" w14:textId="77777777" w:rsidTr="009153E2">
        <w:trPr>
          <w:trHeight w:val="20"/>
        </w:trPr>
        <w:tc>
          <w:tcPr>
            <w:tcW w:w="2610" w:type="dxa"/>
            <w:vAlign w:val="bottom"/>
            <w:hideMark/>
          </w:tcPr>
          <w:p w14:paraId="150321CD" w14:textId="7FB79DFD" w:rsidR="00E275DB" w:rsidRPr="00D72794" w:rsidRDefault="00E275DB" w:rsidP="00E275DB">
            <w:pPr>
              <w:widowControl w:val="0"/>
              <w:spacing w:before="120"/>
              <w:ind w:left="-115" w:right="-58"/>
              <w:rPr>
                <w:rFonts w:cs="Arial"/>
                <w:b/>
                <w:bCs/>
                <w:lang w:val="nl-NL"/>
              </w:rPr>
            </w:pPr>
            <w:r w:rsidRPr="00FF5147">
              <w:rPr>
                <w:rFonts w:cs="Arial"/>
                <w:b/>
                <w:bCs/>
                <w:lang w:val="nl-NL"/>
              </w:rPr>
              <w:t>As at 31 December 202</w:t>
            </w:r>
            <w:r>
              <w:rPr>
                <w:rFonts w:cs="Arial"/>
                <w:b/>
                <w:bCs/>
                <w:lang w:val="nl-NL"/>
              </w:rPr>
              <w:t>2</w:t>
            </w:r>
          </w:p>
        </w:tc>
        <w:tc>
          <w:tcPr>
            <w:tcW w:w="2096" w:type="dxa"/>
          </w:tcPr>
          <w:p w14:paraId="343469EC" w14:textId="55CF9E52" w:rsidR="00E275DB" w:rsidRPr="00E275DB" w:rsidRDefault="00E275DB" w:rsidP="00E275DB">
            <w:pPr>
              <w:widowControl w:val="0"/>
              <w:pBdr>
                <w:bottom w:val="double" w:sz="4" w:space="0" w:color="auto"/>
              </w:pBdr>
              <w:spacing w:before="120"/>
              <w:ind w:left="58" w:right="-86"/>
              <w:jc w:val="right"/>
              <w:rPr>
                <w:rFonts w:eastAsia="Batang" w:cs="Arial"/>
                <w:b/>
                <w:bCs/>
                <w:highlight w:val="yellow"/>
                <w:lang w:eastAsia="ko-KR"/>
              </w:rPr>
            </w:pPr>
            <w:r w:rsidRPr="00E275DB">
              <w:rPr>
                <w:b/>
                <w:bCs/>
              </w:rPr>
              <w:t xml:space="preserve">1,239,000,000,000 </w:t>
            </w:r>
          </w:p>
        </w:tc>
        <w:tc>
          <w:tcPr>
            <w:tcW w:w="2096" w:type="dxa"/>
          </w:tcPr>
          <w:p w14:paraId="5C5A32FB" w14:textId="56849434" w:rsidR="00E275DB" w:rsidRPr="00E275DB" w:rsidRDefault="00E275DB" w:rsidP="00E275DB">
            <w:pPr>
              <w:widowControl w:val="0"/>
              <w:pBdr>
                <w:bottom w:val="double" w:sz="4" w:space="0" w:color="auto"/>
              </w:pBdr>
              <w:spacing w:before="120"/>
              <w:ind w:left="58" w:right="-86"/>
              <w:jc w:val="right"/>
              <w:rPr>
                <w:rFonts w:eastAsia="Batang" w:cs="Arial"/>
                <w:b/>
                <w:bCs/>
                <w:highlight w:val="yellow"/>
                <w:lang w:eastAsia="ko-KR"/>
              </w:rPr>
            </w:pPr>
            <w:r w:rsidRPr="00E275DB">
              <w:rPr>
                <w:b/>
                <w:bCs/>
              </w:rPr>
              <w:t xml:space="preserve">113,649,448 </w:t>
            </w:r>
          </w:p>
        </w:tc>
        <w:tc>
          <w:tcPr>
            <w:tcW w:w="2097" w:type="dxa"/>
          </w:tcPr>
          <w:p w14:paraId="0B62B1E3" w14:textId="184FE771" w:rsidR="00E275DB" w:rsidRPr="00E275DB" w:rsidRDefault="00E275DB" w:rsidP="00E275DB">
            <w:pPr>
              <w:widowControl w:val="0"/>
              <w:pBdr>
                <w:bottom w:val="double" w:sz="4" w:space="0" w:color="auto"/>
              </w:pBdr>
              <w:spacing w:before="120"/>
              <w:ind w:left="58" w:right="-86"/>
              <w:jc w:val="right"/>
              <w:rPr>
                <w:rFonts w:eastAsia="Batang" w:cs="Arial"/>
                <w:b/>
                <w:bCs/>
                <w:highlight w:val="yellow"/>
                <w:lang w:eastAsia="ko-KR"/>
              </w:rPr>
            </w:pPr>
            <w:r w:rsidRPr="00E275DB">
              <w:rPr>
                <w:b/>
                <w:bCs/>
              </w:rPr>
              <w:t xml:space="preserve">113,649,448 </w:t>
            </w:r>
          </w:p>
        </w:tc>
        <w:tc>
          <w:tcPr>
            <w:tcW w:w="2096" w:type="dxa"/>
          </w:tcPr>
          <w:p w14:paraId="644EF7C0" w14:textId="7ECFD93A" w:rsidR="00E275DB" w:rsidRPr="00E275DB" w:rsidRDefault="00E275DB" w:rsidP="00E275DB">
            <w:pPr>
              <w:widowControl w:val="0"/>
              <w:pBdr>
                <w:bottom w:val="double" w:sz="4" w:space="0" w:color="auto"/>
              </w:pBdr>
              <w:spacing w:before="120"/>
              <w:ind w:left="58" w:right="-86"/>
              <w:jc w:val="right"/>
              <w:rPr>
                <w:rFonts w:cs="Arial"/>
                <w:b/>
                <w:bCs/>
                <w:highlight w:val="yellow"/>
                <w:lang w:val="nl-NL"/>
              </w:rPr>
            </w:pPr>
            <w:r w:rsidRPr="00E275DB">
              <w:rPr>
                <w:b/>
                <w:bCs/>
              </w:rPr>
              <w:t>69,767,225,600</w:t>
            </w:r>
          </w:p>
        </w:tc>
        <w:tc>
          <w:tcPr>
            <w:tcW w:w="2097" w:type="dxa"/>
          </w:tcPr>
          <w:p w14:paraId="448379FC" w14:textId="01CDF2D7" w:rsidR="00E275DB" w:rsidRPr="00E275DB" w:rsidRDefault="00E275DB" w:rsidP="00E275DB">
            <w:pPr>
              <w:widowControl w:val="0"/>
              <w:pBdr>
                <w:bottom w:val="double" w:sz="4" w:space="0" w:color="auto"/>
              </w:pBdr>
              <w:spacing w:before="120"/>
              <w:ind w:left="58" w:right="-86"/>
              <w:jc w:val="right"/>
              <w:rPr>
                <w:rFonts w:cs="Arial"/>
                <w:b/>
                <w:bCs/>
                <w:highlight w:val="yellow"/>
                <w:lang w:val="nl-NL"/>
              </w:rPr>
            </w:pPr>
            <w:r w:rsidRPr="00E275DB">
              <w:rPr>
                <w:b/>
                <w:bCs/>
              </w:rPr>
              <w:t>1,308,994,524,496</w:t>
            </w:r>
          </w:p>
        </w:tc>
      </w:tr>
    </w:tbl>
    <w:p w14:paraId="033C19FD" w14:textId="77777777" w:rsidR="00324BEE" w:rsidRPr="002A0B87" w:rsidRDefault="00324BEE" w:rsidP="00324BEE">
      <w:pPr>
        <w:pStyle w:val="NoSpacing"/>
      </w:pPr>
    </w:p>
    <w:p w14:paraId="33BDA0C7" w14:textId="3926412B" w:rsidR="00324BEE" w:rsidRPr="002A0B87" w:rsidRDefault="00324BEE" w:rsidP="00324BEE">
      <w:pPr>
        <w:pStyle w:val="Heading2"/>
      </w:pPr>
      <w:r w:rsidRPr="00314466">
        <w:t>18.3</w:t>
      </w:r>
      <w:r w:rsidRPr="00314466">
        <w:tab/>
      </w:r>
      <w:r w:rsidR="00CB1737" w:rsidRPr="00CB1737">
        <w:t>Profit</w:t>
      </w:r>
      <w:r w:rsidR="009B6E71">
        <w:t>/(loss)</w:t>
      </w:r>
      <w:r w:rsidR="00CB1737" w:rsidRPr="00CB1737">
        <w:t xml:space="preserve"> distribution to owners</w:t>
      </w:r>
      <w:r w:rsidR="00CB1737" w:rsidRPr="00CB1737" w:rsidDel="00CB1737">
        <w:t xml:space="preserve"> </w:t>
      </w:r>
    </w:p>
    <w:p w14:paraId="0CCDD009" w14:textId="77777777" w:rsidR="00324BEE" w:rsidRPr="002A0B87" w:rsidRDefault="00324BEE" w:rsidP="00324BEE">
      <w:pPr>
        <w:pStyle w:val="NoSpacing"/>
        <w:rPr>
          <w:lang w:val="vi-VN"/>
        </w:rPr>
      </w:pPr>
    </w:p>
    <w:tbl>
      <w:tblPr>
        <w:tblW w:w="13103" w:type="dxa"/>
        <w:tblInd w:w="720" w:type="dxa"/>
        <w:tblLayout w:type="fixed"/>
        <w:tblLook w:val="01E0" w:firstRow="1" w:lastRow="1" w:firstColumn="1" w:lastColumn="1" w:noHBand="0" w:noVBand="0"/>
      </w:tblPr>
      <w:tblGrid>
        <w:gridCol w:w="8899"/>
        <w:gridCol w:w="2102"/>
        <w:gridCol w:w="2102"/>
      </w:tblGrid>
      <w:tr w:rsidR="00324BEE" w:rsidRPr="002A0B87" w14:paraId="1A4ADBF4" w14:textId="77777777" w:rsidTr="00C65AD5">
        <w:trPr>
          <w:trHeight w:val="20"/>
          <w:tblHeader/>
        </w:trPr>
        <w:tc>
          <w:tcPr>
            <w:tcW w:w="8899" w:type="dxa"/>
            <w:vAlign w:val="bottom"/>
          </w:tcPr>
          <w:p w14:paraId="4EB2964D" w14:textId="77777777" w:rsidR="00324BEE" w:rsidRPr="002A0B87" w:rsidRDefault="00324BEE" w:rsidP="000A1EE5">
            <w:pPr>
              <w:widowControl w:val="0"/>
              <w:overflowPunct/>
              <w:autoSpaceDE/>
              <w:autoSpaceDN/>
              <w:adjustRightInd/>
              <w:ind w:left="-115"/>
              <w:jc w:val="left"/>
              <w:textAlignment w:val="auto"/>
              <w:rPr>
                <w:rFonts w:eastAsia="Batang" w:cs="Arial"/>
                <w:i/>
                <w:lang w:val="es-ES"/>
              </w:rPr>
            </w:pPr>
          </w:p>
        </w:tc>
        <w:tc>
          <w:tcPr>
            <w:tcW w:w="2102" w:type="dxa"/>
            <w:vAlign w:val="bottom"/>
            <w:hideMark/>
          </w:tcPr>
          <w:p w14:paraId="343CE82E" w14:textId="4F3C2103" w:rsidR="00324BEE" w:rsidRPr="002A0B87" w:rsidRDefault="00BC2459" w:rsidP="000A1EE5">
            <w:pPr>
              <w:widowControl w:val="0"/>
              <w:pBdr>
                <w:bottom w:val="single" w:sz="4" w:space="0" w:color="auto"/>
              </w:pBdr>
              <w:overflowPunct/>
              <w:autoSpaceDE/>
              <w:autoSpaceDN/>
              <w:adjustRightInd/>
              <w:ind w:left="58" w:right="-85"/>
              <w:jc w:val="right"/>
              <w:textAlignment w:val="auto"/>
              <w:rPr>
                <w:rFonts w:eastAsia="Batang" w:cs="Arial"/>
                <w:bCs/>
                <w:i/>
              </w:rPr>
            </w:pPr>
            <w:r w:rsidRPr="00BC2459">
              <w:rPr>
                <w:rFonts w:eastAsia="Batang" w:cs="Arial"/>
                <w:bCs/>
                <w:i/>
              </w:rPr>
              <w:t>Ending balance</w:t>
            </w:r>
          </w:p>
          <w:p w14:paraId="1FA40F3E" w14:textId="77777777" w:rsidR="00324BEE" w:rsidRPr="002A0B87" w:rsidRDefault="00324BEE" w:rsidP="000A1EE5">
            <w:pPr>
              <w:widowControl w:val="0"/>
              <w:pBdr>
                <w:bottom w:val="single" w:sz="4" w:space="0" w:color="auto"/>
              </w:pBdr>
              <w:ind w:left="58" w:right="-85"/>
              <w:jc w:val="right"/>
              <w:rPr>
                <w:rFonts w:cs="Arial"/>
                <w:bCs/>
                <w:i/>
              </w:rPr>
            </w:pPr>
            <w:r w:rsidRPr="002A0B87">
              <w:rPr>
                <w:rFonts w:eastAsia="Batang" w:cs="Arial"/>
                <w:i/>
                <w:iCs/>
              </w:rPr>
              <w:t>VND</w:t>
            </w:r>
          </w:p>
        </w:tc>
        <w:tc>
          <w:tcPr>
            <w:tcW w:w="2102" w:type="dxa"/>
            <w:vAlign w:val="bottom"/>
            <w:hideMark/>
          </w:tcPr>
          <w:p w14:paraId="73E991E4" w14:textId="21E2C9BA" w:rsidR="00324BEE" w:rsidRPr="002A0B87" w:rsidRDefault="001D7968" w:rsidP="000A1EE5">
            <w:pPr>
              <w:widowControl w:val="0"/>
              <w:pBdr>
                <w:bottom w:val="single" w:sz="4" w:space="0" w:color="auto"/>
              </w:pBdr>
              <w:overflowPunct/>
              <w:autoSpaceDE/>
              <w:autoSpaceDN/>
              <w:adjustRightInd/>
              <w:ind w:left="58" w:right="-85"/>
              <w:jc w:val="right"/>
              <w:textAlignment w:val="auto"/>
              <w:rPr>
                <w:rFonts w:eastAsia="Batang" w:cs="Arial"/>
                <w:bCs/>
                <w:i/>
              </w:rPr>
            </w:pPr>
            <w:r w:rsidRPr="001D7968">
              <w:rPr>
                <w:rFonts w:eastAsia="Batang" w:cs="Arial"/>
                <w:bCs/>
                <w:i/>
              </w:rPr>
              <w:t>Opening balance</w:t>
            </w:r>
          </w:p>
          <w:p w14:paraId="628EC5E5" w14:textId="77777777" w:rsidR="00324BEE" w:rsidRPr="002A0B87" w:rsidRDefault="00324BEE" w:rsidP="000A1EE5">
            <w:pPr>
              <w:widowControl w:val="0"/>
              <w:pBdr>
                <w:bottom w:val="single" w:sz="4" w:space="0" w:color="auto"/>
              </w:pBdr>
              <w:ind w:left="58" w:right="-85"/>
              <w:jc w:val="right"/>
              <w:rPr>
                <w:rFonts w:cs="Arial"/>
                <w:bCs/>
                <w:i/>
              </w:rPr>
            </w:pPr>
            <w:r w:rsidRPr="002A0B87">
              <w:rPr>
                <w:rFonts w:eastAsia="Batang" w:cs="Arial"/>
                <w:i/>
                <w:iCs/>
              </w:rPr>
              <w:t xml:space="preserve">VND </w:t>
            </w:r>
          </w:p>
        </w:tc>
      </w:tr>
      <w:tr w:rsidR="00FB500A" w:rsidRPr="002A0B87" w14:paraId="75A56C6B" w14:textId="77777777" w:rsidTr="000208D4">
        <w:trPr>
          <w:trHeight w:val="20"/>
        </w:trPr>
        <w:tc>
          <w:tcPr>
            <w:tcW w:w="8899" w:type="dxa"/>
            <w:vAlign w:val="bottom"/>
          </w:tcPr>
          <w:p w14:paraId="44E4D97C" w14:textId="7087F1C6" w:rsidR="00FB500A" w:rsidRPr="002A0B87" w:rsidRDefault="00FB500A" w:rsidP="00FB500A">
            <w:pPr>
              <w:widowControl w:val="0"/>
              <w:spacing w:before="120"/>
              <w:ind w:left="-115"/>
              <w:jc w:val="left"/>
              <w:rPr>
                <w:rFonts w:cs="Arial"/>
              </w:rPr>
            </w:pPr>
            <w:r w:rsidRPr="00512280">
              <w:rPr>
                <w:rFonts w:cs="Arial"/>
              </w:rPr>
              <w:t>Realized gain/(loss)</w:t>
            </w:r>
          </w:p>
        </w:tc>
        <w:tc>
          <w:tcPr>
            <w:tcW w:w="2102" w:type="dxa"/>
          </w:tcPr>
          <w:p w14:paraId="1A784C95" w14:textId="1D6ACFEB" w:rsidR="00FB500A" w:rsidRPr="002A0B87" w:rsidRDefault="00FB500A" w:rsidP="00FB500A">
            <w:pPr>
              <w:widowControl w:val="0"/>
              <w:spacing w:before="120"/>
              <w:ind w:left="58" w:right="-85"/>
              <w:jc w:val="right"/>
              <w:rPr>
                <w:rFonts w:eastAsia="Batang" w:cs="Arial"/>
                <w:highlight w:val="yellow"/>
                <w:lang w:eastAsia="ko-KR"/>
              </w:rPr>
            </w:pPr>
            <w:r w:rsidRPr="00516909">
              <w:t>68</w:t>
            </w:r>
            <w:r>
              <w:t>,</w:t>
            </w:r>
            <w:r w:rsidRPr="00516909">
              <w:t>553</w:t>
            </w:r>
            <w:r>
              <w:t>,</w:t>
            </w:r>
            <w:r w:rsidRPr="00516909">
              <w:t>125</w:t>
            </w:r>
            <w:r>
              <w:t>,</w:t>
            </w:r>
            <w:r w:rsidRPr="00516909">
              <w:t>205</w:t>
            </w:r>
          </w:p>
        </w:tc>
        <w:tc>
          <w:tcPr>
            <w:tcW w:w="2102" w:type="dxa"/>
          </w:tcPr>
          <w:p w14:paraId="141E9E23" w14:textId="37EA72CF" w:rsidR="00FB500A" w:rsidRPr="002A0B87" w:rsidRDefault="00FB500A" w:rsidP="00FB500A">
            <w:pPr>
              <w:widowControl w:val="0"/>
              <w:spacing w:before="120"/>
              <w:ind w:left="58" w:right="-85"/>
              <w:jc w:val="right"/>
              <w:rPr>
                <w:rFonts w:eastAsia="Batang" w:cs="Arial"/>
                <w:lang w:eastAsia="ko-KR"/>
              </w:rPr>
            </w:pPr>
            <w:r w:rsidRPr="00516909">
              <w:t>39</w:t>
            </w:r>
            <w:r>
              <w:t>,</w:t>
            </w:r>
            <w:r w:rsidRPr="00516909">
              <w:t>175</w:t>
            </w:r>
            <w:r>
              <w:t>,</w:t>
            </w:r>
            <w:r w:rsidRPr="00516909">
              <w:t>415</w:t>
            </w:r>
            <w:r>
              <w:t>,</w:t>
            </w:r>
            <w:r w:rsidRPr="00516909">
              <w:t>791</w:t>
            </w:r>
          </w:p>
        </w:tc>
      </w:tr>
      <w:tr w:rsidR="00FB500A" w:rsidRPr="002A0B87" w14:paraId="67102B54" w14:textId="77777777" w:rsidTr="000208D4">
        <w:trPr>
          <w:trHeight w:val="20"/>
        </w:trPr>
        <w:tc>
          <w:tcPr>
            <w:tcW w:w="8899" w:type="dxa"/>
            <w:vAlign w:val="bottom"/>
            <w:hideMark/>
          </w:tcPr>
          <w:p w14:paraId="663D3E8D" w14:textId="7CEBFF41" w:rsidR="00FB500A" w:rsidRPr="002A0B87" w:rsidRDefault="00FB500A" w:rsidP="00FB500A">
            <w:pPr>
              <w:widowControl w:val="0"/>
              <w:ind w:left="-115"/>
              <w:jc w:val="left"/>
              <w:rPr>
                <w:rFonts w:cs="Arial"/>
              </w:rPr>
            </w:pPr>
            <w:r w:rsidRPr="006A35D1">
              <w:rPr>
                <w:rFonts w:cs="Arial"/>
              </w:rPr>
              <w:t xml:space="preserve">Unrealized </w:t>
            </w:r>
            <w:r>
              <w:rPr>
                <w:rFonts w:cs="Arial"/>
              </w:rPr>
              <w:t>gain/(</w:t>
            </w:r>
            <w:r w:rsidRPr="006A35D1">
              <w:rPr>
                <w:rFonts w:cs="Arial"/>
              </w:rPr>
              <w:t>loss</w:t>
            </w:r>
            <w:r>
              <w:rPr>
                <w:rFonts w:cs="Arial"/>
              </w:rPr>
              <w:t>)</w:t>
            </w:r>
          </w:p>
        </w:tc>
        <w:tc>
          <w:tcPr>
            <w:tcW w:w="2102" w:type="dxa"/>
          </w:tcPr>
          <w:p w14:paraId="5695A6D3" w14:textId="1C268E7E" w:rsidR="00FB500A" w:rsidRPr="002A0B87" w:rsidRDefault="00FB500A" w:rsidP="00FB500A">
            <w:pPr>
              <w:widowControl w:val="0"/>
              <w:pBdr>
                <w:bottom w:val="single" w:sz="4" w:space="0" w:color="auto"/>
              </w:pBdr>
              <w:ind w:left="58" w:right="-85"/>
              <w:jc w:val="right"/>
              <w:rPr>
                <w:rFonts w:eastAsia="Batang" w:cs="Arial"/>
                <w:highlight w:val="yellow"/>
                <w:lang w:eastAsia="ko-KR"/>
              </w:rPr>
            </w:pPr>
            <w:r w:rsidRPr="00516909">
              <w:t>1</w:t>
            </w:r>
            <w:r>
              <w:t>,</w:t>
            </w:r>
            <w:r w:rsidRPr="00516909">
              <w:t>214</w:t>
            </w:r>
            <w:r>
              <w:t>,</w:t>
            </w:r>
            <w:r w:rsidRPr="00516909">
              <w:t>100</w:t>
            </w:r>
            <w:r>
              <w:t>,</w:t>
            </w:r>
            <w:r w:rsidRPr="00516909">
              <w:t>395</w:t>
            </w:r>
          </w:p>
        </w:tc>
        <w:tc>
          <w:tcPr>
            <w:tcW w:w="2102" w:type="dxa"/>
          </w:tcPr>
          <w:p w14:paraId="462DD34E" w14:textId="703D1582" w:rsidR="00FB500A" w:rsidRPr="002A0B87" w:rsidRDefault="00FB500A" w:rsidP="00FB500A">
            <w:pPr>
              <w:widowControl w:val="0"/>
              <w:pBdr>
                <w:bottom w:val="single" w:sz="4" w:space="0" w:color="auto"/>
              </w:pBdr>
              <w:ind w:left="58" w:right="-85"/>
              <w:jc w:val="right"/>
              <w:rPr>
                <w:rFonts w:eastAsia="Batang" w:cs="Arial"/>
                <w:lang w:eastAsia="ko-KR"/>
              </w:rPr>
            </w:pPr>
            <w:r w:rsidRPr="00516909">
              <w:t>28</w:t>
            </w:r>
            <w:r>
              <w:t>,</w:t>
            </w:r>
            <w:r w:rsidRPr="00516909">
              <w:t>095</w:t>
            </w:r>
            <w:r>
              <w:t>,</w:t>
            </w:r>
            <w:r w:rsidRPr="00516909">
              <w:t>357</w:t>
            </w:r>
          </w:p>
        </w:tc>
      </w:tr>
      <w:tr w:rsidR="00FB500A" w:rsidRPr="002A0B87" w14:paraId="3776D087" w14:textId="77777777" w:rsidTr="000208D4">
        <w:trPr>
          <w:trHeight w:val="20"/>
        </w:trPr>
        <w:tc>
          <w:tcPr>
            <w:tcW w:w="8899" w:type="dxa"/>
            <w:vAlign w:val="bottom"/>
          </w:tcPr>
          <w:p w14:paraId="725B271B" w14:textId="77777777" w:rsidR="00FB500A" w:rsidRPr="002A0B87" w:rsidRDefault="00FB500A" w:rsidP="00FB500A">
            <w:pPr>
              <w:widowControl w:val="0"/>
              <w:spacing w:before="120"/>
              <w:ind w:left="-115"/>
              <w:jc w:val="left"/>
              <w:rPr>
                <w:rFonts w:cs="Arial"/>
                <w:b/>
              </w:rPr>
            </w:pPr>
          </w:p>
        </w:tc>
        <w:tc>
          <w:tcPr>
            <w:tcW w:w="2102" w:type="dxa"/>
          </w:tcPr>
          <w:p w14:paraId="2DF81EBC" w14:textId="05F6316B" w:rsidR="00FB500A" w:rsidRPr="00FB500A" w:rsidRDefault="00FB500A" w:rsidP="00FB500A">
            <w:pPr>
              <w:widowControl w:val="0"/>
              <w:pBdr>
                <w:bottom w:val="double" w:sz="4" w:space="0" w:color="auto"/>
              </w:pBdr>
              <w:spacing w:before="120"/>
              <w:ind w:left="58" w:right="-85"/>
              <w:jc w:val="right"/>
              <w:rPr>
                <w:rFonts w:eastAsia="Batang" w:cs="Arial"/>
                <w:b/>
                <w:bCs/>
                <w:highlight w:val="yellow"/>
                <w:lang w:eastAsia="ko-KR"/>
              </w:rPr>
            </w:pPr>
            <w:r w:rsidRPr="00FB500A">
              <w:rPr>
                <w:b/>
                <w:bCs/>
              </w:rPr>
              <w:t xml:space="preserve">69,767,225,600 </w:t>
            </w:r>
          </w:p>
        </w:tc>
        <w:tc>
          <w:tcPr>
            <w:tcW w:w="2102" w:type="dxa"/>
            <w:hideMark/>
          </w:tcPr>
          <w:p w14:paraId="22BFE9BE" w14:textId="461C6661" w:rsidR="00FB500A" w:rsidRPr="00FB500A" w:rsidRDefault="00FB500A" w:rsidP="00FB500A">
            <w:pPr>
              <w:widowControl w:val="0"/>
              <w:pBdr>
                <w:bottom w:val="double" w:sz="4" w:space="0" w:color="auto"/>
              </w:pBdr>
              <w:spacing w:before="120"/>
              <w:ind w:left="58" w:right="-85"/>
              <w:jc w:val="right"/>
              <w:rPr>
                <w:rFonts w:cs="Arial"/>
                <w:b/>
                <w:bCs/>
              </w:rPr>
            </w:pPr>
            <w:r w:rsidRPr="00FB500A">
              <w:rPr>
                <w:b/>
                <w:bCs/>
              </w:rPr>
              <w:t xml:space="preserve">39,203,511,148 </w:t>
            </w:r>
          </w:p>
        </w:tc>
      </w:tr>
    </w:tbl>
    <w:p w14:paraId="590D872C" w14:textId="77777777" w:rsidR="00324BEE" w:rsidRDefault="00324BEE" w:rsidP="00C65AD5">
      <w:pPr>
        <w:pStyle w:val="NoSpacing"/>
        <w:rPr>
          <w:rFonts w:cs="Arial"/>
        </w:rPr>
      </w:pPr>
    </w:p>
    <w:p w14:paraId="4E6B8EBF" w14:textId="2CD7420C" w:rsidR="00324BEE" w:rsidRPr="002A0B87" w:rsidRDefault="00324BEE">
      <w:pPr>
        <w:tabs>
          <w:tab w:val="left" w:pos="435"/>
        </w:tabs>
        <w:rPr>
          <w:rFonts w:cs="Arial"/>
        </w:rPr>
        <w:sectPr w:rsidR="00324BEE" w:rsidRPr="002A0B87" w:rsidSect="00D72794">
          <w:pgSz w:w="16834" w:h="11909" w:orient="landscape" w:code="9"/>
          <w:pgMar w:top="1440" w:right="1440" w:bottom="864" w:left="1584" w:header="720" w:footer="576" w:gutter="0"/>
          <w:cols w:space="720"/>
          <w:docGrid w:linePitch="272"/>
        </w:sectPr>
      </w:pPr>
    </w:p>
    <w:p w14:paraId="3295E34E" w14:textId="3BD6CAD3" w:rsidR="009957ED" w:rsidRPr="00CE21D3" w:rsidRDefault="00324BEE" w:rsidP="008064F8">
      <w:pPr>
        <w:pStyle w:val="ListParagraph"/>
        <w:overflowPunct/>
        <w:autoSpaceDE/>
        <w:autoSpaceDN/>
        <w:adjustRightInd/>
        <w:ind w:hanging="720"/>
        <w:textAlignment w:val="auto"/>
        <w:outlineLvl w:val="0"/>
        <w:rPr>
          <w:rFonts w:cs="Arial"/>
          <w:b/>
          <w:lang w:val="en-US"/>
        </w:rPr>
      </w:pPr>
      <w:r>
        <w:rPr>
          <w:rFonts w:cs="Arial"/>
          <w:b/>
          <w:lang w:val="en-US"/>
        </w:rPr>
        <w:lastRenderedPageBreak/>
        <w:t>19</w:t>
      </w:r>
      <w:r w:rsidR="009957ED" w:rsidRPr="002A0B87">
        <w:rPr>
          <w:rFonts w:cs="Arial"/>
          <w:b/>
          <w:lang w:val="vi-VN"/>
        </w:rPr>
        <w:t>.</w:t>
      </w:r>
      <w:r w:rsidR="009957ED" w:rsidRPr="002A0B87">
        <w:rPr>
          <w:rFonts w:cs="Arial"/>
          <w:b/>
          <w:lang w:val="vi-VN"/>
        </w:rPr>
        <w:tab/>
      </w:r>
      <w:r w:rsidR="0038675E" w:rsidRPr="0038675E">
        <w:rPr>
          <w:rFonts w:cs="Arial"/>
          <w:b/>
          <w:lang w:val="vi-VN"/>
        </w:rPr>
        <w:t>DISCLOSURES OF OFF-BALANCE SHEET ITEMS</w:t>
      </w:r>
      <w:r w:rsidR="0038675E" w:rsidRPr="0038675E" w:rsidDel="0038675E">
        <w:rPr>
          <w:rFonts w:cs="Arial"/>
          <w:b/>
          <w:lang w:val="vi-VN"/>
        </w:rPr>
        <w:t xml:space="preserve"> </w:t>
      </w:r>
      <w:r w:rsidR="00FD4B0F" w:rsidRPr="00CE21D3">
        <w:rPr>
          <w:rFonts w:cs="Arial"/>
          <w:b/>
          <w:spacing w:val="-2"/>
          <w:lang w:val="en-US"/>
        </w:rPr>
        <w:t xml:space="preserve"> </w:t>
      </w:r>
    </w:p>
    <w:p w14:paraId="66045B9D" w14:textId="77777777" w:rsidR="0060144B" w:rsidRPr="002A0B87" w:rsidRDefault="0060144B" w:rsidP="0060144B">
      <w:pPr>
        <w:pStyle w:val="NoSpacing"/>
      </w:pPr>
    </w:p>
    <w:p w14:paraId="503B89B9" w14:textId="55A20AB1" w:rsidR="0060144B" w:rsidRPr="002A0B87" w:rsidRDefault="0060144B" w:rsidP="0060144B">
      <w:pPr>
        <w:pStyle w:val="Heading2"/>
      </w:pPr>
      <w:r>
        <w:t>19</w:t>
      </w:r>
      <w:r w:rsidRPr="002A0B87">
        <w:t>.</w:t>
      </w:r>
      <w:r>
        <w:t>1</w:t>
      </w:r>
      <w:r w:rsidRPr="002A0B87">
        <w:tab/>
      </w:r>
      <w:r w:rsidR="00847F07" w:rsidRPr="00847F07">
        <w:t>Foreign currencies</w:t>
      </w:r>
      <w:r w:rsidR="00847F07" w:rsidRPr="00847F07" w:rsidDel="00847F07">
        <w:t xml:space="preserve"> </w:t>
      </w:r>
    </w:p>
    <w:p w14:paraId="171F696F" w14:textId="77777777" w:rsidR="0060144B" w:rsidRPr="002A0B87" w:rsidRDefault="0060144B" w:rsidP="0060144B">
      <w:pPr>
        <w:pStyle w:val="NoSpacing"/>
        <w:rPr>
          <w:lang w:val="de-DE"/>
        </w:rPr>
      </w:pPr>
    </w:p>
    <w:tbl>
      <w:tblPr>
        <w:tblW w:w="8179" w:type="dxa"/>
        <w:tblInd w:w="720" w:type="dxa"/>
        <w:tblLayout w:type="fixed"/>
        <w:tblLook w:val="01E0" w:firstRow="1" w:lastRow="1" w:firstColumn="1" w:lastColumn="1" w:noHBand="0" w:noVBand="0"/>
      </w:tblPr>
      <w:tblGrid>
        <w:gridCol w:w="4205"/>
        <w:gridCol w:w="1987"/>
        <w:gridCol w:w="1987"/>
      </w:tblGrid>
      <w:tr w:rsidR="0060144B" w:rsidRPr="002A0B87" w14:paraId="3E768540" w14:textId="77777777" w:rsidTr="00AA44DB">
        <w:trPr>
          <w:trHeight w:val="20"/>
          <w:tblHeader/>
        </w:trPr>
        <w:tc>
          <w:tcPr>
            <w:tcW w:w="4205" w:type="dxa"/>
            <w:vAlign w:val="bottom"/>
          </w:tcPr>
          <w:p w14:paraId="2B1C7807" w14:textId="77777777" w:rsidR="0060144B" w:rsidRPr="002A0B87" w:rsidRDefault="0060144B" w:rsidP="000A1EE5">
            <w:pPr>
              <w:widowControl w:val="0"/>
              <w:overflowPunct/>
              <w:autoSpaceDE/>
              <w:autoSpaceDN/>
              <w:adjustRightInd/>
              <w:ind w:left="-115"/>
              <w:textAlignment w:val="auto"/>
              <w:rPr>
                <w:rFonts w:eastAsia="Batang" w:cs="Arial"/>
                <w:i/>
                <w:lang w:val="es-ES"/>
              </w:rPr>
            </w:pPr>
          </w:p>
        </w:tc>
        <w:tc>
          <w:tcPr>
            <w:tcW w:w="1987" w:type="dxa"/>
            <w:vAlign w:val="bottom"/>
            <w:hideMark/>
          </w:tcPr>
          <w:p w14:paraId="65A002E0" w14:textId="5FA771F6" w:rsidR="0060144B" w:rsidRPr="002A0B87" w:rsidRDefault="00D707D4" w:rsidP="000652FD">
            <w:pPr>
              <w:widowControl w:val="0"/>
              <w:pBdr>
                <w:bottom w:val="single" w:sz="4" w:space="0" w:color="auto"/>
              </w:pBdr>
              <w:overflowPunct/>
              <w:autoSpaceDE/>
              <w:autoSpaceDN/>
              <w:adjustRightInd/>
              <w:ind w:left="58" w:right="-85"/>
              <w:jc w:val="right"/>
              <w:textAlignment w:val="auto"/>
              <w:rPr>
                <w:rFonts w:cs="Arial"/>
                <w:bCs/>
                <w:i/>
              </w:rPr>
            </w:pPr>
            <w:r w:rsidRPr="00D707D4">
              <w:rPr>
                <w:rFonts w:eastAsia="Batang" w:cs="Arial"/>
                <w:bCs/>
                <w:i/>
              </w:rPr>
              <w:t>Ending balance</w:t>
            </w:r>
          </w:p>
        </w:tc>
        <w:tc>
          <w:tcPr>
            <w:tcW w:w="1987" w:type="dxa"/>
            <w:vAlign w:val="bottom"/>
            <w:hideMark/>
          </w:tcPr>
          <w:p w14:paraId="4ADDEA68" w14:textId="62BC6446" w:rsidR="0060144B" w:rsidRPr="002A0B87" w:rsidRDefault="00753D9C" w:rsidP="000652FD">
            <w:pPr>
              <w:widowControl w:val="0"/>
              <w:pBdr>
                <w:bottom w:val="single" w:sz="4" w:space="0" w:color="auto"/>
              </w:pBdr>
              <w:overflowPunct/>
              <w:autoSpaceDE/>
              <w:autoSpaceDN/>
              <w:adjustRightInd/>
              <w:ind w:left="58" w:right="-85"/>
              <w:jc w:val="right"/>
              <w:textAlignment w:val="auto"/>
              <w:rPr>
                <w:rFonts w:cs="Arial"/>
                <w:bCs/>
                <w:i/>
              </w:rPr>
            </w:pPr>
            <w:r w:rsidRPr="00753D9C">
              <w:rPr>
                <w:rFonts w:eastAsia="Batang" w:cs="Arial"/>
                <w:bCs/>
                <w:i/>
              </w:rPr>
              <w:t>Opening balance</w:t>
            </w:r>
            <w:r w:rsidR="00D24BB2" w:rsidRPr="002A0B87">
              <w:rPr>
                <w:rFonts w:eastAsia="Batang" w:cs="Arial"/>
                <w:i/>
                <w:iCs/>
              </w:rPr>
              <w:t xml:space="preserve"> </w:t>
            </w:r>
          </w:p>
        </w:tc>
      </w:tr>
      <w:tr w:rsidR="003323DB" w:rsidRPr="002A0B87" w14:paraId="7ABA752E" w14:textId="77777777" w:rsidTr="00AA44DB">
        <w:trPr>
          <w:trHeight w:val="20"/>
        </w:trPr>
        <w:tc>
          <w:tcPr>
            <w:tcW w:w="4205" w:type="dxa"/>
            <w:vAlign w:val="bottom"/>
            <w:hideMark/>
          </w:tcPr>
          <w:p w14:paraId="63E2D08C" w14:textId="705FBCA6" w:rsidR="003323DB" w:rsidRPr="002A0B87" w:rsidRDefault="00847F07" w:rsidP="003323DB">
            <w:pPr>
              <w:widowControl w:val="0"/>
              <w:spacing w:before="120"/>
              <w:ind w:left="-115"/>
              <w:rPr>
                <w:rFonts w:cs="Arial"/>
              </w:rPr>
            </w:pPr>
            <w:r>
              <w:rPr>
                <w:rFonts w:cs="Arial"/>
              </w:rPr>
              <w:t>USD</w:t>
            </w:r>
          </w:p>
        </w:tc>
        <w:tc>
          <w:tcPr>
            <w:tcW w:w="1987" w:type="dxa"/>
            <w:vAlign w:val="bottom"/>
          </w:tcPr>
          <w:p w14:paraId="0F678512" w14:textId="458DD7DF" w:rsidR="003323DB" w:rsidRPr="00D1796F" w:rsidRDefault="005E46FA" w:rsidP="003323DB">
            <w:pPr>
              <w:widowControl w:val="0"/>
              <w:pBdr>
                <w:bottom w:val="single" w:sz="4" w:space="0" w:color="auto"/>
              </w:pBdr>
              <w:spacing w:before="120"/>
              <w:ind w:left="58" w:right="-85"/>
              <w:jc w:val="right"/>
              <w:rPr>
                <w:rFonts w:eastAsia="Batang" w:cs="Arial"/>
                <w:highlight w:val="yellow"/>
                <w:lang w:eastAsia="ko-KR"/>
              </w:rPr>
            </w:pPr>
            <w:r>
              <w:rPr>
                <w:rFonts w:cs="Arial"/>
              </w:rPr>
              <w:t>8</w:t>
            </w:r>
            <w:r w:rsidR="00871B72">
              <w:rPr>
                <w:rFonts w:cs="Arial"/>
              </w:rPr>
              <w:t>,</w:t>
            </w:r>
            <w:r>
              <w:rPr>
                <w:rFonts w:cs="Arial"/>
              </w:rPr>
              <w:t>386</w:t>
            </w:r>
            <w:r w:rsidR="00871B72">
              <w:rPr>
                <w:rFonts w:cs="Arial"/>
              </w:rPr>
              <w:t>.</w:t>
            </w:r>
            <w:r w:rsidR="00B0518F">
              <w:rPr>
                <w:rFonts w:cs="Arial"/>
              </w:rPr>
              <w:t>35</w:t>
            </w:r>
            <w:r w:rsidR="00EE495C" w:rsidRPr="00EE495C">
              <w:rPr>
                <w:rFonts w:cs="Arial"/>
              </w:rPr>
              <w:t xml:space="preserve"> </w:t>
            </w:r>
          </w:p>
        </w:tc>
        <w:tc>
          <w:tcPr>
            <w:tcW w:w="1987" w:type="dxa"/>
            <w:vAlign w:val="bottom"/>
          </w:tcPr>
          <w:p w14:paraId="1168C0D5" w14:textId="5F86388B" w:rsidR="003323DB" w:rsidRPr="00AA44DB" w:rsidRDefault="00B0518F" w:rsidP="003323DB">
            <w:pPr>
              <w:widowControl w:val="0"/>
              <w:pBdr>
                <w:bottom w:val="single" w:sz="4" w:space="0" w:color="auto"/>
              </w:pBdr>
              <w:spacing w:before="120"/>
              <w:ind w:left="58" w:right="-85"/>
              <w:jc w:val="right"/>
              <w:rPr>
                <w:rFonts w:eastAsia="Batang" w:cs="Arial"/>
                <w:highlight w:val="yellow"/>
                <w:lang w:eastAsia="ko-KR"/>
              </w:rPr>
            </w:pPr>
            <w:r>
              <w:rPr>
                <w:rFonts w:cs="Arial"/>
              </w:rPr>
              <w:t>6</w:t>
            </w:r>
            <w:r w:rsidR="00871B72">
              <w:rPr>
                <w:rFonts w:cs="Arial"/>
              </w:rPr>
              <w:t>,</w:t>
            </w:r>
            <w:r>
              <w:rPr>
                <w:rFonts w:cs="Arial"/>
              </w:rPr>
              <w:t>345</w:t>
            </w:r>
            <w:r w:rsidR="00686834">
              <w:rPr>
                <w:rFonts w:cs="Arial"/>
              </w:rPr>
              <w:t>.</w:t>
            </w:r>
            <w:r>
              <w:rPr>
                <w:rFonts w:cs="Arial"/>
              </w:rPr>
              <w:t>96</w:t>
            </w:r>
          </w:p>
        </w:tc>
      </w:tr>
      <w:tr w:rsidR="003323DB" w:rsidRPr="002A0B87" w14:paraId="56C09073" w14:textId="77777777" w:rsidTr="00AA44DB">
        <w:trPr>
          <w:trHeight w:val="20"/>
        </w:trPr>
        <w:tc>
          <w:tcPr>
            <w:tcW w:w="4205" w:type="dxa"/>
            <w:vAlign w:val="bottom"/>
          </w:tcPr>
          <w:p w14:paraId="5E2E62B1" w14:textId="77777777" w:rsidR="003323DB" w:rsidRPr="002A0B87" w:rsidRDefault="003323DB" w:rsidP="003323DB">
            <w:pPr>
              <w:widowControl w:val="0"/>
              <w:spacing w:before="120"/>
              <w:ind w:left="-115"/>
              <w:rPr>
                <w:rFonts w:cs="Arial"/>
                <w:b/>
              </w:rPr>
            </w:pPr>
          </w:p>
        </w:tc>
        <w:tc>
          <w:tcPr>
            <w:tcW w:w="1987" w:type="dxa"/>
            <w:vAlign w:val="bottom"/>
          </w:tcPr>
          <w:p w14:paraId="348CF93E" w14:textId="79111EBA" w:rsidR="003323DB" w:rsidRPr="00D1796F" w:rsidRDefault="005E46FA" w:rsidP="003323DB">
            <w:pPr>
              <w:widowControl w:val="0"/>
              <w:pBdr>
                <w:bottom w:val="double" w:sz="4" w:space="0" w:color="auto"/>
              </w:pBdr>
              <w:spacing w:before="120"/>
              <w:ind w:left="58" w:right="-85"/>
              <w:jc w:val="right"/>
              <w:rPr>
                <w:rFonts w:eastAsia="Batang" w:cs="Arial"/>
                <w:b/>
                <w:bCs/>
                <w:highlight w:val="yellow"/>
                <w:lang w:eastAsia="ko-KR"/>
              </w:rPr>
            </w:pPr>
            <w:r>
              <w:rPr>
                <w:rFonts w:cs="Arial"/>
                <w:b/>
              </w:rPr>
              <w:t>8</w:t>
            </w:r>
            <w:r w:rsidR="00871B72">
              <w:rPr>
                <w:rFonts w:cs="Arial"/>
                <w:b/>
              </w:rPr>
              <w:t>,</w:t>
            </w:r>
            <w:r w:rsidR="00EE495C" w:rsidRPr="00EE495C">
              <w:rPr>
                <w:rFonts w:cs="Arial"/>
                <w:b/>
              </w:rPr>
              <w:t>3</w:t>
            </w:r>
            <w:r>
              <w:rPr>
                <w:rFonts w:cs="Arial"/>
                <w:b/>
              </w:rPr>
              <w:t>86</w:t>
            </w:r>
            <w:r w:rsidR="00871B72">
              <w:rPr>
                <w:rFonts w:cs="Arial"/>
                <w:b/>
              </w:rPr>
              <w:t>.</w:t>
            </w:r>
            <w:r w:rsidR="00B0518F">
              <w:rPr>
                <w:rFonts w:cs="Arial"/>
                <w:b/>
              </w:rPr>
              <w:t>35</w:t>
            </w:r>
          </w:p>
        </w:tc>
        <w:tc>
          <w:tcPr>
            <w:tcW w:w="1987" w:type="dxa"/>
            <w:vAlign w:val="bottom"/>
            <w:hideMark/>
          </w:tcPr>
          <w:p w14:paraId="1F428A4E" w14:textId="3F15CE36" w:rsidR="003323DB" w:rsidRPr="00AA44DB" w:rsidRDefault="00B0518F" w:rsidP="003323DB">
            <w:pPr>
              <w:widowControl w:val="0"/>
              <w:pBdr>
                <w:bottom w:val="double" w:sz="4" w:space="0" w:color="auto"/>
              </w:pBdr>
              <w:spacing w:before="120"/>
              <w:ind w:left="58" w:right="-85"/>
              <w:jc w:val="right"/>
              <w:rPr>
                <w:rFonts w:cs="Arial"/>
                <w:b/>
                <w:bCs/>
                <w:highlight w:val="yellow"/>
              </w:rPr>
            </w:pPr>
            <w:r>
              <w:rPr>
                <w:rFonts w:cs="Arial"/>
                <w:b/>
              </w:rPr>
              <w:t>6</w:t>
            </w:r>
            <w:r w:rsidR="00871B72">
              <w:rPr>
                <w:rFonts w:cs="Arial"/>
                <w:b/>
              </w:rPr>
              <w:t>,</w:t>
            </w:r>
            <w:r>
              <w:rPr>
                <w:rFonts w:cs="Arial"/>
                <w:b/>
              </w:rPr>
              <w:t>345</w:t>
            </w:r>
            <w:r w:rsidR="00686834">
              <w:rPr>
                <w:rFonts w:cs="Arial"/>
                <w:b/>
              </w:rPr>
              <w:t>.</w:t>
            </w:r>
            <w:r>
              <w:rPr>
                <w:rFonts w:cs="Arial"/>
                <w:b/>
              </w:rPr>
              <w:t>96</w:t>
            </w:r>
          </w:p>
        </w:tc>
      </w:tr>
    </w:tbl>
    <w:p w14:paraId="4979830D" w14:textId="77777777" w:rsidR="00C275EF" w:rsidRPr="002A0B87" w:rsidRDefault="00C275EF" w:rsidP="00760439">
      <w:pPr>
        <w:pStyle w:val="NoSpacing"/>
      </w:pPr>
    </w:p>
    <w:p w14:paraId="55A5637C" w14:textId="7B013C2E" w:rsidR="00C275EF" w:rsidRPr="002A0B87" w:rsidRDefault="0060144B" w:rsidP="00760439">
      <w:pPr>
        <w:pStyle w:val="Heading2"/>
      </w:pPr>
      <w:r>
        <w:t>19</w:t>
      </w:r>
      <w:r w:rsidR="00C275EF" w:rsidRPr="002A0B87">
        <w:t>.</w:t>
      </w:r>
      <w:r>
        <w:t>2</w:t>
      </w:r>
      <w:r w:rsidR="00C275EF" w:rsidRPr="002A0B87">
        <w:tab/>
      </w:r>
      <w:r w:rsidR="00C47E88" w:rsidRPr="00C47E88">
        <w:t>Financial assets listed/registered for trading at the Vietnam Securities Depository (“VSD”) of the Company</w:t>
      </w:r>
      <w:r w:rsidR="00C47E88" w:rsidRPr="00C47E88" w:rsidDel="00C47E88">
        <w:t xml:space="preserve"> </w:t>
      </w:r>
    </w:p>
    <w:p w14:paraId="44E67D1D" w14:textId="431F93B5" w:rsidR="00C275EF" w:rsidRPr="002A0B87" w:rsidRDefault="00C275EF" w:rsidP="00760439">
      <w:pPr>
        <w:pStyle w:val="NoSpacing"/>
        <w:rPr>
          <w:lang w:val="de-DE"/>
        </w:rPr>
      </w:pPr>
    </w:p>
    <w:tbl>
      <w:tblPr>
        <w:tblW w:w="8179" w:type="dxa"/>
        <w:tblInd w:w="720" w:type="dxa"/>
        <w:tblLayout w:type="fixed"/>
        <w:tblLook w:val="01E0" w:firstRow="1" w:lastRow="1" w:firstColumn="1" w:lastColumn="1" w:noHBand="0" w:noVBand="0"/>
      </w:tblPr>
      <w:tblGrid>
        <w:gridCol w:w="4205"/>
        <w:gridCol w:w="1987"/>
        <w:gridCol w:w="1987"/>
      </w:tblGrid>
      <w:tr w:rsidR="0013302F" w:rsidRPr="002A0B87" w14:paraId="255878AE" w14:textId="77777777" w:rsidTr="00AA44DB">
        <w:trPr>
          <w:trHeight w:val="20"/>
          <w:tblHeader/>
        </w:trPr>
        <w:tc>
          <w:tcPr>
            <w:tcW w:w="4205" w:type="dxa"/>
            <w:vAlign w:val="bottom"/>
          </w:tcPr>
          <w:p w14:paraId="2454309E" w14:textId="77777777" w:rsidR="0013302F" w:rsidRPr="002A0B87" w:rsidRDefault="0013302F" w:rsidP="00760439">
            <w:pPr>
              <w:widowControl w:val="0"/>
              <w:overflowPunct/>
              <w:autoSpaceDE/>
              <w:autoSpaceDN/>
              <w:adjustRightInd/>
              <w:ind w:left="-115"/>
              <w:jc w:val="left"/>
              <w:textAlignment w:val="auto"/>
              <w:rPr>
                <w:rFonts w:eastAsia="Batang" w:cs="Arial"/>
                <w:i/>
                <w:lang w:val="es-ES"/>
              </w:rPr>
            </w:pPr>
          </w:p>
        </w:tc>
        <w:tc>
          <w:tcPr>
            <w:tcW w:w="1987" w:type="dxa"/>
            <w:vAlign w:val="bottom"/>
            <w:hideMark/>
          </w:tcPr>
          <w:p w14:paraId="4CD9E567" w14:textId="57380C26" w:rsidR="0013302F" w:rsidRPr="002A0B87" w:rsidRDefault="009B444A" w:rsidP="00557104">
            <w:pPr>
              <w:widowControl w:val="0"/>
              <w:pBdr>
                <w:bottom w:val="single" w:sz="4" w:space="0" w:color="auto"/>
              </w:pBdr>
              <w:overflowPunct/>
              <w:autoSpaceDE/>
              <w:autoSpaceDN/>
              <w:adjustRightInd/>
              <w:ind w:left="58" w:right="-85"/>
              <w:jc w:val="right"/>
              <w:textAlignment w:val="auto"/>
              <w:rPr>
                <w:rFonts w:eastAsia="Batang" w:cs="Arial"/>
                <w:bCs/>
                <w:i/>
              </w:rPr>
            </w:pPr>
            <w:r w:rsidRPr="009B444A">
              <w:rPr>
                <w:rFonts w:eastAsia="Batang" w:cs="Arial"/>
                <w:bCs/>
                <w:i/>
              </w:rPr>
              <w:t>Ending balance</w:t>
            </w:r>
          </w:p>
          <w:p w14:paraId="5E428F9C" w14:textId="77777777" w:rsidR="0013302F" w:rsidRPr="002A0B87" w:rsidRDefault="0013302F" w:rsidP="00557104">
            <w:pPr>
              <w:widowControl w:val="0"/>
              <w:pBdr>
                <w:bottom w:val="single" w:sz="4" w:space="0" w:color="auto"/>
              </w:pBdr>
              <w:ind w:left="58" w:right="-85"/>
              <w:jc w:val="right"/>
              <w:rPr>
                <w:rFonts w:cs="Arial"/>
                <w:bCs/>
                <w:i/>
              </w:rPr>
            </w:pPr>
            <w:r w:rsidRPr="002A0B87">
              <w:rPr>
                <w:rFonts w:eastAsia="Batang" w:cs="Arial"/>
                <w:i/>
                <w:iCs/>
              </w:rPr>
              <w:t>VND</w:t>
            </w:r>
          </w:p>
        </w:tc>
        <w:tc>
          <w:tcPr>
            <w:tcW w:w="1987" w:type="dxa"/>
            <w:vAlign w:val="bottom"/>
            <w:hideMark/>
          </w:tcPr>
          <w:p w14:paraId="3A8C42CB" w14:textId="20522DDF" w:rsidR="0013302F" w:rsidRPr="002A0B87" w:rsidRDefault="00C20A07" w:rsidP="00557104">
            <w:pPr>
              <w:widowControl w:val="0"/>
              <w:pBdr>
                <w:bottom w:val="single" w:sz="4" w:space="0" w:color="auto"/>
              </w:pBdr>
              <w:overflowPunct/>
              <w:autoSpaceDE/>
              <w:autoSpaceDN/>
              <w:adjustRightInd/>
              <w:ind w:left="58" w:right="-85"/>
              <w:jc w:val="right"/>
              <w:textAlignment w:val="auto"/>
              <w:rPr>
                <w:rFonts w:eastAsia="Batang" w:cs="Arial"/>
                <w:bCs/>
                <w:i/>
              </w:rPr>
            </w:pPr>
            <w:r w:rsidRPr="00C20A07">
              <w:rPr>
                <w:rFonts w:eastAsia="Batang" w:cs="Arial"/>
                <w:bCs/>
                <w:i/>
              </w:rPr>
              <w:t>Opening balance</w:t>
            </w:r>
          </w:p>
          <w:p w14:paraId="31EB2789" w14:textId="77777777" w:rsidR="0013302F" w:rsidRPr="002A0B87" w:rsidRDefault="0013302F" w:rsidP="00557104">
            <w:pPr>
              <w:widowControl w:val="0"/>
              <w:pBdr>
                <w:bottom w:val="single" w:sz="4" w:space="0" w:color="auto"/>
              </w:pBdr>
              <w:ind w:left="58" w:right="-85"/>
              <w:jc w:val="right"/>
              <w:rPr>
                <w:rFonts w:cs="Arial"/>
                <w:bCs/>
                <w:i/>
              </w:rPr>
            </w:pPr>
            <w:r w:rsidRPr="002A0B87">
              <w:rPr>
                <w:rFonts w:eastAsia="Batang" w:cs="Arial"/>
                <w:i/>
                <w:iCs/>
              </w:rPr>
              <w:t xml:space="preserve">VND </w:t>
            </w:r>
          </w:p>
        </w:tc>
      </w:tr>
      <w:tr w:rsidR="0065712A" w:rsidRPr="002A0B87" w14:paraId="7C5638A0" w14:textId="77777777" w:rsidTr="00670D7D">
        <w:trPr>
          <w:trHeight w:val="20"/>
        </w:trPr>
        <w:tc>
          <w:tcPr>
            <w:tcW w:w="4205" w:type="dxa"/>
            <w:vAlign w:val="bottom"/>
            <w:hideMark/>
          </w:tcPr>
          <w:p w14:paraId="0FCF2079" w14:textId="0BB67CD0" w:rsidR="0065712A" w:rsidRPr="002A0B87" w:rsidRDefault="0065712A" w:rsidP="0065712A">
            <w:pPr>
              <w:widowControl w:val="0"/>
              <w:spacing w:before="120"/>
              <w:ind w:left="-115" w:right="-86"/>
              <w:rPr>
                <w:rFonts w:cs="Arial"/>
              </w:rPr>
            </w:pPr>
            <w:r w:rsidRPr="00C6378B">
              <w:rPr>
                <w:rFonts w:cs="Arial"/>
              </w:rPr>
              <w:t>Unrestricted financial assets</w:t>
            </w:r>
          </w:p>
        </w:tc>
        <w:tc>
          <w:tcPr>
            <w:tcW w:w="1987" w:type="dxa"/>
          </w:tcPr>
          <w:p w14:paraId="181D8578" w14:textId="1BB2F85F" w:rsidR="0065712A" w:rsidRPr="00A06408" w:rsidRDefault="0065712A" w:rsidP="0065712A">
            <w:pPr>
              <w:widowControl w:val="0"/>
              <w:pBdr>
                <w:bottom w:val="single" w:sz="4" w:space="0" w:color="auto"/>
              </w:pBdr>
              <w:spacing w:before="120"/>
              <w:ind w:left="58" w:right="-85"/>
              <w:jc w:val="right"/>
              <w:rPr>
                <w:rFonts w:eastAsia="Batang" w:cs="Arial"/>
                <w:highlight w:val="yellow"/>
                <w:lang w:eastAsia="ko-KR"/>
              </w:rPr>
            </w:pPr>
            <w:r w:rsidRPr="00787020">
              <w:t>125</w:t>
            </w:r>
            <w:r>
              <w:t>,</w:t>
            </w:r>
            <w:r w:rsidRPr="00787020">
              <w:t>097</w:t>
            </w:r>
            <w:r>
              <w:t>,</w:t>
            </w:r>
            <w:r w:rsidRPr="00787020">
              <w:t>650</w:t>
            </w:r>
            <w:r>
              <w:t>,</w:t>
            </w:r>
            <w:r w:rsidRPr="00787020">
              <w:t xml:space="preserve">000 </w:t>
            </w:r>
          </w:p>
        </w:tc>
        <w:tc>
          <w:tcPr>
            <w:tcW w:w="1987" w:type="dxa"/>
          </w:tcPr>
          <w:p w14:paraId="3F961952" w14:textId="78C04785" w:rsidR="0065712A" w:rsidRPr="002A0B87" w:rsidRDefault="0065712A" w:rsidP="0065712A">
            <w:pPr>
              <w:widowControl w:val="0"/>
              <w:pBdr>
                <w:bottom w:val="single" w:sz="4" w:space="0" w:color="auto"/>
              </w:pBdr>
              <w:spacing w:before="120"/>
              <w:ind w:left="58" w:right="-85"/>
              <w:jc w:val="right"/>
              <w:rPr>
                <w:rFonts w:eastAsia="Batang" w:cs="Arial"/>
                <w:lang w:eastAsia="ko-KR"/>
              </w:rPr>
            </w:pPr>
            <w:r w:rsidRPr="00787020">
              <w:t>65</w:t>
            </w:r>
            <w:r>
              <w:t>,</w:t>
            </w:r>
            <w:r w:rsidRPr="00787020">
              <w:t>980</w:t>
            </w:r>
            <w:r>
              <w:t>,</w:t>
            </w:r>
            <w:r w:rsidRPr="00787020">
              <w:t xml:space="preserve">000 </w:t>
            </w:r>
          </w:p>
        </w:tc>
      </w:tr>
      <w:tr w:rsidR="0065712A" w:rsidRPr="002A0B87" w14:paraId="2CAE24ED" w14:textId="77777777" w:rsidTr="00670D7D">
        <w:trPr>
          <w:trHeight w:val="20"/>
        </w:trPr>
        <w:tc>
          <w:tcPr>
            <w:tcW w:w="4205" w:type="dxa"/>
            <w:vAlign w:val="bottom"/>
          </w:tcPr>
          <w:p w14:paraId="12C74A2A" w14:textId="7E38A8C5" w:rsidR="0065712A" w:rsidRPr="002A0B87" w:rsidRDefault="0065712A" w:rsidP="0065712A">
            <w:pPr>
              <w:widowControl w:val="0"/>
              <w:spacing w:before="120"/>
              <w:ind w:left="-115"/>
              <w:jc w:val="left"/>
              <w:rPr>
                <w:rFonts w:cs="Arial"/>
                <w:b/>
              </w:rPr>
            </w:pPr>
          </w:p>
        </w:tc>
        <w:tc>
          <w:tcPr>
            <w:tcW w:w="1987" w:type="dxa"/>
          </w:tcPr>
          <w:p w14:paraId="0274E070" w14:textId="644F8456" w:rsidR="0065712A" w:rsidRPr="0065712A" w:rsidRDefault="0065712A" w:rsidP="0065712A">
            <w:pPr>
              <w:widowControl w:val="0"/>
              <w:pBdr>
                <w:bottom w:val="double" w:sz="4" w:space="0" w:color="auto"/>
              </w:pBdr>
              <w:spacing w:before="120"/>
              <w:ind w:left="58" w:right="-85"/>
              <w:jc w:val="right"/>
              <w:rPr>
                <w:rFonts w:eastAsia="Batang" w:cs="Arial"/>
                <w:b/>
                <w:bCs/>
                <w:highlight w:val="yellow"/>
                <w:lang w:eastAsia="ko-KR"/>
              </w:rPr>
            </w:pPr>
            <w:r w:rsidRPr="0065712A">
              <w:rPr>
                <w:b/>
                <w:bCs/>
              </w:rPr>
              <w:t>125</w:t>
            </w:r>
            <w:r>
              <w:rPr>
                <w:b/>
                <w:bCs/>
              </w:rPr>
              <w:t>,</w:t>
            </w:r>
            <w:r w:rsidRPr="0065712A">
              <w:rPr>
                <w:b/>
                <w:bCs/>
              </w:rPr>
              <w:t>097</w:t>
            </w:r>
            <w:r>
              <w:rPr>
                <w:b/>
                <w:bCs/>
              </w:rPr>
              <w:t>,</w:t>
            </w:r>
            <w:r w:rsidRPr="0065712A">
              <w:rPr>
                <w:b/>
                <w:bCs/>
              </w:rPr>
              <w:t>650</w:t>
            </w:r>
            <w:r>
              <w:rPr>
                <w:b/>
                <w:bCs/>
              </w:rPr>
              <w:t>,</w:t>
            </w:r>
            <w:r w:rsidRPr="0065712A">
              <w:rPr>
                <w:b/>
                <w:bCs/>
              </w:rPr>
              <w:t xml:space="preserve">000 </w:t>
            </w:r>
          </w:p>
        </w:tc>
        <w:tc>
          <w:tcPr>
            <w:tcW w:w="1987" w:type="dxa"/>
            <w:hideMark/>
          </w:tcPr>
          <w:p w14:paraId="58D2DE7C" w14:textId="0DB51699" w:rsidR="0065712A" w:rsidRPr="0065712A" w:rsidRDefault="0065712A" w:rsidP="0065712A">
            <w:pPr>
              <w:widowControl w:val="0"/>
              <w:pBdr>
                <w:bottom w:val="double" w:sz="4" w:space="0" w:color="auto"/>
              </w:pBdr>
              <w:spacing w:before="120"/>
              <w:ind w:left="58" w:right="-85"/>
              <w:jc w:val="right"/>
              <w:rPr>
                <w:rFonts w:cs="Arial"/>
                <w:b/>
                <w:bCs/>
              </w:rPr>
            </w:pPr>
            <w:r w:rsidRPr="0065712A">
              <w:rPr>
                <w:b/>
                <w:bCs/>
              </w:rPr>
              <w:t>65</w:t>
            </w:r>
            <w:r>
              <w:rPr>
                <w:b/>
                <w:bCs/>
              </w:rPr>
              <w:t>,</w:t>
            </w:r>
            <w:r w:rsidRPr="0065712A">
              <w:rPr>
                <w:b/>
                <w:bCs/>
              </w:rPr>
              <w:t>980</w:t>
            </w:r>
            <w:r>
              <w:rPr>
                <w:b/>
                <w:bCs/>
              </w:rPr>
              <w:t>,</w:t>
            </w:r>
            <w:r w:rsidRPr="0065712A">
              <w:rPr>
                <w:b/>
                <w:bCs/>
              </w:rPr>
              <w:t xml:space="preserve">000 </w:t>
            </w:r>
          </w:p>
        </w:tc>
      </w:tr>
    </w:tbl>
    <w:p w14:paraId="0181DA7E" w14:textId="77777777" w:rsidR="0060144B" w:rsidRPr="002A0B87" w:rsidRDefault="0060144B" w:rsidP="0060144B">
      <w:pPr>
        <w:pStyle w:val="NoSpacing"/>
      </w:pPr>
    </w:p>
    <w:p w14:paraId="6DA7CBF8" w14:textId="057063B3" w:rsidR="0060144B" w:rsidRPr="002A0B87" w:rsidRDefault="0060144B" w:rsidP="0060144B">
      <w:pPr>
        <w:pStyle w:val="Heading2"/>
      </w:pPr>
      <w:r>
        <w:t>19.3</w:t>
      </w:r>
      <w:r w:rsidRPr="002A0B87">
        <w:tab/>
      </w:r>
      <w:r w:rsidR="00A47D2E" w:rsidRPr="00A47D2E">
        <w:t>Financial assets listed/registered for trading at VSD of investors</w:t>
      </w:r>
      <w:r w:rsidR="00A47D2E" w:rsidRPr="00A47D2E" w:rsidDel="00A47D2E">
        <w:t xml:space="preserve"> </w:t>
      </w:r>
    </w:p>
    <w:p w14:paraId="5948CBC6" w14:textId="77777777" w:rsidR="0060144B" w:rsidRPr="002A0B87" w:rsidRDefault="0060144B" w:rsidP="0060144B">
      <w:pPr>
        <w:pStyle w:val="NoSpacing"/>
        <w:rPr>
          <w:lang w:val="de-DE"/>
        </w:rPr>
      </w:pPr>
    </w:p>
    <w:tbl>
      <w:tblPr>
        <w:tblW w:w="8179" w:type="dxa"/>
        <w:tblInd w:w="720" w:type="dxa"/>
        <w:tblLayout w:type="fixed"/>
        <w:tblLook w:val="01E0" w:firstRow="1" w:lastRow="1" w:firstColumn="1" w:lastColumn="1" w:noHBand="0" w:noVBand="0"/>
      </w:tblPr>
      <w:tblGrid>
        <w:gridCol w:w="4205"/>
        <w:gridCol w:w="1987"/>
        <w:gridCol w:w="1987"/>
      </w:tblGrid>
      <w:tr w:rsidR="0060144B" w:rsidRPr="002A0B87" w14:paraId="4DF6564F" w14:textId="77777777" w:rsidTr="000A1EE5">
        <w:trPr>
          <w:trHeight w:val="20"/>
          <w:tblHeader/>
        </w:trPr>
        <w:tc>
          <w:tcPr>
            <w:tcW w:w="4205" w:type="dxa"/>
            <w:vAlign w:val="bottom"/>
          </w:tcPr>
          <w:p w14:paraId="58BE58D9" w14:textId="77777777" w:rsidR="0060144B" w:rsidRPr="002A0B87" w:rsidRDefault="0060144B" w:rsidP="000A1EE5">
            <w:pPr>
              <w:widowControl w:val="0"/>
              <w:overflowPunct/>
              <w:autoSpaceDE/>
              <w:autoSpaceDN/>
              <w:adjustRightInd/>
              <w:ind w:left="-115"/>
              <w:textAlignment w:val="auto"/>
              <w:rPr>
                <w:rFonts w:eastAsia="Batang" w:cs="Arial"/>
                <w:i/>
                <w:lang w:val="es-ES"/>
              </w:rPr>
            </w:pPr>
          </w:p>
        </w:tc>
        <w:tc>
          <w:tcPr>
            <w:tcW w:w="1987" w:type="dxa"/>
            <w:vAlign w:val="bottom"/>
            <w:hideMark/>
          </w:tcPr>
          <w:p w14:paraId="19636895" w14:textId="0247D4C7" w:rsidR="0060144B" w:rsidRPr="002A0B87" w:rsidRDefault="00AE645B" w:rsidP="000A1EE5">
            <w:pPr>
              <w:widowControl w:val="0"/>
              <w:pBdr>
                <w:bottom w:val="single" w:sz="4" w:space="0" w:color="auto"/>
              </w:pBdr>
              <w:overflowPunct/>
              <w:autoSpaceDE/>
              <w:autoSpaceDN/>
              <w:adjustRightInd/>
              <w:ind w:left="58" w:right="-85"/>
              <w:jc w:val="right"/>
              <w:textAlignment w:val="auto"/>
              <w:rPr>
                <w:rFonts w:eastAsia="Batang" w:cs="Arial"/>
                <w:bCs/>
                <w:i/>
              </w:rPr>
            </w:pPr>
            <w:r w:rsidRPr="00AE645B">
              <w:rPr>
                <w:rFonts w:eastAsia="Batang" w:cs="Arial"/>
                <w:bCs/>
                <w:i/>
              </w:rPr>
              <w:t>Ending balance</w:t>
            </w:r>
          </w:p>
          <w:p w14:paraId="15AFD740" w14:textId="77777777" w:rsidR="0060144B" w:rsidRPr="002A0B87" w:rsidRDefault="0060144B" w:rsidP="000A1EE5">
            <w:pPr>
              <w:widowControl w:val="0"/>
              <w:pBdr>
                <w:bottom w:val="single" w:sz="4" w:space="0" w:color="auto"/>
              </w:pBdr>
              <w:ind w:left="58" w:right="-85"/>
              <w:jc w:val="right"/>
              <w:rPr>
                <w:rFonts w:cs="Arial"/>
                <w:bCs/>
                <w:i/>
              </w:rPr>
            </w:pPr>
            <w:r w:rsidRPr="002A0B87">
              <w:rPr>
                <w:rFonts w:eastAsia="Batang" w:cs="Arial"/>
                <w:i/>
                <w:iCs/>
              </w:rPr>
              <w:t>VND</w:t>
            </w:r>
          </w:p>
        </w:tc>
        <w:tc>
          <w:tcPr>
            <w:tcW w:w="1987" w:type="dxa"/>
            <w:vAlign w:val="bottom"/>
            <w:hideMark/>
          </w:tcPr>
          <w:p w14:paraId="15E171CB" w14:textId="27CEC369" w:rsidR="0060144B" w:rsidRPr="002A0B87" w:rsidRDefault="008578EE" w:rsidP="000A1EE5">
            <w:pPr>
              <w:widowControl w:val="0"/>
              <w:pBdr>
                <w:bottom w:val="single" w:sz="4" w:space="0" w:color="auto"/>
              </w:pBdr>
              <w:overflowPunct/>
              <w:autoSpaceDE/>
              <w:autoSpaceDN/>
              <w:adjustRightInd/>
              <w:ind w:left="58" w:right="-85"/>
              <w:jc w:val="right"/>
              <w:textAlignment w:val="auto"/>
              <w:rPr>
                <w:rFonts w:eastAsia="Batang" w:cs="Arial"/>
                <w:bCs/>
                <w:i/>
              </w:rPr>
            </w:pPr>
            <w:r w:rsidRPr="008578EE">
              <w:rPr>
                <w:rFonts w:eastAsia="Batang" w:cs="Arial"/>
                <w:bCs/>
                <w:i/>
              </w:rPr>
              <w:t>Opening balance</w:t>
            </w:r>
          </w:p>
          <w:p w14:paraId="04D72D6D" w14:textId="77777777" w:rsidR="0060144B" w:rsidRPr="002A0B87" w:rsidRDefault="0060144B" w:rsidP="000A1EE5">
            <w:pPr>
              <w:widowControl w:val="0"/>
              <w:pBdr>
                <w:bottom w:val="single" w:sz="4" w:space="0" w:color="auto"/>
              </w:pBdr>
              <w:ind w:left="58" w:right="-85"/>
              <w:jc w:val="right"/>
              <w:rPr>
                <w:rFonts w:cs="Arial"/>
                <w:bCs/>
                <w:i/>
              </w:rPr>
            </w:pPr>
            <w:r w:rsidRPr="002A0B87">
              <w:rPr>
                <w:rFonts w:eastAsia="Batang" w:cs="Arial"/>
                <w:i/>
                <w:iCs/>
              </w:rPr>
              <w:t xml:space="preserve">VND </w:t>
            </w:r>
          </w:p>
        </w:tc>
      </w:tr>
      <w:tr w:rsidR="00A62C7C" w:rsidRPr="002A0B87" w14:paraId="6B2BF046" w14:textId="77777777" w:rsidTr="00601903">
        <w:trPr>
          <w:trHeight w:val="20"/>
        </w:trPr>
        <w:tc>
          <w:tcPr>
            <w:tcW w:w="4205" w:type="dxa"/>
          </w:tcPr>
          <w:p w14:paraId="7E59F8E0" w14:textId="422B6019" w:rsidR="00A62C7C" w:rsidRPr="002A0B87" w:rsidRDefault="00A62C7C" w:rsidP="00A62C7C">
            <w:pPr>
              <w:widowControl w:val="0"/>
              <w:spacing w:before="120"/>
              <w:ind w:left="-115" w:right="-86"/>
              <w:rPr>
                <w:rFonts w:cs="Arial"/>
              </w:rPr>
            </w:pPr>
            <w:r w:rsidRPr="00D83322">
              <w:rPr>
                <w:rFonts w:cs="Arial"/>
              </w:rPr>
              <w:t>Unrestricted financial assets</w:t>
            </w:r>
          </w:p>
        </w:tc>
        <w:tc>
          <w:tcPr>
            <w:tcW w:w="1987" w:type="dxa"/>
          </w:tcPr>
          <w:p w14:paraId="5CADA3F5" w14:textId="1AFE83F7" w:rsidR="00A62C7C" w:rsidRPr="00A06408" w:rsidRDefault="00A62C7C" w:rsidP="00A62C7C">
            <w:pPr>
              <w:widowControl w:val="0"/>
              <w:spacing w:before="120"/>
              <w:ind w:left="58" w:right="-85"/>
              <w:jc w:val="right"/>
              <w:rPr>
                <w:rFonts w:eastAsia="Batang" w:cs="Arial"/>
                <w:highlight w:val="yellow"/>
                <w:lang w:eastAsia="ko-KR"/>
              </w:rPr>
            </w:pPr>
            <w:r w:rsidRPr="00A7421C">
              <w:t>1</w:t>
            </w:r>
            <w:r>
              <w:t>,</w:t>
            </w:r>
            <w:r w:rsidRPr="00A7421C">
              <w:t>357</w:t>
            </w:r>
            <w:r>
              <w:t>,</w:t>
            </w:r>
            <w:r w:rsidRPr="00A7421C">
              <w:t>905</w:t>
            </w:r>
            <w:r>
              <w:t>,</w:t>
            </w:r>
            <w:r w:rsidRPr="00A7421C">
              <w:t>150</w:t>
            </w:r>
            <w:r>
              <w:t>,</w:t>
            </w:r>
            <w:r w:rsidRPr="00A7421C">
              <w:t xml:space="preserve">000 </w:t>
            </w:r>
          </w:p>
        </w:tc>
        <w:tc>
          <w:tcPr>
            <w:tcW w:w="1987" w:type="dxa"/>
          </w:tcPr>
          <w:p w14:paraId="0C77CE24" w14:textId="758BBC12" w:rsidR="00A62C7C" w:rsidRPr="002A0B87" w:rsidRDefault="00A62C7C" w:rsidP="00A62C7C">
            <w:pPr>
              <w:widowControl w:val="0"/>
              <w:spacing w:before="120"/>
              <w:ind w:left="58" w:right="-85"/>
              <w:jc w:val="right"/>
              <w:rPr>
                <w:rFonts w:eastAsia="Batang" w:cs="Arial"/>
                <w:lang w:eastAsia="ko-KR"/>
              </w:rPr>
            </w:pPr>
            <w:r w:rsidRPr="00A7421C">
              <w:t>1</w:t>
            </w:r>
            <w:r>
              <w:t>,</w:t>
            </w:r>
            <w:r w:rsidRPr="00A7421C">
              <w:t>132</w:t>
            </w:r>
            <w:r>
              <w:t>,</w:t>
            </w:r>
            <w:r w:rsidRPr="00A7421C">
              <w:t>139</w:t>
            </w:r>
            <w:r>
              <w:t>,</w:t>
            </w:r>
            <w:r w:rsidRPr="00A7421C">
              <w:t>620</w:t>
            </w:r>
            <w:r>
              <w:t>,</w:t>
            </w:r>
            <w:r w:rsidRPr="00A7421C">
              <w:t xml:space="preserve">000 </w:t>
            </w:r>
          </w:p>
        </w:tc>
      </w:tr>
      <w:tr w:rsidR="00A62C7C" w:rsidRPr="002A0B87" w14:paraId="3BA6F601" w14:textId="77777777" w:rsidTr="00601903">
        <w:trPr>
          <w:trHeight w:val="20"/>
        </w:trPr>
        <w:tc>
          <w:tcPr>
            <w:tcW w:w="4205" w:type="dxa"/>
          </w:tcPr>
          <w:p w14:paraId="0FADAC49" w14:textId="3BD299A0" w:rsidR="00A62C7C" w:rsidRPr="0090306A" w:rsidRDefault="00A62C7C" w:rsidP="00A62C7C">
            <w:pPr>
              <w:widowControl w:val="0"/>
              <w:ind w:left="-115"/>
              <w:jc w:val="left"/>
              <w:rPr>
                <w:rFonts w:cs="Arial"/>
                <w:color w:val="000000"/>
              </w:rPr>
            </w:pPr>
            <w:r w:rsidRPr="009D5682">
              <w:rPr>
                <w:rFonts w:cs="Arial"/>
              </w:rPr>
              <w:t>Restricted financial assets</w:t>
            </w:r>
          </w:p>
        </w:tc>
        <w:tc>
          <w:tcPr>
            <w:tcW w:w="1987" w:type="dxa"/>
          </w:tcPr>
          <w:p w14:paraId="14B733EE" w14:textId="7193C65C" w:rsidR="00A62C7C" w:rsidRPr="00A06408" w:rsidRDefault="00A62C7C" w:rsidP="00A62C7C">
            <w:pPr>
              <w:widowControl w:val="0"/>
              <w:ind w:left="58" w:right="-85"/>
              <w:jc w:val="right"/>
              <w:rPr>
                <w:rFonts w:eastAsia="Batang" w:cs="Arial"/>
                <w:highlight w:val="yellow"/>
                <w:lang w:eastAsia="ko-KR"/>
              </w:rPr>
            </w:pPr>
            <w:r w:rsidRPr="00A7421C">
              <w:t>4</w:t>
            </w:r>
            <w:r>
              <w:t>,</w:t>
            </w:r>
            <w:r w:rsidRPr="00A7421C">
              <w:t>032</w:t>
            </w:r>
            <w:r>
              <w:t>,</w:t>
            </w:r>
            <w:r w:rsidRPr="00A7421C">
              <w:t>320</w:t>
            </w:r>
            <w:r>
              <w:t>,</w:t>
            </w:r>
            <w:r w:rsidRPr="00A7421C">
              <w:t>000</w:t>
            </w:r>
          </w:p>
        </w:tc>
        <w:tc>
          <w:tcPr>
            <w:tcW w:w="1987" w:type="dxa"/>
          </w:tcPr>
          <w:p w14:paraId="534FE8E8" w14:textId="1163FA59" w:rsidR="00A62C7C" w:rsidRPr="002A0B87" w:rsidRDefault="00A62C7C" w:rsidP="00A62C7C">
            <w:pPr>
              <w:widowControl w:val="0"/>
              <w:ind w:left="58" w:right="-85"/>
              <w:jc w:val="right"/>
              <w:rPr>
                <w:rFonts w:eastAsia="Batang" w:cs="Arial"/>
                <w:lang w:eastAsia="ko-KR"/>
              </w:rPr>
            </w:pPr>
            <w:r w:rsidRPr="00A7421C">
              <w:t>-</w:t>
            </w:r>
          </w:p>
        </w:tc>
      </w:tr>
      <w:tr w:rsidR="00A62C7C" w:rsidRPr="002A0B87" w14:paraId="4C6621E9" w14:textId="77777777" w:rsidTr="00601903">
        <w:trPr>
          <w:trHeight w:val="20"/>
        </w:trPr>
        <w:tc>
          <w:tcPr>
            <w:tcW w:w="4205" w:type="dxa"/>
          </w:tcPr>
          <w:p w14:paraId="10B0514C" w14:textId="0FAB1A9C" w:rsidR="00A62C7C" w:rsidRPr="009D5682" w:rsidRDefault="00A62C7C" w:rsidP="00A62C7C">
            <w:pPr>
              <w:widowControl w:val="0"/>
              <w:ind w:left="-115"/>
              <w:jc w:val="left"/>
              <w:rPr>
                <w:rFonts w:cs="Arial"/>
              </w:rPr>
            </w:pPr>
            <w:r>
              <w:rPr>
                <w:rFonts w:cs="Arial"/>
              </w:rPr>
              <w:t>Frozen financial assets</w:t>
            </w:r>
          </w:p>
        </w:tc>
        <w:tc>
          <w:tcPr>
            <w:tcW w:w="1987" w:type="dxa"/>
          </w:tcPr>
          <w:p w14:paraId="572B7EC4" w14:textId="4D9A2D94" w:rsidR="00A62C7C" w:rsidRPr="0087683C" w:rsidRDefault="00A62C7C" w:rsidP="00A62C7C">
            <w:pPr>
              <w:widowControl w:val="0"/>
              <w:ind w:left="58" w:right="-85"/>
              <w:jc w:val="right"/>
              <w:rPr>
                <w:rFonts w:cs="Arial"/>
              </w:rPr>
            </w:pPr>
            <w:r w:rsidRPr="00A7421C">
              <w:t>1</w:t>
            </w:r>
            <w:r>
              <w:t>,</w:t>
            </w:r>
            <w:r w:rsidRPr="00A7421C">
              <w:t>940</w:t>
            </w:r>
            <w:r>
              <w:t>,</w:t>
            </w:r>
            <w:r w:rsidRPr="00A7421C">
              <w:t>000</w:t>
            </w:r>
            <w:r>
              <w:t>,</w:t>
            </w:r>
            <w:r w:rsidRPr="00A7421C">
              <w:t xml:space="preserve">000 </w:t>
            </w:r>
          </w:p>
        </w:tc>
        <w:tc>
          <w:tcPr>
            <w:tcW w:w="1987" w:type="dxa"/>
          </w:tcPr>
          <w:p w14:paraId="3AAAFAD9" w14:textId="581937F0" w:rsidR="00A62C7C" w:rsidRDefault="00A62C7C" w:rsidP="00A62C7C">
            <w:pPr>
              <w:widowControl w:val="0"/>
              <w:ind w:left="58" w:right="-85"/>
              <w:jc w:val="right"/>
              <w:rPr>
                <w:rFonts w:cs="Arial"/>
              </w:rPr>
            </w:pPr>
            <w:r w:rsidRPr="00A7421C">
              <w:t>1</w:t>
            </w:r>
            <w:r>
              <w:t>,</w:t>
            </w:r>
            <w:r w:rsidRPr="00A7421C">
              <w:t>940</w:t>
            </w:r>
            <w:r>
              <w:t>,</w:t>
            </w:r>
            <w:r w:rsidRPr="00A7421C">
              <w:t>000</w:t>
            </w:r>
            <w:r>
              <w:t>,</w:t>
            </w:r>
            <w:r w:rsidRPr="00A7421C">
              <w:t xml:space="preserve">000 </w:t>
            </w:r>
          </w:p>
        </w:tc>
      </w:tr>
      <w:tr w:rsidR="00A62C7C" w:rsidRPr="002A0B87" w14:paraId="32BF013D" w14:textId="77777777" w:rsidTr="00601903">
        <w:trPr>
          <w:trHeight w:val="20"/>
        </w:trPr>
        <w:tc>
          <w:tcPr>
            <w:tcW w:w="4205" w:type="dxa"/>
            <w:vAlign w:val="bottom"/>
          </w:tcPr>
          <w:p w14:paraId="0F386985" w14:textId="0B054874" w:rsidR="00A62C7C" w:rsidRPr="002A0B87" w:rsidRDefault="00A62C7C" w:rsidP="00A62C7C">
            <w:pPr>
              <w:widowControl w:val="0"/>
              <w:ind w:left="-115"/>
              <w:rPr>
                <w:rFonts w:cs="Arial"/>
              </w:rPr>
            </w:pPr>
            <w:r w:rsidRPr="00AA6662">
              <w:rPr>
                <w:rFonts w:cs="Arial"/>
              </w:rPr>
              <w:t>Mortgage financial assets</w:t>
            </w:r>
          </w:p>
        </w:tc>
        <w:tc>
          <w:tcPr>
            <w:tcW w:w="1987" w:type="dxa"/>
          </w:tcPr>
          <w:p w14:paraId="0234CF0A" w14:textId="25C07158" w:rsidR="00A62C7C" w:rsidRPr="00A06408" w:rsidRDefault="00A62C7C" w:rsidP="00A62C7C">
            <w:pPr>
              <w:widowControl w:val="0"/>
              <w:ind w:left="58" w:right="-85"/>
              <w:jc w:val="right"/>
              <w:rPr>
                <w:rFonts w:eastAsia="Batang" w:cs="Arial"/>
                <w:highlight w:val="yellow"/>
                <w:lang w:eastAsia="ko-KR"/>
              </w:rPr>
            </w:pPr>
            <w:r w:rsidRPr="00A7421C">
              <w:t>498</w:t>
            </w:r>
            <w:r>
              <w:t>,</w:t>
            </w:r>
            <w:r w:rsidRPr="00A7421C">
              <w:t>390</w:t>
            </w:r>
            <w:r>
              <w:t>,</w:t>
            </w:r>
            <w:r w:rsidRPr="00A7421C">
              <w:t>000</w:t>
            </w:r>
          </w:p>
        </w:tc>
        <w:tc>
          <w:tcPr>
            <w:tcW w:w="1987" w:type="dxa"/>
          </w:tcPr>
          <w:p w14:paraId="3EF75D31" w14:textId="77EB0587" w:rsidR="00A62C7C" w:rsidRPr="002A0B87" w:rsidRDefault="00A62C7C" w:rsidP="00A62C7C">
            <w:pPr>
              <w:widowControl w:val="0"/>
              <w:ind w:left="58" w:right="-85"/>
              <w:jc w:val="right"/>
              <w:rPr>
                <w:rFonts w:eastAsia="Batang" w:cs="Arial"/>
                <w:lang w:eastAsia="ko-KR"/>
              </w:rPr>
            </w:pPr>
            <w:r w:rsidRPr="00A7421C">
              <w:t>-</w:t>
            </w:r>
          </w:p>
        </w:tc>
      </w:tr>
      <w:tr w:rsidR="00A62C7C" w:rsidRPr="002A0B87" w14:paraId="5E60232A" w14:textId="77777777" w:rsidTr="00601903">
        <w:trPr>
          <w:trHeight w:val="20"/>
        </w:trPr>
        <w:tc>
          <w:tcPr>
            <w:tcW w:w="4205" w:type="dxa"/>
            <w:vAlign w:val="bottom"/>
            <w:hideMark/>
          </w:tcPr>
          <w:p w14:paraId="6DBBB4E1" w14:textId="5A8A621D" w:rsidR="00A62C7C" w:rsidRPr="002A0B87" w:rsidRDefault="00A62C7C" w:rsidP="00A62C7C">
            <w:pPr>
              <w:widowControl w:val="0"/>
              <w:ind w:left="-115"/>
              <w:rPr>
                <w:rFonts w:cs="Arial"/>
              </w:rPr>
            </w:pPr>
            <w:r w:rsidRPr="002A0B87">
              <w:rPr>
                <w:rFonts w:cs="Arial"/>
              </w:rPr>
              <w:tab/>
            </w:r>
            <w:r w:rsidRPr="009B79BD">
              <w:rPr>
                <w:rFonts w:cs="Arial"/>
              </w:rPr>
              <w:t>Financial assets awaiting settlement</w:t>
            </w:r>
          </w:p>
        </w:tc>
        <w:tc>
          <w:tcPr>
            <w:tcW w:w="1987" w:type="dxa"/>
          </w:tcPr>
          <w:p w14:paraId="55170C21" w14:textId="50A068FD" w:rsidR="00A62C7C" w:rsidRPr="00A06408" w:rsidRDefault="00A62C7C" w:rsidP="00A62C7C">
            <w:pPr>
              <w:widowControl w:val="0"/>
              <w:pBdr>
                <w:bottom w:val="single" w:sz="4" w:space="0" w:color="auto"/>
              </w:pBdr>
              <w:ind w:left="58" w:right="-85"/>
              <w:jc w:val="right"/>
              <w:rPr>
                <w:rFonts w:eastAsia="Batang" w:cs="Arial"/>
                <w:highlight w:val="yellow"/>
                <w:lang w:eastAsia="ko-KR"/>
              </w:rPr>
            </w:pPr>
            <w:r w:rsidRPr="00A7421C">
              <w:t>17</w:t>
            </w:r>
            <w:r>
              <w:t>,</w:t>
            </w:r>
            <w:r w:rsidRPr="00A7421C">
              <w:t>071</w:t>
            </w:r>
            <w:r>
              <w:t>,</w:t>
            </w:r>
            <w:r w:rsidRPr="00A7421C">
              <w:t>380</w:t>
            </w:r>
            <w:r>
              <w:t>,</w:t>
            </w:r>
            <w:r w:rsidRPr="00A7421C">
              <w:t>000</w:t>
            </w:r>
          </w:p>
        </w:tc>
        <w:tc>
          <w:tcPr>
            <w:tcW w:w="1987" w:type="dxa"/>
          </w:tcPr>
          <w:p w14:paraId="70393982" w14:textId="1E424A2A" w:rsidR="00A62C7C" w:rsidRPr="002A0B87" w:rsidRDefault="00A62C7C" w:rsidP="00A62C7C">
            <w:pPr>
              <w:widowControl w:val="0"/>
              <w:pBdr>
                <w:bottom w:val="single" w:sz="4" w:space="0" w:color="auto"/>
              </w:pBdr>
              <w:ind w:left="58" w:right="-85"/>
              <w:jc w:val="right"/>
              <w:rPr>
                <w:rFonts w:eastAsia="Batang" w:cs="Arial"/>
                <w:lang w:eastAsia="ko-KR"/>
              </w:rPr>
            </w:pPr>
            <w:r w:rsidRPr="00A7421C">
              <w:t>19</w:t>
            </w:r>
            <w:r>
              <w:t>,</w:t>
            </w:r>
            <w:r w:rsidRPr="00A7421C">
              <w:t>306</w:t>
            </w:r>
            <w:r>
              <w:t>,</w:t>
            </w:r>
            <w:r w:rsidRPr="00A7421C">
              <w:t>290</w:t>
            </w:r>
            <w:r>
              <w:t>,</w:t>
            </w:r>
            <w:r w:rsidRPr="00A7421C">
              <w:t xml:space="preserve">000 </w:t>
            </w:r>
          </w:p>
        </w:tc>
      </w:tr>
      <w:tr w:rsidR="00A62C7C" w:rsidRPr="002A0B87" w14:paraId="667BD2AB" w14:textId="77777777" w:rsidTr="00601903">
        <w:trPr>
          <w:trHeight w:val="20"/>
        </w:trPr>
        <w:tc>
          <w:tcPr>
            <w:tcW w:w="4205" w:type="dxa"/>
            <w:vAlign w:val="bottom"/>
          </w:tcPr>
          <w:p w14:paraId="2931F4AD" w14:textId="77777777" w:rsidR="00A62C7C" w:rsidRPr="002A0B87" w:rsidRDefault="00A62C7C" w:rsidP="00A62C7C">
            <w:pPr>
              <w:widowControl w:val="0"/>
              <w:spacing w:before="120"/>
              <w:ind w:left="-115"/>
              <w:rPr>
                <w:rFonts w:cs="Arial"/>
                <w:b/>
              </w:rPr>
            </w:pPr>
          </w:p>
        </w:tc>
        <w:tc>
          <w:tcPr>
            <w:tcW w:w="1987" w:type="dxa"/>
          </w:tcPr>
          <w:p w14:paraId="7C845255" w14:textId="06716765" w:rsidR="00A62C7C" w:rsidRPr="00A62C7C" w:rsidRDefault="00A62C7C" w:rsidP="00A62C7C">
            <w:pPr>
              <w:widowControl w:val="0"/>
              <w:pBdr>
                <w:bottom w:val="double" w:sz="4" w:space="0" w:color="auto"/>
              </w:pBdr>
              <w:spacing w:before="120"/>
              <w:ind w:left="58" w:right="-85"/>
              <w:jc w:val="right"/>
              <w:rPr>
                <w:rFonts w:eastAsia="Batang" w:cs="Arial"/>
                <w:b/>
                <w:bCs/>
                <w:highlight w:val="yellow"/>
                <w:lang w:eastAsia="ko-KR"/>
              </w:rPr>
            </w:pPr>
            <w:r w:rsidRPr="00A62C7C">
              <w:rPr>
                <w:b/>
                <w:bCs/>
              </w:rPr>
              <w:t xml:space="preserve">1,381,447,240,000 </w:t>
            </w:r>
          </w:p>
        </w:tc>
        <w:tc>
          <w:tcPr>
            <w:tcW w:w="1987" w:type="dxa"/>
            <w:hideMark/>
          </w:tcPr>
          <w:p w14:paraId="7B577DA3" w14:textId="65394FDC" w:rsidR="00A62C7C" w:rsidRPr="00A62C7C" w:rsidRDefault="00A62C7C" w:rsidP="00A62C7C">
            <w:pPr>
              <w:widowControl w:val="0"/>
              <w:pBdr>
                <w:bottom w:val="double" w:sz="4" w:space="0" w:color="auto"/>
              </w:pBdr>
              <w:spacing w:before="120"/>
              <w:ind w:left="58" w:right="-85"/>
              <w:jc w:val="right"/>
              <w:rPr>
                <w:rFonts w:cs="Arial"/>
                <w:b/>
                <w:bCs/>
              </w:rPr>
            </w:pPr>
            <w:r w:rsidRPr="00A62C7C">
              <w:rPr>
                <w:b/>
                <w:bCs/>
              </w:rPr>
              <w:t xml:space="preserve">1,153,385,910,000 </w:t>
            </w:r>
          </w:p>
        </w:tc>
      </w:tr>
    </w:tbl>
    <w:p w14:paraId="2FB85198" w14:textId="77777777" w:rsidR="00427197" w:rsidRPr="002A0B87" w:rsidRDefault="00427197" w:rsidP="00427197">
      <w:pPr>
        <w:pStyle w:val="NoSpacing"/>
      </w:pPr>
    </w:p>
    <w:p w14:paraId="4D1F0CC9" w14:textId="3AB52150" w:rsidR="00427197" w:rsidRPr="002A0B87" w:rsidRDefault="00427197" w:rsidP="00427197">
      <w:pPr>
        <w:pStyle w:val="Heading2"/>
      </w:pPr>
      <w:r>
        <w:t>19</w:t>
      </w:r>
      <w:r w:rsidRPr="002A0B87">
        <w:t>.</w:t>
      </w:r>
      <w:r>
        <w:t>4</w:t>
      </w:r>
      <w:r w:rsidRPr="002A0B87">
        <w:tab/>
      </w:r>
      <w:r w:rsidR="00C05B52" w:rsidRPr="00C05B52">
        <w:t>Non-traded financial assets deposited at VSD of investors</w:t>
      </w:r>
      <w:r w:rsidR="00C05B52" w:rsidRPr="00C05B52" w:rsidDel="00C05B52">
        <w:t xml:space="preserve"> </w:t>
      </w:r>
    </w:p>
    <w:p w14:paraId="3B3A4952" w14:textId="77777777" w:rsidR="00427197" w:rsidRPr="002A0B87" w:rsidRDefault="00427197" w:rsidP="00427197">
      <w:pPr>
        <w:pStyle w:val="NoSpacing"/>
        <w:rPr>
          <w:lang w:val="de-DE"/>
        </w:rPr>
      </w:pPr>
    </w:p>
    <w:tbl>
      <w:tblPr>
        <w:tblW w:w="8179" w:type="dxa"/>
        <w:tblInd w:w="720" w:type="dxa"/>
        <w:tblLayout w:type="fixed"/>
        <w:tblLook w:val="01E0" w:firstRow="1" w:lastRow="1" w:firstColumn="1" w:lastColumn="1" w:noHBand="0" w:noVBand="0"/>
      </w:tblPr>
      <w:tblGrid>
        <w:gridCol w:w="4205"/>
        <w:gridCol w:w="1987"/>
        <w:gridCol w:w="1987"/>
      </w:tblGrid>
      <w:tr w:rsidR="00427197" w:rsidRPr="002A0B87" w14:paraId="354879F2" w14:textId="77777777" w:rsidTr="000A1EE5">
        <w:trPr>
          <w:trHeight w:val="20"/>
          <w:tblHeader/>
        </w:trPr>
        <w:tc>
          <w:tcPr>
            <w:tcW w:w="4205" w:type="dxa"/>
            <w:vAlign w:val="bottom"/>
          </w:tcPr>
          <w:p w14:paraId="461BA183" w14:textId="77777777" w:rsidR="00427197" w:rsidRPr="002A0B87" w:rsidRDefault="00427197" w:rsidP="000A1EE5">
            <w:pPr>
              <w:widowControl w:val="0"/>
              <w:overflowPunct/>
              <w:autoSpaceDE/>
              <w:autoSpaceDN/>
              <w:adjustRightInd/>
              <w:ind w:left="-115"/>
              <w:textAlignment w:val="auto"/>
              <w:rPr>
                <w:rFonts w:eastAsia="Batang" w:cs="Arial"/>
                <w:i/>
                <w:lang w:val="es-ES"/>
              </w:rPr>
            </w:pPr>
          </w:p>
        </w:tc>
        <w:tc>
          <w:tcPr>
            <w:tcW w:w="1987" w:type="dxa"/>
            <w:vAlign w:val="bottom"/>
            <w:hideMark/>
          </w:tcPr>
          <w:p w14:paraId="2D0FE673" w14:textId="479843C5" w:rsidR="00427197" w:rsidRPr="002A0B87" w:rsidRDefault="003722F3" w:rsidP="000A1EE5">
            <w:pPr>
              <w:widowControl w:val="0"/>
              <w:pBdr>
                <w:bottom w:val="single" w:sz="4" w:space="0" w:color="auto"/>
              </w:pBdr>
              <w:overflowPunct/>
              <w:autoSpaceDE/>
              <w:autoSpaceDN/>
              <w:adjustRightInd/>
              <w:ind w:left="57" w:right="-85"/>
              <w:jc w:val="right"/>
              <w:textAlignment w:val="auto"/>
              <w:rPr>
                <w:rFonts w:eastAsia="Batang" w:cs="Arial"/>
                <w:bCs/>
                <w:i/>
              </w:rPr>
            </w:pPr>
            <w:r w:rsidRPr="003722F3">
              <w:rPr>
                <w:rFonts w:eastAsia="Batang" w:cs="Arial"/>
                <w:bCs/>
                <w:i/>
              </w:rPr>
              <w:t>Ending balance</w:t>
            </w:r>
            <w:r w:rsidR="00427197" w:rsidRPr="002A0B87">
              <w:rPr>
                <w:rFonts w:eastAsia="Batang" w:cs="Arial"/>
                <w:bCs/>
                <w:i/>
              </w:rPr>
              <w:t xml:space="preserve"> </w:t>
            </w:r>
          </w:p>
          <w:p w14:paraId="560884AC" w14:textId="77777777" w:rsidR="00427197" w:rsidRPr="002A0B87" w:rsidRDefault="00427197" w:rsidP="000A1EE5">
            <w:pPr>
              <w:widowControl w:val="0"/>
              <w:pBdr>
                <w:bottom w:val="single" w:sz="4" w:space="0" w:color="auto"/>
              </w:pBdr>
              <w:ind w:left="57" w:right="-85"/>
              <w:jc w:val="right"/>
              <w:rPr>
                <w:rFonts w:cs="Arial"/>
                <w:bCs/>
                <w:i/>
              </w:rPr>
            </w:pPr>
            <w:r w:rsidRPr="002A0B87">
              <w:rPr>
                <w:rFonts w:eastAsia="Batang" w:cs="Arial"/>
                <w:i/>
                <w:iCs/>
              </w:rPr>
              <w:t>VND</w:t>
            </w:r>
          </w:p>
        </w:tc>
        <w:tc>
          <w:tcPr>
            <w:tcW w:w="1987" w:type="dxa"/>
            <w:vAlign w:val="bottom"/>
            <w:hideMark/>
          </w:tcPr>
          <w:p w14:paraId="1FD68B7C" w14:textId="18816B57" w:rsidR="00427197" w:rsidRPr="002A0B87" w:rsidRDefault="00BC193A" w:rsidP="000A1EE5">
            <w:pPr>
              <w:widowControl w:val="0"/>
              <w:pBdr>
                <w:bottom w:val="single" w:sz="4" w:space="0" w:color="auto"/>
              </w:pBdr>
              <w:overflowPunct/>
              <w:autoSpaceDE/>
              <w:autoSpaceDN/>
              <w:adjustRightInd/>
              <w:ind w:left="57" w:right="-85"/>
              <w:jc w:val="right"/>
              <w:textAlignment w:val="auto"/>
              <w:rPr>
                <w:rFonts w:eastAsia="Batang" w:cs="Arial"/>
                <w:bCs/>
                <w:i/>
              </w:rPr>
            </w:pPr>
            <w:r w:rsidRPr="00BC193A">
              <w:rPr>
                <w:rFonts w:eastAsia="Batang" w:cs="Arial"/>
                <w:bCs/>
                <w:i/>
              </w:rPr>
              <w:t>Opening balance</w:t>
            </w:r>
          </w:p>
          <w:p w14:paraId="04B1D517" w14:textId="77777777" w:rsidR="00427197" w:rsidRPr="002A0B87" w:rsidRDefault="00427197" w:rsidP="000A1EE5">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4D67F3" w:rsidRPr="002A0B87" w14:paraId="0996405E" w14:textId="77777777" w:rsidTr="00336CA5">
        <w:trPr>
          <w:trHeight w:val="20"/>
        </w:trPr>
        <w:tc>
          <w:tcPr>
            <w:tcW w:w="4205" w:type="dxa"/>
            <w:vAlign w:val="bottom"/>
            <w:hideMark/>
          </w:tcPr>
          <w:p w14:paraId="61ED85EB" w14:textId="05695354" w:rsidR="004D67F3" w:rsidRPr="002A0B87" w:rsidRDefault="004D67F3" w:rsidP="004D67F3">
            <w:pPr>
              <w:widowControl w:val="0"/>
              <w:ind w:left="-115"/>
              <w:jc w:val="left"/>
              <w:rPr>
                <w:rFonts w:cs="Arial"/>
              </w:rPr>
            </w:pPr>
            <w:r w:rsidRPr="00CE6891">
              <w:rPr>
                <w:rFonts w:cs="Arial"/>
              </w:rPr>
              <w:t>Unrestricted and non-traded financial assets deposited at VSD</w:t>
            </w:r>
          </w:p>
        </w:tc>
        <w:tc>
          <w:tcPr>
            <w:tcW w:w="1987" w:type="dxa"/>
          </w:tcPr>
          <w:p w14:paraId="703762E2" w14:textId="75404B8E" w:rsidR="004D67F3" w:rsidRPr="00AA44DB" w:rsidRDefault="004D67F3" w:rsidP="004D67F3">
            <w:pPr>
              <w:widowControl w:val="0"/>
              <w:spacing w:before="120"/>
              <w:ind w:left="57" w:right="-85"/>
              <w:jc w:val="right"/>
              <w:rPr>
                <w:rFonts w:eastAsia="Batang" w:cs="Arial"/>
                <w:highlight w:val="yellow"/>
                <w:lang w:eastAsia="ko-KR"/>
              </w:rPr>
            </w:pPr>
            <w:r w:rsidRPr="0003625F">
              <w:t>9</w:t>
            </w:r>
            <w:r>
              <w:t>,</w:t>
            </w:r>
            <w:r w:rsidRPr="0003625F">
              <w:t>625</w:t>
            </w:r>
            <w:r>
              <w:t>,</w:t>
            </w:r>
            <w:r w:rsidRPr="0003625F">
              <w:t>740</w:t>
            </w:r>
            <w:r>
              <w:t>,</w:t>
            </w:r>
            <w:r w:rsidRPr="0003625F">
              <w:t xml:space="preserve">000 </w:t>
            </w:r>
          </w:p>
        </w:tc>
        <w:tc>
          <w:tcPr>
            <w:tcW w:w="1987" w:type="dxa"/>
          </w:tcPr>
          <w:p w14:paraId="17D96221" w14:textId="13F22783" w:rsidR="004D67F3" w:rsidRPr="002A0B87" w:rsidRDefault="004D67F3" w:rsidP="004D67F3">
            <w:pPr>
              <w:widowControl w:val="0"/>
              <w:spacing w:before="120"/>
              <w:ind w:left="57" w:right="-85"/>
              <w:jc w:val="right"/>
              <w:rPr>
                <w:rFonts w:eastAsia="Batang" w:cs="Arial"/>
                <w:lang w:eastAsia="ko-KR"/>
              </w:rPr>
            </w:pPr>
            <w:r w:rsidRPr="0003625F">
              <w:t>7</w:t>
            </w:r>
            <w:r>
              <w:t>,</w:t>
            </w:r>
            <w:r w:rsidRPr="0003625F">
              <w:t>289</w:t>
            </w:r>
            <w:r>
              <w:t>,</w:t>
            </w:r>
            <w:r w:rsidRPr="0003625F">
              <w:t>940</w:t>
            </w:r>
            <w:r>
              <w:t>,</w:t>
            </w:r>
            <w:r w:rsidRPr="0003625F">
              <w:t xml:space="preserve">000 </w:t>
            </w:r>
          </w:p>
        </w:tc>
      </w:tr>
      <w:tr w:rsidR="004D67F3" w:rsidRPr="002A0B87" w14:paraId="4D6EB47C" w14:textId="77777777" w:rsidTr="00336CA5">
        <w:trPr>
          <w:trHeight w:val="20"/>
        </w:trPr>
        <w:tc>
          <w:tcPr>
            <w:tcW w:w="4205" w:type="dxa"/>
            <w:vAlign w:val="bottom"/>
          </w:tcPr>
          <w:p w14:paraId="09CA8640" w14:textId="7267D0D6" w:rsidR="004D67F3" w:rsidRPr="00CE6891" w:rsidRDefault="004D67F3" w:rsidP="004D67F3">
            <w:pPr>
              <w:widowControl w:val="0"/>
              <w:ind w:left="-115"/>
              <w:jc w:val="left"/>
              <w:rPr>
                <w:rFonts w:cs="Arial"/>
              </w:rPr>
            </w:pPr>
            <w:r>
              <w:rPr>
                <w:rFonts w:cs="Arial"/>
              </w:rPr>
              <w:t>Financial assets deposited at VSD, not yet traded, restricted from transfer</w:t>
            </w:r>
          </w:p>
        </w:tc>
        <w:tc>
          <w:tcPr>
            <w:tcW w:w="1987" w:type="dxa"/>
          </w:tcPr>
          <w:p w14:paraId="398D0C35" w14:textId="3BC1F49E" w:rsidR="004D67F3" w:rsidRPr="0087683C" w:rsidRDefault="004D67F3" w:rsidP="004D67F3">
            <w:pPr>
              <w:widowControl w:val="0"/>
              <w:pBdr>
                <w:bottom w:val="single" w:sz="4" w:space="0" w:color="auto"/>
              </w:pBdr>
              <w:spacing w:before="120"/>
              <w:ind w:left="57" w:right="-85"/>
              <w:jc w:val="right"/>
              <w:rPr>
                <w:rFonts w:cs="Arial"/>
                <w:bCs/>
              </w:rPr>
            </w:pPr>
            <w:r w:rsidRPr="0003625F">
              <w:t>91</w:t>
            </w:r>
            <w:r>
              <w:t>,</w:t>
            </w:r>
            <w:r w:rsidRPr="0003625F">
              <w:t>700</w:t>
            </w:r>
            <w:r>
              <w:t>,</w:t>
            </w:r>
            <w:r w:rsidRPr="0003625F">
              <w:t>000</w:t>
            </w:r>
          </w:p>
        </w:tc>
        <w:tc>
          <w:tcPr>
            <w:tcW w:w="1987" w:type="dxa"/>
          </w:tcPr>
          <w:p w14:paraId="731A279D" w14:textId="3BE21EE0" w:rsidR="004D67F3" w:rsidRDefault="004D67F3" w:rsidP="004D67F3">
            <w:pPr>
              <w:widowControl w:val="0"/>
              <w:pBdr>
                <w:bottom w:val="single" w:sz="4" w:space="0" w:color="auto"/>
              </w:pBdr>
              <w:spacing w:before="120"/>
              <w:ind w:left="57" w:right="-85"/>
              <w:jc w:val="right"/>
              <w:rPr>
                <w:rFonts w:cs="Arial"/>
                <w:bCs/>
              </w:rPr>
            </w:pPr>
            <w:r w:rsidRPr="0003625F">
              <w:t>-</w:t>
            </w:r>
          </w:p>
        </w:tc>
      </w:tr>
      <w:tr w:rsidR="004D67F3" w:rsidRPr="004D67F3" w14:paraId="09711848" w14:textId="77777777" w:rsidTr="00336CA5">
        <w:trPr>
          <w:trHeight w:val="20"/>
        </w:trPr>
        <w:tc>
          <w:tcPr>
            <w:tcW w:w="4205" w:type="dxa"/>
            <w:vAlign w:val="bottom"/>
          </w:tcPr>
          <w:p w14:paraId="64300859" w14:textId="77777777" w:rsidR="004D67F3" w:rsidRPr="004D67F3" w:rsidRDefault="004D67F3" w:rsidP="004D67F3">
            <w:pPr>
              <w:widowControl w:val="0"/>
              <w:spacing w:before="120"/>
              <w:ind w:left="-115"/>
              <w:rPr>
                <w:rFonts w:cs="Arial"/>
                <w:b/>
                <w:bCs/>
              </w:rPr>
            </w:pPr>
          </w:p>
        </w:tc>
        <w:tc>
          <w:tcPr>
            <w:tcW w:w="1987" w:type="dxa"/>
          </w:tcPr>
          <w:p w14:paraId="21BD32FF" w14:textId="0586038B" w:rsidR="004D67F3" w:rsidRPr="004D67F3" w:rsidRDefault="004D67F3" w:rsidP="004D67F3">
            <w:pPr>
              <w:widowControl w:val="0"/>
              <w:pBdr>
                <w:bottom w:val="double" w:sz="4" w:space="0" w:color="auto"/>
              </w:pBdr>
              <w:spacing w:before="120"/>
              <w:ind w:left="57" w:right="-85"/>
              <w:jc w:val="right"/>
              <w:rPr>
                <w:rFonts w:eastAsia="Batang" w:cs="Arial"/>
                <w:b/>
                <w:bCs/>
                <w:highlight w:val="yellow"/>
                <w:lang w:eastAsia="ko-KR"/>
              </w:rPr>
            </w:pPr>
            <w:r w:rsidRPr="004D67F3">
              <w:rPr>
                <w:b/>
                <w:bCs/>
              </w:rPr>
              <w:t>9</w:t>
            </w:r>
            <w:r>
              <w:rPr>
                <w:b/>
                <w:bCs/>
              </w:rPr>
              <w:t>,</w:t>
            </w:r>
            <w:r w:rsidRPr="004D67F3">
              <w:rPr>
                <w:b/>
                <w:bCs/>
              </w:rPr>
              <w:t>717</w:t>
            </w:r>
            <w:r>
              <w:rPr>
                <w:b/>
                <w:bCs/>
              </w:rPr>
              <w:t>,</w:t>
            </w:r>
            <w:r w:rsidRPr="004D67F3">
              <w:rPr>
                <w:b/>
                <w:bCs/>
              </w:rPr>
              <w:t>440</w:t>
            </w:r>
            <w:r>
              <w:rPr>
                <w:b/>
                <w:bCs/>
              </w:rPr>
              <w:t>,</w:t>
            </w:r>
            <w:r w:rsidRPr="004D67F3">
              <w:rPr>
                <w:b/>
                <w:bCs/>
              </w:rPr>
              <w:t>000</w:t>
            </w:r>
          </w:p>
        </w:tc>
        <w:tc>
          <w:tcPr>
            <w:tcW w:w="1987" w:type="dxa"/>
            <w:hideMark/>
          </w:tcPr>
          <w:p w14:paraId="725A335B" w14:textId="0A1351D6" w:rsidR="004D67F3" w:rsidRPr="004D67F3" w:rsidRDefault="004D67F3" w:rsidP="004D67F3">
            <w:pPr>
              <w:widowControl w:val="0"/>
              <w:pBdr>
                <w:bottom w:val="double" w:sz="4" w:space="0" w:color="auto"/>
              </w:pBdr>
              <w:spacing w:before="120"/>
              <w:ind w:left="57" w:right="-85"/>
              <w:jc w:val="right"/>
              <w:rPr>
                <w:rFonts w:cs="Arial"/>
                <w:b/>
                <w:bCs/>
              </w:rPr>
            </w:pPr>
            <w:r w:rsidRPr="004D67F3">
              <w:rPr>
                <w:b/>
                <w:bCs/>
              </w:rPr>
              <w:t>7</w:t>
            </w:r>
            <w:r>
              <w:rPr>
                <w:b/>
                <w:bCs/>
              </w:rPr>
              <w:t>,</w:t>
            </w:r>
            <w:r w:rsidRPr="004D67F3">
              <w:rPr>
                <w:b/>
                <w:bCs/>
              </w:rPr>
              <w:t>289</w:t>
            </w:r>
            <w:r>
              <w:rPr>
                <w:b/>
                <w:bCs/>
              </w:rPr>
              <w:t>,</w:t>
            </w:r>
            <w:r w:rsidRPr="004D67F3">
              <w:rPr>
                <w:b/>
                <w:bCs/>
              </w:rPr>
              <w:t>940</w:t>
            </w:r>
            <w:r>
              <w:rPr>
                <w:b/>
                <w:bCs/>
              </w:rPr>
              <w:t>,</w:t>
            </w:r>
            <w:r w:rsidRPr="004D67F3">
              <w:rPr>
                <w:b/>
                <w:bCs/>
              </w:rPr>
              <w:t xml:space="preserve">000 </w:t>
            </w:r>
          </w:p>
        </w:tc>
      </w:tr>
    </w:tbl>
    <w:p w14:paraId="7C682DA9" w14:textId="77777777" w:rsidR="00D941A5" w:rsidRPr="004D67F3" w:rsidRDefault="00D941A5" w:rsidP="00D941A5">
      <w:pPr>
        <w:overflowPunct/>
        <w:ind w:left="720"/>
        <w:textAlignment w:val="auto"/>
        <w:rPr>
          <w:rFonts w:cs="Arial"/>
          <w:b/>
          <w:bCs/>
          <w:iCs/>
          <w:lang w:val="de-DE"/>
        </w:rPr>
      </w:pPr>
    </w:p>
    <w:p w14:paraId="1F7231FA" w14:textId="04BB3B04" w:rsidR="00670894" w:rsidRPr="002A0B87" w:rsidRDefault="00012DF2" w:rsidP="00760439">
      <w:pPr>
        <w:pStyle w:val="Heading2"/>
      </w:pPr>
      <w:r>
        <w:t>19.5</w:t>
      </w:r>
      <w:r w:rsidR="00670894" w:rsidRPr="002A0B87">
        <w:tab/>
      </w:r>
      <w:r w:rsidR="00694CAA" w:rsidRPr="00694CAA">
        <w:t>Financial assets awaiting settlement of investors</w:t>
      </w:r>
      <w:r w:rsidR="00694CAA" w:rsidRPr="00694CAA" w:rsidDel="00694CAA">
        <w:t xml:space="preserve"> </w:t>
      </w:r>
    </w:p>
    <w:p w14:paraId="7AF40920" w14:textId="77777777" w:rsidR="00670894" w:rsidRPr="002A0B87" w:rsidRDefault="00670894" w:rsidP="00760439">
      <w:pPr>
        <w:pStyle w:val="NoSpacing"/>
        <w:rPr>
          <w:lang w:val="de-DE"/>
        </w:rPr>
      </w:pPr>
    </w:p>
    <w:tbl>
      <w:tblPr>
        <w:tblW w:w="8179" w:type="dxa"/>
        <w:tblInd w:w="720" w:type="dxa"/>
        <w:tblLayout w:type="fixed"/>
        <w:tblLook w:val="01E0" w:firstRow="1" w:lastRow="1" w:firstColumn="1" w:lastColumn="1" w:noHBand="0" w:noVBand="0"/>
      </w:tblPr>
      <w:tblGrid>
        <w:gridCol w:w="4205"/>
        <w:gridCol w:w="1987"/>
        <w:gridCol w:w="1987"/>
      </w:tblGrid>
      <w:tr w:rsidR="00670894" w:rsidRPr="002A0B87" w14:paraId="63CECACD" w14:textId="77777777" w:rsidTr="00461FA9">
        <w:trPr>
          <w:trHeight w:val="20"/>
          <w:tblHeader/>
        </w:trPr>
        <w:tc>
          <w:tcPr>
            <w:tcW w:w="4205" w:type="dxa"/>
            <w:vAlign w:val="bottom"/>
          </w:tcPr>
          <w:p w14:paraId="7F0F1180" w14:textId="77777777" w:rsidR="00670894" w:rsidRPr="002A0B87" w:rsidRDefault="00670894" w:rsidP="002E6CB7">
            <w:pPr>
              <w:widowControl w:val="0"/>
              <w:overflowPunct/>
              <w:autoSpaceDE/>
              <w:autoSpaceDN/>
              <w:adjustRightInd/>
              <w:ind w:left="-115"/>
              <w:textAlignment w:val="auto"/>
              <w:rPr>
                <w:rFonts w:eastAsia="Batang" w:cs="Arial"/>
                <w:i/>
                <w:lang w:val="es-ES"/>
              </w:rPr>
            </w:pPr>
          </w:p>
        </w:tc>
        <w:tc>
          <w:tcPr>
            <w:tcW w:w="1987" w:type="dxa"/>
            <w:vAlign w:val="bottom"/>
            <w:hideMark/>
          </w:tcPr>
          <w:p w14:paraId="001F4587" w14:textId="70AA676D" w:rsidR="00670894" w:rsidRPr="002A0B87" w:rsidRDefault="009441A2" w:rsidP="00461FA9">
            <w:pPr>
              <w:widowControl w:val="0"/>
              <w:pBdr>
                <w:bottom w:val="single" w:sz="4" w:space="0" w:color="auto"/>
              </w:pBdr>
              <w:overflowPunct/>
              <w:autoSpaceDE/>
              <w:autoSpaceDN/>
              <w:adjustRightInd/>
              <w:ind w:left="57" w:right="-85"/>
              <w:jc w:val="right"/>
              <w:textAlignment w:val="auto"/>
              <w:rPr>
                <w:rFonts w:eastAsia="Batang" w:cs="Arial"/>
                <w:bCs/>
                <w:i/>
              </w:rPr>
            </w:pPr>
            <w:r w:rsidRPr="009441A2">
              <w:rPr>
                <w:rFonts w:eastAsia="Batang" w:cs="Arial"/>
                <w:bCs/>
                <w:i/>
              </w:rPr>
              <w:t>Ending balance</w:t>
            </w:r>
          </w:p>
          <w:p w14:paraId="4ABB006B" w14:textId="77777777" w:rsidR="00670894" w:rsidRPr="002A0B87" w:rsidRDefault="00670894" w:rsidP="00461FA9">
            <w:pPr>
              <w:widowControl w:val="0"/>
              <w:pBdr>
                <w:bottom w:val="single" w:sz="4" w:space="0" w:color="auto"/>
              </w:pBdr>
              <w:ind w:left="57" w:right="-85"/>
              <w:jc w:val="right"/>
              <w:rPr>
                <w:rFonts w:cs="Arial"/>
                <w:bCs/>
                <w:i/>
              </w:rPr>
            </w:pPr>
            <w:r w:rsidRPr="002A0B87">
              <w:rPr>
                <w:rFonts w:eastAsia="Batang" w:cs="Arial"/>
                <w:i/>
                <w:iCs/>
              </w:rPr>
              <w:t>VND</w:t>
            </w:r>
          </w:p>
        </w:tc>
        <w:tc>
          <w:tcPr>
            <w:tcW w:w="1987" w:type="dxa"/>
            <w:vAlign w:val="bottom"/>
            <w:hideMark/>
          </w:tcPr>
          <w:p w14:paraId="030BE171" w14:textId="118FAC68" w:rsidR="00670894" w:rsidRPr="002A0B87" w:rsidRDefault="00857A23" w:rsidP="00461FA9">
            <w:pPr>
              <w:widowControl w:val="0"/>
              <w:pBdr>
                <w:bottom w:val="single" w:sz="4" w:space="0" w:color="auto"/>
              </w:pBdr>
              <w:overflowPunct/>
              <w:autoSpaceDE/>
              <w:autoSpaceDN/>
              <w:adjustRightInd/>
              <w:ind w:left="57" w:right="-85"/>
              <w:jc w:val="right"/>
              <w:textAlignment w:val="auto"/>
              <w:rPr>
                <w:rFonts w:eastAsia="Batang" w:cs="Arial"/>
                <w:bCs/>
                <w:i/>
              </w:rPr>
            </w:pPr>
            <w:r w:rsidRPr="00857A23">
              <w:rPr>
                <w:rFonts w:eastAsia="Batang" w:cs="Arial"/>
                <w:bCs/>
                <w:i/>
              </w:rPr>
              <w:t>Opening balance</w:t>
            </w:r>
          </w:p>
          <w:p w14:paraId="79D4625F" w14:textId="77777777" w:rsidR="00670894" w:rsidRPr="002A0B87" w:rsidRDefault="00670894" w:rsidP="00461FA9">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843605" w:rsidRPr="002A0B87" w14:paraId="4805E0AB" w14:textId="77777777" w:rsidTr="00EC5D17">
        <w:trPr>
          <w:trHeight w:val="20"/>
        </w:trPr>
        <w:tc>
          <w:tcPr>
            <w:tcW w:w="4205" w:type="dxa"/>
            <w:vAlign w:val="bottom"/>
            <w:hideMark/>
          </w:tcPr>
          <w:p w14:paraId="57616E19" w14:textId="7B40315B" w:rsidR="00843605" w:rsidRPr="0090306A" w:rsidRDefault="00843605" w:rsidP="00843605">
            <w:pPr>
              <w:widowControl w:val="0"/>
              <w:ind w:left="-115" w:right="-86"/>
              <w:jc w:val="left"/>
              <w:rPr>
                <w:rFonts w:cs="Arial"/>
              </w:rPr>
            </w:pPr>
            <w:r w:rsidRPr="00617D07">
              <w:rPr>
                <w:rFonts w:cs="Arial"/>
              </w:rPr>
              <w:t>Financial assets awaiting settlement of domestic investors</w:t>
            </w:r>
          </w:p>
        </w:tc>
        <w:tc>
          <w:tcPr>
            <w:tcW w:w="1987" w:type="dxa"/>
          </w:tcPr>
          <w:p w14:paraId="4FC9A89F" w14:textId="5917FA39" w:rsidR="00843605" w:rsidRPr="00AA44DB" w:rsidRDefault="00843605" w:rsidP="00843605">
            <w:pPr>
              <w:widowControl w:val="0"/>
              <w:pBdr>
                <w:bottom w:val="single" w:sz="4" w:space="0" w:color="auto"/>
              </w:pBdr>
              <w:spacing w:before="120"/>
              <w:ind w:left="57" w:right="-85"/>
              <w:jc w:val="right"/>
              <w:rPr>
                <w:rFonts w:eastAsia="Batang" w:cs="Arial"/>
                <w:highlight w:val="yellow"/>
                <w:lang w:eastAsia="ko-KR"/>
              </w:rPr>
            </w:pPr>
            <w:r w:rsidRPr="001A780E">
              <w:t>21</w:t>
            </w:r>
            <w:r>
              <w:t>,</w:t>
            </w:r>
            <w:r w:rsidRPr="001A780E">
              <w:t>428</w:t>
            </w:r>
            <w:r>
              <w:t>,</w:t>
            </w:r>
            <w:r w:rsidRPr="001A780E">
              <w:t>100</w:t>
            </w:r>
            <w:r>
              <w:t>,</w:t>
            </w:r>
            <w:r w:rsidRPr="001A780E">
              <w:t xml:space="preserve">000 </w:t>
            </w:r>
          </w:p>
        </w:tc>
        <w:tc>
          <w:tcPr>
            <w:tcW w:w="1987" w:type="dxa"/>
          </w:tcPr>
          <w:p w14:paraId="0656B90D" w14:textId="3CDD735A" w:rsidR="00843605" w:rsidRPr="002A0B87" w:rsidRDefault="00843605" w:rsidP="00843605">
            <w:pPr>
              <w:widowControl w:val="0"/>
              <w:pBdr>
                <w:bottom w:val="single" w:sz="4" w:space="0" w:color="auto"/>
              </w:pBdr>
              <w:spacing w:before="120"/>
              <w:ind w:left="57" w:right="-85"/>
              <w:jc w:val="right"/>
              <w:rPr>
                <w:rFonts w:eastAsia="Batang" w:cs="Arial"/>
                <w:lang w:eastAsia="ko-KR"/>
              </w:rPr>
            </w:pPr>
            <w:r w:rsidRPr="001A780E">
              <w:t>29</w:t>
            </w:r>
            <w:r>
              <w:t>,</w:t>
            </w:r>
            <w:r w:rsidRPr="001A780E">
              <w:t>709</w:t>
            </w:r>
            <w:r>
              <w:t>,</w:t>
            </w:r>
            <w:r w:rsidRPr="001A780E">
              <w:t>460</w:t>
            </w:r>
            <w:r>
              <w:t>,</w:t>
            </w:r>
            <w:r w:rsidRPr="001A780E">
              <w:t xml:space="preserve">000 </w:t>
            </w:r>
          </w:p>
        </w:tc>
      </w:tr>
      <w:tr w:rsidR="00843605" w:rsidRPr="002A0B87" w14:paraId="740B3245" w14:textId="77777777" w:rsidTr="00EC5D17">
        <w:trPr>
          <w:trHeight w:val="20"/>
        </w:trPr>
        <w:tc>
          <w:tcPr>
            <w:tcW w:w="4205" w:type="dxa"/>
            <w:vAlign w:val="bottom"/>
          </w:tcPr>
          <w:p w14:paraId="2488DBC3" w14:textId="77777777" w:rsidR="00843605" w:rsidRPr="002A0B87" w:rsidRDefault="00843605" w:rsidP="00843605">
            <w:pPr>
              <w:widowControl w:val="0"/>
              <w:spacing w:before="120"/>
              <w:ind w:left="-115"/>
              <w:rPr>
                <w:rFonts w:cs="Arial"/>
                <w:b/>
              </w:rPr>
            </w:pPr>
          </w:p>
        </w:tc>
        <w:tc>
          <w:tcPr>
            <w:tcW w:w="1987" w:type="dxa"/>
          </w:tcPr>
          <w:p w14:paraId="316380F0" w14:textId="6FA36A71" w:rsidR="00843605" w:rsidRPr="00843605" w:rsidRDefault="00843605" w:rsidP="00843605">
            <w:pPr>
              <w:widowControl w:val="0"/>
              <w:pBdr>
                <w:bottom w:val="double" w:sz="4" w:space="0" w:color="auto"/>
              </w:pBdr>
              <w:spacing w:before="120"/>
              <w:ind w:left="57" w:right="-85"/>
              <w:jc w:val="right"/>
              <w:rPr>
                <w:rFonts w:eastAsia="Batang" w:cs="Arial"/>
                <w:b/>
                <w:bCs/>
                <w:highlight w:val="yellow"/>
                <w:lang w:eastAsia="ko-KR"/>
              </w:rPr>
            </w:pPr>
            <w:r w:rsidRPr="00843605">
              <w:rPr>
                <w:b/>
                <w:bCs/>
              </w:rPr>
              <w:t xml:space="preserve">21,428,100,000 </w:t>
            </w:r>
          </w:p>
        </w:tc>
        <w:tc>
          <w:tcPr>
            <w:tcW w:w="1987" w:type="dxa"/>
            <w:hideMark/>
          </w:tcPr>
          <w:p w14:paraId="51563A66" w14:textId="78983AA9" w:rsidR="00843605" w:rsidRPr="00843605" w:rsidRDefault="00843605" w:rsidP="00843605">
            <w:pPr>
              <w:widowControl w:val="0"/>
              <w:pBdr>
                <w:bottom w:val="double" w:sz="4" w:space="0" w:color="auto"/>
              </w:pBdr>
              <w:spacing w:before="120"/>
              <w:ind w:left="57" w:right="-85"/>
              <w:jc w:val="right"/>
              <w:rPr>
                <w:rFonts w:cs="Arial"/>
                <w:b/>
                <w:bCs/>
              </w:rPr>
            </w:pPr>
            <w:r w:rsidRPr="00843605">
              <w:rPr>
                <w:b/>
                <w:bCs/>
              </w:rPr>
              <w:t xml:space="preserve">29,709,460,000 </w:t>
            </w:r>
          </w:p>
        </w:tc>
      </w:tr>
    </w:tbl>
    <w:p w14:paraId="5A9D242C" w14:textId="59819E19" w:rsidR="00004246" w:rsidRPr="002A0B87" w:rsidRDefault="00004246" w:rsidP="00760439">
      <w:pPr>
        <w:pStyle w:val="NoSpacing"/>
      </w:pPr>
    </w:p>
    <w:p w14:paraId="23C0326B" w14:textId="77777777" w:rsidR="00004246" w:rsidRPr="002A0B87" w:rsidRDefault="00004246" w:rsidP="005154F8">
      <w:pPr>
        <w:overflowPunct/>
        <w:ind w:left="720"/>
        <w:textAlignment w:val="auto"/>
        <w:rPr>
          <w:rFonts w:cs="Arial"/>
          <w:bCs/>
        </w:rPr>
        <w:sectPr w:rsidR="00004246" w:rsidRPr="002A0B87" w:rsidSect="009957ED">
          <w:pgSz w:w="11909" w:h="16834" w:code="9"/>
          <w:pgMar w:top="1440" w:right="1440" w:bottom="864" w:left="1584" w:header="720" w:footer="576" w:gutter="0"/>
          <w:cols w:space="720"/>
          <w:docGrid w:linePitch="272"/>
        </w:sectPr>
      </w:pPr>
    </w:p>
    <w:p w14:paraId="0CAD1732" w14:textId="3019C224" w:rsidR="00582799" w:rsidRPr="002A0B87" w:rsidRDefault="000253F4" w:rsidP="00582799">
      <w:pPr>
        <w:pStyle w:val="ListParagraph"/>
        <w:overflowPunct/>
        <w:autoSpaceDE/>
        <w:autoSpaceDN/>
        <w:adjustRightInd/>
        <w:ind w:hanging="720"/>
        <w:textAlignment w:val="auto"/>
        <w:rPr>
          <w:rFonts w:cs="Arial"/>
          <w:bCs/>
        </w:rPr>
      </w:pPr>
      <w:r>
        <w:rPr>
          <w:rFonts w:cs="Arial"/>
          <w:b/>
          <w:lang w:val="en-US"/>
        </w:rPr>
        <w:lastRenderedPageBreak/>
        <w:t>19</w:t>
      </w:r>
      <w:r w:rsidR="00582799" w:rsidRPr="002A0B87">
        <w:rPr>
          <w:rFonts w:cs="Arial"/>
          <w:b/>
          <w:lang w:val="vi-VN"/>
        </w:rPr>
        <w:t>.</w:t>
      </w:r>
      <w:r w:rsidR="00582799" w:rsidRPr="002A0B87">
        <w:rPr>
          <w:rFonts w:cs="Arial"/>
          <w:b/>
          <w:lang w:val="vi-VN"/>
        </w:rPr>
        <w:tab/>
      </w:r>
      <w:r w:rsidR="007A258D" w:rsidRPr="007A258D">
        <w:rPr>
          <w:rFonts w:cs="Arial"/>
          <w:b/>
          <w:lang w:val="vi-VN"/>
        </w:rPr>
        <w:t xml:space="preserve">DISCLOSURES OF OFF-BALANCE SHEET ITEMS </w:t>
      </w:r>
      <w:r w:rsidR="007A258D" w:rsidRPr="007A258D">
        <w:rPr>
          <w:rFonts w:cs="Arial"/>
          <w:b/>
          <w:lang w:val="vi-VN"/>
        </w:rPr>
        <w:tab/>
      </w:r>
      <w:r w:rsidR="007A258D" w:rsidRPr="00FA28E4">
        <w:rPr>
          <w:rFonts w:cs="Arial"/>
          <w:bCs/>
          <w:lang w:val="vi-VN"/>
        </w:rPr>
        <w:t>(continued)</w:t>
      </w:r>
    </w:p>
    <w:p w14:paraId="675F9D59" w14:textId="77777777" w:rsidR="00582799" w:rsidRPr="002A0B87" w:rsidRDefault="00582799" w:rsidP="00582799">
      <w:pPr>
        <w:pStyle w:val="NoSpacing"/>
      </w:pPr>
    </w:p>
    <w:p w14:paraId="3647450C" w14:textId="2C190550" w:rsidR="005154F8" w:rsidRPr="002A0B87" w:rsidRDefault="006163A9" w:rsidP="00760439">
      <w:pPr>
        <w:pStyle w:val="Heading2"/>
      </w:pPr>
      <w:r>
        <w:t>19.6</w:t>
      </w:r>
      <w:r w:rsidR="005154F8" w:rsidRPr="002A0B87">
        <w:tab/>
      </w:r>
      <w:r w:rsidR="008B4890" w:rsidRPr="008B4890">
        <w:t>Investors’ deposits</w:t>
      </w:r>
      <w:r w:rsidR="008B4890" w:rsidRPr="008B4890" w:rsidDel="008B4890">
        <w:t xml:space="preserve"> </w:t>
      </w:r>
    </w:p>
    <w:p w14:paraId="6730B121" w14:textId="77777777" w:rsidR="005154F8" w:rsidRPr="002A0B87" w:rsidRDefault="005154F8" w:rsidP="00760439">
      <w:pPr>
        <w:pStyle w:val="NoSpacing"/>
        <w:rPr>
          <w:lang w:val="de-DE"/>
        </w:rPr>
      </w:pPr>
    </w:p>
    <w:tbl>
      <w:tblPr>
        <w:tblW w:w="8179" w:type="dxa"/>
        <w:tblInd w:w="720" w:type="dxa"/>
        <w:tblLayout w:type="fixed"/>
        <w:tblLook w:val="01E0" w:firstRow="1" w:lastRow="1" w:firstColumn="1" w:lastColumn="1" w:noHBand="0" w:noVBand="0"/>
      </w:tblPr>
      <w:tblGrid>
        <w:gridCol w:w="4205"/>
        <w:gridCol w:w="1987"/>
        <w:gridCol w:w="1987"/>
      </w:tblGrid>
      <w:tr w:rsidR="00E3137E" w:rsidRPr="002A0B87" w14:paraId="7B5A697E" w14:textId="77777777" w:rsidTr="007B41FB">
        <w:trPr>
          <w:trHeight w:val="20"/>
          <w:tblHeader/>
        </w:trPr>
        <w:tc>
          <w:tcPr>
            <w:tcW w:w="4205" w:type="dxa"/>
            <w:vAlign w:val="bottom"/>
          </w:tcPr>
          <w:p w14:paraId="6BFCDB7C" w14:textId="77777777" w:rsidR="00E3137E" w:rsidRPr="002A0B87" w:rsidRDefault="00E3137E" w:rsidP="002E6CB7">
            <w:pPr>
              <w:widowControl w:val="0"/>
              <w:overflowPunct/>
              <w:autoSpaceDE/>
              <w:autoSpaceDN/>
              <w:adjustRightInd/>
              <w:ind w:left="-115"/>
              <w:textAlignment w:val="auto"/>
              <w:rPr>
                <w:rFonts w:eastAsia="Batang" w:cs="Arial"/>
                <w:i/>
                <w:lang w:val="es-ES"/>
              </w:rPr>
            </w:pPr>
          </w:p>
        </w:tc>
        <w:tc>
          <w:tcPr>
            <w:tcW w:w="1987" w:type="dxa"/>
            <w:vAlign w:val="bottom"/>
            <w:hideMark/>
          </w:tcPr>
          <w:p w14:paraId="5E7D0395" w14:textId="69C46700" w:rsidR="00E3137E" w:rsidRPr="002A0B87" w:rsidRDefault="00BA6261" w:rsidP="007B41FB">
            <w:pPr>
              <w:widowControl w:val="0"/>
              <w:pBdr>
                <w:bottom w:val="single" w:sz="4" w:space="0" w:color="auto"/>
              </w:pBdr>
              <w:overflowPunct/>
              <w:autoSpaceDE/>
              <w:autoSpaceDN/>
              <w:adjustRightInd/>
              <w:ind w:left="58" w:right="-85"/>
              <w:jc w:val="right"/>
              <w:textAlignment w:val="auto"/>
              <w:rPr>
                <w:rFonts w:eastAsia="Batang" w:cs="Arial"/>
                <w:bCs/>
                <w:i/>
              </w:rPr>
            </w:pPr>
            <w:r w:rsidRPr="00BA6261">
              <w:rPr>
                <w:rFonts w:eastAsia="Batang" w:cs="Arial"/>
                <w:bCs/>
                <w:i/>
              </w:rPr>
              <w:t>Ending balance</w:t>
            </w:r>
          </w:p>
          <w:p w14:paraId="7CFF40EB" w14:textId="77777777" w:rsidR="00E3137E" w:rsidRPr="002A0B87" w:rsidRDefault="00E3137E" w:rsidP="007B41FB">
            <w:pPr>
              <w:widowControl w:val="0"/>
              <w:pBdr>
                <w:bottom w:val="single" w:sz="4" w:space="0" w:color="auto"/>
              </w:pBdr>
              <w:ind w:left="58" w:right="-85"/>
              <w:jc w:val="right"/>
              <w:rPr>
                <w:rFonts w:cs="Arial"/>
                <w:bCs/>
                <w:i/>
              </w:rPr>
            </w:pPr>
            <w:r w:rsidRPr="002A0B87">
              <w:rPr>
                <w:rFonts w:eastAsia="Batang" w:cs="Arial"/>
                <w:i/>
                <w:iCs/>
              </w:rPr>
              <w:t>VND</w:t>
            </w:r>
          </w:p>
        </w:tc>
        <w:tc>
          <w:tcPr>
            <w:tcW w:w="1987" w:type="dxa"/>
            <w:vAlign w:val="bottom"/>
            <w:hideMark/>
          </w:tcPr>
          <w:p w14:paraId="676A76BF" w14:textId="69D4AEF5" w:rsidR="00E3137E" w:rsidRPr="002A0B87" w:rsidRDefault="002D4D6F" w:rsidP="007B41FB">
            <w:pPr>
              <w:widowControl w:val="0"/>
              <w:pBdr>
                <w:bottom w:val="single" w:sz="4" w:space="0" w:color="auto"/>
              </w:pBdr>
              <w:overflowPunct/>
              <w:autoSpaceDE/>
              <w:autoSpaceDN/>
              <w:adjustRightInd/>
              <w:ind w:left="58" w:right="-85"/>
              <w:jc w:val="right"/>
              <w:textAlignment w:val="auto"/>
              <w:rPr>
                <w:rFonts w:eastAsia="Batang" w:cs="Arial"/>
                <w:bCs/>
                <w:i/>
              </w:rPr>
            </w:pPr>
            <w:r w:rsidRPr="002D4D6F">
              <w:rPr>
                <w:rFonts w:eastAsia="Batang" w:cs="Arial"/>
                <w:bCs/>
                <w:i/>
              </w:rPr>
              <w:t>Opening balance</w:t>
            </w:r>
          </w:p>
          <w:p w14:paraId="7A5A757E" w14:textId="77777777" w:rsidR="00E3137E" w:rsidRPr="002A0B87" w:rsidRDefault="00E3137E" w:rsidP="007B41FB">
            <w:pPr>
              <w:widowControl w:val="0"/>
              <w:pBdr>
                <w:bottom w:val="single" w:sz="4" w:space="0" w:color="auto"/>
              </w:pBdr>
              <w:ind w:left="58" w:right="-85"/>
              <w:jc w:val="right"/>
              <w:rPr>
                <w:rFonts w:cs="Arial"/>
                <w:bCs/>
                <w:i/>
              </w:rPr>
            </w:pPr>
            <w:r w:rsidRPr="002A0B87">
              <w:rPr>
                <w:rFonts w:eastAsia="Batang" w:cs="Arial"/>
                <w:i/>
                <w:iCs/>
              </w:rPr>
              <w:t xml:space="preserve">VND </w:t>
            </w:r>
          </w:p>
        </w:tc>
      </w:tr>
      <w:tr w:rsidR="00B80F13" w:rsidRPr="002A0B87" w14:paraId="34B9EE33" w14:textId="77777777" w:rsidTr="00B80F13">
        <w:trPr>
          <w:trHeight w:val="20"/>
        </w:trPr>
        <w:tc>
          <w:tcPr>
            <w:tcW w:w="4205" w:type="dxa"/>
          </w:tcPr>
          <w:p w14:paraId="568DF764" w14:textId="4BCC5B68" w:rsidR="00B80F13" w:rsidRPr="002A0B87" w:rsidRDefault="00B80F13" w:rsidP="00B80F13">
            <w:pPr>
              <w:widowControl w:val="0"/>
              <w:spacing w:before="120"/>
              <w:ind w:left="-115"/>
              <w:rPr>
                <w:rFonts w:cs="Arial"/>
              </w:rPr>
            </w:pPr>
            <w:r w:rsidRPr="001E59D7">
              <w:rPr>
                <w:rFonts w:cs="Arial"/>
              </w:rPr>
              <w:t>Investors’ deposits for securities trading activities managed by the Company</w:t>
            </w:r>
          </w:p>
        </w:tc>
        <w:tc>
          <w:tcPr>
            <w:tcW w:w="1987" w:type="dxa"/>
            <w:vAlign w:val="bottom"/>
          </w:tcPr>
          <w:p w14:paraId="1F589178" w14:textId="24EFBDA7" w:rsidR="00B80F13" w:rsidRPr="00CC0E2D" w:rsidRDefault="00B80F13" w:rsidP="00B80F13">
            <w:pPr>
              <w:widowControl w:val="0"/>
              <w:spacing w:before="120"/>
              <w:ind w:left="58" w:right="-85"/>
              <w:jc w:val="right"/>
              <w:rPr>
                <w:rFonts w:eastAsia="Batang" w:cs="Arial"/>
                <w:highlight w:val="yellow"/>
                <w:lang w:eastAsia="ko-KR"/>
              </w:rPr>
            </w:pPr>
            <w:r w:rsidRPr="00470384">
              <w:t>118</w:t>
            </w:r>
            <w:r>
              <w:t>,</w:t>
            </w:r>
            <w:r w:rsidRPr="00470384">
              <w:t>898</w:t>
            </w:r>
            <w:r>
              <w:t>,</w:t>
            </w:r>
            <w:r w:rsidRPr="00470384">
              <w:t>614</w:t>
            </w:r>
            <w:r>
              <w:t>,</w:t>
            </w:r>
            <w:r w:rsidRPr="00470384">
              <w:t xml:space="preserve">487 </w:t>
            </w:r>
          </w:p>
        </w:tc>
        <w:tc>
          <w:tcPr>
            <w:tcW w:w="1987" w:type="dxa"/>
            <w:vAlign w:val="bottom"/>
          </w:tcPr>
          <w:p w14:paraId="23D16FC7" w14:textId="79F5C987" w:rsidR="00B80F13" w:rsidRPr="002A0B87" w:rsidRDefault="00B80F13" w:rsidP="00B80F13">
            <w:pPr>
              <w:widowControl w:val="0"/>
              <w:spacing w:before="120"/>
              <w:ind w:left="58" w:right="-85"/>
              <w:jc w:val="right"/>
              <w:rPr>
                <w:rFonts w:eastAsia="Batang" w:cs="Arial"/>
                <w:lang w:eastAsia="ko-KR"/>
              </w:rPr>
            </w:pPr>
            <w:r w:rsidRPr="00470384">
              <w:t>183</w:t>
            </w:r>
            <w:r>
              <w:t>,</w:t>
            </w:r>
            <w:r w:rsidRPr="00470384">
              <w:t>328</w:t>
            </w:r>
            <w:r>
              <w:t>,</w:t>
            </w:r>
            <w:r w:rsidRPr="00470384">
              <w:t>271</w:t>
            </w:r>
            <w:r>
              <w:t>,</w:t>
            </w:r>
            <w:r w:rsidRPr="00470384">
              <w:t xml:space="preserve">940 </w:t>
            </w:r>
          </w:p>
        </w:tc>
      </w:tr>
      <w:tr w:rsidR="00B80F13" w:rsidRPr="002A0B87" w14:paraId="4D162610" w14:textId="77777777" w:rsidTr="00B80F13">
        <w:trPr>
          <w:trHeight w:val="20"/>
        </w:trPr>
        <w:tc>
          <w:tcPr>
            <w:tcW w:w="4205" w:type="dxa"/>
          </w:tcPr>
          <w:p w14:paraId="5BF3EA40" w14:textId="72A6C2C3" w:rsidR="00B80F13" w:rsidRPr="002A0B87" w:rsidRDefault="00B80F13" w:rsidP="00B80F13">
            <w:pPr>
              <w:keepNext/>
              <w:suppressAutoHyphens/>
              <w:overflowPunct/>
              <w:autoSpaceDE/>
              <w:autoSpaceDN/>
              <w:adjustRightInd/>
              <w:ind w:left="245" w:hanging="360"/>
              <w:jc w:val="left"/>
              <w:textAlignment w:val="auto"/>
              <w:outlineLvl w:val="6"/>
              <w:rPr>
                <w:rFonts w:eastAsia="Batang" w:cs="Arial"/>
                <w:i/>
                <w:iCs/>
                <w:lang w:eastAsia="ko-KR"/>
              </w:rPr>
            </w:pPr>
            <w:r w:rsidRPr="002A0B87">
              <w:rPr>
                <w:rFonts w:eastAsia="Batang" w:cs="Arial"/>
                <w:i/>
                <w:iCs/>
                <w:lang w:eastAsia="ko-KR"/>
              </w:rPr>
              <w:t>-</w:t>
            </w:r>
            <w:r w:rsidRPr="002A0B87">
              <w:rPr>
                <w:rFonts w:eastAsia="Batang" w:cs="Arial"/>
                <w:i/>
                <w:iCs/>
                <w:lang w:eastAsia="ko-KR"/>
              </w:rPr>
              <w:tab/>
            </w:r>
            <w:r w:rsidRPr="002903B9">
              <w:rPr>
                <w:rFonts w:eastAsia="Batang" w:cs="Arial"/>
                <w:i/>
                <w:iCs/>
                <w:lang w:eastAsia="ko-KR"/>
              </w:rPr>
              <w:t>Domestic investors’ deposits for securities trading activities managed by the Company</w:t>
            </w:r>
          </w:p>
        </w:tc>
        <w:tc>
          <w:tcPr>
            <w:tcW w:w="1987" w:type="dxa"/>
            <w:vAlign w:val="bottom"/>
          </w:tcPr>
          <w:p w14:paraId="376E7D48" w14:textId="684990D1" w:rsidR="00B80F13" w:rsidRPr="00B80F13" w:rsidRDefault="00B80F13" w:rsidP="00B80F13">
            <w:pPr>
              <w:widowControl w:val="0"/>
              <w:ind w:left="58" w:right="-85"/>
              <w:jc w:val="right"/>
              <w:rPr>
                <w:rFonts w:eastAsia="Batang" w:cs="Arial"/>
                <w:i/>
                <w:iCs/>
                <w:highlight w:val="yellow"/>
                <w:lang w:eastAsia="ko-KR"/>
              </w:rPr>
            </w:pPr>
            <w:r w:rsidRPr="00B80F13">
              <w:rPr>
                <w:i/>
                <w:iCs/>
              </w:rPr>
              <w:t>117</w:t>
            </w:r>
            <w:r>
              <w:rPr>
                <w:i/>
                <w:iCs/>
              </w:rPr>
              <w:t>,</w:t>
            </w:r>
            <w:r w:rsidRPr="00B80F13">
              <w:rPr>
                <w:i/>
                <w:iCs/>
              </w:rPr>
              <w:t>435</w:t>
            </w:r>
            <w:r>
              <w:rPr>
                <w:i/>
                <w:iCs/>
              </w:rPr>
              <w:t>,</w:t>
            </w:r>
            <w:r w:rsidRPr="00B80F13">
              <w:rPr>
                <w:i/>
                <w:iCs/>
              </w:rPr>
              <w:t>365</w:t>
            </w:r>
            <w:r>
              <w:rPr>
                <w:i/>
                <w:iCs/>
              </w:rPr>
              <w:t>,</w:t>
            </w:r>
            <w:r w:rsidRPr="00B80F13">
              <w:rPr>
                <w:i/>
                <w:iCs/>
              </w:rPr>
              <w:t xml:space="preserve">979 </w:t>
            </w:r>
          </w:p>
        </w:tc>
        <w:tc>
          <w:tcPr>
            <w:tcW w:w="1987" w:type="dxa"/>
            <w:vAlign w:val="bottom"/>
          </w:tcPr>
          <w:p w14:paraId="24C8F971" w14:textId="464B903E" w:rsidR="00B80F13" w:rsidRPr="00B80F13" w:rsidRDefault="00B80F13" w:rsidP="00B80F13">
            <w:pPr>
              <w:widowControl w:val="0"/>
              <w:ind w:left="58" w:right="-85"/>
              <w:jc w:val="right"/>
              <w:rPr>
                <w:rFonts w:eastAsia="Batang" w:cs="Arial"/>
                <w:i/>
                <w:iCs/>
                <w:lang w:eastAsia="ko-KR"/>
              </w:rPr>
            </w:pPr>
            <w:r w:rsidRPr="00B80F13">
              <w:rPr>
                <w:i/>
                <w:iCs/>
              </w:rPr>
              <w:t>177</w:t>
            </w:r>
            <w:r>
              <w:rPr>
                <w:i/>
                <w:iCs/>
              </w:rPr>
              <w:t>,</w:t>
            </w:r>
            <w:r w:rsidRPr="00B80F13">
              <w:rPr>
                <w:i/>
                <w:iCs/>
              </w:rPr>
              <w:t>849</w:t>
            </w:r>
            <w:r>
              <w:rPr>
                <w:i/>
                <w:iCs/>
              </w:rPr>
              <w:t>,</w:t>
            </w:r>
            <w:r w:rsidRPr="00B80F13">
              <w:rPr>
                <w:i/>
                <w:iCs/>
              </w:rPr>
              <w:t>347</w:t>
            </w:r>
            <w:r>
              <w:rPr>
                <w:i/>
                <w:iCs/>
              </w:rPr>
              <w:t>,</w:t>
            </w:r>
            <w:r w:rsidRPr="00B80F13">
              <w:rPr>
                <w:i/>
                <w:iCs/>
              </w:rPr>
              <w:t xml:space="preserve">238 </w:t>
            </w:r>
          </w:p>
        </w:tc>
      </w:tr>
      <w:tr w:rsidR="00B80F13" w:rsidRPr="002A0B87" w14:paraId="582AE8A5" w14:textId="77777777" w:rsidTr="00B80F13">
        <w:trPr>
          <w:trHeight w:val="20"/>
        </w:trPr>
        <w:tc>
          <w:tcPr>
            <w:tcW w:w="4205" w:type="dxa"/>
          </w:tcPr>
          <w:p w14:paraId="6535752E" w14:textId="4CA11ABE" w:rsidR="00B80F13" w:rsidRPr="002A0B87" w:rsidRDefault="00B80F13" w:rsidP="00B80F13">
            <w:pPr>
              <w:keepNext/>
              <w:suppressAutoHyphens/>
              <w:overflowPunct/>
              <w:autoSpaceDE/>
              <w:autoSpaceDN/>
              <w:adjustRightInd/>
              <w:ind w:left="245" w:hanging="360"/>
              <w:jc w:val="left"/>
              <w:textAlignment w:val="auto"/>
              <w:outlineLvl w:val="6"/>
              <w:rPr>
                <w:rFonts w:eastAsia="Batang" w:cs="Arial"/>
                <w:i/>
                <w:iCs/>
                <w:lang w:eastAsia="ko-KR"/>
              </w:rPr>
            </w:pPr>
            <w:r w:rsidRPr="002A0B87">
              <w:rPr>
                <w:rFonts w:eastAsia="Batang" w:cs="Arial"/>
                <w:i/>
                <w:iCs/>
                <w:lang w:eastAsia="ko-KR"/>
              </w:rPr>
              <w:t>-</w:t>
            </w:r>
            <w:r w:rsidRPr="002A0B87">
              <w:rPr>
                <w:rFonts w:eastAsia="Batang" w:cs="Arial"/>
                <w:i/>
                <w:iCs/>
                <w:lang w:eastAsia="ko-KR"/>
              </w:rPr>
              <w:tab/>
            </w:r>
            <w:r w:rsidRPr="00D70A29">
              <w:rPr>
                <w:rFonts w:eastAsia="Batang" w:cs="Arial"/>
                <w:i/>
                <w:iCs/>
                <w:lang w:eastAsia="ko-KR"/>
              </w:rPr>
              <w:t>Foreign investors’ deposits for securities trading activities managed by the Company</w:t>
            </w:r>
          </w:p>
        </w:tc>
        <w:tc>
          <w:tcPr>
            <w:tcW w:w="1987" w:type="dxa"/>
            <w:vAlign w:val="bottom"/>
          </w:tcPr>
          <w:p w14:paraId="4EDD470B" w14:textId="6C81750E" w:rsidR="00B80F13" w:rsidRPr="00B80F13" w:rsidRDefault="00B80F13" w:rsidP="00B80F13">
            <w:pPr>
              <w:widowControl w:val="0"/>
              <w:ind w:left="58" w:right="-85"/>
              <w:jc w:val="right"/>
              <w:rPr>
                <w:rFonts w:cs="Arial"/>
                <w:bCs/>
                <w:i/>
                <w:iCs/>
                <w:highlight w:val="yellow"/>
              </w:rPr>
            </w:pPr>
            <w:r w:rsidRPr="00B80F13">
              <w:rPr>
                <w:i/>
                <w:iCs/>
              </w:rPr>
              <w:t>1</w:t>
            </w:r>
            <w:r>
              <w:rPr>
                <w:i/>
                <w:iCs/>
              </w:rPr>
              <w:t>,</w:t>
            </w:r>
            <w:r w:rsidRPr="00B80F13">
              <w:rPr>
                <w:i/>
                <w:iCs/>
              </w:rPr>
              <w:t>463</w:t>
            </w:r>
            <w:r>
              <w:rPr>
                <w:i/>
                <w:iCs/>
              </w:rPr>
              <w:t>,</w:t>
            </w:r>
            <w:r w:rsidRPr="00B80F13">
              <w:rPr>
                <w:i/>
                <w:iCs/>
              </w:rPr>
              <w:t>248</w:t>
            </w:r>
            <w:r>
              <w:rPr>
                <w:i/>
                <w:iCs/>
              </w:rPr>
              <w:t>,</w:t>
            </w:r>
            <w:r w:rsidRPr="00B80F13">
              <w:rPr>
                <w:i/>
                <w:iCs/>
              </w:rPr>
              <w:t xml:space="preserve">508 </w:t>
            </w:r>
          </w:p>
        </w:tc>
        <w:tc>
          <w:tcPr>
            <w:tcW w:w="1987" w:type="dxa"/>
            <w:vAlign w:val="bottom"/>
          </w:tcPr>
          <w:p w14:paraId="19FB48F7" w14:textId="344F6472" w:rsidR="00B80F13" w:rsidRPr="00B80F13" w:rsidRDefault="00B80F13" w:rsidP="00B80F13">
            <w:pPr>
              <w:widowControl w:val="0"/>
              <w:ind w:left="58" w:right="-85"/>
              <w:jc w:val="right"/>
              <w:rPr>
                <w:rFonts w:cs="Arial"/>
                <w:bCs/>
                <w:i/>
                <w:iCs/>
              </w:rPr>
            </w:pPr>
            <w:r w:rsidRPr="00B80F13">
              <w:rPr>
                <w:i/>
                <w:iCs/>
              </w:rPr>
              <w:t>5</w:t>
            </w:r>
            <w:r>
              <w:rPr>
                <w:i/>
                <w:iCs/>
              </w:rPr>
              <w:t>,</w:t>
            </w:r>
            <w:r w:rsidRPr="00B80F13">
              <w:rPr>
                <w:i/>
                <w:iCs/>
              </w:rPr>
              <w:t>478</w:t>
            </w:r>
            <w:r>
              <w:rPr>
                <w:i/>
                <w:iCs/>
              </w:rPr>
              <w:t>,</w:t>
            </w:r>
            <w:r w:rsidRPr="00B80F13">
              <w:rPr>
                <w:i/>
                <w:iCs/>
              </w:rPr>
              <w:t>924</w:t>
            </w:r>
            <w:r>
              <w:rPr>
                <w:i/>
                <w:iCs/>
              </w:rPr>
              <w:t>,</w:t>
            </w:r>
            <w:r w:rsidRPr="00B80F13">
              <w:rPr>
                <w:i/>
                <w:iCs/>
              </w:rPr>
              <w:t xml:space="preserve">702 </w:t>
            </w:r>
          </w:p>
        </w:tc>
      </w:tr>
      <w:tr w:rsidR="00B80F13" w:rsidRPr="002A0B87" w14:paraId="55180AA6" w14:textId="77777777" w:rsidTr="00B80F13">
        <w:trPr>
          <w:trHeight w:val="20"/>
        </w:trPr>
        <w:tc>
          <w:tcPr>
            <w:tcW w:w="4205" w:type="dxa"/>
            <w:vAlign w:val="bottom"/>
          </w:tcPr>
          <w:p w14:paraId="65BF0EA0" w14:textId="20B396C0" w:rsidR="00B80F13" w:rsidRPr="002A0B87" w:rsidRDefault="00B80F13" w:rsidP="00B80F13">
            <w:pPr>
              <w:widowControl w:val="0"/>
              <w:ind w:left="-115"/>
              <w:rPr>
                <w:rFonts w:cs="Arial"/>
              </w:rPr>
            </w:pPr>
            <w:r w:rsidRPr="006C0FD0">
              <w:rPr>
                <w:rFonts w:cs="Arial"/>
              </w:rPr>
              <w:t>Investor’s synthesizing deposits for securities trading activities</w:t>
            </w:r>
          </w:p>
        </w:tc>
        <w:tc>
          <w:tcPr>
            <w:tcW w:w="1987" w:type="dxa"/>
            <w:vAlign w:val="bottom"/>
          </w:tcPr>
          <w:p w14:paraId="6DA0EFA8" w14:textId="13641A61" w:rsidR="00B80F13" w:rsidRPr="00CC0E2D" w:rsidRDefault="00B80F13" w:rsidP="00B80F13">
            <w:pPr>
              <w:widowControl w:val="0"/>
              <w:ind w:left="58" w:right="-85"/>
              <w:jc w:val="right"/>
              <w:rPr>
                <w:rFonts w:eastAsia="Batang" w:cs="Arial"/>
                <w:highlight w:val="yellow"/>
                <w:lang w:eastAsia="ko-KR"/>
              </w:rPr>
            </w:pPr>
            <w:r w:rsidRPr="00470384">
              <w:t>7</w:t>
            </w:r>
            <w:r>
              <w:t>,</w:t>
            </w:r>
            <w:r w:rsidRPr="00470384">
              <w:t>753</w:t>
            </w:r>
            <w:r>
              <w:t>,</w:t>
            </w:r>
            <w:r w:rsidRPr="00470384">
              <w:t xml:space="preserve">284 </w:t>
            </w:r>
          </w:p>
        </w:tc>
        <w:tc>
          <w:tcPr>
            <w:tcW w:w="1987" w:type="dxa"/>
            <w:vAlign w:val="bottom"/>
          </w:tcPr>
          <w:p w14:paraId="5216F093" w14:textId="0BD3D233" w:rsidR="00B80F13" w:rsidRPr="002A0B87" w:rsidRDefault="00B80F13" w:rsidP="00B80F13">
            <w:pPr>
              <w:widowControl w:val="0"/>
              <w:ind w:left="58" w:right="-85"/>
              <w:jc w:val="right"/>
              <w:rPr>
                <w:rFonts w:eastAsia="Batang" w:cs="Arial"/>
                <w:lang w:eastAsia="ko-KR"/>
              </w:rPr>
            </w:pPr>
            <w:r w:rsidRPr="00470384">
              <w:t>8</w:t>
            </w:r>
            <w:r>
              <w:t>,</w:t>
            </w:r>
            <w:r w:rsidRPr="00470384">
              <w:t>220</w:t>
            </w:r>
            <w:r>
              <w:t>,</w:t>
            </w:r>
            <w:r w:rsidRPr="00470384">
              <w:t xml:space="preserve">832 </w:t>
            </w:r>
          </w:p>
        </w:tc>
      </w:tr>
      <w:tr w:rsidR="00B80F13" w:rsidRPr="002A0B87" w14:paraId="17604BD9" w14:textId="77777777" w:rsidTr="00B80F13">
        <w:trPr>
          <w:trHeight w:val="20"/>
        </w:trPr>
        <w:tc>
          <w:tcPr>
            <w:tcW w:w="4205" w:type="dxa"/>
            <w:vAlign w:val="bottom"/>
          </w:tcPr>
          <w:p w14:paraId="165D5494" w14:textId="18DFBE48" w:rsidR="00B80F13" w:rsidRPr="002A0B87" w:rsidRDefault="00B80F13" w:rsidP="00B80F13">
            <w:pPr>
              <w:widowControl w:val="0"/>
              <w:ind w:left="-115"/>
              <w:rPr>
                <w:rFonts w:cs="Arial"/>
              </w:rPr>
            </w:pPr>
            <w:r w:rsidRPr="002A0B87">
              <w:rPr>
                <w:rFonts w:cs="Arial"/>
              </w:rPr>
              <w:tab/>
            </w:r>
            <w:r w:rsidRPr="00C820D5">
              <w:rPr>
                <w:rFonts w:cs="Arial"/>
              </w:rPr>
              <w:t>Deposits for securities clearing and settlement</w:t>
            </w:r>
          </w:p>
        </w:tc>
        <w:tc>
          <w:tcPr>
            <w:tcW w:w="1987" w:type="dxa"/>
            <w:vAlign w:val="bottom"/>
          </w:tcPr>
          <w:p w14:paraId="1582762E" w14:textId="0704DE40" w:rsidR="00B80F13" w:rsidRPr="00CC0E2D" w:rsidRDefault="00B80F13" w:rsidP="00B80F13">
            <w:pPr>
              <w:widowControl w:val="0"/>
              <w:ind w:left="58" w:right="-85"/>
              <w:jc w:val="right"/>
              <w:rPr>
                <w:rFonts w:eastAsia="Batang" w:cs="Arial"/>
                <w:highlight w:val="yellow"/>
                <w:lang w:eastAsia="ko-KR"/>
              </w:rPr>
            </w:pPr>
            <w:r w:rsidRPr="00470384">
              <w:t>2</w:t>
            </w:r>
            <w:r>
              <w:t>,</w:t>
            </w:r>
            <w:r w:rsidRPr="00470384">
              <w:t>374</w:t>
            </w:r>
            <w:r>
              <w:t>,</w:t>
            </w:r>
            <w:r w:rsidRPr="00470384">
              <w:t>798</w:t>
            </w:r>
          </w:p>
        </w:tc>
        <w:tc>
          <w:tcPr>
            <w:tcW w:w="1987" w:type="dxa"/>
            <w:vAlign w:val="bottom"/>
          </w:tcPr>
          <w:p w14:paraId="48FC6FF8" w14:textId="4048CAAA" w:rsidR="00B80F13" w:rsidRPr="002A0B87" w:rsidRDefault="00B80F13" w:rsidP="00B80F13">
            <w:pPr>
              <w:widowControl w:val="0"/>
              <w:ind w:left="58" w:right="-85"/>
              <w:jc w:val="right"/>
              <w:rPr>
                <w:rFonts w:eastAsia="Batang" w:cs="Arial"/>
                <w:lang w:eastAsia="ko-KR"/>
              </w:rPr>
            </w:pPr>
            <w:r w:rsidRPr="00470384">
              <w:t>2</w:t>
            </w:r>
            <w:r>
              <w:t>,</w:t>
            </w:r>
            <w:r w:rsidRPr="00470384">
              <w:t>896</w:t>
            </w:r>
            <w:r>
              <w:t>,</w:t>
            </w:r>
            <w:r w:rsidRPr="00470384">
              <w:t xml:space="preserve">647 </w:t>
            </w:r>
          </w:p>
        </w:tc>
      </w:tr>
      <w:tr w:rsidR="00B80F13" w:rsidRPr="002A0B87" w14:paraId="2AD7C7E2" w14:textId="77777777" w:rsidTr="00B80F13">
        <w:trPr>
          <w:trHeight w:val="20"/>
        </w:trPr>
        <w:tc>
          <w:tcPr>
            <w:tcW w:w="4205" w:type="dxa"/>
            <w:vAlign w:val="bottom"/>
          </w:tcPr>
          <w:p w14:paraId="7270D943" w14:textId="4C6FC4AF" w:rsidR="00B80F13" w:rsidRPr="002A0B87" w:rsidRDefault="00B80F13" w:rsidP="00B80F13">
            <w:pPr>
              <w:keepNext/>
              <w:suppressAutoHyphens/>
              <w:overflowPunct/>
              <w:autoSpaceDE/>
              <w:autoSpaceDN/>
              <w:adjustRightInd/>
              <w:ind w:left="245" w:hanging="360"/>
              <w:textAlignment w:val="auto"/>
              <w:outlineLvl w:val="6"/>
              <w:rPr>
                <w:rFonts w:eastAsia="Batang" w:cs="Arial"/>
                <w:i/>
                <w:iCs/>
                <w:lang w:eastAsia="ko-KR"/>
              </w:rPr>
            </w:pPr>
            <w:r w:rsidRPr="002A0B87">
              <w:rPr>
                <w:rFonts w:eastAsia="Batang" w:cs="Arial"/>
                <w:i/>
                <w:iCs/>
                <w:lang w:eastAsia="ko-KR"/>
              </w:rPr>
              <w:t>-</w:t>
            </w:r>
            <w:r w:rsidRPr="002A0B87">
              <w:rPr>
                <w:rFonts w:eastAsia="Batang" w:cs="Arial"/>
                <w:i/>
                <w:iCs/>
                <w:lang w:eastAsia="ko-KR"/>
              </w:rPr>
              <w:tab/>
            </w:r>
            <w:r w:rsidRPr="006F4F16">
              <w:rPr>
                <w:rFonts w:eastAsia="Batang" w:cs="Arial"/>
                <w:i/>
                <w:iCs/>
                <w:lang w:eastAsia="ko-KR"/>
              </w:rPr>
              <w:t>Domestic investors' deposits for securities clearing and settlement</w:t>
            </w:r>
          </w:p>
        </w:tc>
        <w:tc>
          <w:tcPr>
            <w:tcW w:w="1987" w:type="dxa"/>
            <w:vAlign w:val="bottom"/>
          </w:tcPr>
          <w:p w14:paraId="6E4BC9A9" w14:textId="438E4DEE" w:rsidR="00B80F13" w:rsidRPr="00B80F13" w:rsidRDefault="00B80F13" w:rsidP="00B80F13">
            <w:pPr>
              <w:widowControl w:val="0"/>
              <w:ind w:left="58" w:right="-85"/>
              <w:jc w:val="right"/>
              <w:rPr>
                <w:rFonts w:cs="Arial"/>
                <w:bCs/>
                <w:i/>
                <w:iCs/>
                <w:highlight w:val="yellow"/>
              </w:rPr>
            </w:pPr>
            <w:r w:rsidRPr="00B80F13">
              <w:rPr>
                <w:i/>
                <w:iCs/>
              </w:rPr>
              <w:t>1</w:t>
            </w:r>
            <w:r>
              <w:rPr>
                <w:i/>
                <w:iCs/>
              </w:rPr>
              <w:t>,</w:t>
            </w:r>
            <w:r w:rsidRPr="00B80F13">
              <w:rPr>
                <w:i/>
                <w:iCs/>
              </w:rPr>
              <w:t>193</w:t>
            </w:r>
            <w:r>
              <w:rPr>
                <w:i/>
                <w:iCs/>
              </w:rPr>
              <w:t>,</w:t>
            </w:r>
            <w:r w:rsidRPr="00B80F13">
              <w:rPr>
                <w:i/>
                <w:iCs/>
              </w:rPr>
              <w:t>460</w:t>
            </w:r>
          </w:p>
        </w:tc>
        <w:tc>
          <w:tcPr>
            <w:tcW w:w="1987" w:type="dxa"/>
            <w:vAlign w:val="bottom"/>
          </w:tcPr>
          <w:p w14:paraId="6C844F01" w14:textId="1B6E28B9" w:rsidR="00B80F13" w:rsidRPr="00B80F13" w:rsidRDefault="00B80F13" w:rsidP="00B80F13">
            <w:pPr>
              <w:widowControl w:val="0"/>
              <w:ind w:left="58" w:right="-85"/>
              <w:jc w:val="right"/>
              <w:rPr>
                <w:rFonts w:cs="Arial"/>
                <w:bCs/>
                <w:i/>
                <w:iCs/>
              </w:rPr>
            </w:pPr>
            <w:r w:rsidRPr="00B80F13">
              <w:rPr>
                <w:i/>
                <w:iCs/>
              </w:rPr>
              <w:t>1</w:t>
            </w:r>
            <w:r>
              <w:rPr>
                <w:i/>
                <w:iCs/>
              </w:rPr>
              <w:t>,</w:t>
            </w:r>
            <w:r w:rsidRPr="00B80F13">
              <w:rPr>
                <w:i/>
                <w:iCs/>
              </w:rPr>
              <w:t>454</w:t>
            </w:r>
            <w:r>
              <w:rPr>
                <w:i/>
                <w:iCs/>
              </w:rPr>
              <w:t>,</w:t>
            </w:r>
            <w:r w:rsidRPr="00B80F13">
              <w:rPr>
                <w:i/>
                <w:iCs/>
              </w:rPr>
              <w:t xml:space="preserve">099 </w:t>
            </w:r>
          </w:p>
        </w:tc>
      </w:tr>
      <w:tr w:rsidR="00B80F13" w:rsidRPr="002A0B87" w14:paraId="6158EE35" w14:textId="77777777" w:rsidTr="00B80F13">
        <w:trPr>
          <w:trHeight w:val="20"/>
        </w:trPr>
        <w:tc>
          <w:tcPr>
            <w:tcW w:w="4205" w:type="dxa"/>
            <w:vAlign w:val="bottom"/>
            <w:hideMark/>
          </w:tcPr>
          <w:p w14:paraId="644A73A2" w14:textId="6457FC7C" w:rsidR="00B80F13" w:rsidRPr="002A0B87" w:rsidRDefault="00B80F13" w:rsidP="00B80F13">
            <w:pPr>
              <w:keepNext/>
              <w:suppressAutoHyphens/>
              <w:overflowPunct/>
              <w:autoSpaceDE/>
              <w:autoSpaceDN/>
              <w:adjustRightInd/>
              <w:ind w:left="245" w:hanging="360"/>
              <w:textAlignment w:val="auto"/>
              <w:outlineLvl w:val="6"/>
              <w:rPr>
                <w:rFonts w:eastAsia="Batang" w:cs="Arial"/>
                <w:i/>
                <w:iCs/>
                <w:lang w:eastAsia="ko-KR"/>
              </w:rPr>
            </w:pPr>
            <w:r w:rsidRPr="002A0B87">
              <w:rPr>
                <w:rFonts w:eastAsia="Batang" w:cs="Arial"/>
                <w:i/>
                <w:iCs/>
                <w:lang w:eastAsia="ko-KR"/>
              </w:rPr>
              <w:t>-</w:t>
            </w:r>
            <w:r w:rsidRPr="002A0B87">
              <w:rPr>
                <w:rFonts w:eastAsia="Batang" w:cs="Arial"/>
                <w:i/>
                <w:iCs/>
                <w:lang w:eastAsia="ko-KR"/>
              </w:rPr>
              <w:tab/>
            </w:r>
            <w:r w:rsidRPr="004E6182">
              <w:rPr>
                <w:rFonts w:eastAsia="Batang" w:cs="Arial"/>
                <w:i/>
                <w:iCs/>
                <w:lang w:eastAsia="ko-KR"/>
              </w:rPr>
              <w:t>Foreign investors' deposits for securities clearing and settlement</w:t>
            </w:r>
          </w:p>
        </w:tc>
        <w:tc>
          <w:tcPr>
            <w:tcW w:w="1987" w:type="dxa"/>
            <w:vAlign w:val="bottom"/>
          </w:tcPr>
          <w:p w14:paraId="174309B6" w14:textId="01AAA2CD" w:rsidR="00B80F13" w:rsidRPr="00B80F13" w:rsidRDefault="00B80F13" w:rsidP="00B80F13">
            <w:pPr>
              <w:widowControl w:val="0"/>
              <w:pBdr>
                <w:bottom w:val="single" w:sz="4" w:space="0" w:color="auto"/>
              </w:pBdr>
              <w:ind w:left="58" w:right="-85"/>
              <w:jc w:val="right"/>
              <w:rPr>
                <w:rFonts w:eastAsia="Batang" w:cs="Arial"/>
                <w:i/>
                <w:iCs/>
                <w:highlight w:val="yellow"/>
                <w:lang w:eastAsia="ko-KR"/>
              </w:rPr>
            </w:pPr>
            <w:r w:rsidRPr="00B80F13">
              <w:rPr>
                <w:i/>
                <w:iCs/>
              </w:rPr>
              <w:t>1</w:t>
            </w:r>
            <w:r>
              <w:rPr>
                <w:i/>
                <w:iCs/>
              </w:rPr>
              <w:t>,</w:t>
            </w:r>
            <w:r w:rsidRPr="00B80F13">
              <w:rPr>
                <w:i/>
                <w:iCs/>
              </w:rPr>
              <w:t>181</w:t>
            </w:r>
            <w:r>
              <w:rPr>
                <w:i/>
                <w:iCs/>
              </w:rPr>
              <w:t>,</w:t>
            </w:r>
            <w:r w:rsidRPr="00B80F13">
              <w:rPr>
                <w:i/>
                <w:iCs/>
              </w:rPr>
              <w:t>338</w:t>
            </w:r>
          </w:p>
        </w:tc>
        <w:tc>
          <w:tcPr>
            <w:tcW w:w="1987" w:type="dxa"/>
            <w:vAlign w:val="bottom"/>
          </w:tcPr>
          <w:p w14:paraId="01D84843" w14:textId="55717BDD" w:rsidR="00B80F13" w:rsidRPr="00B80F13" w:rsidRDefault="00B80F13" w:rsidP="00B80F13">
            <w:pPr>
              <w:widowControl w:val="0"/>
              <w:pBdr>
                <w:bottom w:val="single" w:sz="4" w:space="0" w:color="auto"/>
              </w:pBdr>
              <w:ind w:left="58" w:right="-85"/>
              <w:jc w:val="right"/>
              <w:rPr>
                <w:rFonts w:eastAsia="Batang" w:cs="Arial"/>
                <w:i/>
                <w:iCs/>
                <w:lang w:eastAsia="ko-KR"/>
              </w:rPr>
            </w:pPr>
            <w:r w:rsidRPr="00B80F13">
              <w:rPr>
                <w:i/>
                <w:iCs/>
              </w:rPr>
              <w:t>1</w:t>
            </w:r>
            <w:r>
              <w:rPr>
                <w:i/>
                <w:iCs/>
              </w:rPr>
              <w:t>,</w:t>
            </w:r>
            <w:r w:rsidRPr="00B80F13">
              <w:rPr>
                <w:i/>
                <w:iCs/>
              </w:rPr>
              <w:t>442</w:t>
            </w:r>
            <w:r>
              <w:rPr>
                <w:i/>
                <w:iCs/>
              </w:rPr>
              <w:t>,</w:t>
            </w:r>
            <w:r w:rsidRPr="00B80F13">
              <w:rPr>
                <w:i/>
                <w:iCs/>
              </w:rPr>
              <w:t xml:space="preserve">548 </w:t>
            </w:r>
          </w:p>
        </w:tc>
      </w:tr>
      <w:tr w:rsidR="00B80F13" w:rsidRPr="002A0B87" w14:paraId="3DCE3B17" w14:textId="77777777" w:rsidTr="00B80F13">
        <w:trPr>
          <w:trHeight w:val="20"/>
        </w:trPr>
        <w:tc>
          <w:tcPr>
            <w:tcW w:w="4205" w:type="dxa"/>
            <w:vAlign w:val="bottom"/>
          </w:tcPr>
          <w:p w14:paraId="2BB7461E" w14:textId="07284CB4" w:rsidR="00B80F13" w:rsidRPr="002A0B87" w:rsidRDefault="00B80F13" w:rsidP="00B80F13">
            <w:pPr>
              <w:widowControl w:val="0"/>
              <w:spacing w:before="120"/>
              <w:ind w:left="-115" w:firstLine="12"/>
              <w:rPr>
                <w:rFonts w:cs="Arial"/>
                <w:b/>
              </w:rPr>
            </w:pPr>
          </w:p>
        </w:tc>
        <w:tc>
          <w:tcPr>
            <w:tcW w:w="1987" w:type="dxa"/>
            <w:vAlign w:val="bottom"/>
          </w:tcPr>
          <w:p w14:paraId="3109B5BB" w14:textId="5F5B8521" w:rsidR="00B80F13" w:rsidRPr="00B80F13" w:rsidRDefault="00B80F13" w:rsidP="00B80F13">
            <w:pPr>
              <w:widowControl w:val="0"/>
              <w:pBdr>
                <w:bottom w:val="double" w:sz="4" w:space="0" w:color="auto"/>
              </w:pBdr>
              <w:tabs>
                <w:tab w:val="left" w:pos="299"/>
                <w:tab w:val="right" w:pos="1856"/>
              </w:tabs>
              <w:spacing w:before="120"/>
              <w:ind w:left="58" w:right="-85"/>
              <w:jc w:val="right"/>
              <w:rPr>
                <w:rFonts w:eastAsia="Batang" w:cs="Arial"/>
                <w:b/>
                <w:bCs/>
                <w:highlight w:val="yellow"/>
                <w:lang w:eastAsia="ko-KR"/>
              </w:rPr>
            </w:pPr>
            <w:r w:rsidRPr="00B80F13">
              <w:rPr>
                <w:b/>
                <w:bCs/>
              </w:rPr>
              <w:t>118,908,742,569</w:t>
            </w:r>
          </w:p>
        </w:tc>
        <w:tc>
          <w:tcPr>
            <w:tcW w:w="1987" w:type="dxa"/>
            <w:vAlign w:val="bottom"/>
            <w:hideMark/>
          </w:tcPr>
          <w:p w14:paraId="5C8D8FB0" w14:textId="460A86DB" w:rsidR="00B80F13" w:rsidRPr="00B80F13" w:rsidRDefault="00B80F13" w:rsidP="00B80F13">
            <w:pPr>
              <w:widowControl w:val="0"/>
              <w:pBdr>
                <w:bottom w:val="double" w:sz="4" w:space="0" w:color="auto"/>
              </w:pBdr>
              <w:spacing w:before="120"/>
              <w:ind w:left="58" w:right="-85"/>
              <w:jc w:val="right"/>
              <w:rPr>
                <w:rFonts w:cs="Arial"/>
                <w:b/>
                <w:bCs/>
              </w:rPr>
            </w:pPr>
            <w:r w:rsidRPr="00B80F13">
              <w:rPr>
                <w:b/>
                <w:bCs/>
              </w:rPr>
              <w:t xml:space="preserve">183,339,389,419 </w:t>
            </w:r>
          </w:p>
        </w:tc>
      </w:tr>
    </w:tbl>
    <w:p w14:paraId="220F6413" w14:textId="77777777" w:rsidR="00704326" w:rsidRPr="002A0B87" w:rsidRDefault="00704326" w:rsidP="00760439">
      <w:pPr>
        <w:pStyle w:val="NoSpacing"/>
      </w:pPr>
    </w:p>
    <w:p w14:paraId="437EFBE0" w14:textId="2289DC06" w:rsidR="00704326" w:rsidRPr="002A0B87" w:rsidRDefault="00CC0E2D" w:rsidP="00760439">
      <w:pPr>
        <w:pStyle w:val="Heading2"/>
      </w:pPr>
      <w:r>
        <w:t>19.7</w:t>
      </w:r>
      <w:r w:rsidR="00704326" w:rsidRPr="002A0B87">
        <w:tab/>
      </w:r>
      <w:r w:rsidR="00DF5B21" w:rsidRPr="00DF5B21">
        <w:t>Payables to investors</w:t>
      </w:r>
      <w:r w:rsidR="00DF5B21" w:rsidRPr="00DF5B21" w:rsidDel="00DF5B21">
        <w:t xml:space="preserve"> </w:t>
      </w:r>
    </w:p>
    <w:p w14:paraId="7991AB72" w14:textId="77777777" w:rsidR="00704326" w:rsidRPr="002A0B87" w:rsidRDefault="00704326" w:rsidP="00760439">
      <w:pPr>
        <w:pStyle w:val="NoSpacing"/>
        <w:rPr>
          <w:lang w:val="de-DE"/>
        </w:rPr>
      </w:pPr>
    </w:p>
    <w:tbl>
      <w:tblPr>
        <w:tblW w:w="8179" w:type="dxa"/>
        <w:tblInd w:w="720" w:type="dxa"/>
        <w:tblLayout w:type="fixed"/>
        <w:tblLook w:val="01E0" w:firstRow="1" w:lastRow="1" w:firstColumn="1" w:lastColumn="1" w:noHBand="0" w:noVBand="0"/>
      </w:tblPr>
      <w:tblGrid>
        <w:gridCol w:w="4205"/>
        <w:gridCol w:w="1987"/>
        <w:gridCol w:w="1987"/>
      </w:tblGrid>
      <w:tr w:rsidR="00704326" w:rsidRPr="002A0B87" w14:paraId="3C1C3F13" w14:textId="77777777" w:rsidTr="002A30AF">
        <w:trPr>
          <w:trHeight w:val="20"/>
          <w:tblHeader/>
        </w:trPr>
        <w:tc>
          <w:tcPr>
            <w:tcW w:w="4205" w:type="dxa"/>
            <w:vAlign w:val="bottom"/>
          </w:tcPr>
          <w:p w14:paraId="646B23E8" w14:textId="77777777" w:rsidR="00704326" w:rsidRPr="002A0B87" w:rsidRDefault="00704326" w:rsidP="002E6CB7">
            <w:pPr>
              <w:widowControl w:val="0"/>
              <w:overflowPunct/>
              <w:autoSpaceDE/>
              <w:autoSpaceDN/>
              <w:adjustRightInd/>
              <w:ind w:left="-115"/>
              <w:textAlignment w:val="auto"/>
              <w:rPr>
                <w:rFonts w:eastAsia="Batang" w:cs="Arial"/>
                <w:i/>
                <w:lang w:val="es-ES"/>
              </w:rPr>
            </w:pPr>
          </w:p>
        </w:tc>
        <w:tc>
          <w:tcPr>
            <w:tcW w:w="1987" w:type="dxa"/>
            <w:vAlign w:val="bottom"/>
            <w:hideMark/>
          </w:tcPr>
          <w:p w14:paraId="7D4D5FE8" w14:textId="7C4AFD59" w:rsidR="00704326" w:rsidRPr="002A0B87" w:rsidRDefault="001A17E9" w:rsidP="002A30AF">
            <w:pPr>
              <w:widowControl w:val="0"/>
              <w:pBdr>
                <w:bottom w:val="single" w:sz="4" w:space="0" w:color="auto"/>
              </w:pBdr>
              <w:overflowPunct/>
              <w:autoSpaceDE/>
              <w:autoSpaceDN/>
              <w:adjustRightInd/>
              <w:ind w:left="58" w:right="-85"/>
              <w:jc w:val="right"/>
              <w:textAlignment w:val="auto"/>
              <w:rPr>
                <w:rFonts w:eastAsia="Batang" w:cs="Arial"/>
                <w:bCs/>
                <w:i/>
              </w:rPr>
            </w:pPr>
            <w:r w:rsidRPr="001A17E9">
              <w:rPr>
                <w:rFonts w:eastAsia="Batang" w:cs="Arial"/>
                <w:bCs/>
                <w:i/>
              </w:rPr>
              <w:t>Ending balance</w:t>
            </w:r>
          </w:p>
          <w:p w14:paraId="1C654550" w14:textId="77777777" w:rsidR="00704326" w:rsidRPr="002A0B87" w:rsidRDefault="00704326" w:rsidP="002A30AF">
            <w:pPr>
              <w:widowControl w:val="0"/>
              <w:pBdr>
                <w:bottom w:val="single" w:sz="4" w:space="0" w:color="auto"/>
              </w:pBdr>
              <w:ind w:left="58" w:right="-85"/>
              <w:jc w:val="right"/>
              <w:rPr>
                <w:rFonts w:cs="Arial"/>
                <w:bCs/>
                <w:i/>
              </w:rPr>
            </w:pPr>
            <w:r w:rsidRPr="002A0B87">
              <w:rPr>
                <w:rFonts w:eastAsia="Batang" w:cs="Arial"/>
                <w:i/>
                <w:iCs/>
              </w:rPr>
              <w:t>VND</w:t>
            </w:r>
          </w:p>
        </w:tc>
        <w:tc>
          <w:tcPr>
            <w:tcW w:w="1987" w:type="dxa"/>
            <w:vAlign w:val="bottom"/>
            <w:hideMark/>
          </w:tcPr>
          <w:p w14:paraId="7420D59E" w14:textId="026E0235" w:rsidR="00704326" w:rsidRPr="002A0B87" w:rsidRDefault="00A555C4" w:rsidP="002A30AF">
            <w:pPr>
              <w:widowControl w:val="0"/>
              <w:pBdr>
                <w:bottom w:val="single" w:sz="4" w:space="0" w:color="auto"/>
              </w:pBdr>
              <w:overflowPunct/>
              <w:autoSpaceDE/>
              <w:autoSpaceDN/>
              <w:adjustRightInd/>
              <w:ind w:left="58" w:right="-85"/>
              <w:jc w:val="right"/>
              <w:textAlignment w:val="auto"/>
              <w:rPr>
                <w:rFonts w:eastAsia="Batang" w:cs="Arial"/>
                <w:bCs/>
                <w:i/>
              </w:rPr>
            </w:pPr>
            <w:r w:rsidRPr="00A555C4">
              <w:rPr>
                <w:rFonts w:eastAsia="Batang" w:cs="Arial"/>
                <w:bCs/>
                <w:i/>
              </w:rPr>
              <w:t>Opening balance</w:t>
            </w:r>
          </w:p>
          <w:p w14:paraId="2AAFFA26" w14:textId="77777777" w:rsidR="00704326" w:rsidRPr="002A0B87" w:rsidRDefault="00704326" w:rsidP="002A30AF">
            <w:pPr>
              <w:widowControl w:val="0"/>
              <w:pBdr>
                <w:bottom w:val="single" w:sz="4" w:space="0" w:color="auto"/>
              </w:pBdr>
              <w:ind w:left="58" w:right="-85"/>
              <w:jc w:val="right"/>
              <w:rPr>
                <w:rFonts w:cs="Arial"/>
                <w:bCs/>
                <w:i/>
              </w:rPr>
            </w:pPr>
            <w:r w:rsidRPr="002A0B87">
              <w:rPr>
                <w:rFonts w:eastAsia="Batang" w:cs="Arial"/>
                <w:i/>
                <w:iCs/>
              </w:rPr>
              <w:t xml:space="preserve">VND </w:t>
            </w:r>
          </w:p>
        </w:tc>
      </w:tr>
      <w:tr w:rsidR="00D12105" w:rsidRPr="002A0B87" w14:paraId="0BF2E6DC" w14:textId="77777777" w:rsidTr="00D12105">
        <w:trPr>
          <w:trHeight w:val="20"/>
        </w:trPr>
        <w:tc>
          <w:tcPr>
            <w:tcW w:w="4205" w:type="dxa"/>
          </w:tcPr>
          <w:p w14:paraId="22AC8961" w14:textId="51575789" w:rsidR="00D12105" w:rsidRPr="002A0B87" w:rsidRDefault="00D12105" w:rsidP="00D12105">
            <w:pPr>
              <w:widowControl w:val="0"/>
              <w:spacing w:before="120"/>
              <w:ind w:left="-115"/>
              <w:rPr>
                <w:rFonts w:cs="Arial"/>
              </w:rPr>
            </w:pPr>
            <w:r w:rsidRPr="00C71309">
              <w:rPr>
                <w:rFonts w:cs="Arial"/>
              </w:rPr>
              <w:t>Payables to investors for deposits for securities trading activities managed by the Company</w:t>
            </w:r>
          </w:p>
        </w:tc>
        <w:tc>
          <w:tcPr>
            <w:tcW w:w="1987" w:type="dxa"/>
            <w:vAlign w:val="bottom"/>
          </w:tcPr>
          <w:p w14:paraId="501F2109" w14:textId="18DF53F5" w:rsidR="00D12105" w:rsidRPr="00CC0E2D" w:rsidRDefault="00D12105" w:rsidP="00D12105">
            <w:pPr>
              <w:widowControl w:val="0"/>
              <w:spacing w:before="120"/>
              <w:ind w:left="58" w:right="-85"/>
              <w:jc w:val="right"/>
              <w:rPr>
                <w:rFonts w:eastAsia="Batang" w:cs="Arial"/>
                <w:highlight w:val="yellow"/>
                <w:lang w:eastAsia="ko-KR"/>
              </w:rPr>
            </w:pPr>
            <w:r w:rsidRPr="007C5040">
              <w:t>118</w:t>
            </w:r>
            <w:r>
              <w:t>,</w:t>
            </w:r>
            <w:r w:rsidRPr="007C5040">
              <w:t>908</w:t>
            </w:r>
            <w:r>
              <w:t>,</w:t>
            </w:r>
            <w:r w:rsidRPr="007C5040">
              <w:t>742</w:t>
            </w:r>
            <w:r>
              <w:t>,</w:t>
            </w:r>
            <w:r w:rsidRPr="007C5040">
              <w:t xml:space="preserve">569 </w:t>
            </w:r>
          </w:p>
        </w:tc>
        <w:tc>
          <w:tcPr>
            <w:tcW w:w="1987" w:type="dxa"/>
            <w:vAlign w:val="bottom"/>
          </w:tcPr>
          <w:p w14:paraId="55432518" w14:textId="3630D9FF" w:rsidR="00D12105" w:rsidRPr="002A0B87" w:rsidRDefault="00D12105" w:rsidP="00D12105">
            <w:pPr>
              <w:widowControl w:val="0"/>
              <w:spacing w:before="120"/>
              <w:ind w:left="58" w:right="-85"/>
              <w:jc w:val="right"/>
              <w:rPr>
                <w:rFonts w:eastAsia="Batang" w:cs="Arial"/>
                <w:lang w:eastAsia="ko-KR"/>
              </w:rPr>
            </w:pPr>
            <w:r w:rsidRPr="007C5040">
              <w:t>183</w:t>
            </w:r>
            <w:r>
              <w:t>,</w:t>
            </w:r>
            <w:r w:rsidRPr="007C5040">
              <w:t>339</w:t>
            </w:r>
            <w:r>
              <w:t>,</w:t>
            </w:r>
            <w:r w:rsidRPr="007C5040">
              <w:t>389</w:t>
            </w:r>
            <w:r>
              <w:t>,</w:t>
            </w:r>
            <w:r w:rsidRPr="007C5040">
              <w:t xml:space="preserve">419 </w:t>
            </w:r>
          </w:p>
        </w:tc>
      </w:tr>
      <w:tr w:rsidR="00D12105" w:rsidRPr="002A0B87" w14:paraId="6033AF2E" w14:textId="77777777" w:rsidTr="00D12105">
        <w:trPr>
          <w:trHeight w:val="20"/>
        </w:trPr>
        <w:tc>
          <w:tcPr>
            <w:tcW w:w="4205" w:type="dxa"/>
          </w:tcPr>
          <w:p w14:paraId="008F30EF" w14:textId="42384957" w:rsidR="00D12105" w:rsidRPr="002A0B87" w:rsidRDefault="00D12105" w:rsidP="00D12105">
            <w:pPr>
              <w:keepNext/>
              <w:suppressAutoHyphens/>
              <w:overflowPunct/>
              <w:autoSpaceDE/>
              <w:autoSpaceDN/>
              <w:adjustRightInd/>
              <w:ind w:left="245" w:hanging="360"/>
              <w:textAlignment w:val="auto"/>
              <w:outlineLvl w:val="6"/>
              <w:rPr>
                <w:rFonts w:eastAsia="Batang" w:cs="Arial"/>
                <w:i/>
                <w:iCs/>
                <w:lang w:eastAsia="ko-KR"/>
              </w:rPr>
            </w:pPr>
            <w:r w:rsidRPr="002A0B87">
              <w:rPr>
                <w:rFonts w:eastAsia="Batang" w:cs="Arial"/>
                <w:i/>
                <w:iCs/>
                <w:lang w:eastAsia="ko-KR"/>
              </w:rPr>
              <w:t>-</w:t>
            </w:r>
            <w:r w:rsidRPr="002A0B87">
              <w:rPr>
                <w:rFonts w:eastAsia="Batang" w:cs="Arial"/>
                <w:i/>
                <w:iCs/>
                <w:lang w:eastAsia="ko-KR"/>
              </w:rPr>
              <w:tab/>
            </w:r>
            <w:r w:rsidRPr="00EB3EA5">
              <w:rPr>
                <w:rFonts w:eastAsia="Batang" w:cs="Arial"/>
                <w:i/>
                <w:iCs/>
                <w:lang w:eastAsia="ko-KR"/>
              </w:rPr>
              <w:t>Payables to domestic investors for deposits for securities trading activities managed by the Company</w:t>
            </w:r>
          </w:p>
        </w:tc>
        <w:tc>
          <w:tcPr>
            <w:tcW w:w="1987" w:type="dxa"/>
            <w:vAlign w:val="bottom"/>
          </w:tcPr>
          <w:p w14:paraId="1054FE58" w14:textId="7A6973AC" w:rsidR="00D12105" w:rsidRPr="00D12105" w:rsidRDefault="00D12105" w:rsidP="00D12105">
            <w:pPr>
              <w:widowControl w:val="0"/>
              <w:ind w:left="58" w:right="-85"/>
              <w:jc w:val="right"/>
              <w:rPr>
                <w:rFonts w:eastAsia="Batang" w:cs="Arial"/>
                <w:i/>
                <w:iCs/>
                <w:highlight w:val="yellow"/>
                <w:lang w:eastAsia="ko-KR"/>
              </w:rPr>
            </w:pPr>
            <w:r w:rsidRPr="00D12105">
              <w:rPr>
                <w:i/>
                <w:iCs/>
              </w:rPr>
              <w:t>117</w:t>
            </w:r>
            <w:r>
              <w:rPr>
                <w:i/>
                <w:iCs/>
              </w:rPr>
              <w:t>,</w:t>
            </w:r>
            <w:r w:rsidRPr="00D12105">
              <w:rPr>
                <w:i/>
                <w:iCs/>
              </w:rPr>
              <w:t>442</w:t>
            </w:r>
            <w:r>
              <w:rPr>
                <w:i/>
                <w:iCs/>
              </w:rPr>
              <w:t>,</w:t>
            </w:r>
            <w:r w:rsidRPr="00D12105">
              <w:rPr>
                <w:i/>
                <w:iCs/>
              </w:rPr>
              <w:t>962</w:t>
            </w:r>
            <w:r>
              <w:rPr>
                <w:i/>
                <w:iCs/>
              </w:rPr>
              <w:t>,</w:t>
            </w:r>
            <w:r w:rsidRPr="00D12105">
              <w:rPr>
                <w:i/>
                <w:iCs/>
              </w:rPr>
              <w:t>389</w:t>
            </w:r>
          </w:p>
        </w:tc>
        <w:tc>
          <w:tcPr>
            <w:tcW w:w="1987" w:type="dxa"/>
            <w:vAlign w:val="bottom"/>
          </w:tcPr>
          <w:p w14:paraId="27AE2E51" w14:textId="6FAF1034" w:rsidR="00D12105" w:rsidRPr="00D12105" w:rsidRDefault="00D12105" w:rsidP="00D12105">
            <w:pPr>
              <w:widowControl w:val="0"/>
              <w:ind w:left="58" w:right="-85"/>
              <w:jc w:val="right"/>
              <w:rPr>
                <w:rFonts w:eastAsia="Batang" w:cs="Arial"/>
                <w:i/>
                <w:iCs/>
                <w:lang w:eastAsia="ko-KR"/>
              </w:rPr>
            </w:pPr>
            <w:r w:rsidRPr="00D12105">
              <w:rPr>
                <w:i/>
                <w:iCs/>
              </w:rPr>
              <w:t>177</w:t>
            </w:r>
            <w:r>
              <w:rPr>
                <w:i/>
                <w:iCs/>
              </w:rPr>
              <w:t>,</w:t>
            </w:r>
            <w:r w:rsidRPr="00D12105">
              <w:rPr>
                <w:i/>
                <w:iCs/>
              </w:rPr>
              <w:t>857</w:t>
            </w:r>
            <w:r>
              <w:rPr>
                <w:i/>
                <w:iCs/>
              </w:rPr>
              <w:t>,</w:t>
            </w:r>
            <w:r w:rsidRPr="00D12105">
              <w:rPr>
                <w:i/>
                <w:iCs/>
              </w:rPr>
              <w:t>542</w:t>
            </w:r>
            <w:r>
              <w:rPr>
                <w:i/>
                <w:iCs/>
              </w:rPr>
              <w:t>,</w:t>
            </w:r>
            <w:r w:rsidRPr="00D12105">
              <w:rPr>
                <w:i/>
                <w:iCs/>
              </w:rPr>
              <w:t xml:space="preserve">031 </w:t>
            </w:r>
          </w:p>
        </w:tc>
      </w:tr>
      <w:tr w:rsidR="00D12105" w:rsidRPr="002A0B87" w14:paraId="3544D81B" w14:textId="77777777" w:rsidTr="00D12105">
        <w:trPr>
          <w:trHeight w:val="20"/>
        </w:trPr>
        <w:tc>
          <w:tcPr>
            <w:tcW w:w="4205" w:type="dxa"/>
            <w:hideMark/>
          </w:tcPr>
          <w:p w14:paraId="1DA789CD" w14:textId="16B7DBFF" w:rsidR="00D12105" w:rsidRPr="002A0B87" w:rsidRDefault="00D12105" w:rsidP="00D12105">
            <w:pPr>
              <w:keepNext/>
              <w:suppressAutoHyphens/>
              <w:overflowPunct/>
              <w:autoSpaceDE/>
              <w:autoSpaceDN/>
              <w:adjustRightInd/>
              <w:ind w:left="245" w:hanging="360"/>
              <w:textAlignment w:val="auto"/>
              <w:outlineLvl w:val="6"/>
              <w:rPr>
                <w:rFonts w:eastAsia="Batang" w:cs="Arial"/>
                <w:i/>
                <w:iCs/>
                <w:lang w:eastAsia="ko-KR"/>
              </w:rPr>
            </w:pPr>
            <w:r w:rsidRPr="002A0B87">
              <w:rPr>
                <w:rFonts w:eastAsia="Batang" w:cs="Arial"/>
                <w:i/>
                <w:iCs/>
                <w:lang w:eastAsia="ko-KR"/>
              </w:rPr>
              <w:t>-</w:t>
            </w:r>
            <w:r w:rsidRPr="002A0B87">
              <w:rPr>
                <w:rFonts w:eastAsia="Batang" w:cs="Arial"/>
                <w:i/>
                <w:iCs/>
                <w:lang w:eastAsia="ko-KR"/>
              </w:rPr>
              <w:tab/>
            </w:r>
            <w:r w:rsidRPr="003022E3">
              <w:rPr>
                <w:rFonts w:cs="Arial"/>
                <w:i/>
              </w:rPr>
              <w:t>Payables to foreign investors for deposits for securities trading activities managed by the Company</w:t>
            </w:r>
          </w:p>
        </w:tc>
        <w:tc>
          <w:tcPr>
            <w:tcW w:w="1987" w:type="dxa"/>
            <w:vAlign w:val="bottom"/>
          </w:tcPr>
          <w:p w14:paraId="3F5E4CBF" w14:textId="43CEFCD4" w:rsidR="00D12105" w:rsidRPr="00D12105" w:rsidRDefault="00D12105" w:rsidP="00D12105">
            <w:pPr>
              <w:widowControl w:val="0"/>
              <w:pBdr>
                <w:bottom w:val="single" w:sz="4" w:space="0" w:color="auto"/>
              </w:pBdr>
              <w:ind w:left="58" w:right="-85"/>
              <w:jc w:val="right"/>
              <w:rPr>
                <w:rFonts w:eastAsia="Batang" w:cs="Arial"/>
                <w:i/>
                <w:iCs/>
                <w:highlight w:val="yellow"/>
                <w:lang w:eastAsia="ko-KR"/>
              </w:rPr>
            </w:pPr>
            <w:r w:rsidRPr="00D12105">
              <w:rPr>
                <w:i/>
                <w:iCs/>
              </w:rPr>
              <w:t>1</w:t>
            </w:r>
            <w:r>
              <w:rPr>
                <w:i/>
                <w:iCs/>
              </w:rPr>
              <w:t>,</w:t>
            </w:r>
            <w:r w:rsidRPr="00D12105">
              <w:rPr>
                <w:i/>
                <w:iCs/>
              </w:rPr>
              <w:t>465</w:t>
            </w:r>
            <w:r>
              <w:rPr>
                <w:i/>
                <w:iCs/>
              </w:rPr>
              <w:t>,</w:t>
            </w:r>
            <w:r w:rsidRPr="00D12105">
              <w:rPr>
                <w:i/>
                <w:iCs/>
              </w:rPr>
              <w:t>780</w:t>
            </w:r>
            <w:r>
              <w:rPr>
                <w:i/>
                <w:iCs/>
              </w:rPr>
              <w:t>,</w:t>
            </w:r>
            <w:r w:rsidRPr="00D12105">
              <w:rPr>
                <w:i/>
                <w:iCs/>
              </w:rPr>
              <w:t>180</w:t>
            </w:r>
          </w:p>
        </w:tc>
        <w:tc>
          <w:tcPr>
            <w:tcW w:w="1987" w:type="dxa"/>
            <w:vAlign w:val="bottom"/>
          </w:tcPr>
          <w:p w14:paraId="1FB31BF9" w14:textId="6CFB42D4" w:rsidR="00D12105" w:rsidRPr="00D12105" w:rsidRDefault="00D12105" w:rsidP="00D12105">
            <w:pPr>
              <w:widowControl w:val="0"/>
              <w:pBdr>
                <w:bottom w:val="single" w:sz="4" w:space="0" w:color="auto"/>
              </w:pBdr>
              <w:ind w:left="58" w:right="-85"/>
              <w:jc w:val="right"/>
              <w:rPr>
                <w:rFonts w:eastAsia="Batang" w:cs="Arial"/>
                <w:i/>
                <w:iCs/>
                <w:lang w:eastAsia="ko-KR"/>
              </w:rPr>
            </w:pPr>
            <w:r w:rsidRPr="00D12105">
              <w:rPr>
                <w:i/>
                <w:iCs/>
              </w:rPr>
              <w:t>5</w:t>
            </w:r>
            <w:r>
              <w:rPr>
                <w:i/>
                <w:iCs/>
              </w:rPr>
              <w:t>,</w:t>
            </w:r>
            <w:r w:rsidRPr="00D12105">
              <w:rPr>
                <w:i/>
                <w:iCs/>
              </w:rPr>
              <w:t>481</w:t>
            </w:r>
            <w:r>
              <w:rPr>
                <w:i/>
                <w:iCs/>
              </w:rPr>
              <w:t>,</w:t>
            </w:r>
            <w:r w:rsidRPr="00D12105">
              <w:rPr>
                <w:i/>
                <w:iCs/>
              </w:rPr>
              <w:t>847</w:t>
            </w:r>
            <w:r>
              <w:rPr>
                <w:i/>
                <w:iCs/>
              </w:rPr>
              <w:t>,</w:t>
            </w:r>
            <w:r w:rsidRPr="00D12105">
              <w:rPr>
                <w:i/>
                <w:iCs/>
              </w:rPr>
              <w:t xml:space="preserve">388 </w:t>
            </w:r>
          </w:p>
        </w:tc>
      </w:tr>
      <w:tr w:rsidR="00D12105" w:rsidRPr="002A0B87" w14:paraId="551CB947" w14:textId="77777777" w:rsidTr="00D12105">
        <w:trPr>
          <w:trHeight w:val="20"/>
        </w:trPr>
        <w:tc>
          <w:tcPr>
            <w:tcW w:w="4205" w:type="dxa"/>
            <w:vAlign w:val="bottom"/>
          </w:tcPr>
          <w:p w14:paraId="2D234393" w14:textId="663A73C4" w:rsidR="00D12105" w:rsidRPr="002A0B87" w:rsidRDefault="00D12105" w:rsidP="00D12105">
            <w:pPr>
              <w:widowControl w:val="0"/>
              <w:spacing w:before="120"/>
              <w:ind w:left="-115"/>
              <w:rPr>
                <w:rFonts w:cs="Arial"/>
                <w:b/>
              </w:rPr>
            </w:pPr>
            <w:r>
              <w:rPr>
                <w:rFonts w:cs="Arial"/>
                <w:b/>
              </w:rPr>
              <w:t xml:space="preserve">  </w:t>
            </w:r>
          </w:p>
        </w:tc>
        <w:tc>
          <w:tcPr>
            <w:tcW w:w="1987" w:type="dxa"/>
            <w:vAlign w:val="bottom"/>
          </w:tcPr>
          <w:p w14:paraId="3CE427FC" w14:textId="25BFBC4F" w:rsidR="00D12105" w:rsidRPr="00D12105" w:rsidRDefault="00D12105" w:rsidP="00D12105">
            <w:pPr>
              <w:widowControl w:val="0"/>
              <w:pBdr>
                <w:bottom w:val="double" w:sz="4" w:space="0" w:color="auto"/>
              </w:pBdr>
              <w:spacing w:before="120"/>
              <w:ind w:left="58" w:right="-85"/>
              <w:jc w:val="right"/>
              <w:rPr>
                <w:rFonts w:eastAsia="Batang" w:cs="Arial"/>
                <w:b/>
                <w:bCs/>
                <w:highlight w:val="yellow"/>
                <w:lang w:eastAsia="ko-KR"/>
              </w:rPr>
            </w:pPr>
            <w:r w:rsidRPr="00D12105">
              <w:rPr>
                <w:b/>
                <w:bCs/>
              </w:rPr>
              <w:t>118</w:t>
            </w:r>
            <w:r>
              <w:rPr>
                <w:b/>
                <w:bCs/>
              </w:rPr>
              <w:t>,</w:t>
            </w:r>
            <w:r w:rsidRPr="00D12105">
              <w:rPr>
                <w:b/>
                <w:bCs/>
              </w:rPr>
              <w:t>908</w:t>
            </w:r>
            <w:r>
              <w:rPr>
                <w:b/>
                <w:bCs/>
              </w:rPr>
              <w:t>,</w:t>
            </w:r>
            <w:r w:rsidRPr="00D12105">
              <w:rPr>
                <w:b/>
                <w:bCs/>
              </w:rPr>
              <w:t>742</w:t>
            </w:r>
            <w:r>
              <w:rPr>
                <w:b/>
                <w:bCs/>
              </w:rPr>
              <w:t>,</w:t>
            </w:r>
            <w:r w:rsidRPr="00D12105">
              <w:rPr>
                <w:b/>
                <w:bCs/>
              </w:rPr>
              <w:t>569</w:t>
            </w:r>
          </w:p>
        </w:tc>
        <w:tc>
          <w:tcPr>
            <w:tcW w:w="1987" w:type="dxa"/>
            <w:vAlign w:val="bottom"/>
            <w:hideMark/>
          </w:tcPr>
          <w:p w14:paraId="17DEB043" w14:textId="67F22FE9" w:rsidR="00D12105" w:rsidRPr="00D12105" w:rsidRDefault="00D12105" w:rsidP="00D12105">
            <w:pPr>
              <w:widowControl w:val="0"/>
              <w:pBdr>
                <w:bottom w:val="double" w:sz="4" w:space="0" w:color="auto"/>
              </w:pBdr>
              <w:spacing w:before="120"/>
              <w:ind w:left="58" w:right="-85"/>
              <w:jc w:val="right"/>
              <w:rPr>
                <w:rFonts w:cs="Arial"/>
                <w:b/>
                <w:bCs/>
              </w:rPr>
            </w:pPr>
            <w:r w:rsidRPr="00D12105">
              <w:rPr>
                <w:b/>
                <w:bCs/>
              </w:rPr>
              <w:t>183</w:t>
            </w:r>
            <w:r>
              <w:rPr>
                <w:b/>
                <w:bCs/>
              </w:rPr>
              <w:t>,</w:t>
            </w:r>
            <w:r w:rsidRPr="00D12105">
              <w:rPr>
                <w:b/>
                <w:bCs/>
              </w:rPr>
              <w:t>339</w:t>
            </w:r>
            <w:r>
              <w:rPr>
                <w:b/>
                <w:bCs/>
              </w:rPr>
              <w:t>,</w:t>
            </w:r>
            <w:r w:rsidRPr="00D12105">
              <w:rPr>
                <w:b/>
                <w:bCs/>
              </w:rPr>
              <w:t>389</w:t>
            </w:r>
            <w:r>
              <w:rPr>
                <w:b/>
                <w:bCs/>
              </w:rPr>
              <w:t>,</w:t>
            </w:r>
            <w:r w:rsidRPr="00D12105">
              <w:rPr>
                <w:b/>
                <w:bCs/>
              </w:rPr>
              <w:t xml:space="preserve">419 </w:t>
            </w:r>
          </w:p>
        </w:tc>
      </w:tr>
    </w:tbl>
    <w:p w14:paraId="49FCC8CF" w14:textId="77777777" w:rsidR="00704326" w:rsidRPr="002A0B87" w:rsidRDefault="00704326" w:rsidP="00760439">
      <w:pPr>
        <w:pStyle w:val="NoSpacing"/>
      </w:pPr>
    </w:p>
    <w:p w14:paraId="2C2D150B" w14:textId="26A0CB02" w:rsidR="00DE3A75" w:rsidRPr="00B00C7A" w:rsidRDefault="00770267" w:rsidP="00DE3A75">
      <w:pPr>
        <w:pStyle w:val="Heading2"/>
        <w:rPr>
          <w:rFonts w:cs="Arial"/>
          <w:b w:val="0"/>
          <w:i w:val="0"/>
          <w:color w:val="000000" w:themeColor="text1"/>
          <w:lang w:val="en-US"/>
        </w:rPr>
      </w:pPr>
      <w:r>
        <w:rPr>
          <w:rFonts w:cs="Arial"/>
          <w:color w:val="000000" w:themeColor="text1"/>
          <w:lang w:val="en-US"/>
        </w:rPr>
        <w:t>19.8</w:t>
      </w:r>
      <w:r w:rsidR="00DE3A75" w:rsidRPr="00B00C7A">
        <w:rPr>
          <w:rFonts w:cs="Arial"/>
          <w:color w:val="000000" w:themeColor="text1"/>
          <w:lang w:val="vi-VN"/>
        </w:rPr>
        <w:tab/>
      </w:r>
      <w:r w:rsidR="00704652" w:rsidRPr="00704652">
        <w:rPr>
          <w:rFonts w:cs="Arial"/>
          <w:color w:val="000000" w:themeColor="text1"/>
          <w:lang w:val="vi-VN"/>
        </w:rPr>
        <w:t>Investors’ payables for services of securities company</w:t>
      </w:r>
      <w:r w:rsidR="00704652" w:rsidRPr="00704652" w:rsidDel="00704652">
        <w:rPr>
          <w:rFonts w:cs="Arial"/>
          <w:color w:val="000000" w:themeColor="text1"/>
          <w:lang w:val="vi-VN"/>
        </w:rPr>
        <w:t xml:space="preserve"> </w:t>
      </w:r>
    </w:p>
    <w:p w14:paraId="588D17D8" w14:textId="77777777" w:rsidR="00DE3A75" w:rsidRPr="00B00C7A" w:rsidRDefault="00DE3A75" w:rsidP="00DE3A75">
      <w:pPr>
        <w:pStyle w:val="NoSpacing"/>
        <w:rPr>
          <w:lang w:val="de-DE"/>
        </w:rPr>
      </w:pPr>
    </w:p>
    <w:tbl>
      <w:tblPr>
        <w:tblW w:w="8179" w:type="dxa"/>
        <w:tblInd w:w="720" w:type="dxa"/>
        <w:tblLayout w:type="fixed"/>
        <w:tblLook w:val="01E0" w:firstRow="1" w:lastRow="1" w:firstColumn="1" w:lastColumn="1" w:noHBand="0" w:noVBand="0"/>
      </w:tblPr>
      <w:tblGrid>
        <w:gridCol w:w="4205"/>
        <w:gridCol w:w="1987"/>
        <w:gridCol w:w="1987"/>
      </w:tblGrid>
      <w:tr w:rsidR="00DE3A75" w:rsidRPr="002D7FB7" w14:paraId="61BD0A9B" w14:textId="77777777" w:rsidTr="00770267">
        <w:trPr>
          <w:trHeight w:val="20"/>
          <w:tblHeader/>
        </w:trPr>
        <w:tc>
          <w:tcPr>
            <w:tcW w:w="4205" w:type="dxa"/>
            <w:vAlign w:val="bottom"/>
          </w:tcPr>
          <w:p w14:paraId="37D892EF" w14:textId="77777777" w:rsidR="00DE3A75" w:rsidRPr="00B00C7A" w:rsidRDefault="00DE3A75" w:rsidP="000A1EE5">
            <w:pPr>
              <w:widowControl w:val="0"/>
              <w:overflowPunct/>
              <w:autoSpaceDE/>
              <w:autoSpaceDN/>
              <w:adjustRightInd/>
              <w:ind w:left="-115"/>
              <w:textAlignment w:val="auto"/>
              <w:rPr>
                <w:rFonts w:eastAsia="Batang" w:cs="Arial"/>
                <w:i/>
                <w:color w:val="000000" w:themeColor="text1"/>
                <w:lang w:val="es-ES"/>
              </w:rPr>
            </w:pPr>
          </w:p>
        </w:tc>
        <w:tc>
          <w:tcPr>
            <w:tcW w:w="1987" w:type="dxa"/>
            <w:vAlign w:val="bottom"/>
            <w:hideMark/>
          </w:tcPr>
          <w:p w14:paraId="0A89B005" w14:textId="5C480ABF" w:rsidR="00DE3A75" w:rsidRPr="00B00C7A" w:rsidRDefault="00DE3A75" w:rsidP="000A1EE5">
            <w:pPr>
              <w:widowControl w:val="0"/>
              <w:pBdr>
                <w:bottom w:val="single" w:sz="4" w:space="0" w:color="auto"/>
              </w:pBdr>
              <w:overflowPunct/>
              <w:autoSpaceDE/>
              <w:autoSpaceDN/>
              <w:adjustRightInd/>
              <w:ind w:left="57" w:right="-85"/>
              <w:jc w:val="right"/>
              <w:textAlignment w:val="auto"/>
              <w:rPr>
                <w:rFonts w:eastAsia="Batang" w:cs="Arial"/>
                <w:bCs/>
                <w:i/>
                <w:color w:val="000000" w:themeColor="text1"/>
              </w:rPr>
            </w:pPr>
            <w:r w:rsidRPr="002D7FB7">
              <w:rPr>
                <w:rFonts w:eastAsia="Batang" w:cs="Arial"/>
                <w:bCs/>
                <w:i/>
                <w:color w:val="000000" w:themeColor="text1"/>
              </w:rPr>
              <w:t>3</w:t>
            </w:r>
            <w:r w:rsidR="008A65F7">
              <w:rPr>
                <w:rFonts w:eastAsia="Batang" w:cs="Arial"/>
                <w:bCs/>
                <w:i/>
                <w:color w:val="000000" w:themeColor="text1"/>
              </w:rPr>
              <w:t>1</w:t>
            </w:r>
            <w:r w:rsidRPr="002D7FB7">
              <w:rPr>
                <w:rFonts w:eastAsia="Batang" w:cs="Arial"/>
                <w:bCs/>
                <w:i/>
                <w:color w:val="000000" w:themeColor="text1"/>
              </w:rPr>
              <w:t>/</w:t>
            </w:r>
            <w:r w:rsidR="008A65F7">
              <w:rPr>
                <w:rFonts w:eastAsia="Batang" w:cs="Arial"/>
                <w:bCs/>
                <w:i/>
                <w:color w:val="000000" w:themeColor="text1"/>
              </w:rPr>
              <w:t>12</w:t>
            </w:r>
            <w:r w:rsidRPr="002D7FB7">
              <w:rPr>
                <w:rFonts w:eastAsia="Batang" w:cs="Arial"/>
                <w:bCs/>
                <w:i/>
                <w:color w:val="000000" w:themeColor="text1"/>
              </w:rPr>
              <w:t>/2021</w:t>
            </w:r>
          </w:p>
          <w:p w14:paraId="5F327772" w14:textId="77777777" w:rsidR="00DE3A75" w:rsidRPr="00B00C7A" w:rsidRDefault="00DE3A75" w:rsidP="000A1EE5">
            <w:pPr>
              <w:widowControl w:val="0"/>
              <w:pBdr>
                <w:bottom w:val="single" w:sz="4" w:space="0" w:color="auto"/>
              </w:pBdr>
              <w:ind w:left="57" w:right="-85"/>
              <w:jc w:val="right"/>
              <w:rPr>
                <w:rFonts w:cs="Arial"/>
                <w:bCs/>
                <w:i/>
                <w:color w:val="000000" w:themeColor="text1"/>
              </w:rPr>
            </w:pPr>
            <w:r w:rsidRPr="00B00C7A">
              <w:rPr>
                <w:rFonts w:eastAsia="Batang" w:cs="Arial"/>
                <w:i/>
                <w:iCs/>
                <w:color w:val="000000" w:themeColor="text1"/>
              </w:rPr>
              <w:t>VND</w:t>
            </w:r>
          </w:p>
        </w:tc>
        <w:tc>
          <w:tcPr>
            <w:tcW w:w="1987" w:type="dxa"/>
            <w:vAlign w:val="bottom"/>
            <w:hideMark/>
          </w:tcPr>
          <w:p w14:paraId="2E1D4321" w14:textId="77777777" w:rsidR="00DE3A75" w:rsidRPr="00B00C7A" w:rsidRDefault="00DE3A75" w:rsidP="000A1EE5">
            <w:pPr>
              <w:widowControl w:val="0"/>
              <w:pBdr>
                <w:bottom w:val="single" w:sz="4" w:space="0" w:color="auto"/>
              </w:pBdr>
              <w:overflowPunct/>
              <w:autoSpaceDE/>
              <w:autoSpaceDN/>
              <w:adjustRightInd/>
              <w:ind w:left="57" w:right="-85"/>
              <w:jc w:val="right"/>
              <w:textAlignment w:val="auto"/>
              <w:rPr>
                <w:rFonts w:eastAsia="Batang" w:cs="Arial"/>
                <w:bCs/>
                <w:i/>
                <w:color w:val="000000" w:themeColor="text1"/>
              </w:rPr>
            </w:pPr>
            <w:r w:rsidRPr="002D7FB7">
              <w:rPr>
                <w:rFonts w:eastAsia="Batang" w:cs="Arial"/>
                <w:bCs/>
                <w:i/>
                <w:color w:val="000000" w:themeColor="text1"/>
              </w:rPr>
              <w:t>31/12/2020</w:t>
            </w:r>
          </w:p>
          <w:p w14:paraId="33A5265A" w14:textId="77777777" w:rsidR="00DE3A75" w:rsidRPr="00B00C7A" w:rsidRDefault="00DE3A75" w:rsidP="000A1EE5">
            <w:pPr>
              <w:widowControl w:val="0"/>
              <w:pBdr>
                <w:bottom w:val="single" w:sz="4" w:space="0" w:color="auto"/>
              </w:pBdr>
              <w:ind w:left="57" w:right="-85"/>
              <w:jc w:val="right"/>
              <w:rPr>
                <w:rFonts w:cs="Arial"/>
                <w:bCs/>
                <w:i/>
                <w:color w:val="000000" w:themeColor="text1"/>
              </w:rPr>
            </w:pPr>
            <w:r w:rsidRPr="00B00C7A">
              <w:rPr>
                <w:rFonts w:eastAsia="Batang" w:cs="Arial"/>
                <w:i/>
                <w:iCs/>
                <w:color w:val="000000" w:themeColor="text1"/>
              </w:rPr>
              <w:t xml:space="preserve">VND </w:t>
            </w:r>
          </w:p>
        </w:tc>
      </w:tr>
      <w:tr w:rsidR="00323FC7" w:rsidRPr="002D7FB7" w14:paraId="3DAF2BE0" w14:textId="77777777" w:rsidTr="005B5323">
        <w:trPr>
          <w:trHeight w:val="20"/>
        </w:trPr>
        <w:tc>
          <w:tcPr>
            <w:tcW w:w="4205" w:type="dxa"/>
            <w:vAlign w:val="bottom"/>
            <w:hideMark/>
          </w:tcPr>
          <w:p w14:paraId="2C4CDA31" w14:textId="0198E0A0" w:rsidR="00323FC7" w:rsidRPr="00B00C7A" w:rsidRDefault="00323FC7" w:rsidP="00323FC7">
            <w:pPr>
              <w:widowControl w:val="0"/>
              <w:spacing w:before="120"/>
              <w:ind w:left="-115" w:right="-86"/>
              <w:rPr>
                <w:rFonts w:cs="Arial"/>
                <w:b/>
                <w:color w:val="000000" w:themeColor="text1"/>
              </w:rPr>
            </w:pPr>
            <w:r w:rsidRPr="00256611">
              <w:rPr>
                <w:rFonts w:cs="Arial"/>
                <w:b/>
                <w:color w:val="000000" w:themeColor="text1"/>
              </w:rPr>
              <w:t>Payables for margin lending activities</w:t>
            </w:r>
          </w:p>
        </w:tc>
        <w:tc>
          <w:tcPr>
            <w:tcW w:w="1987" w:type="dxa"/>
          </w:tcPr>
          <w:p w14:paraId="1B5B4346" w14:textId="5C794018" w:rsidR="00323FC7" w:rsidRPr="00323FC7" w:rsidRDefault="00323FC7" w:rsidP="00323FC7">
            <w:pPr>
              <w:widowControl w:val="0"/>
              <w:spacing w:before="120"/>
              <w:ind w:right="-85"/>
              <w:jc w:val="right"/>
              <w:rPr>
                <w:rFonts w:eastAsia="Batang" w:cs="Arial"/>
                <w:b/>
                <w:bCs/>
                <w:color w:val="000000" w:themeColor="text1"/>
                <w:highlight w:val="yellow"/>
                <w:lang w:eastAsia="ko-KR"/>
              </w:rPr>
            </w:pPr>
            <w:r w:rsidRPr="00323FC7">
              <w:rPr>
                <w:b/>
                <w:bCs/>
              </w:rPr>
              <w:t>816</w:t>
            </w:r>
            <w:r w:rsidR="00431B71">
              <w:rPr>
                <w:b/>
                <w:bCs/>
              </w:rPr>
              <w:t>,</w:t>
            </w:r>
            <w:r w:rsidRPr="00323FC7">
              <w:rPr>
                <w:b/>
                <w:bCs/>
              </w:rPr>
              <w:t>513</w:t>
            </w:r>
            <w:r w:rsidR="00431B71">
              <w:rPr>
                <w:b/>
                <w:bCs/>
              </w:rPr>
              <w:t>,</w:t>
            </w:r>
            <w:r w:rsidRPr="00323FC7">
              <w:rPr>
                <w:b/>
                <w:bCs/>
              </w:rPr>
              <w:t>320</w:t>
            </w:r>
            <w:r w:rsidR="00431B71">
              <w:rPr>
                <w:b/>
                <w:bCs/>
              </w:rPr>
              <w:t>,</w:t>
            </w:r>
            <w:r w:rsidRPr="00323FC7">
              <w:rPr>
                <w:b/>
                <w:bCs/>
              </w:rPr>
              <w:t xml:space="preserve">422 </w:t>
            </w:r>
          </w:p>
        </w:tc>
        <w:tc>
          <w:tcPr>
            <w:tcW w:w="1987" w:type="dxa"/>
          </w:tcPr>
          <w:p w14:paraId="1730941F" w14:textId="3F40B4C2" w:rsidR="00323FC7" w:rsidRPr="00323FC7" w:rsidRDefault="00323FC7" w:rsidP="00323FC7">
            <w:pPr>
              <w:widowControl w:val="0"/>
              <w:spacing w:before="120"/>
              <w:ind w:right="-85"/>
              <w:jc w:val="right"/>
              <w:rPr>
                <w:rFonts w:eastAsia="Batang" w:cs="Arial"/>
                <w:b/>
                <w:bCs/>
                <w:color w:val="000000" w:themeColor="text1"/>
                <w:highlight w:val="yellow"/>
                <w:lang w:eastAsia="ko-KR"/>
              </w:rPr>
            </w:pPr>
            <w:r w:rsidRPr="00323FC7">
              <w:rPr>
                <w:b/>
                <w:bCs/>
              </w:rPr>
              <w:t>1</w:t>
            </w:r>
            <w:r w:rsidR="00431B71">
              <w:rPr>
                <w:b/>
                <w:bCs/>
              </w:rPr>
              <w:t>,</w:t>
            </w:r>
            <w:r w:rsidRPr="00323FC7">
              <w:rPr>
                <w:b/>
                <w:bCs/>
              </w:rPr>
              <w:t>073</w:t>
            </w:r>
            <w:r w:rsidR="00431B71">
              <w:rPr>
                <w:b/>
                <w:bCs/>
              </w:rPr>
              <w:t>,</w:t>
            </w:r>
            <w:r w:rsidRPr="00323FC7">
              <w:rPr>
                <w:b/>
                <w:bCs/>
              </w:rPr>
              <w:t>087</w:t>
            </w:r>
            <w:r w:rsidR="00431B71">
              <w:rPr>
                <w:b/>
                <w:bCs/>
              </w:rPr>
              <w:t>,</w:t>
            </w:r>
            <w:r w:rsidRPr="00323FC7">
              <w:rPr>
                <w:b/>
                <w:bCs/>
              </w:rPr>
              <w:t>222</w:t>
            </w:r>
            <w:r w:rsidR="00431B71">
              <w:rPr>
                <w:b/>
                <w:bCs/>
              </w:rPr>
              <w:t>,</w:t>
            </w:r>
            <w:r w:rsidRPr="00323FC7">
              <w:rPr>
                <w:b/>
                <w:bCs/>
              </w:rPr>
              <w:t xml:space="preserve">743 </w:t>
            </w:r>
          </w:p>
        </w:tc>
      </w:tr>
      <w:tr w:rsidR="00323FC7" w:rsidRPr="002D7FB7" w14:paraId="59E4C089" w14:textId="77777777" w:rsidTr="005B5323">
        <w:trPr>
          <w:trHeight w:val="20"/>
        </w:trPr>
        <w:tc>
          <w:tcPr>
            <w:tcW w:w="4205" w:type="dxa"/>
            <w:vAlign w:val="bottom"/>
          </w:tcPr>
          <w:p w14:paraId="0432F636" w14:textId="5311DB0D" w:rsidR="00323FC7" w:rsidRPr="00B00C7A" w:rsidRDefault="00323FC7" w:rsidP="00323FC7">
            <w:pPr>
              <w:widowControl w:val="0"/>
              <w:ind w:left="-115"/>
              <w:rPr>
                <w:rFonts w:cs="Arial"/>
                <w:color w:val="000000" w:themeColor="text1"/>
              </w:rPr>
            </w:pPr>
            <w:r w:rsidRPr="00CC589B">
              <w:rPr>
                <w:rFonts w:cs="Arial"/>
                <w:color w:val="000000" w:themeColor="text1"/>
              </w:rPr>
              <w:t>Principal payables for margin lending activities</w:t>
            </w:r>
          </w:p>
        </w:tc>
        <w:tc>
          <w:tcPr>
            <w:tcW w:w="1987" w:type="dxa"/>
          </w:tcPr>
          <w:p w14:paraId="321C342F" w14:textId="5D1793D9" w:rsidR="00323FC7" w:rsidRPr="00770267" w:rsidRDefault="00323FC7" w:rsidP="00323FC7">
            <w:pPr>
              <w:widowControl w:val="0"/>
              <w:ind w:right="-85"/>
              <w:jc w:val="right"/>
              <w:rPr>
                <w:rFonts w:eastAsia="Batang" w:cs="Arial"/>
                <w:color w:val="000000" w:themeColor="text1"/>
                <w:highlight w:val="yellow"/>
                <w:lang w:eastAsia="ko-KR"/>
              </w:rPr>
            </w:pPr>
            <w:r w:rsidRPr="00373F4C">
              <w:t>811</w:t>
            </w:r>
            <w:r w:rsidR="00431B71">
              <w:t>,</w:t>
            </w:r>
            <w:r w:rsidRPr="00373F4C">
              <w:t>640</w:t>
            </w:r>
            <w:r w:rsidR="00431B71">
              <w:t>,</w:t>
            </w:r>
            <w:r w:rsidRPr="00373F4C">
              <w:t>939</w:t>
            </w:r>
            <w:r w:rsidR="00431B71">
              <w:t>,</w:t>
            </w:r>
            <w:r w:rsidRPr="00373F4C">
              <w:t xml:space="preserve">298 </w:t>
            </w:r>
          </w:p>
        </w:tc>
        <w:tc>
          <w:tcPr>
            <w:tcW w:w="1987" w:type="dxa"/>
          </w:tcPr>
          <w:p w14:paraId="7F0ABC3F" w14:textId="419F1457" w:rsidR="00323FC7" w:rsidRPr="00770267" w:rsidRDefault="00323FC7" w:rsidP="00323FC7">
            <w:pPr>
              <w:widowControl w:val="0"/>
              <w:ind w:right="-85"/>
              <w:jc w:val="right"/>
              <w:rPr>
                <w:rFonts w:eastAsia="Batang" w:cs="Arial"/>
                <w:color w:val="000000" w:themeColor="text1"/>
                <w:highlight w:val="yellow"/>
                <w:lang w:eastAsia="ko-KR"/>
              </w:rPr>
            </w:pPr>
            <w:r w:rsidRPr="00373F4C">
              <w:t>1</w:t>
            </w:r>
            <w:r w:rsidR="00431B71">
              <w:t>,</w:t>
            </w:r>
            <w:r w:rsidRPr="00373F4C">
              <w:t>067</w:t>
            </w:r>
            <w:r w:rsidR="00431B71">
              <w:t>,</w:t>
            </w:r>
            <w:r w:rsidRPr="00373F4C">
              <w:t>983</w:t>
            </w:r>
            <w:r w:rsidR="00431B71">
              <w:t>,</w:t>
            </w:r>
            <w:r w:rsidRPr="00373F4C">
              <w:t>368</w:t>
            </w:r>
            <w:r w:rsidR="00431B71">
              <w:t>,</w:t>
            </w:r>
            <w:r w:rsidRPr="00373F4C">
              <w:t xml:space="preserve">976 </w:t>
            </w:r>
          </w:p>
        </w:tc>
      </w:tr>
      <w:tr w:rsidR="00323FC7" w:rsidRPr="002D7FB7" w14:paraId="16B9F2A8" w14:textId="77777777" w:rsidTr="005B5323">
        <w:trPr>
          <w:trHeight w:val="20"/>
        </w:trPr>
        <w:tc>
          <w:tcPr>
            <w:tcW w:w="4205" w:type="dxa"/>
            <w:vAlign w:val="bottom"/>
          </w:tcPr>
          <w:p w14:paraId="37BB2727" w14:textId="5D6C99A6" w:rsidR="00323FC7" w:rsidRPr="00B00C7A" w:rsidRDefault="00323FC7" w:rsidP="00323FC7">
            <w:pPr>
              <w:widowControl w:val="0"/>
              <w:ind w:left="245" w:hanging="360"/>
              <w:rPr>
                <w:rFonts w:cs="Arial"/>
                <w:i/>
                <w:color w:val="000000" w:themeColor="text1"/>
              </w:rPr>
            </w:pPr>
            <w:r w:rsidRPr="00B00C7A">
              <w:rPr>
                <w:rFonts w:cs="Arial"/>
                <w:i/>
                <w:color w:val="000000" w:themeColor="text1"/>
              </w:rPr>
              <w:t>-</w:t>
            </w:r>
            <w:r w:rsidRPr="00B00C7A">
              <w:rPr>
                <w:rFonts w:cs="Arial"/>
                <w:i/>
                <w:color w:val="000000" w:themeColor="text1"/>
              </w:rPr>
              <w:tab/>
            </w:r>
            <w:r w:rsidRPr="000B5719">
              <w:rPr>
                <w:rFonts w:cs="Arial"/>
                <w:i/>
                <w:color w:val="000000" w:themeColor="text1"/>
              </w:rPr>
              <w:t>Domestic investors</w:t>
            </w:r>
          </w:p>
        </w:tc>
        <w:tc>
          <w:tcPr>
            <w:tcW w:w="1987" w:type="dxa"/>
          </w:tcPr>
          <w:p w14:paraId="21D9E5C7" w14:textId="493E1772" w:rsidR="00323FC7" w:rsidRPr="00323FC7" w:rsidRDefault="00323FC7" w:rsidP="00323FC7">
            <w:pPr>
              <w:widowControl w:val="0"/>
              <w:ind w:right="-85"/>
              <w:jc w:val="right"/>
              <w:rPr>
                <w:rFonts w:eastAsia="Batang" w:cs="Arial"/>
                <w:i/>
                <w:iCs/>
                <w:color w:val="000000" w:themeColor="text1"/>
                <w:highlight w:val="yellow"/>
                <w:lang w:eastAsia="ko-KR"/>
              </w:rPr>
            </w:pPr>
            <w:r w:rsidRPr="00323FC7">
              <w:rPr>
                <w:i/>
                <w:iCs/>
              </w:rPr>
              <w:t>811</w:t>
            </w:r>
            <w:r w:rsidR="00431B71">
              <w:rPr>
                <w:i/>
                <w:iCs/>
              </w:rPr>
              <w:t>,</w:t>
            </w:r>
            <w:r w:rsidRPr="00323FC7">
              <w:rPr>
                <w:i/>
                <w:iCs/>
              </w:rPr>
              <w:t>640</w:t>
            </w:r>
            <w:r w:rsidR="00431B71">
              <w:rPr>
                <w:i/>
                <w:iCs/>
              </w:rPr>
              <w:t>,</w:t>
            </w:r>
            <w:r w:rsidRPr="00323FC7">
              <w:rPr>
                <w:i/>
                <w:iCs/>
              </w:rPr>
              <w:t>939</w:t>
            </w:r>
            <w:r w:rsidR="00431B71">
              <w:rPr>
                <w:i/>
                <w:iCs/>
              </w:rPr>
              <w:t>,</w:t>
            </w:r>
            <w:r w:rsidRPr="00323FC7">
              <w:rPr>
                <w:i/>
                <w:iCs/>
              </w:rPr>
              <w:t xml:space="preserve">298 </w:t>
            </w:r>
          </w:p>
        </w:tc>
        <w:tc>
          <w:tcPr>
            <w:tcW w:w="1987" w:type="dxa"/>
          </w:tcPr>
          <w:p w14:paraId="3F50B845" w14:textId="7581D887" w:rsidR="00323FC7" w:rsidRPr="00323FC7" w:rsidRDefault="00323FC7" w:rsidP="00323FC7">
            <w:pPr>
              <w:widowControl w:val="0"/>
              <w:ind w:right="-85"/>
              <w:jc w:val="right"/>
              <w:rPr>
                <w:rFonts w:eastAsia="Batang" w:cs="Arial"/>
                <w:i/>
                <w:iCs/>
                <w:color w:val="000000" w:themeColor="text1"/>
                <w:highlight w:val="yellow"/>
                <w:lang w:eastAsia="ko-KR"/>
              </w:rPr>
            </w:pPr>
            <w:r w:rsidRPr="00323FC7">
              <w:rPr>
                <w:i/>
                <w:iCs/>
              </w:rPr>
              <w:t>1</w:t>
            </w:r>
            <w:r w:rsidR="00431B71">
              <w:rPr>
                <w:i/>
                <w:iCs/>
              </w:rPr>
              <w:t>,</w:t>
            </w:r>
            <w:r w:rsidRPr="00323FC7">
              <w:rPr>
                <w:i/>
                <w:iCs/>
              </w:rPr>
              <w:t>067</w:t>
            </w:r>
            <w:r w:rsidR="00431B71">
              <w:rPr>
                <w:i/>
                <w:iCs/>
              </w:rPr>
              <w:t>,</w:t>
            </w:r>
            <w:r w:rsidRPr="00323FC7">
              <w:rPr>
                <w:i/>
                <w:iCs/>
              </w:rPr>
              <w:t>983</w:t>
            </w:r>
            <w:r w:rsidR="00431B71">
              <w:rPr>
                <w:i/>
                <w:iCs/>
              </w:rPr>
              <w:t>,</w:t>
            </w:r>
            <w:r w:rsidRPr="00323FC7">
              <w:rPr>
                <w:i/>
                <w:iCs/>
              </w:rPr>
              <w:t>368</w:t>
            </w:r>
            <w:r w:rsidR="00431B71">
              <w:rPr>
                <w:i/>
                <w:iCs/>
              </w:rPr>
              <w:t>,</w:t>
            </w:r>
            <w:r w:rsidRPr="00323FC7">
              <w:rPr>
                <w:i/>
                <w:iCs/>
              </w:rPr>
              <w:t xml:space="preserve">976 </w:t>
            </w:r>
          </w:p>
        </w:tc>
      </w:tr>
      <w:tr w:rsidR="00323FC7" w:rsidRPr="002D7FB7" w14:paraId="28310F84" w14:textId="77777777" w:rsidTr="005B5323">
        <w:trPr>
          <w:trHeight w:val="20"/>
        </w:trPr>
        <w:tc>
          <w:tcPr>
            <w:tcW w:w="4205" w:type="dxa"/>
            <w:vAlign w:val="bottom"/>
          </w:tcPr>
          <w:p w14:paraId="769EC45C" w14:textId="5B1F9536" w:rsidR="00323FC7" w:rsidRPr="00B00C7A" w:rsidRDefault="00323FC7" w:rsidP="00323FC7">
            <w:pPr>
              <w:widowControl w:val="0"/>
              <w:ind w:left="-115"/>
              <w:rPr>
                <w:rFonts w:cs="Arial"/>
                <w:color w:val="000000" w:themeColor="text1"/>
              </w:rPr>
            </w:pPr>
            <w:r w:rsidRPr="00392E3C">
              <w:rPr>
                <w:rFonts w:cs="Arial"/>
                <w:color w:val="000000" w:themeColor="text1"/>
              </w:rPr>
              <w:t>Interest payables for margin lending activities</w:t>
            </w:r>
          </w:p>
        </w:tc>
        <w:tc>
          <w:tcPr>
            <w:tcW w:w="1987" w:type="dxa"/>
          </w:tcPr>
          <w:p w14:paraId="43DFF981" w14:textId="58164A97" w:rsidR="00323FC7" w:rsidRPr="00770267" w:rsidRDefault="00323FC7" w:rsidP="00323FC7">
            <w:pPr>
              <w:widowControl w:val="0"/>
              <w:ind w:right="-85"/>
              <w:jc w:val="right"/>
              <w:rPr>
                <w:rFonts w:eastAsia="Batang" w:cs="Arial"/>
                <w:color w:val="000000" w:themeColor="text1"/>
                <w:highlight w:val="yellow"/>
                <w:lang w:eastAsia="ko-KR"/>
              </w:rPr>
            </w:pPr>
            <w:r w:rsidRPr="00373F4C">
              <w:t>4</w:t>
            </w:r>
            <w:r w:rsidR="00431B71">
              <w:t>,</w:t>
            </w:r>
            <w:r w:rsidRPr="00373F4C">
              <w:t>872</w:t>
            </w:r>
            <w:r w:rsidR="00431B71">
              <w:t>,</w:t>
            </w:r>
            <w:r w:rsidRPr="00373F4C">
              <w:t>381</w:t>
            </w:r>
            <w:r w:rsidR="00431B71">
              <w:t>,</w:t>
            </w:r>
            <w:r w:rsidRPr="00373F4C">
              <w:t xml:space="preserve">124 </w:t>
            </w:r>
          </w:p>
        </w:tc>
        <w:tc>
          <w:tcPr>
            <w:tcW w:w="1987" w:type="dxa"/>
          </w:tcPr>
          <w:p w14:paraId="02739BEA" w14:textId="327F88F5" w:rsidR="00323FC7" w:rsidRPr="00770267" w:rsidRDefault="00323FC7" w:rsidP="00323FC7">
            <w:pPr>
              <w:widowControl w:val="0"/>
              <w:ind w:right="-85"/>
              <w:jc w:val="right"/>
              <w:rPr>
                <w:rFonts w:eastAsia="Batang" w:cs="Arial"/>
                <w:color w:val="000000" w:themeColor="text1"/>
                <w:highlight w:val="yellow"/>
                <w:lang w:eastAsia="ko-KR"/>
              </w:rPr>
            </w:pPr>
            <w:r w:rsidRPr="00373F4C">
              <w:t>5</w:t>
            </w:r>
            <w:r w:rsidR="00431B71">
              <w:t>,</w:t>
            </w:r>
            <w:r w:rsidRPr="00373F4C">
              <w:t>103</w:t>
            </w:r>
            <w:r w:rsidR="00431B71">
              <w:t>,</w:t>
            </w:r>
            <w:r w:rsidRPr="00373F4C">
              <w:t>853</w:t>
            </w:r>
            <w:r w:rsidR="00431B71">
              <w:t>,</w:t>
            </w:r>
            <w:r w:rsidRPr="00373F4C">
              <w:t xml:space="preserve">767 </w:t>
            </w:r>
          </w:p>
        </w:tc>
      </w:tr>
      <w:tr w:rsidR="00323FC7" w:rsidRPr="002D7FB7" w14:paraId="5BE360AE" w14:textId="77777777" w:rsidTr="005B5323">
        <w:trPr>
          <w:trHeight w:val="20"/>
        </w:trPr>
        <w:tc>
          <w:tcPr>
            <w:tcW w:w="4205" w:type="dxa"/>
            <w:vAlign w:val="bottom"/>
          </w:tcPr>
          <w:p w14:paraId="7D2CF492" w14:textId="500D8932" w:rsidR="00323FC7" w:rsidRPr="00B00C7A" w:rsidRDefault="00323FC7" w:rsidP="00323FC7">
            <w:pPr>
              <w:widowControl w:val="0"/>
              <w:ind w:left="245" w:hanging="360"/>
              <w:rPr>
                <w:rFonts w:cs="Arial"/>
                <w:i/>
                <w:color w:val="000000" w:themeColor="text1"/>
              </w:rPr>
            </w:pPr>
            <w:r w:rsidRPr="00B00C7A">
              <w:rPr>
                <w:rFonts w:cs="Arial"/>
                <w:i/>
                <w:color w:val="000000" w:themeColor="text1"/>
              </w:rPr>
              <w:t>-</w:t>
            </w:r>
            <w:r w:rsidRPr="00B00C7A">
              <w:rPr>
                <w:rFonts w:cs="Arial"/>
                <w:i/>
                <w:color w:val="000000" w:themeColor="text1"/>
              </w:rPr>
              <w:tab/>
            </w:r>
            <w:r w:rsidRPr="003E64A1">
              <w:rPr>
                <w:rFonts w:cs="Arial"/>
                <w:i/>
                <w:color w:val="000000" w:themeColor="text1"/>
              </w:rPr>
              <w:t>Domestic investors</w:t>
            </w:r>
          </w:p>
        </w:tc>
        <w:tc>
          <w:tcPr>
            <w:tcW w:w="1987" w:type="dxa"/>
          </w:tcPr>
          <w:p w14:paraId="40AF9008" w14:textId="00E99856" w:rsidR="00323FC7" w:rsidRPr="00323FC7" w:rsidRDefault="00323FC7" w:rsidP="00323FC7">
            <w:pPr>
              <w:widowControl w:val="0"/>
              <w:ind w:right="-85"/>
              <w:jc w:val="right"/>
              <w:rPr>
                <w:rFonts w:eastAsia="Batang" w:cs="Arial"/>
                <w:i/>
                <w:iCs/>
                <w:color w:val="000000" w:themeColor="text1"/>
                <w:highlight w:val="yellow"/>
                <w:lang w:eastAsia="ko-KR"/>
              </w:rPr>
            </w:pPr>
            <w:r w:rsidRPr="00323FC7">
              <w:rPr>
                <w:i/>
                <w:iCs/>
              </w:rPr>
              <w:t>4</w:t>
            </w:r>
            <w:r w:rsidR="00431B71">
              <w:rPr>
                <w:i/>
                <w:iCs/>
              </w:rPr>
              <w:t>,</w:t>
            </w:r>
            <w:r w:rsidRPr="00323FC7">
              <w:rPr>
                <w:i/>
                <w:iCs/>
              </w:rPr>
              <w:t>872</w:t>
            </w:r>
            <w:r w:rsidR="00431B71">
              <w:rPr>
                <w:i/>
                <w:iCs/>
              </w:rPr>
              <w:t>,</w:t>
            </w:r>
            <w:r w:rsidRPr="00323FC7">
              <w:rPr>
                <w:i/>
                <w:iCs/>
              </w:rPr>
              <w:t>381</w:t>
            </w:r>
            <w:r w:rsidR="00431B71">
              <w:rPr>
                <w:i/>
                <w:iCs/>
              </w:rPr>
              <w:t>,</w:t>
            </w:r>
            <w:r w:rsidRPr="00323FC7">
              <w:rPr>
                <w:i/>
                <w:iCs/>
              </w:rPr>
              <w:t xml:space="preserve">124 </w:t>
            </w:r>
          </w:p>
        </w:tc>
        <w:tc>
          <w:tcPr>
            <w:tcW w:w="1987" w:type="dxa"/>
          </w:tcPr>
          <w:p w14:paraId="2A355AA6" w14:textId="21CBFB28" w:rsidR="00323FC7" w:rsidRPr="00323FC7" w:rsidRDefault="00323FC7" w:rsidP="00323FC7">
            <w:pPr>
              <w:widowControl w:val="0"/>
              <w:ind w:right="-85"/>
              <w:jc w:val="right"/>
              <w:rPr>
                <w:rFonts w:eastAsia="Batang" w:cs="Arial"/>
                <w:i/>
                <w:iCs/>
                <w:color w:val="000000" w:themeColor="text1"/>
                <w:highlight w:val="yellow"/>
                <w:lang w:eastAsia="ko-KR"/>
              </w:rPr>
            </w:pPr>
            <w:r w:rsidRPr="00323FC7">
              <w:rPr>
                <w:i/>
                <w:iCs/>
              </w:rPr>
              <w:t>5</w:t>
            </w:r>
            <w:r w:rsidR="00431B71">
              <w:rPr>
                <w:i/>
                <w:iCs/>
              </w:rPr>
              <w:t>,</w:t>
            </w:r>
            <w:r w:rsidRPr="00323FC7">
              <w:rPr>
                <w:i/>
                <w:iCs/>
              </w:rPr>
              <w:t>103</w:t>
            </w:r>
            <w:r w:rsidR="00431B71">
              <w:rPr>
                <w:i/>
                <w:iCs/>
              </w:rPr>
              <w:t>,</w:t>
            </w:r>
            <w:r w:rsidRPr="00323FC7">
              <w:rPr>
                <w:i/>
                <w:iCs/>
              </w:rPr>
              <w:t>853</w:t>
            </w:r>
            <w:r w:rsidR="00431B71">
              <w:rPr>
                <w:i/>
                <w:iCs/>
              </w:rPr>
              <w:t>,</w:t>
            </w:r>
            <w:r w:rsidRPr="00323FC7">
              <w:rPr>
                <w:i/>
                <w:iCs/>
              </w:rPr>
              <w:t xml:space="preserve">767 </w:t>
            </w:r>
          </w:p>
        </w:tc>
      </w:tr>
      <w:tr w:rsidR="00323FC7" w:rsidRPr="002D7FB7" w14:paraId="3E81C473" w14:textId="77777777" w:rsidTr="005B5323">
        <w:trPr>
          <w:trHeight w:val="20"/>
        </w:trPr>
        <w:tc>
          <w:tcPr>
            <w:tcW w:w="4205" w:type="dxa"/>
            <w:vAlign w:val="bottom"/>
          </w:tcPr>
          <w:p w14:paraId="3D00CCE7" w14:textId="2E9DDCE1" w:rsidR="00323FC7" w:rsidRPr="00B00C7A" w:rsidRDefault="00323FC7" w:rsidP="00323FC7">
            <w:pPr>
              <w:widowControl w:val="0"/>
              <w:spacing w:before="120"/>
              <w:ind w:left="-115"/>
              <w:rPr>
                <w:rFonts w:cs="Arial"/>
                <w:b/>
                <w:color w:val="000000" w:themeColor="text1"/>
              </w:rPr>
            </w:pPr>
            <w:r w:rsidRPr="004F0768">
              <w:rPr>
                <w:rFonts w:cs="Arial"/>
                <w:b/>
                <w:color w:val="000000" w:themeColor="text1"/>
              </w:rPr>
              <w:t>Payables for advance lending activities</w:t>
            </w:r>
          </w:p>
        </w:tc>
        <w:tc>
          <w:tcPr>
            <w:tcW w:w="1987" w:type="dxa"/>
          </w:tcPr>
          <w:p w14:paraId="62C17DA7" w14:textId="1D5F6C4F" w:rsidR="00323FC7" w:rsidRPr="00323FC7" w:rsidRDefault="00323FC7" w:rsidP="00323FC7">
            <w:pPr>
              <w:widowControl w:val="0"/>
              <w:spacing w:before="120"/>
              <w:ind w:right="-85"/>
              <w:jc w:val="right"/>
              <w:rPr>
                <w:rFonts w:eastAsia="Batang" w:cs="Arial"/>
                <w:b/>
                <w:bCs/>
                <w:color w:val="000000" w:themeColor="text1"/>
                <w:highlight w:val="yellow"/>
                <w:lang w:eastAsia="ko-KR"/>
              </w:rPr>
            </w:pPr>
            <w:r w:rsidRPr="00323FC7">
              <w:rPr>
                <w:b/>
                <w:bCs/>
              </w:rPr>
              <w:t>48</w:t>
            </w:r>
            <w:r w:rsidR="00431B71">
              <w:rPr>
                <w:b/>
                <w:bCs/>
              </w:rPr>
              <w:t>,</w:t>
            </w:r>
            <w:r w:rsidRPr="00323FC7">
              <w:rPr>
                <w:b/>
                <w:bCs/>
              </w:rPr>
              <w:t>367</w:t>
            </w:r>
            <w:r w:rsidR="00431B71">
              <w:rPr>
                <w:b/>
                <w:bCs/>
              </w:rPr>
              <w:t>,</w:t>
            </w:r>
            <w:r w:rsidRPr="00323FC7">
              <w:rPr>
                <w:b/>
                <w:bCs/>
              </w:rPr>
              <w:t>213</w:t>
            </w:r>
            <w:r w:rsidR="00431B71">
              <w:rPr>
                <w:b/>
                <w:bCs/>
              </w:rPr>
              <w:t>,</w:t>
            </w:r>
            <w:r w:rsidRPr="00323FC7">
              <w:rPr>
                <w:b/>
                <w:bCs/>
              </w:rPr>
              <w:t xml:space="preserve">972 </w:t>
            </w:r>
          </w:p>
        </w:tc>
        <w:tc>
          <w:tcPr>
            <w:tcW w:w="1987" w:type="dxa"/>
          </w:tcPr>
          <w:p w14:paraId="33FE514D" w14:textId="4E7C1C2A" w:rsidR="00323FC7" w:rsidRPr="00323FC7" w:rsidRDefault="00323FC7" w:rsidP="00323FC7">
            <w:pPr>
              <w:widowControl w:val="0"/>
              <w:spacing w:before="120"/>
              <w:ind w:right="-85"/>
              <w:jc w:val="right"/>
              <w:rPr>
                <w:rFonts w:eastAsia="Batang" w:cs="Arial"/>
                <w:b/>
                <w:bCs/>
                <w:color w:val="000000" w:themeColor="text1"/>
                <w:highlight w:val="yellow"/>
                <w:lang w:eastAsia="ko-KR"/>
              </w:rPr>
            </w:pPr>
            <w:r w:rsidRPr="00323FC7">
              <w:rPr>
                <w:b/>
                <w:bCs/>
              </w:rPr>
              <w:t>13</w:t>
            </w:r>
            <w:r w:rsidR="00431B71">
              <w:rPr>
                <w:b/>
                <w:bCs/>
              </w:rPr>
              <w:t>,</w:t>
            </w:r>
            <w:r w:rsidRPr="00323FC7">
              <w:rPr>
                <w:b/>
                <w:bCs/>
              </w:rPr>
              <w:t>030</w:t>
            </w:r>
            <w:r w:rsidR="00431B71">
              <w:rPr>
                <w:b/>
                <w:bCs/>
              </w:rPr>
              <w:t>,</w:t>
            </w:r>
            <w:r w:rsidRPr="00323FC7">
              <w:rPr>
                <w:b/>
                <w:bCs/>
              </w:rPr>
              <w:t>813</w:t>
            </w:r>
            <w:r w:rsidR="00431B71">
              <w:rPr>
                <w:b/>
                <w:bCs/>
              </w:rPr>
              <w:t>,</w:t>
            </w:r>
            <w:r w:rsidRPr="00323FC7">
              <w:rPr>
                <w:b/>
                <w:bCs/>
              </w:rPr>
              <w:t xml:space="preserve">358 </w:t>
            </w:r>
          </w:p>
        </w:tc>
      </w:tr>
      <w:tr w:rsidR="00323FC7" w:rsidRPr="002D7FB7" w14:paraId="1FA8A8A1" w14:textId="77777777" w:rsidTr="005B5323">
        <w:trPr>
          <w:trHeight w:val="20"/>
        </w:trPr>
        <w:tc>
          <w:tcPr>
            <w:tcW w:w="4205" w:type="dxa"/>
            <w:vAlign w:val="bottom"/>
          </w:tcPr>
          <w:p w14:paraId="135A4293" w14:textId="76FE717C" w:rsidR="00323FC7" w:rsidRPr="00B00C7A" w:rsidRDefault="00323FC7" w:rsidP="00323FC7">
            <w:pPr>
              <w:widowControl w:val="0"/>
              <w:ind w:left="-115"/>
              <w:jc w:val="left"/>
              <w:rPr>
                <w:rFonts w:cs="Arial"/>
                <w:color w:val="000000" w:themeColor="text1"/>
              </w:rPr>
            </w:pPr>
            <w:r w:rsidRPr="007A73B9">
              <w:rPr>
                <w:rFonts w:cs="Arial"/>
                <w:color w:val="000000" w:themeColor="text1"/>
              </w:rPr>
              <w:t>Principal payables for advance lending activities</w:t>
            </w:r>
          </w:p>
        </w:tc>
        <w:tc>
          <w:tcPr>
            <w:tcW w:w="1987" w:type="dxa"/>
          </w:tcPr>
          <w:p w14:paraId="08B8D03B" w14:textId="2953F815" w:rsidR="00323FC7" w:rsidRPr="00770267" w:rsidRDefault="00323FC7" w:rsidP="00323FC7">
            <w:pPr>
              <w:widowControl w:val="0"/>
              <w:ind w:right="-85"/>
              <w:jc w:val="right"/>
              <w:rPr>
                <w:rFonts w:eastAsia="Batang" w:cs="Arial"/>
                <w:color w:val="000000" w:themeColor="text1"/>
                <w:highlight w:val="yellow"/>
                <w:lang w:eastAsia="ko-KR"/>
              </w:rPr>
            </w:pPr>
            <w:r w:rsidRPr="00373F4C">
              <w:t>48</w:t>
            </w:r>
            <w:r w:rsidR="00431B71">
              <w:t>,</w:t>
            </w:r>
            <w:r w:rsidRPr="00373F4C">
              <w:t>367</w:t>
            </w:r>
            <w:r w:rsidR="00431B71">
              <w:t>,</w:t>
            </w:r>
            <w:r w:rsidRPr="00373F4C">
              <w:t>213</w:t>
            </w:r>
            <w:r w:rsidR="00431B71">
              <w:t>,</w:t>
            </w:r>
            <w:r w:rsidRPr="00373F4C">
              <w:t xml:space="preserve">972 </w:t>
            </w:r>
          </w:p>
        </w:tc>
        <w:tc>
          <w:tcPr>
            <w:tcW w:w="1987" w:type="dxa"/>
          </w:tcPr>
          <w:p w14:paraId="35191E35" w14:textId="14CCC154" w:rsidR="00323FC7" w:rsidRPr="00770267" w:rsidRDefault="00323FC7" w:rsidP="00323FC7">
            <w:pPr>
              <w:widowControl w:val="0"/>
              <w:ind w:right="-85"/>
              <w:jc w:val="right"/>
              <w:rPr>
                <w:rFonts w:eastAsia="Batang" w:cs="Arial"/>
                <w:color w:val="000000" w:themeColor="text1"/>
                <w:highlight w:val="yellow"/>
                <w:lang w:eastAsia="ko-KR"/>
              </w:rPr>
            </w:pPr>
            <w:r w:rsidRPr="00373F4C">
              <w:t>13</w:t>
            </w:r>
            <w:r w:rsidR="00431B71">
              <w:t>,</w:t>
            </w:r>
            <w:r w:rsidRPr="00373F4C">
              <w:t>030</w:t>
            </w:r>
            <w:r w:rsidR="00431B71">
              <w:t>,</w:t>
            </w:r>
            <w:r w:rsidRPr="00373F4C">
              <w:t>813</w:t>
            </w:r>
            <w:r w:rsidR="00431B71">
              <w:t>,</w:t>
            </w:r>
            <w:r w:rsidRPr="00373F4C">
              <w:t xml:space="preserve">358 </w:t>
            </w:r>
          </w:p>
        </w:tc>
      </w:tr>
      <w:tr w:rsidR="00323FC7" w:rsidRPr="002D7FB7" w14:paraId="5A4E7A98" w14:textId="77777777" w:rsidTr="005B5323">
        <w:trPr>
          <w:trHeight w:val="20"/>
        </w:trPr>
        <w:tc>
          <w:tcPr>
            <w:tcW w:w="4205" w:type="dxa"/>
            <w:vAlign w:val="bottom"/>
          </w:tcPr>
          <w:p w14:paraId="2459E602" w14:textId="29FB8578" w:rsidR="00323FC7" w:rsidRPr="00B00C7A" w:rsidRDefault="00323FC7" w:rsidP="00323FC7">
            <w:pPr>
              <w:widowControl w:val="0"/>
              <w:ind w:left="245" w:hanging="360"/>
              <w:rPr>
                <w:rFonts w:cs="Arial"/>
                <w:i/>
                <w:color w:val="000000" w:themeColor="text1"/>
              </w:rPr>
            </w:pPr>
            <w:r w:rsidRPr="00B00C7A">
              <w:rPr>
                <w:rFonts w:cs="Arial"/>
                <w:i/>
                <w:color w:val="000000" w:themeColor="text1"/>
              </w:rPr>
              <w:t>-</w:t>
            </w:r>
            <w:r w:rsidRPr="00B00C7A">
              <w:rPr>
                <w:rFonts w:cs="Arial"/>
                <w:i/>
                <w:color w:val="000000" w:themeColor="text1"/>
              </w:rPr>
              <w:tab/>
            </w:r>
            <w:r w:rsidRPr="00534AE7">
              <w:rPr>
                <w:rFonts w:cs="Arial"/>
                <w:i/>
                <w:color w:val="000000" w:themeColor="text1"/>
              </w:rPr>
              <w:t>Domestic investors</w:t>
            </w:r>
          </w:p>
        </w:tc>
        <w:tc>
          <w:tcPr>
            <w:tcW w:w="1987" w:type="dxa"/>
          </w:tcPr>
          <w:p w14:paraId="27D99313" w14:textId="4B5D705E" w:rsidR="00323FC7" w:rsidRPr="00323FC7" w:rsidRDefault="00323FC7" w:rsidP="00323FC7">
            <w:pPr>
              <w:widowControl w:val="0"/>
              <w:ind w:right="-85"/>
              <w:jc w:val="right"/>
              <w:rPr>
                <w:rFonts w:eastAsia="Batang" w:cs="Arial"/>
                <w:i/>
                <w:iCs/>
                <w:color w:val="000000" w:themeColor="text1"/>
                <w:highlight w:val="yellow"/>
                <w:lang w:eastAsia="ko-KR"/>
              </w:rPr>
            </w:pPr>
            <w:r w:rsidRPr="00323FC7">
              <w:rPr>
                <w:i/>
                <w:iCs/>
              </w:rPr>
              <w:t>48</w:t>
            </w:r>
            <w:r w:rsidR="00431B71">
              <w:rPr>
                <w:i/>
                <w:iCs/>
              </w:rPr>
              <w:t>,</w:t>
            </w:r>
            <w:r w:rsidRPr="00323FC7">
              <w:rPr>
                <w:i/>
                <w:iCs/>
              </w:rPr>
              <w:t>367</w:t>
            </w:r>
            <w:r w:rsidR="00431B71">
              <w:rPr>
                <w:i/>
                <w:iCs/>
              </w:rPr>
              <w:t>,</w:t>
            </w:r>
            <w:r w:rsidRPr="00323FC7">
              <w:rPr>
                <w:i/>
                <w:iCs/>
              </w:rPr>
              <w:t>213</w:t>
            </w:r>
            <w:r w:rsidR="00431B71">
              <w:rPr>
                <w:i/>
                <w:iCs/>
              </w:rPr>
              <w:t>,</w:t>
            </w:r>
            <w:r w:rsidRPr="00323FC7">
              <w:rPr>
                <w:i/>
                <w:iCs/>
              </w:rPr>
              <w:t xml:space="preserve">972 </w:t>
            </w:r>
          </w:p>
        </w:tc>
        <w:tc>
          <w:tcPr>
            <w:tcW w:w="1987" w:type="dxa"/>
          </w:tcPr>
          <w:p w14:paraId="60EC0A28" w14:textId="504591D8" w:rsidR="00323FC7" w:rsidRPr="00323FC7" w:rsidRDefault="00323FC7" w:rsidP="00323FC7">
            <w:pPr>
              <w:widowControl w:val="0"/>
              <w:ind w:right="-85"/>
              <w:jc w:val="right"/>
              <w:rPr>
                <w:rFonts w:eastAsia="Batang" w:cs="Arial"/>
                <w:i/>
                <w:iCs/>
                <w:color w:val="000000" w:themeColor="text1"/>
                <w:highlight w:val="yellow"/>
                <w:lang w:eastAsia="ko-KR"/>
              </w:rPr>
            </w:pPr>
            <w:r w:rsidRPr="00323FC7">
              <w:rPr>
                <w:i/>
                <w:iCs/>
              </w:rPr>
              <w:t>13</w:t>
            </w:r>
            <w:r w:rsidR="00431B71">
              <w:rPr>
                <w:i/>
                <w:iCs/>
              </w:rPr>
              <w:t>,</w:t>
            </w:r>
            <w:r w:rsidRPr="00323FC7">
              <w:rPr>
                <w:i/>
                <w:iCs/>
              </w:rPr>
              <w:t>030</w:t>
            </w:r>
            <w:r w:rsidR="00431B71">
              <w:rPr>
                <w:i/>
                <w:iCs/>
              </w:rPr>
              <w:t>,</w:t>
            </w:r>
            <w:r w:rsidRPr="00323FC7">
              <w:rPr>
                <w:i/>
                <w:iCs/>
              </w:rPr>
              <w:t>813</w:t>
            </w:r>
            <w:r w:rsidR="00431B71">
              <w:rPr>
                <w:i/>
                <w:iCs/>
              </w:rPr>
              <w:t>,</w:t>
            </w:r>
            <w:r w:rsidRPr="00323FC7">
              <w:rPr>
                <w:i/>
                <w:iCs/>
              </w:rPr>
              <w:t xml:space="preserve">358 </w:t>
            </w:r>
          </w:p>
        </w:tc>
      </w:tr>
    </w:tbl>
    <w:p w14:paraId="12F253EF" w14:textId="082B66AA" w:rsidR="00583CDB" w:rsidRPr="002A0B87" w:rsidRDefault="00583CDB" w:rsidP="00770267">
      <w:pPr>
        <w:pStyle w:val="NoSpacing"/>
        <w:sectPr w:rsidR="00583CDB" w:rsidRPr="002A0B87" w:rsidSect="009957ED">
          <w:pgSz w:w="11909" w:h="16834" w:code="9"/>
          <w:pgMar w:top="1440" w:right="1440" w:bottom="864" w:left="1584" w:header="720" w:footer="576" w:gutter="0"/>
          <w:cols w:space="720"/>
          <w:docGrid w:linePitch="272"/>
        </w:sectPr>
      </w:pPr>
    </w:p>
    <w:p w14:paraId="72ECA5C4" w14:textId="43DFB8D5" w:rsidR="00193D15" w:rsidRPr="002A0B87" w:rsidRDefault="00193D15" w:rsidP="00193D15">
      <w:pPr>
        <w:pStyle w:val="ListParagraph"/>
        <w:overflowPunct/>
        <w:autoSpaceDE/>
        <w:autoSpaceDN/>
        <w:adjustRightInd/>
        <w:ind w:hanging="720"/>
        <w:textAlignment w:val="auto"/>
        <w:outlineLvl w:val="0"/>
        <w:rPr>
          <w:rFonts w:cs="Arial"/>
          <w:b/>
          <w:lang w:val="vi-VN"/>
        </w:rPr>
      </w:pPr>
      <w:r w:rsidRPr="002A0B87">
        <w:rPr>
          <w:rFonts w:cs="Arial"/>
          <w:b/>
          <w:lang w:val="vi-VN"/>
        </w:rPr>
        <w:lastRenderedPageBreak/>
        <w:t>2</w:t>
      </w:r>
      <w:r w:rsidR="00CA0664">
        <w:rPr>
          <w:rFonts w:cs="Arial"/>
          <w:b/>
          <w:lang w:val="en-US"/>
        </w:rPr>
        <w:t>0</w:t>
      </w:r>
      <w:r w:rsidRPr="002A0B87">
        <w:rPr>
          <w:rFonts w:cs="Arial"/>
          <w:b/>
          <w:lang w:val="vi-VN"/>
        </w:rPr>
        <w:t>.</w:t>
      </w:r>
      <w:r w:rsidRPr="002A0B87">
        <w:rPr>
          <w:rFonts w:cs="Arial"/>
          <w:b/>
          <w:lang w:val="vi-VN"/>
        </w:rPr>
        <w:tab/>
      </w:r>
      <w:r w:rsidR="00930FC6" w:rsidRPr="00930FC6">
        <w:rPr>
          <w:rFonts w:cs="Arial"/>
          <w:b/>
          <w:lang w:val="vi-VN"/>
        </w:rPr>
        <w:t>GAIN/(LOSS) FROM FINANCIAL ASSETS</w:t>
      </w:r>
      <w:r w:rsidR="00930FC6" w:rsidRPr="00930FC6" w:rsidDel="00930FC6">
        <w:rPr>
          <w:rFonts w:cs="Arial"/>
          <w:b/>
          <w:lang w:val="vi-VN"/>
        </w:rPr>
        <w:t xml:space="preserve"> </w:t>
      </w:r>
    </w:p>
    <w:p w14:paraId="3375AF13" w14:textId="77777777" w:rsidR="00E1418E" w:rsidRPr="002A0B87" w:rsidRDefault="00E1418E" w:rsidP="00760439">
      <w:pPr>
        <w:pStyle w:val="NoSpacing"/>
      </w:pPr>
    </w:p>
    <w:p w14:paraId="44CA4A16" w14:textId="78C2957F" w:rsidR="00E1418E" w:rsidRPr="002A0B87" w:rsidRDefault="00E1418E" w:rsidP="00760439">
      <w:pPr>
        <w:pStyle w:val="Heading2"/>
      </w:pPr>
      <w:r w:rsidRPr="002A0B87">
        <w:t>2</w:t>
      </w:r>
      <w:r w:rsidR="00CA0664">
        <w:t>0</w:t>
      </w:r>
      <w:r w:rsidRPr="002A0B87">
        <w:t>.1</w:t>
      </w:r>
      <w:r w:rsidRPr="002A0B87">
        <w:tab/>
      </w:r>
      <w:r w:rsidR="00C52874" w:rsidRPr="00C52874">
        <w:t>Gain/(Loss) from disposals of financial assets at FVTPL</w:t>
      </w:r>
      <w:r w:rsidR="00C52874" w:rsidRPr="00C52874" w:rsidDel="00C52874">
        <w:t xml:space="preserve"> </w:t>
      </w:r>
    </w:p>
    <w:p w14:paraId="35D3313A" w14:textId="77777777" w:rsidR="00E1418E" w:rsidRPr="002A0B87" w:rsidRDefault="00E1418E" w:rsidP="00E1418E">
      <w:pPr>
        <w:pStyle w:val="BodyTextIndent"/>
        <w:ind w:left="720"/>
        <w:rPr>
          <w:rFonts w:ascii="Arial" w:hAnsi="Arial" w:cs="Arial"/>
        </w:rPr>
      </w:pPr>
    </w:p>
    <w:p w14:paraId="02144F5F" w14:textId="5BEE2C56" w:rsidR="00E1418E" w:rsidRPr="002A0B87" w:rsidRDefault="00A229EB" w:rsidP="00760439">
      <w:pPr>
        <w:pStyle w:val="Heading3"/>
      </w:pPr>
      <w:r w:rsidRPr="002A0B87">
        <w:t>2</w:t>
      </w:r>
      <w:r w:rsidR="00CA0664">
        <w:t>0</w:t>
      </w:r>
      <w:r w:rsidR="00E1418E" w:rsidRPr="002A0B87">
        <w:t>.1.1</w:t>
      </w:r>
      <w:r w:rsidR="00E1418E" w:rsidRPr="002A0B87">
        <w:tab/>
      </w:r>
      <w:r w:rsidR="004806F4" w:rsidRPr="004806F4">
        <w:t>Gain from disposals of financial assets at FVTPL</w:t>
      </w:r>
      <w:r w:rsidR="004806F4" w:rsidRPr="004806F4" w:rsidDel="004806F4">
        <w:t xml:space="preserve"> </w:t>
      </w:r>
    </w:p>
    <w:p w14:paraId="6035A60F" w14:textId="77777777" w:rsidR="00E1418E" w:rsidRPr="002A0B87" w:rsidRDefault="00E1418E" w:rsidP="00760439">
      <w:pPr>
        <w:pStyle w:val="NoSpacing"/>
      </w:pPr>
    </w:p>
    <w:tbl>
      <w:tblPr>
        <w:tblW w:w="13232" w:type="dxa"/>
        <w:tblInd w:w="720" w:type="dxa"/>
        <w:tblLayout w:type="fixed"/>
        <w:tblLook w:val="01E0" w:firstRow="1" w:lastRow="1" w:firstColumn="1" w:lastColumn="1" w:noHBand="0" w:noVBand="0"/>
      </w:tblPr>
      <w:tblGrid>
        <w:gridCol w:w="662"/>
        <w:gridCol w:w="2635"/>
        <w:gridCol w:w="1987"/>
        <w:gridCol w:w="1987"/>
        <w:gridCol w:w="1987"/>
        <w:gridCol w:w="1987"/>
        <w:gridCol w:w="1987"/>
      </w:tblGrid>
      <w:tr w:rsidR="00A46C6A" w:rsidRPr="002A0B87" w14:paraId="16A3DB9C" w14:textId="77777777" w:rsidTr="00557104">
        <w:trPr>
          <w:trHeight w:val="20"/>
          <w:tblHeader/>
        </w:trPr>
        <w:tc>
          <w:tcPr>
            <w:tcW w:w="662" w:type="dxa"/>
            <w:vAlign w:val="bottom"/>
          </w:tcPr>
          <w:p w14:paraId="16C786A2" w14:textId="5B27BB2E" w:rsidR="00A46C6A" w:rsidRPr="002A0B87" w:rsidRDefault="00621AF2" w:rsidP="00CC4417">
            <w:pPr>
              <w:widowControl w:val="0"/>
              <w:pBdr>
                <w:bottom w:val="single" w:sz="4" w:space="0" w:color="auto"/>
              </w:pBdr>
              <w:ind w:left="-115"/>
              <w:jc w:val="center"/>
              <w:rPr>
                <w:rFonts w:cs="Arial"/>
                <w:i/>
              </w:rPr>
            </w:pPr>
            <w:r w:rsidRPr="00621AF2">
              <w:rPr>
                <w:rFonts w:cs="Arial"/>
                <w:i/>
              </w:rPr>
              <w:t>No.</w:t>
            </w:r>
          </w:p>
        </w:tc>
        <w:tc>
          <w:tcPr>
            <w:tcW w:w="2635" w:type="dxa"/>
            <w:vAlign w:val="bottom"/>
          </w:tcPr>
          <w:p w14:paraId="0F926CB6" w14:textId="1E44A8AF" w:rsidR="00A46C6A" w:rsidRPr="002A0B87" w:rsidRDefault="00B13B0B" w:rsidP="00CC4417">
            <w:pPr>
              <w:widowControl w:val="0"/>
              <w:pBdr>
                <w:bottom w:val="single" w:sz="4" w:space="0" w:color="auto"/>
              </w:pBdr>
              <w:ind w:left="-115"/>
              <w:rPr>
                <w:rFonts w:cs="Arial"/>
                <w:i/>
              </w:rPr>
            </w:pPr>
            <w:r w:rsidRPr="00B13B0B">
              <w:rPr>
                <w:rFonts w:cs="Arial"/>
                <w:i/>
              </w:rPr>
              <w:t>Financial assets</w:t>
            </w:r>
          </w:p>
        </w:tc>
        <w:tc>
          <w:tcPr>
            <w:tcW w:w="1987" w:type="dxa"/>
            <w:vAlign w:val="bottom"/>
            <w:hideMark/>
          </w:tcPr>
          <w:p w14:paraId="5BC03F78" w14:textId="4B07F44D" w:rsidR="00A46C6A" w:rsidRPr="002A0B87" w:rsidRDefault="00BC2868" w:rsidP="00CC4417">
            <w:pPr>
              <w:pBdr>
                <w:bottom w:val="single" w:sz="4" w:space="0" w:color="auto"/>
              </w:pBdr>
              <w:ind w:left="58" w:right="-86"/>
              <w:jc w:val="right"/>
              <w:rPr>
                <w:rFonts w:cs="Arial"/>
                <w:i/>
                <w:lang w:val="vi-VN"/>
              </w:rPr>
            </w:pPr>
            <w:r w:rsidRPr="00BC2868">
              <w:rPr>
                <w:rFonts w:cs="Arial"/>
                <w:i/>
                <w:lang w:val="vi-VN"/>
              </w:rPr>
              <w:t>Quantity</w:t>
            </w:r>
          </w:p>
          <w:p w14:paraId="504BEEA3" w14:textId="79830AD3" w:rsidR="00A46C6A" w:rsidRPr="002A0B87" w:rsidRDefault="00B63645">
            <w:pPr>
              <w:widowControl w:val="0"/>
              <w:pBdr>
                <w:bottom w:val="single" w:sz="4" w:space="0" w:color="auto"/>
              </w:pBdr>
              <w:ind w:left="58" w:right="-86"/>
              <w:jc w:val="right"/>
              <w:rPr>
                <w:rFonts w:cs="Arial"/>
                <w:i/>
                <w:lang w:val="nl-NL"/>
              </w:rPr>
            </w:pPr>
            <w:r>
              <w:rPr>
                <w:rFonts w:cs="Arial"/>
                <w:i/>
              </w:rPr>
              <w:t>unit</w:t>
            </w:r>
          </w:p>
        </w:tc>
        <w:tc>
          <w:tcPr>
            <w:tcW w:w="1987" w:type="dxa"/>
            <w:vAlign w:val="bottom"/>
            <w:hideMark/>
          </w:tcPr>
          <w:p w14:paraId="0D205996" w14:textId="33432F9F" w:rsidR="00A46C6A" w:rsidRPr="002A0B87" w:rsidRDefault="00467F6C" w:rsidP="00CC4417">
            <w:pPr>
              <w:pBdr>
                <w:bottom w:val="single" w:sz="4" w:space="0" w:color="auto"/>
              </w:pBdr>
              <w:ind w:left="58" w:right="-86"/>
              <w:jc w:val="right"/>
              <w:rPr>
                <w:rFonts w:cs="Arial"/>
                <w:i/>
                <w:lang w:val="vi-VN"/>
              </w:rPr>
            </w:pPr>
            <w:r w:rsidRPr="00467F6C">
              <w:rPr>
                <w:rFonts w:cs="Arial"/>
                <w:i/>
                <w:lang w:val="vi-VN"/>
              </w:rPr>
              <w:t>Proceeds</w:t>
            </w:r>
          </w:p>
          <w:p w14:paraId="302C2915" w14:textId="2D199554" w:rsidR="00A46C6A" w:rsidRPr="002A0B87" w:rsidRDefault="00A46C6A">
            <w:pPr>
              <w:widowControl w:val="0"/>
              <w:pBdr>
                <w:bottom w:val="single" w:sz="4" w:space="0" w:color="auto"/>
              </w:pBdr>
              <w:ind w:left="58" w:right="-86"/>
              <w:jc w:val="right"/>
              <w:rPr>
                <w:rFonts w:cs="Arial"/>
                <w:i/>
                <w:lang w:val="nl-NL"/>
              </w:rPr>
            </w:pPr>
            <w:r w:rsidRPr="002A0B87">
              <w:rPr>
                <w:rFonts w:cs="Arial"/>
                <w:i/>
                <w:lang w:val="vi-VN"/>
              </w:rPr>
              <w:t>VND</w:t>
            </w:r>
          </w:p>
        </w:tc>
        <w:tc>
          <w:tcPr>
            <w:tcW w:w="1987" w:type="dxa"/>
            <w:vAlign w:val="bottom"/>
            <w:hideMark/>
          </w:tcPr>
          <w:p w14:paraId="1117D745" w14:textId="3B9EED04" w:rsidR="00A46C6A" w:rsidRPr="002A0B87" w:rsidRDefault="0079333A" w:rsidP="00CC4417">
            <w:pPr>
              <w:pBdr>
                <w:bottom w:val="single" w:sz="4" w:space="0" w:color="auto"/>
              </w:pBdr>
              <w:ind w:left="58" w:right="-86"/>
              <w:jc w:val="right"/>
              <w:rPr>
                <w:rFonts w:cs="Arial"/>
                <w:i/>
                <w:lang w:val="vi-VN"/>
              </w:rPr>
            </w:pPr>
            <w:r w:rsidRPr="0079333A">
              <w:rPr>
                <w:rFonts w:cs="Arial"/>
                <w:i/>
                <w:lang w:val="vi-VN"/>
              </w:rPr>
              <w:t>Weighted average cost at the end of transaction date</w:t>
            </w:r>
            <w:r w:rsidR="00A46C6A" w:rsidRPr="002A0B87">
              <w:rPr>
                <w:rFonts w:cs="Arial"/>
                <w:i/>
                <w:lang w:val="vi-VN"/>
              </w:rPr>
              <w:t xml:space="preserve"> </w:t>
            </w:r>
          </w:p>
          <w:p w14:paraId="51133FC9" w14:textId="5AAA2218" w:rsidR="00A46C6A" w:rsidRPr="002A0B87" w:rsidRDefault="00A46C6A">
            <w:pPr>
              <w:widowControl w:val="0"/>
              <w:pBdr>
                <w:bottom w:val="single" w:sz="4" w:space="0" w:color="auto"/>
              </w:pBdr>
              <w:ind w:left="58" w:right="-86"/>
              <w:jc w:val="right"/>
              <w:rPr>
                <w:rFonts w:cs="Arial"/>
                <w:i/>
                <w:lang w:val="nl-NL"/>
              </w:rPr>
            </w:pPr>
            <w:r w:rsidRPr="002A0B87">
              <w:rPr>
                <w:rFonts w:cs="Arial"/>
                <w:i/>
                <w:lang w:val="vi-VN"/>
              </w:rPr>
              <w:t>VND</w:t>
            </w:r>
          </w:p>
        </w:tc>
        <w:tc>
          <w:tcPr>
            <w:tcW w:w="1987" w:type="dxa"/>
            <w:vAlign w:val="bottom"/>
            <w:hideMark/>
          </w:tcPr>
          <w:p w14:paraId="66AF25FC" w14:textId="62CB8D93" w:rsidR="00A46C6A" w:rsidRPr="002A0B87" w:rsidRDefault="00E4214F" w:rsidP="00CC4417">
            <w:pPr>
              <w:pBdr>
                <w:bottom w:val="single" w:sz="4" w:space="0" w:color="auto"/>
              </w:pBdr>
              <w:ind w:left="58" w:right="-86"/>
              <w:jc w:val="right"/>
              <w:rPr>
                <w:rFonts w:cs="Arial"/>
                <w:i/>
              </w:rPr>
            </w:pPr>
            <w:r w:rsidRPr="00E4214F">
              <w:rPr>
                <w:rFonts w:cs="Arial"/>
                <w:i/>
                <w:lang w:val="vi-VN"/>
              </w:rPr>
              <w:t>Gain from disposal in the current year</w:t>
            </w:r>
          </w:p>
          <w:p w14:paraId="3B2D8217" w14:textId="68512F34" w:rsidR="00A46C6A" w:rsidRPr="002A0B87" w:rsidRDefault="00A46C6A">
            <w:pPr>
              <w:widowControl w:val="0"/>
              <w:pBdr>
                <w:bottom w:val="single" w:sz="4" w:space="0" w:color="auto"/>
              </w:pBdr>
              <w:ind w:left="58" w:right="-86"/>
              <w:jc w:val="right"/>
              <w:rPr>
                <w:rFonts w:cs="Arial"/>
                <w:bCs/>
                <w:i/>
                <w:lang w:val="nl-NL"/>
              </w:rPr>
            </w:pPr>
            <w:r w:rsidRPr="002A0B87">
              <w:rPr>
                <w:rFonts w:cs="Arial"/>
                <w:i/>
                <w:lang w:val="vi-VN"/>
              </w:rPr>
              <w:t>VND</w:t>
            </w:r>
          </w:p>
        </w:tc>
        <w:tc>
          <w:tcPr>
            <w:tcW w:w="1987" w:type="dxa"/>
            <w:vAlign w:val="bottom"/>
            <w:hideMark/>
          </w:tcPr>
          <w:p w14:paraId="6C6E1BB6" w14:textId="7A7BDF82" w:rsidR="00A46C6A" w:rsidRPr="002A0B87" w:rsidRDefault="004F612E" w:rsidP="00CC4417">
            <w:pPr>
              <w:pBdr>
                <w:bottom w:val="single" w:sz="4" w:space="0" w:color="auto"/>
              </w:pBdr>
              <w:ind w:left="58" w:right="-86"/>
              <w:jc w:val="right"/>
              <w:rPr>
                <w:rFonts w:cs="Arial"/>
                <w:i/>
              </w:rPr>
            </w:pPr>
            <w:r w:rsidRPr="004F612E">
              <w:rPr>
                <w:rFonts w:cs="Arial"/>
                <w:i/>
                <w:lang w:val="vi-VN"/>
              </w:rPr>
              <w:t>Gain from disposal in the previous year</w:t>
            </w:r>
          </w:p>
          <w:p w14:paraId="13008966" w14:textId="572A1458" w:rsidR="00A46C6A" w:rsidRPr="002A0B87" w:rsidRDefault="00A46C6A">
            <w:pPr>
              <w:widowControl w:val="0"/>
              <w:pBdr>
                <w:bottom w:val="single" w:sz="4" w:space="0" w:color="auto"/>
              </w:pBdr>
              <w:ind w:left="58" w:right="-86"/>
              <w:jc w:val="right"/>
              <w:rPr>
                <w:rFonts w:cs="Arial"/>
                <w:i/>
                <w:lang w:val="nl-NL"/>
              </w:rPr>
            </w:pPr>
            <w:r w:rsidRPr="002A0B87">
              <w:rPr>
                <w:rFonts w:cs="Arial"/>
                <w:i/>
                <w:lang w:val="vi-VN"/>
              </w:rPr>
              <w:t>VND</w:t>
            </w:r>
          </w:p>
        </w:tc>
      </w:tr>
      <w:tr w:rsidR="000F39C3" w:rsidRPr="002A0B87" w14:paraId="0B6F8C4E" w14:textId="77777777" w:rsidTr="00FA1065">
        <w:trPr>
          <w:trHeight w:val="72"/>
          <w:tblHeader/>
        </w:trPr>
        <w:tc>
          <w:tcPr>
            <w:tcW w:w="662" w:type="dxa"/>
            <w:vAlign w:val="bottom"/>
          </w:tcPr>
          <w:p w14:paraId="3A2F8E0D" w14:textId="66B6E008" w:rsidR="000F39C3" w:rsidRPr="002A0B87" w:rsidRDefault="000F39C3" w:rsidP="000F39C3">
            <w:pPr>
              <w:widowControl w:val="0"/>
              <w:spacing w:before="120"/>
              <w:ind w:left="-115"/>
              <w:jc w:val="center"/>
              <w:rPr>
                <w:rFonts w:cs="Arial"/>
                <w:lang w:val="nl-NL"/>
              </w:rPr>
            </w:pPr>
            <w:r w:rsidRPr="002A0B87">
              <w:rPr>
                <w:rFonts w:cs="Arial"/>
                <w:lang w:val="nl-NL"/>
              </w:rPr>
              <w:t>1</w:t>
            </w:r>
          </w:p>
        </w:tc>
        <w:tc>
          <w:tcPr>
            <w:tcW w:w="2635" w:type="dxa"/>
            <w:vAlign w:val="bottom"/>
            <w:hideMark/>
          </w:tcPr>
          <w:p w14:paraId="749E8986" w14:textId="7D3A822C" w:rsidR="000F39C3" w:rsidRPr="002A0B87" w:rsidRDefault="000F39C3" w:rsidP="000F39C3">
            <w:pPr>
              <w:widowControl w:val="0"/>
              <w:spacing w:before="120"/>
              <w:ind w:left="-115"/>
              <w:rPr>
                <w:rFonts w:cs="Arial"/>
                <w:lang w:val="nl-NL"/>
              </w:rPr>
            </w:pPr>
            <w:r w:rsidRPr="0078356E">
              <w:rPr>
                <w:rFonts w:cs="Arial"/>
                <w:lang w:val="nl-NL"/>
              </w:rPr>
              <w:t>Listed shares</w:t>
            </w:r>
          </w:p>
        </w:tc>
        <w:tc>
          <w:tcPr>
            <w:tcW w:w="1987" w:type="dxa"/>
          </w:tcPr>
          <w:p w14:paraId="010EC1C2" w14:textId="49B3028F" w:rsidR="000F39C3" w:rsidRPr="00B624F6" w:rsidRDefault="000F39C3" w:rsidP="000F39C3">
            <w:pPr>
              <w:widowControl w:val="0"/>
              <w:spacing w:before="120"/>
              <w:ind w:left="58" w:right="-86"/>
              <w:jc w:val="right"/>
              <w:rPr>
                <w:rFonts w:eastAsia="Batang" w:cs="Arial"/>
                <w:highlight w:val="yellow"/>
                <w:lang w:val="nl-NL" w:eastAsia="ko-KR"/>
              </w:rPr>
            </w:pPr>
            <w:r w:rsidRPr="00892FB8">
              <w:t>4</w:t>
            </w:r>
            <w:r>
              <w:t>,</w:t>
            </w:r>
            <w:r w:rsidRPr="00892FB8">
              <w:t xml:space="preserve">200 </w:t>
            </w:r>
          </w:p>
        </w:tc>
        <w:tc>
          <w:tcPr>
            <w:tcW w:w="1987" w:type="dxa"/>
          </w:tcPr>
          <w:p w14:paraId="2E2BEE7E" w14:textId="08BE08B7" w:rsidR="000F39C3" w:rsidRPr="00B624F6" w:rsidRDefault="000F39C3" w:rsidP="000F39C3">
            <w:pPr>
              <w:widowControl w:val="0"/>
              <w:spacing w:before="120"/>
              <w:ind w:left="58" w:right="-86"/>
              <w:jc w:val="right"/>
              <w:rPr>
                <w:rFonts w:eastAsia="Batang" w:cs="Arial"/>
                <w:highlight w:val="yellow"/>
                <w:lang w:val="nl-NL" w:eastAsia="ko-KR"/>
              </w:rPr>
            </w:pPr>
            <w:r w:rsidRPr="00892FB8">
              <w:t>208</w:t>
            </w:r>
            <w:r>
              <w:t>,</w:t>
            </w:r>
            <w:r w:rsidRPr="00892FB8">
              <w:t>730</w:t>
            </w:r>
            <w:r>
              <w:t>,</w:t>
            </w:r>
            <w:r w:rsidRPr="00892FB8">
              <w:t xml:space="preserve">000 </w:t>
            </w:r>
          </w:p>
        </w:tc>
        <w:tc>
          <w:tcPr>
            <w:tcW w:w="1987" w:type="dxa"/>
          </w:tcPr>
          <w:p w14:paraId="66692865" w14:textId="408D94DC" w:rsidR="000F39C3" w:rsidRPr="00B624F6" w:rsidRDefault="000F39C3" w:rsidP="000F39C3">
            <w:pPr>
              <w:widowControl w:val="0"/>
              <w:spacing w:before="120"/>
              <w:ind w:left="58" w:right="-86"/>
              <w:jc w:val="right"/>
              <w:rPr>
                <w:rFonts w:eastAsia="Batang" w:cs="Arial"/>
                <w:highlight w:val="yellow"/>
                <w:lang w:val="nl-NL" w:eastAsia="ko-KR"/>
              </w:rPr>
            </w:pPr>
            <w:r w:rsidRPr="00892FB8">
              <w:t>173</w:t>
            </w:r>
            <w:r>
              <w:t>,</w:t>
            </w:r>
            <w:r w:rsidRPr="00892FB8">
              <w:t>032</w:t>
            </w:r>
            <w:r>
              <w:t>,</w:t>
            </w:r>
            <w:r w:rsidRPr="00892FB8">
              <w:t xml:space="preserve">418 </w:t>
            </w:r>
          </w:p>
        </w:tc>
        <w:tc>
          <w:tcPr>
            <w:tcW w:w="1987" w:type="dxa"/>
          </w:tcPr>
          <w:p w14:paraId="6B3FA11D" w14:textId="6F97619F" w:rsidR="000F39C3" w:rsidRPr="002A0B87" w:rsidRDefault="000F39C3" w:rsidP="000F39C3">
            <w:pPr>
              <w:widowControl w:val="0"/>
              <w:spacing w:before="120"/>
              <w:ind w:left="58" w:right="-86"/>
              <w:jc w:val="right"/>
              <w:rPr>
                <w:rFonts w:eastAsia="Batang" w:cs="Arial"/>
                <w:lang w:val="nl-NL" w:eastAsia="ko-KR"/>
              </w:rPr>
            </w:pPr>
            <w:r w:rsidRPr="00892FB8">
              <w:t>35</w:t>
            </w:r>
            <w:r>
              <w:t>,</w:t>
            </w:r>
            <w:r w:rsidRPr="00892FB8">
              <w:t>697</w:t>
            </w:r>
            <w:r>
              <w:t>,</w:t>
            </w:r>
            <w:r w:rsidRPr="00892FB8">
              <w:t xml:space="preserve">582 </w:t>
            </w:r>
          </w:p>
        </w:tc>
        <w:tc>
          <w:tcPr>
            <w:tcW w:w="1987" w:type="dxa"/>
          </w:tcPr>
          <w:p w14:paraId="4EF44107" w14:textId="077C1AD6" w:rsidR="000F39C3" w:rsidRPr="002A0B87" w:rsidRDefault="000F39C3" w:rsidP="000F39C3">
            <w:pPr>
              <w:widowControl w:val="0"/>
              <w:spacing w:before="120"/>
              <w:ind w:left="58" w:right="-86"/>
              <w:jc w:val="right"/>
              <w:rPr>
                <w:rFonts w:eastAsia="Batang" w:cs="Arial"/>
                <w:highlight w:val="yellow"/>
                <w:lang w:val="nl-NL" w:eastAsia="ko-KR"/>
              </w:rPr>
            </w:pPr>
            <w:r w:rsidRPr="00892FB8">
              <w:t>225</w:t>
            </w:r>
            <w:r>
              <w:t>,</w:t>
            </w:r>
            <w:r w:rsidRPr="00892FB8">
              <w:t>958</w:t>
            </w:r>
            <w:r>
              <w:t>,</w:t>
            </w:r>
            <w:r w:rsidRPr="00892FB8">
              <w:t xml:space="preserve">775 </w:t>
            </w:r>
          </w:p>
        </w:tc>
      </w:tr>
      <w:tr w:rsidR="000F39C3" w:rsidRPr="002A0B87" w14:paraId="7CCE9E87" w14:textId="77777777" w:rsidTr="00FA1065">
        <w:trPr>
          <w:trHeight w:val="216"/>
          <w:tblHeader/>
        </w:trPr>
        <w:tc>
          <w:tcPr>
            <w:tcW w:w="662" w:type="dxa"/>
            <w:vAlign w:val="bottom"/>
          </w:tcPr>
          <w:p w14:paraId="52EC48F1" w14:textId="6B4D5B95" w:rsidR="000F39C3" w:rsidRPr="002A0B87" w:rsidRDefault="000F39C3" w:rsidP="000F39C3">
            <w:pPr>
              <w:widowControl w:val="0"/>
              <w:ind w:left="-115"/>
              <w:jc w:val="center"/>
              <w:rPr>
                <w:rFonts w:cs="Arial"/>
                <w:lang w:val="nl-NL"/>
              </w:rPr>
            </w:pPr>
            <w:r>
              <w:rPr>
                <w:rFonts w:cs="Arial"/>
                <w:lang w:val="nl-NL"/>
              </w:rPr>
              <w:t>2</w:t>
            </w:r>
          </w:p>
        </w:tc>
        <w:tc>
          <w:tcPr>
            <w:tcW w:w="2635" w:type="dxa"/>
            <w:vAlign w:val="bottom"/>
            <w:hideMark/>
          </w:tcPr>
          <w:p w14:paraId="6C4EC6FE" w14:textId="1E6D77EB" w:rsidR="000F39C3" w:rsidRPr="002A0B87" w:rsidRDefault="000F39C3" w:rsidP="000F39C3">
            <w:pPr>
              <w:widowControl w:val="0"/>
              <w:ind w:left="-115"/>
              <w:rPr>
                <w:rFonts w:cs="Arial"/>
                <w:lang w:val="nl-NL"/>
              </w:rPr>
            </w:pPr>
            <w:r>
              <w:rPr>
                <w:rFonts w:eastAsia="Verdana" w:cs="Arial"/>
                <w:color w:val="000000"/>
              </w:rPr>
              <w:t>Listed Bonds</w:t>
            </w:r>
          </w:p>
        </w:tc>
        <w:tc>
          <w:tcPr>
            <w:tcW w:w="1987" w:type="dxa"/>
          </w:tcPr>
          <w:p w14:paraId="2534F530" w14:textId="03FFDF1E" w:rsidR="000F39C3" w:rsidRPr="00B624F6" w:rsidRDefault="000F39C3" w:rsidP="000F39C3">
            <w:pPr>
              <w:widowControl w:val="0"/>
              <w:pBdr>
                <w:bottom w:val="single" w:sz="4" w:space="0" w:color="auto"/>
              </w:pBdr>
              <w:ind w:left="58" w:right="-86"/>
              <w:jc w:val="right"/>
              <w:rPr>
                <w:rFonts w:eastAsia="Batang" w:cs="Arial"/>
                <w:highlight w:val="yellow"/>
                <w:lang w:eastAsia="ko-KR"/>
              </w:rPr>
            </w:pPr>
            <w:r w:rsidRPr="00892FB8">
              <w:t>915</w:t>
            </w:r>
            <w:r>
              <w:t>,</w:t>
            </w:r>
            <w:r w:rsidRPr="00892FB8">
              <w:t xml:space="preserve">050 </w:t>
            </w:r>
          </w:p>
        </w:tc>
        <w:tc>
          <w:tcPr>
            <w:tcW w:w="1987" w:type="dxa"/>
          </w:tcPr>
          <w:p w14:paraId="7BAEF01A" w14:textId="78C85C61" w:rsidR="000F39C3" w:rsidRPr="00B624F6" w:rsidRDefault="000F39C3" w:rsidP="000F39C3">
            <w:pPr>
              <w:widowControl w:val="0"/>
              <w:pBdr>
                <w:bottom w:val="single" w:sz="4" w:space="0" w:color="auto"/>
              </w:pBdr>
              <w:ind w:left="58" w:right="-86"/>
              <w:jc w:val="right"/>
              <w:rPr>
                <w:rFonts w:eastAsia="Batang" w:cs="Arial"/>
                <w:highlight w:val="yellow"/>
                <w:lang w:eastAsia="ko-KR"/>
              </w:rPr>
            </w:pPr>
            <w:r w:rsidRPr="00892FB8">
              <w:t>193</w:t>
            </w:r>
            <w:r>
              <w:t>,</w:t>
            </w:r>
            <w:r w:rsidRPr="00892FB8">
              <w:t>984</w:t>
            </w:r>
            <w:r>
              <w:t>,</w:t>
            </w:r>
            <w:r w:rsidRPr="00892FB8">
              <w:t>475</w:t>
            </w:r>
            <w:r>
              <w:t>,</w:t>
            </w:r>
            <w:r w:rsidRPr="00892FB8">
              <w:t xml:space="preserve">950 </w:t>
            </w:r>
          </w:p>
        </w:tc>
        <w:tc>
          <w:tcPr>
            <w:tcW w:w="1987" w:type="dxa"/>
          </w:tcPr>
          <w:p w14:paraId="013E0218" w14:textId="60053091" w:rsidR="000F39C3" w:rsidRPr="00B624F6" w:rsidRDefault="000F39C3" w:rsidP="000F39C3">
            <w:pPr>
              <w:widowControl w:val="0"/>
              <w:pBdr>
                <w:bottom w:val="single" w:sz="4" w:space="0" w:color="auto"/>
              </w:pBdr>
              <w:ind w:left="58" w:right="-86"/>
              <w:jc w:val="right"/>
              <w:rPr>
                <w:rFonts w:eastAsia="Batang" w:cs="Arial"/>
                <w:highlight w:val="yellow"/>
                <w:lang w:eastAsia="ko-KR"/>
              </w:rPr>
            </w:pPr>
            <w:r w:rsidRPr="00892FB8">
              <w:t>193</w:t>
            </w:r>
            <w:r>
              <w:t>,</w:t>
            </w:r>
            <w:r w:rsidRPr="00892FB8">
              <w:t>764</w:t>
            </w:r>
            <w:r>
              <w:t>,</w:t>
            </w:r>
            <w:r w:rsidRPr="00892FB8">
              <w:t>758</w:t>
            </w:r>
            <w:r>
              <w:t>,</w:t>
            </w:r>
            <w:r w:rsidRPr="00892FB8">
              <w:t xml:space="preserve">500 </w:t>
            </w:r>
          </w:p>
        </w:tc>
        <w:tc>
          <w:tcPr>
            <w:tcW w:w="1987" w:type="dxa"/>
          </w:tcPr>
          <w:p w14:paraId="42E314E1" w14:textId="4AA32620" w:rsidR="000F39C3" w:rsidRPr="002A0B87" w:rsidRDefault="000F39C3" w:rsidP="000F39C3">
            <w:pPr>
              <w:widowControl w:val="0"/>
              <w:pBdr>
                <w:bottom w:val="single" w:sz="4" w:space="0" w:color="auto"/>
              </w:pBdr>
              <w:ind w:left="58" w:right="-86"/>
              <w:jc w:val="right"/>
              <w:rPr>
                <w:rFonts w:eastAsia="Batang" w:cs="Arial"/>
                <w:lang w:eastAsia="ko-KR"/>
              </w:rPr>
            </w:pPr>
            <w:r w:rsidRPr="00892FB8">
              <w:t>219</w:t>
            </w:r>
            <w:r>
              <w:t>,</w:t>
            </w:r>
            <w:r w:rsidRPr="00892FB8">
              <w:t>717</w:t>
            </w:r>
            <w:r>
              <w:t>,</w:t>
            </w:r>
            <w:r w:rsidRPr="00892FB8">
              <w:t xml:space="preserve">450 </w:t>
            </w:r>
          </w:p>
        </w:tc>
        <w:tc>
          <w:tcPr>
            <w:tcW w:w="1987" w:type="dxa"/>
          </w:tcPr>
          <w:p w14:paraId="7CDE722A" w14:textId="7CB7EE78" w:rsidR="000F39C3" w:rsidRPr="002A0B87" w:rsidRDefault="000F39C3" w:rsidP="000F39C3">
            <w:pPr>
              <w:widowControl w:val="0"/>
              <w:pBdr>
                <w:bottom w:val="single" w:sz="4" w:space="0" w:color="auto"/>
              </w:pBdr>
              <w:overflowPunct/>
              <w:autoSpaceDE/>
              <w:autoSpaceDN/>
              <w:adjustRightInd/>
              <w:ind w:left="58" w:right="-86"/>
              <w:jc w:val="right"/>
              <w:textAlignment w:val="auto"/>
              <w:rPr>
                <w:rFonts w:eastAsia="Batang" w:cs="Arial"/>
                <w:highlight w:val="yellow"/>
                <w:lang w:eastAsia="ko-KR"/>
              </w:rPr>
            </w:pPr>
            <w:r w:rsidRPr="00892FB8">
              <w:t>5</w:t>
            </w:r>
            <w:r>
              <w:t>,</w:t>
            </w:r>
            <w:r w:rsidRPr="00892FB8">
              <w:t>000</w:t>
            </w:r>
            <w:r>
              <w:t>,</w:t>
            </w:r>
            <w:r w:rsidRPr="00892FB8">
              <w:t xml:space="preserve">000 </w:t>
            </w:r>
          </w:p>
        </w:tc>
      </w:tr>
      <w:tr w:rsidR="000F39C3" w:rsidRPr="002A0B87" w14:paraId="1B741A00" w14:textId="77777777" w:rsidTr="00FA1065">
        <w:trPr>
          <w:trHeight w:val="173"/>
          <w:tblHeader/>
        </w:trPr>
        <w:tc>
          <w:tcPr>
            <w:tcW w:w="662" w:type="dxa"/>
            <w:vAlign w:val="bottom"/>
          </w:tcPr>
          <w:p w14:paraId="40BDF21A" w14:textId="77777777" w:rsidR="000F39C3" w:rsidRPr="002A0B87" w:rsidRDefault="000F39C3" w:rsidP="000F39C3">
            <w:pPr>
              <w:widowControl w:val="0"/>
              <w:spacing w:before="120"/>
              <w:ind w:left="-115"/>
              <w:jc w:val="center"/>
              <w:rPr>
                <w:rFonts w:cs="Arial"/>
                <w:lang w:val="nl-NL"/>
              </w:rPr>
            </w:pPr>
          </w:p>
        </w:tc>
        <w:tc>
          <w:tcPr>
            <w:tcW w:w="2635" w:type="dxa"/>
            <w:vAlign w:val="bottom"/>
            <w:hideMark/>
          </w:tcPr>
          <w:p w14:paraId="15ADE89D" w14:textId="16807769" w:rsidR="000F39C3" w:rsidRPr="002A0B87" w:rsidRDefault="000F39C3" w:rsidP="000F39C3">
            <w:pPr>
              <w:widowControl w:val="0"/>
              <w:spacing w:before="120"/>
              <w:ind w:left="-115"/>
              <w:rPr>
                <w:rFonts w:cs="Arial"/>
                <w:b/>
                <w:lang w:val="nl-NL"/>
              </w:rPr>
            </w:pPr>
            <w:r w:rsidRPr="009A1013">
              <w:rPr>
                <w:rFonts w:cs="Arial"/>
                <w:b/>
                <w:lang w:val="nl-NL"/>
              </w:rPr>
              <w:t>Total</w:t>
            </w:r>
          </w:p>
        </w:tc>
        <w:tc>
          <w:tcPr>
            <w:tcW w:w="1987" w:type="dxa"/>
          </w:tcPr>
          <w:p w14:paraId="4BC18402" w14:textId="5946FFFD" w:rsidR="000F39C3" w:rsidRPr="000F39C3" w:rsidRDefault="000F39C3" w:rsidP="000F39C3">
            <w:pPr>
              <w:widowControl w:val="0"/>
              <w:pBdr>
                <w:bottom w:val="double" w:sz="4" w:space="0" w:color="auto"/>
              </w:pBdr>
              <w:spacing w:before="120"/>
              <w:ind w:left="58" w:right="-86"/>
              <w:jc w:val="right"/>
              <w:rPr>
                <w:rFonts w:eastAsia="Batang" w:cs="Arial"/>
                <w:b/>
                <w:bCs/>
                <w:highlight w:val="yellow"/>
                <w:lang w:eastAsia="ko-KR"/>
              </w:rPr>
            </w:pPr>
            <w:r w:rsidRPr="000F39C3">
              <w:rPr>
                <w:b/>
                <w:bCs/>
              </w:rPr>
              <w:t>919</w:t>
            </w:r>
            <w:r>
              <w:rPr>
                <w:b/>
                <w:bCs/>
              </w:rPr>
              <w:t>,</w:t>
            </w:r>
            <w:r w:rsidRPr="000F39C3">
              <w:rPr>
                <w:b/>
                <w:bCs/>
              </w:rPr>
              <w:t xml:space="preserve">250 </w:t>
            </w:r>
          </w:p>
        </w:tc>
        <w:tc>
          <w:tcPr>
            <w:tcW w:w="1987" w:type="dxa"/>
          </w:tcPr>
          <w:p w14:paraId="59F22AAD" w14:textId="72DD543E" w:rsidR="000F39C3" w:rsidRPr="000F39C3" w:rsidRDefault="000F39C3" w:rsidP="000F39C3">
            <w:pPr>
              <w:widowControl w:val="0"/>
              <w:pBdr>
                <w:bottom w:val="double" w:sz="4" w:space="0" w:color="auto"/>
              </w:pBdr>
              <w:spacing w:before="120"/>
              <w:ind w:left="58" w:right="-86"/>
              <w:jc w:val="right"/>
              <w:rPr>
                <w:rFonts w:eastAsia="Batang" w:cs="Arial"/>
                <w:b/>
                <w:bCs/>
                <w:highlight w:val="yellow"/>
                <w:lang w:eastAsia="ko-KR"/>
              </w:rPr>
            </w:pPr>
            <w:r w:rsidRPr="000F39C3">
              <w:rPr>
                <w:b/>
                <w:bCs/>
              </w:rPr>
              <w:t>194</w:t>
            </w:r>
            <w:r>
              <w:rPr>
                <w:b/>
                <w:bCs/>
              </w:rPr>
              <w:t>,</w:t>
            </w:r>
            <w:r w:rsidRPr="000F39C3">
              <w:rPr>
                <w:b/>
                <w:bCs/>
              </w:rPr>
              <w:t>193</w:t>
            </w:r>
            <w:r>
              <w:rPr>
                <w:b/>
                <w:bCs/>
              </w:rPr>
              <w:t>,</w:t>
            </w:r>
            <w:r w:rsidRPr="000F39C3">
              <w:rPr>
                <w:b/>
                <w:bCs/>
              </w:rPr>
              <w:t>205</w:t>
            </w:r>
            <w:r>
              <w:rPr>
                <w:b/>
                <w:bCs/>
              </w:rPr>
              <w:t>,</w:t>
            </w:r>
            <w:r w:rsidRPr="000F39C3">
              <w:rPr>
                <w:b/>
                <w:bCs/>
              </w:rPr>
              <w:t xml:space="preserve">950 </w:t>
            </w:r>
          </w:p>
        </w:tc>
        <w:tc>
          <w:tcPr>
            <w:tcW w:w="1987" w:type="dxa"/>
          </w:tcPr>
          <w:p w14:paraId="3A5C028B" w14:textId="06C59DC4" w:rsidR="000F39C3" w:rsidRPr="000F39C3" w:rsidRDefault="000F39C3" w:rsidP="000F39C3">
            <w:pPr>
              <w:widowControl w:val="0"/>
              <w:pBdr>
                <w:bottom w:val="double" w:sz="4" w:space="0" w:color="auto"/>
              </w:pBdr>
              <w:spacing w:before="120"/>
              <w:ind w:left="58" w:right="-86"/>
              <w:jc w:val="right"/>
              <w:rPr>
                <w:rFonts w:eastAsia="Batang" w:cs="Arial"/>
                <w:b/>
                <w:bCs/>
                <w:highlight w:val="yellow"/>
                <w:lang w:eastAsia="ko-KR"/>
              </w:rPr>
            </w:pPr>
            <w:r w:rsidRPr="000F39C3">
              <w:rPr>
                <w:b/>
                <w:bCs/>
              </w:rPr>
              <w:t>193</w:t>
            </w:r>
            <w:r>
              <w:rPr>
                <w:b/>
                <w:bCs/>
              </w:rPr>
              <w:t>,</w:t>
            </w:r>
            <w:r w:rsidRPr="000F39C3">
              <w:rPr>
                <w:b/>
                <w:bCs/>
              </w:rPr>
              <w:t>937</w:t>
            </w:r>
            <w:r>
              <w:rPr>
                <w:b/>
                <w:bCs/>
              </w:rPr>
              <w:t>,</w:t>
            </w:r>
            <w:r w:rsidRPr="000F39C3">
              <w:rPr>
                <w:b/>
                <w:bCs/>
              </w:rPr>
              <w:t>790</w:t>
            </w:r>
            <w:r>
              <w:rPr>
                <w:b/>
                <w:bCs/>
              </w:rPr>
              <w:t>,</w:t>
            </w:r>
            <w:r w:rsidRPr="000F39C3">
              <w:rPr>
                <w:b/>
                <w:bCs/>
              </w:rPr>
              <w:t xml:space="preserve">918 </w:t>
            </w:r>
          </w:p>
        </w:tc>
        <w:tc>
          <w:tcPr>
            <w:tcW w:w="1987" w:type="dxa"/>
          </w:tcPr>
          <w:p w14:paraId="76DA6436" w14:textId="2F7F918F" w:rsidR="000F39C3" w:rsidRPr="000F39C3" w:rsidRDefault="000F39C3" w:rsidP="000F39C3">
            <w:pPr>
              <w:widowControl w:val="0"/>
              <w:pBdr>
                <w:bottom w:val="double" w:sz="4" w:space="0" w:color="auto"/>
              </w:pBdr>
              <w:spacing w:before="120"/>
              <w:ind w:left="58" w:right="-86"/>
              <w:jc w:val="right"/>
              <w:rPr>
                <w:rFonts w:eastAsia="Batang" w:cs="Arial"/>
                <w:b/>
                <w:bCs/>
                <w:lang w:eastAsia="ko-KR"/>
              </w:rPr>
            </w:pPr>
            <w:r w:rsidRPr="000F39C3">
              <w:rPr>
                <w:b/>
                <w:bCs/>
              </w:rPr>
              <w:t>255</w:t>
            </w:r>
            <w:r>
              <w:rPr>
                <w:b/>
                <w:bCs/>
              </w:rPr>
              <w:t>,</w:t>
            </w:r>
            <w:r w:rsidRPr="000F39C3">
              <w:rPr>
                <w:b/>
                <w:bCs/>
              </w:rPr>
              <w:t>415</w:t>
            </w:r>
            <w:r>
              <w:rPr>
                <w:b/>
                <w:bCs/>
              </w:rPr>
              <w:t>,</w:t>
            </w:r>
            <w:r w:rsidRPr="000F39C3">
              <w:rPr>
                <w:b/>
                <w:bCs/>
              </w:rPr>
              <w:t>032</w:t>
            </w:r>
          </w:p>
        </w:tc>
        <w:tc>
          <w:tcPr>
            <w:tcW w:w="1987" w:type="dxa"/>
          </w:tcPr>
          <w:p w14:paraId="3B61367C" w14:textId="0F64A54D" w:rsidR="000F39C3" w:rsidRPr="000F39C3" w:rsidRDefault="000F39C3" w:rsidP="000F39C3">
            <w:pPr>
              <w:widowControl w:val="0"/>
              <w:pBdr>
                <w:bottom w:val="double" w:sz="4" w:space="0" w:color="auto"/>
              </w:pBdr>
              <w:spacing w:before="120"/>
              <w:ind w:left="58" w:right="-86"/>
              <w:jc w:val="right"/>
              <w:rPr>
                <w:rFonts w:eastAsia="Batang" w:cs="Arial"/>
                <w:b/>
                <w:bCs/>
                <w:highlight w:val="yellow"/>
                <w:lang w:eastAsia="ko-KR"/>
              </w:rPr>
            </w:pPr>
            <w:r w:rsidRPr="000F39C3">
              <w:rPr>
                <w:b/>
                <w:bCs/>
              </w:rPr>
              <w:t>230</w:t>
            </w:r>
            <w:r>
              <w:rPr>
                <w:b/>
                <w:bCs/>
              </w:rPr>
              <w:t>,</w:t>
            </w:r>
            <w:r w:rsidRPr="000F39C3">
              <w:rPr>
                <w:b/>
                <w:bCs/>
              </w:rPr>
              <w:t>958</w:t>
            </w:r>
            <w:r>
              <w:rPr>
                <w:b/>
                <w:bCs/>
              </w:rPr>
              <w:t>,</w:t>
            </w:r>
            <w:r w:rsidRPr="000F39C3">
              <w:rPr>
                <w:b/>
                <w:bCs/>
              </w:rPr>
              <w:t>775</w:t>
            </w:r>
          </w:p>
        </w:tc>
      </w:tr>
    </w:tbl>
    <w:p w14:paraId="76F219EC" w14:textId="77777777" w:rsidR="001E0A93" w:rsidRPr="002A0B87" w:rsidRDefault="001E0A93" w:rsidP="00760439">
      <w:pPr>
        <w:pStyle w:val="NoSpacing"/>
      </w:pPr>
    </w:p>
    <w:p w14:paraId="40D958B6" w14:textId="3BD6D2BB" w:rsidR="001E0A93" w:rsidRPr="002A0B87" w:rsidRDefault="001E0A93" w:rsidP="00760439">
      <w:pPr>
        <w:pStyle w:val="Heading3"/>
      </w:pPr>
      <w:r w:rsidRPr="002A0B87">
        <w:t>2</w:t>
      </w:r>
      <w:r w:rsidR="00CA0664">
        <w:t>0</w:t>
      </w:r>
      <w:r w:rsidRPr="002A0B87">
        <w:t>.1.2</w:t>
      </w:r>
      <w:r w:rsidRPr="002A0B87">
        <w:tab/>
      </w:r>
      <w:r w:rsidR="0014135E" w:rsidRPr="0014135E">
        <w:t>Loss from disposals of financial assets at FVTPL</w:t>
      </w:r>
      <w:r w:rsidR="0014135E" w:rsidRPr="0014135E" w:rsidDel="0014135E">
        <w:t xml:space="preserve"> </w:t>
      </w:r>
    </w:p>
    <w:p w14:paraId="6D2D2032" w14:textId="77777777" w:rsidR="001E0A93" w:rsidRPr="002A0B87" w:rsidRDefault="001E0A93" w:rsidP="00760439">
      <w:pPr>
        <w:pStyle w:val="NoSpacing"/>
      </w:pPr>
    </w:p>
    <w:tbl>
      <w:tblPr>
        <w:tblW w:w="13232" w:type="dxa"/>
        <w:tblInd w:w="720" w:type="dxa"/>
        <w:tblLayout w:type="fixed"/>
        <w:tblLook w:val="01E0" w:firstRow="1" w:lastRow="1" w:firstColumn="1" w:lastColumn="1" w:noHBand="0" w:noVBand="0"/>
      </w:tblPr>
      <w:tblGrid>
        <w:gridCol w:w="662"/>
        <w:gridCol w:w="2635"/>
        <w:gridCol w:w="1987"/>
        <w:gridCol w:w="1987"/>
        <w:gridCol w:w="1987"/>
        <w:gridCol w:w="1987"/>
        <w:gridCol w:w="1987"/>
      </w:tblGrid>
      <w:tr w:rsidR="001E0A93" w:rsidRPr="002A0B87" w14:paraId="5DCD3EFB" w14:textId="77777777" w:rsidTr="00557104">
        <w:trPr>
          <w:trHeight w:val="20"/>
          <w:tblHeader/>
        </w:trPr>
        <w:tc>
          <w:tcPr>
            <w:tcW w:w="662" w:type="dxa"/>
            <w:vAlign w:val="bottom"/>
          </w:tcPr>
          <w:p w14:paraId="77391572" w14:textId="3B5F32EA" w:rsidR="001E0A93" w:rsidRPr="002A0B87" w:rsidRDefault="009D75F5" w:rsidP="00CC4417">
            <w:pPr>
              <w:widowControl w:val="0"/>
              <w:pBdr>
                <w:bottom w:val="single" w:sz="4" w:space="0" w:color="auto"/>
              </w:pBdr>
              <w:ind w:left="-115"/>
              <w:jc w:val="center"/>
              <w:rPr>
                <w:rFonts w:cs="Arial"/>
                <w:i/>
              </w:rPr>
            </w:pPr>
            <w:r w:rsidRPr="009D75F5">
              <w:rPr>
                <w:rFonts w:cs="Arial"/>
                <w:i/>
              </w:rPr>
              <w:t>No.</w:t>
            </w:r>
          </w:p>
        </w:tc>
        <w:tc>
          <w:tcPr>
            <w:tcW w:w="2635" w:type="dxa"/>
            <w:vAlign w:val="bottom"/>
          </w:tcPr>
          <w:p w14:paraId="63F8BD35" w14:textId="4E3112D3" w:rsidR="001E0A93" w:rsidRPr="002A0B87" w:rsidRDefault="00E548FE" w:rsidP="00CC4417">
            <w:pPr>
              <w:widowControl w:val="0"/>
              <w:pBdr>
                <w:bottom w:val="single" w:sz="4" w:space="0" w:color="auto"/>
              </w:pBdr>
              <w:ind w:left="-115"/>
              <w:rPr>
                <w:rFonts w:cs="Arial"/>
                <w:i/>
              </w:rPr>
            </w:pPr>
            <w:r w:rsidRPr="00E548FE">
              <w:rPr>
                <w:rFonts w:cs="Arial"/>
                <w:i/>
              </w:rPr>
              <w:t>Financial assets</w:t>
            </w:r>
          </w:p>
        </w:tc>
        <w:tc>
          <w:tcPr>
            <w:tcW w:w="1987" w:type="dxa"/>
            <w:vAlign w:val="bottom"/>
            <w:hideMark/>
          </w:tcPr>
          <w:p w14:paraId="587F91C3" w14:textId="4BABFDFF" w:rsidR="001E0A93" w:rsidRPr="002A0B87" w:rsidRDefault="00825A8D" w:rsidP="00CC4417">
            <w:pPr>
              <w:pBdr>
                <w:bottom w:val="single" w:sz="4" w:space="0" w:color="auto"/>
              </w:pBdr>
              <w:ind w:left="58" w:right="-86"/>
              <w:jc w:val="right"/>
              <w:rPr>
                <w:rFonts w:cs="Arial"/>
                <w:i/>
                <w:lang w:val="vi-VN"/>
              </w:rPr>
            </w:pPr>
            <w:r w:rsidRPr="00825A8D">
              <w:rPr>
                <w:rFonts w:cs="Arial"/>
                <w:i/>
                <w:lang w:val="vi-VN"/>
              </w:rPr>
              <w:t>Quantity</w:t>
            </w:r>
          </w:p>
          <w:p w14:paraId="3107DB2E" w14:textId="6272EBE5" w:rsidR="001E0A93" w:rsidRPr="002A0B87" w:rsidRDefault="00825A8D">
            <w:pPr>
              <w:widowControl w:val="0"/>
              <w:pBdr>
                <w:bottom w:val="single" w:sz="4" w:space="0" w:color="auto"/>
              </w:pBdr>
              <w:ind w:left="58" w:right="-86"/>
              <w:jc w:val="right"/>
              <w:rPr>
                <w:rFonts w:cs="Arial"/>
                <w:i/>
                <w:lang w:val="nl-NL"/>
              </w:rPr>
            </w:pPr>
            <w:r>
              <w:rPr>
                <w:rFonts w:cs="Arial"/>
                <w:i/>
              </w:rPr>
              <w:t>unit</w:t>
            </w:r>
          </w:p>
        </w:tc>
        <w:tc>
          <w:tcPr>
            <w:tcW w:w="1987" w:type="dxa"/>
            <w:vAlign w:val="bottom"/>
            <w:hideMark/>
          </w:tcPr>
          <w:p w14:paraId="1570386C" w14:textId="6DD08F6C" w:rsidR="001E0A93" w:rsidRPr="00FA28E4" w:rsidRDefault="00825A8D" w:rsidP="00CC4417">
            <w:pPr>
              <w:pBdr>
                <w:bottom w:val="single" w:sz="4" w:space="0" w:color="auto"/>
              </w:pBdr>
              <w:ind w:left="58" w:right="-86"/>
              <w:jc w:val="right"/>
              <w:rPr>
                <w:rFonts w:cs="Arial"/>
                <w:i/>
              </w:rPr>
            </w:pPr>
            <w:r>
              <w:rPr>
                <w:rFonts w:cs="Arial"/>
                <w:i/>
              </w:rPr>
              <w:t>Proceeds</w:t>
            </w:r>
          </w:p>
          <w:p w14:paraId="0D31505E" w14:textId="77777777" w:rsidR="001E0A93" w:rsidRPr="002A0B87" w:rsidRDefault="001E0A93">
            <w:pPr>
              <w:widowControl w:val="0"/>
              <w:pBdr>
                <w:bottom w:val="single" w:sz="4" w:space="0" w:color="auto"/>
              </w:pBdr>
              <w:ind w:left="58" w:right="-86"/>
              <w:jc w:val="right"/>
              <w:rPr>
                <w:rFonts w:cs="Arial"/>
                <w:i/>
                <w:lang w:val="nl-NL"/>
              </w:rPr>
            </w:pPr>
            <w:r w:rsidRPr="002A0B87">
              <w:rPr>
                <w:rFonts w:cs="Arial"/>
                <w:i/>
                <w:lang w:val="vi-VN"/>
              </w:rPr>
              <w:t>VND</w:t>
            </w:r>
          </w:p>
        </w:tc>
        <w:tc>
          <w:tcPr>
            <w:tcW w:w="1987" w:type="dxa"/>
            <w:vAlign w:val="bottom"/>
            <w:hideMark/>
          </w:tcPr>
          <w:p w14:paraId="37E4E46A" w14:textId="57DB7A1F" w:rsidR="001E0A93" w:rsidRPr="002A0B87" w:rsidRDefault="00727074" w:rsidP="00CC4417">
            <w:pPr>
              <w:pBdr>
                <w:bottom w:val="single" w:sz="4" w:space="0" w:color="auto"/>
              </w:pBdr>
              <w:ind w:left="58" w:right="-86"/>
              <w:jc w:val="right"/>
              <w:rPr>
                <w:rFonts w:cs="Arial"/>
                <w:i/>
                <w:lang w:val="vi-VN"/>
              </w:rPr>
            </w:pPr>
            <w:r w:rsidRPr="00727074">
              <w:rPr>
                <w:rFonts w:cs="Arial"/>
                <w:i/>
                <w:lang w:val="vi-VN"/>
              </w:rPr>
              <w:t>Weighted average cost at the end of transaction date</w:t>
            </w:r>
            <w:r w:rsidR="001E0A93" w:rsidRPr="002A0B87">
              <w:rPr>
                <w:rFonts w:cs="Arial"/>
                <w:i/>
                <w:lang w:val="vi-VN"/>
              </w:rPr>
              <w:t xml:space="preserve"> </w:t>
            </w:r>
          </w:p>
          <w:p w14:paraId="631B8E2C" w14:textId="77777777" w:rsidR="001E0A93" w:rsidRPr="002A0B87" w:rsidRDefault="001E0A93">
            <w:pPr>
              <w:widowControl w:val="0"/>
              <w:pBdr>
                <w:bottom w:val="single" w:sz="4" w:space="0" w:color="auto"/>
              </w:pBdr>
              <w:ind w:left="58" w:right="-86"/>
              <w:jc w:val="right"/>
              <w:rPr>
                <w:rFonts w:cs="Arial"/>
                <w:i/>
                <w:lang w:val="nl-NL"/>
              </w:rPr>
            </w:pPr>
            <w:r w:rsidRPr="002A0B87">
              <w:rPr>
                <w:rFonts w:cs="Arial"/>
                <w:i/>
                <w:lang w:val="vi-VN"/>
              </w:rPr>
              <w:t>VND</w:t>
            </w:r>
          </w:p>
        </w:tc>
        <w:tc>
          <w:tcPr>
            <w:tcW w:w="1987" w:type="dxa"/>
            <w:vAlign w:val="bottom"/>
            <w:hideMark/>
          </w:tcPr>
          <w:p w14:paraId="332A1BC1" w14:textId="12D215C2" w:rsidR="001E0A93" w:rsidRPr="002A0B87" w:rsidRDefault="00703A6E" w:rsidP="00CC4417">
            <w:pPr>
              <w:pBdr>
                <w:bottom w:val="single" w:sz="4" w:space="0" w:color="auto"/>
              </w:pBdr>
              <w:ind w:left="58" w:right="-86"/>
              <w:jc w:val="right"/>
              <w:rPr>
                <w:rFonts w:cs="Arial"/>
                <w:i/>
              </w:rPr>
            </w:pPr>
            <w:r w:rsidRPr="00703A6E">
              <w:rPr>
                <w:rFonts w:cs="Arial"/>
                <w:i/>
                <w:lang w:val="vi-VN"/>
              </w:rPr>
              <w:t>Loss from disposal in the current year</w:t>
            </w:r>
          </w:p>
          <w:p w14:paraId="717798EC" w14:textId="77777777" w:rsidR="001E0A93" w:rsidRPr="002A0B87" w:rsidRDefault="001E0A93">
            <w:pPr>
              <w:widowControl w:val="0"/>
              <w:pBdr>
                <w:bottom w:val="single" w:sz="4" w:space="0" w:color="auto"/>
              </w:pBdr>
              <w:ind w:left="58" w:right="-86"/>
              <w:jc w:val="right"/>
              <w:rPr>
                <w:rFonts w:cs="Arial"/>
                <w:bCs/>
                <w:i/>
                <w:lang w:val="nl-NL"/>
              </w:rPr>
            </w:pPr>
            <w:r w:rsidRPr="002A0B87">
              <w:rPr>
                <w:rFonts w:cs="Arial"/>
                <w:i/>
                <w:lang w:val="vi-VN"/>
              </w:rPr>
              <w:t>VND</w:t>
            </w:r>
          </w:p>
        </w:tc>
        <w:tc>
          <w:tcPr>
            <w:tcW w:w="1987" w:type="dxa"/>
            <w:vAlign w:val="bottom"/>
            <w:hideMark/>
          </w:tcPr>
          <w:p w14:paraId="14327F76" w14:textId="527D23BF" w:rsidR="001E0A93" w:rsidRPr="002A0B87" w:rsidRDefault="005A5F18" w:rsidP="00CC4417">
            <w:pPr>
              <w:pBdr>
                <w:bottom w:val="single" w:sz="4" w:space="0" w:color="auto"/>
              </w:pBdr>
              <w:ind w:left="58" w:right="-86"/>
              <w:jc w:val="right"/>
              <w:rPr>
                <w:rFonts w:cs="Arial"/>
                <w:i/>
              </w:rPr>
            </w:pPr>
            <w:r w:rsidRPr="005A5F18">
              <w:rPr>
                <w:rFonts w:cs="Arial"/>
                <w:i/>
                <w:lang w:val="vi-VN"/>
              </w:rPr>
              <w:t>Loss from disposal in the previous year</w:t>
            </w:r>
          </w:p>
          <w:p w14:paraId="705090BB" w14:textId="77777777" w:rsidR="001E0A93" w:rsidRPr="002A0B87" w:rsidRDefault="001E0A93">
            <w:pPr>
              <w:widowControl w:val="0"/>
              <w:pBdr>
                <w:bottom w:val="single" w:sz="4" w:space="0" w:color="auto"/>
              </w:pBdr>
              <w:ind w:left="58" w:right="-86"/>
              <w:jc w:val="right"/>
              <w:rPr>
                <w:rFonts w:cs="Arial"/>
                <w:i/>
                <w:lang w:val="nl-NL"/>
              </w:rPr>
            </w:pPr>
            <w:r w:rsidRPr="002A0B87">
              <w:rPr>
                <w:rFonts w:cs="Arial"/>
                <w:i/>
                <w:lang w:val="vi-VN"/>
              </w:rPr>
              <w:t>VND</w:t>
            </w:r>
          </w:p>
        </w:tc>
      </w:tr>
      <w:tr w:rsidR="00733533" w:rsidRPr="002A0B87" w14:paraId="0C9ECDCE" w14:textId="77777777" w:rsidTr="00863B8F">
        <w:trPr>
          <w:trHeight w:val="216"/>
          <w:tblHeader/>
        </w:trPr>
        <w:tc>
          <w:tcPr>
            <w:tcW w:w="662" w:type="dxa"/>
            <w:vAlign w:val="bottom"/>
          </w:tcPr>
          <w:p w14:paraId="0941CBD0" w14:textId="0AE95E3E" w:rsidR="00733533" w:rsidRPr="002A0B87" w:rsidRDefault="00733533" w:rsidP="00733533">
            <w:pPr>
              <w:widowControl w:val="0"/>
              <w:ind w:left="-115"/>
              <w:jc w:val="center"/>
              <w:rPr>
                <w:rFonts w:cs="Arial"/>
                <w:lang w:val="nl-NL"/>
              </w:rPr>
            </w:pPr>
            <w:r>
              <w:rPr>
                <w:rFonts w:cs="Arial"/>
                <w:lang w:val="nl-NL"/>
              </w:rPr>
              <w:t>3</w:t>
            </w:r>
          </w:p>
        </w:tc>
        <w:tc>
          <w:tcPr>
            <w:tcW w:w="2635" w:type="dxa"/>
            <w:vAlign w:val="bottom"/>
            <w:hideMark/>
          </w:tcPr>
          <w:p w14:paraId="3C349978" w14:textId="11773840" w:rsidR="00733533" w:rsidRPr="007A2F6C" w:rsidRDefault="00733533" w:rsidP="00733533">
            <w:pPr>
              <w:widowControl w:val="0"/>
              <w:ind w:left="-115"/>
              <w:rPr>
                <w:rFonts w:cs="Arial"/>
              </w:rPr>
            </w:pPr>
            <w:r>
              <w:rPr>
                <w:rFonts w:cs="Arial"/>
              </w:rPr>
              <w:t>Certificate of Deposits</w:t>
            </w:r>
          </w:p>
        </w:tc>
        <w:tc>
          <w:tcPr>
            <w:tcW w:w="1987" w:type="dxa"/>
          </w:tcPr>
          <w:p w14:paraId="48F05F31" w14:textId="201BE0F9" w:rsidR="00733533" w:rsidRPr="00B624F6" w:rsidRDefault="00733533" w:rsidP="00733533">
            <w:pPr>
              <w:widowControl w:val="0"/>
              <w:pBdr>
                <w:bottom w:val="single" w:sz="4" w:space="0" w:color="auto"/>
              </w:pBdr>
              <w:ind w:left="58" w:right="-86"/>
              <w:jc w:val="right"/>
              <w:rPr>
                <w:rFonts w:eastAsia="Batang" w:cs="Arial"/>
                <w:highlight w:val="yellow"/>
                <w:lang w:eastAsia="ko-KR"/>
              </w:rPr>
            </w:pPr>
            <w:r w:rsidRPr="006C1B32">
              <w:t>200</w:t>
            </w:r>
          </w:p>
        </w:tc>
        <w:tc>
          <w:tcPr>
            <w:tcW w:w="1987" w:type="dxa"/>
          </w:tcPr>
          <w:p w14:paraId="4880C965" w14:textId="4FD64335" w:rsidR="00733533" w:rsidRPr="00B624F6" w:rsidRDefault="00733533" w:rsidP="00733533">
            <w:pPr>
              <w:widowControl w:val="0"/>
              <w:pBdr>
                <w:bottom w:val="single" w:sz="4" w:space="0" w:color="auto"/>
              </w:pBdr>
              <w:ind w:left="58" w:right="-86"/>
              <w:jc w:val="right"/>
              <w:rPr>
                <w:rFonts w:eastAsia="Batang" w:cs="Arial"/>
                <w:highlight w:val="yellow"/>
                <w:lang w:eastAsia="ko-KR"/>
              </w:rPr>
            </w:pPr>
            <w:r w:rsidRPr="006C1B32">
              <w:t>205</w:t>
            </w:r>
            <w:r>
              <w:t>,</w:t>
            </w:r>
            <w:r w:rsidRPr="006C1B32">
              <w:t>946</w:t>
            </w:r>
            <w:r>
              <w:t>,</w:t>
            </w:r>
            <w:r w:rsidRPr="006C1B32">
              <w:t>400</w:t>
            </w:r>
            <w:r>
              <w:t>,</w:t>
            </w:r>
            <w:r w:rsidRPr="006C1B32">
              <w:t>000</w:t>
            </w:r>
          </w:p>
        </w:tc>
        <w:tc>
          <w:tcPr>
            <w:tcW w:w="1987" w:type="dxa"/>
          </w:tcPr>
          <w:p w14:paraId="0FBB056E" w14:textId="798D84D7" w:rsidR="00733533" w:rsidRPr="00B624F6" w:rsidRDefault="00733533" w:rsidP="00733533">
            <w:pPr>
              <w:widowControl w:val="0"/>
              <w:pBdr>
                <w:bottom w:val="single" w:sz="4" w:space="0" w:color="auto"/>
              </w:pBdr>
              <w:ind w:left="58" w:right="-86"/>
              <w:jc w:val="right"/>
              <w:rPr>
                <w:rFonts w:eastAsia="Batang" w:cs="Arial"/>
                <w:highlight w:val="yellow"/>
                <w:lang w:eastAsia="ko-KR"/>
              </w:rPr>
            </w:pPr>
            <w:r w:rsidRPr="006C1B32">
              <w:t>206</w:t>
            </w:r>
            <w:r>
              <w:t>,</w:t>
            </w:r>
            <w:r w:rsidRPr="006C1B32">
              <w:t>008</w:t>
            </w:r>
            <w:r>
              <w:t>,</w:t>
            </w:r>
            <w:r w:rsidRPr="006C1B32">
              <w:t>300</w:t>
            </w:r>
            <w:r>
              <w:t>,</w:t>
            </w:r>
            <w:r w:rsidRPr="006C1B32">
              <w:t>000</w:t>
            </w:r>
          </w:p>
        </w:tc>
        <w:tc>
          <w:tcPr>
            <w:tcW w:w="1987" w:type="dxa"/>
          </w:tcPr>
          <w:p w14:paraId="14CC095B" w14:textId="14257262" w:rsidR="00733533" w:rsidRPr="002A0B87" w:rsidRDefault="00733533" w:rsidP="00733533">
            <w:pPr>
              <w:widowControl w:val="0"/>
              <w:pBdr>
                <w:bottom w:val="single" w:sz="4" w:space="0" w:color="auto"/>
              </w:pBdr>
              <w:ind w:left="58" w:right="-86"/>
              <w:jc w:val="right"/>
              <w:rPr>
                <w:rFonts w:eastAsia="Batang" w:cs="Arial"/>
                <w:lang w:eastAsia="ko-KR"/>
              </w:rPr>
            </w:pPr>
            <w:r w:rsidRPr="006C1B32">
              <w:t>61</w:t>
            </w:r>
            <w:r>
              <w:t>,</w:t>
            </w:r>
            <w:r w:rsidRPr="006C1B32">
              <w:t>900</w:t>
            </w:r>
            <w:r>
              <w:t>,</w:t>
            </w:r>
            <w:r w:rsidRPr="006C1B32">
              <w:t>000</w:t>
            </w:r>
          </w:p>
        </w:tc>
        <w:tc>
          <w:tcPr>
            <w:tcW w:w="1987" w:type="dxa"/>
          </w:tcPr>
          <w:p w14:paraId="728FAAF8" w14:textId="0E397418" w:rsidR="00733533" w:rsidRPr="002A0B87" w:rsidRDefault="00733533" w:rsidP="00733533">
            <w:pPr>
              <w:widowControl w:val="0"/>
              <w:pBdr>
                <w:bottom w:val="single" w:sz="4" w:space="0" w:color="auto"/>
              </w:pBdr>
              <w:overflowPunct/>
              <w:autoSpaceDE/>
              <w:autoSpaceDN/>
              <w:adjustRightInd/>
              <w:ind w:left="58" w:right="-86"/>
              <w:jc w:val="right"/>
              <w:textAlignment w:val="auto"/>
              <w:rPr>
                <w:rFonts w:eastAsia="Batang" w:cs="Arial"/>
                <w:highlight w:val="yellow"/>
                <w:lang w:eastAsia="ko-KR"/>
              </w:rPr>
            </w:pPr>
            <w:r w:rsidRPr="006C1B32">
              <w:t>-</w:t>
            </w:r>
          </w:p>
        </w:tc>
      </w:tr>
      <w:tr w:rsidR="00733533" w:rsidRPr="002A0B87" w14:paraId="14182882" w14:textId="77777777" w:rsidTr="00863B8F">
        <w:trPr>
          <w:trHeight w:val="173"/>
          <w:tblHeader/>
        </w:trPr>
        <w:tc>
          <w:tcPr>
            <w:tcW w:w="662" w:type="dxa"/>
            <w:vAlign w:val="bottom"/>
          </w:tcPr>
          <w:p w14:paraId="434A05EB" w14:textId="77777777" w:rsidR="00733533" w:rsidRPr="002A0B87" w:rsidRDefault="00733533" w:rsidP="00733533">
            <w:pPr>
              <w:widowControl w:val="0"/>
              <w:spacing w:before="120"/>
              <w:ind w:left="-115"/>
              <w:jc w:val="center"/>
              <w:rPr>
                <w:rFonts w:cs="Arial"/>
                <w:lang w:val="nl-NL"/>
              </w:rPr>
            </w:pPr>
          </w:p>
        </w:tc>
        <w:tc>
          <w:tcPr>
            <w:tcW w:w="2635" w:type="dxa"/>
            <w:vAlign w:val="bottom"/>
            <w:hideMark/>
          </w:tcPr>
          <w:p w14:paraId="09D1D70D" w14:textId="58B46459" w:rsidR="00733533" w:rsidRPr="002A0B87" w:rsidRDefault="00733533" w:rsidP="00733533">
            <w:pPr>
              <w:widowControl w:val="0"/>
              <w:spacing w:before="120"/>
              <w:ind w:left="-115"/>
              <w:rPr>
                <w:rFonts w:cs="Arial"/>
                <w:b/>
                <w:lang w:val="nl-NL"/>
              </w:rPr>
            </w:pPr>
            <w:r w:rsidRPr="004829FF">
              <w:rPr>
                <w:rFonts w:cs="Arial"/>
                <w:b/>
                <w:lang w:val="nl-NL"/>
              </w:rPr>
              <w:t>Total</w:t>
            </w:r>
          </w:p>
        </w:tc>
        <w:tc>
          <w:tcPr>
            <w:tcW w:w="1987" w:type="dxa"/>
          </w:tcPr>
          <w:p w14:paraId="5233B68F" w14:textId="7C50081C" w:rsidR="00733533" w:rsidRPr="00733533" w:rsidRDefault="00733533" w:rsidP="00733533">
            <w:pPr>
              <w:widowControl w:val="0"/>
              <w:pBdr>
                <w:bottom w:val="double" w:sz="4" w:space="0" w:color="auto"/>
              </w:pBdr>
              <w:spacing w:before="120"/>
              <w:ind w:left="58" w:right="-86"/>
              <w:jc w:val="right"/>
              <w:rPr>
                <w:rFonts w:eastAsia="Batang" w:cs="Arial"/>
                <w:b/>
                <w:bCs/>
                <w:highlight w:val="yellow"/>
                <w:lang w:eastAsia="ko-KR"/>
              </w:rPr>
            </w:pPr>
            <w:r w:rsidRPr="00733533">
              <w:rPr>
                <w:b/>
                <w:bCs/>
              </w:rPr>
              <w:t>200</w:t>
            </w:r>
          </w:p>
        </w:tc>
        <w:tc>
          <w:tcPr>
            <w:tcW w:w="1987" w:type="dxa"/>
          </w:tcPr>
          <w:p w14:paraId="24EF6591" w14:textId="49FF0691" w:rsidR="00733533" w:rsidRPr="00733533" w:rsidRDefault="00733533" w:rsidP="00733533">
            <w:pPr>
              <w:widowControl w:val="0"/>
              <w:pBdr>
                <w:bottom w:val="double" w:sz="4" w:space="0" w:color="auto"/>
              </w:pBdr>
              <w:spacing w:before="120"/>
              <w:ind w:left="58" w:right="-86"/>
              <w:jc w:val="right"/>
              <w:rPr>
                <w:rFonts w:eastAsia="Batang" w:cs="Arial"/>
                <w:b/>
                <w:bCs/>
                <w:highlight w:val="yellow"/>
                <w:lang w:eastAsia="ko-KR"/>
              </w:rPr>
            </w:pPr>
            <w:r w:rsidRPr="00733533">
              <w:rPr>
                <w:b/>
                <w:bCs/>
              </w:rPr>
              <w:t>205,946,400,000</w:t>
            </w:r>
          </w:p>
        </w:tc>
        <w:tc>
          <w:tcPr>
            <w:tcW w:w="1987" w:type="dxa"/>
          </w:tcPr>
          <w:p w14:paraId="0F182872" w14:textId="0F044BDA" w:rsidR="00733533" w:rsidRPr="00733533" w:rsidRDefault="00733533" w:rsidP="00733533">
            <w:pPr>
              <w:widowControl w:val="0"/>
              <w:pBdr>
                <w:bottom w:val="double" w:sz="4" w:space="0" w:color="auto"/>
              </w:pBdr>
              <w:spacing w:before="120"/>
              <w:ind w:left="58" w:right="-86"/>
              <w:jc w:val="right"/>
              <w:rPr>
                <w:rFonts w:eastAsia="Batang" w:cs="Arial"/>
                <w:b/>
                <w:bCs/>
                <w:highlight w:val="yellow"/>
                <w:lang w:eastAsia="ko-KR"/>
              </w:rPr>
            </w:pPr>
            <w:r w:rsidRPr="00733533">
              <w:rPr>
                <w:b/>
                <w:bCs/>
              </w:rPr>
              <w:t>206,008,300,000</w:t>
            </w:r>
          </w:p>
        </w:tc>
        <w:tc>
          <w:tcPr>
            <w:tcW w:w="1987" w:type="dxa"/>
          </w:tcPr>
          <w:p w14:paraId="2CD45CCE" w14:textId="775D0B7A" w:rsidR="00733533" w:rsidRPr="00733533" w:rsidRDefault="00733533" w:rsidP="00733533">
            <w:pPr>
              <w:widowControl w:val="0"/>
              <w:pBdr>
                <w:bottom w:val="double" w:sz="4" w:space="0" w:color="auto"/>
              </w:pBdr>
              <w:spacing w:before="120"/>
              <w:ind w:left="58" w:right="-86"/>
              <w:jc w:val="right"/>
              <w:rPr>
                <w:rFonts w:eastAsia="Batang" w:cs="Arial"/>
                <w:b/>
                <w:bCs/>
                <w:lang w:eastAsia="ko-KR"/>
              </w:rPr>
            </w:pPr>
            <w:r w:rsidRPr="00733533">
              <w:rPr>
                <w:b/>
                <w:bCs/>
              </w:rPr>
              <w:t>61,900,000</w:t>
            </w:r>
          </w:p>
        </w:tc>
        <w:tc>
          <w:tcPr>
            <w:tcW w:w="1987" w:type="dxa"/>
          </w:tcPr>
          <w:p w14:paraId="69F917EF" w14:textId="62C56ED1" w:rsidR="00733533" w:rsidRPr="00733533" w:rsidRDefault="00733533" w:rsidP="00733533">
            <w:pPr>
              <w:widowControl w:val="0"/>
              <w:pBdr>
                <w:bottom w:val="double" w:sz="4" w:space="0" w:color="auto"/>
              </w:pBdr>
              <w:spacing w:before="120"/>
              <w:ind w:left="58" w:right="-86"/>
              <w:jc w:val="right"/>
              <w:rPr>
                <w:rFonts w:eastAsia="Batang" w:cs="Arial"/>
                <w:b/>
                <w:bCs/>
                <w:highlight w:val="yellow"/>
                <w:lang w:eastAsia="ko-KR"/>
              </w:rPr>
            </w:pPr>
            <w:r w:rsidRPr="00733533">
              <w:rPr>
                <w:b/>
                <w:bCs/>
              </w:rPr>
              <w:t>-</w:t>
            </w:r>
          </w:p>
        </w:tc>
      </w:tr>
    </w:tbl>
    <w:p w14:paraId="1F891432" w14:textId="1E7BB6DA" w:rsidR="00E1418E" w:rsidRPr="002A0B87" w:rsidRDefault="00E1418E" w:rsidP="00760439">
      <w:pPr>
        <w:pStyle w:val="NoSpacing"/>
        <w:rPr>
          <w:lang w:val="de-DE"/>
        </w:rPr>
      </w:pPr>
    </w:p>
    <w:p w14:paraId="3DDCA0F1" w14:textId="77777777" w:rsidR="008B2B52" w:rsidRPr="002A0B87" w:rsidRDefault="008B2B52" w:rsidP="00E1418E">
      <w:pPr>
        <w:overflowPunct/>
        <w:ind w:left="720"/>
        <w:textAlignment w:val="auto"/>
        <w:rPr>
          <w:rFonts w:cs="Arial"/>
          <w:bCs/>
          <w:iCs/>
          <w:lang w:val="de-DE"/>
        </w:rPr>
        <w:sectPr w:rsidR="008B2B52" w:rsidRPr="002A0B87" w:rsidSect="00557104">
          <w:pgSz w:w="16834" w:h="11909" w:orient="landscape" w:code="9"/>
          <w:pgMar w:top="1440" w:right="1440" w:bottom="864" w:left="1440" w:header="720" w:footer="576" w:gutter="0"/>
          <w:cols w:space="720"/>
          <w:docGrid w:linePitch="272"/>
        </w:sectPr>
      </w:pPr>
    </w:p>
    <w:p w14:paraId="0836C710" w14:textId="0A0807C7" w:rsidR="0085727C" w:rsidRPr="002A0B87" w:rsidRDefault="0085727C" w:rsidP="0085727C">
      <w:pPr>
        <w:ind w:left="720" w:hanging="720"/>
        <w:rPr>
          <w:rFonts w:cs="Arial"/>
          <w:bCs/>
        </w:rPr>
      </w:pPr>
      <w:r w:rsidRPr="002A0B87">
        <w:rPr>
          <w:rFonts w:cs="Arial"/>
          <w:b/>
          <w:bCs/>
        </w:rPr>
        <w:lastRenderedPageBreak/>
        <w:t>2</w:t>
      </w:r>
      <w:r w:rsidR="00AC7404">
        <w:rPr>
          <w:rFonts w:cs="Arial"/>
          <w:b/>
          <w:bCs/>
        </w:rPr>
        <w:t>0</w:t>
      </w:r>
      <w:r w:rsidRPr="002A0B87">
        <w:rPr>
          <w:rFonts w:cs="Arial"/>
          <w:b/>
          <w:bCs/>
        </w:rPr>
        <w:t>.</w:t>
      </w:r>
      <w:r w:rsidRPr="002A0B87">
        <w:rPr>
          <w:rFonts w:cs="Arial"/>
          <w:b/>
          <w:bCs/>
        </w:rPr>
        <w:tab/>
      </w:r>
      <w:r w:rsidR="007D4185" w:rsidRPr="007D4185">
        <w:rPr>
          <w:rFonts w:cs="Arial"/>
          <w:b/>
          <w:bCs/>
        </w:rPr>
        <w:t xml:space="preserve">GAIN/(LOSS) FROM FINANCIAL ASSETS </w:t>
      </w:r>
      <w:r w:rsidR="007D4185" w:rsidRPr="00FA28E4">
        <w:rPr>
          <w:rFonts w:cs="Arial"/>
        </w:rPr>
        <w:t>(continued)</w:t>
      </w:r>
    </w:p>
    <w:p w14:paraId="2912930D" w14:textId="77777777" w:rsidR="00D06EF3" w:rsidRPr="002A0B87" w:rsidRDefault="00D06EF3" w:rsidP="00760439">
      <w:pPr>
        <w:pStyle w:val="NoSpacing"/>
      </w:pPr>
    </w:p>
    <w:p w14:paraId="48A02015" w14:textId="711F02FB" w:rsidR="00D06EF3" w:rsidRPr="002A0B87" w:rsidRDefault="00D06EF3" w:rsidP="00760439">
      <w:pPr>
        <w:pStyle w:val="Heading2"/>
      </w:pPr>
      <w:r w:rsidRPr="002A0B87">
        <w:t>2</w:t>
      </w:r>
      <w:r w:rsidR="00B624F6">
        <w:t>0</w:t>
      </w:r>
      <w:r w:rsidRPr="002A0B87">
        <w:t>.2</w:t>
      </w:r>
      <w:r w:rsidRPr="002A0B87">
        <w:tab/>
      </w:r>
      <w:r w:rsidR="00555A3B" w:rsidRPr="00555A3B">
        <w:t>Revaluation difference of financial assets at FVTPL</w:t>
      </w:r>
      <w:r w:rsidR="00555A3B" w:rsidRPr="00555A3B" w:rsidDel="00555A3B">
        <w:t xml:space="preserve"> </w:t>
      </w:r>
    </w:p>
    <w:p w14:paraId="41FB8E9C" w14:textId="3FF27CC2" w:rsidR="00D06EF3" w:rsidRPr="002A0B87" w:rsidRDefault="00D06EF3" w:rsidP="00760439">
      <w:pPr>
        <w:pStyle w:val="NoSpacing"/>
      </w:pPr>
    </w:p>
    <w:tbl>
      <w:tblPr>
        <w:tblW w:w="0" w:type="auto"/>
        <w:tblInd w:w="720" w:type="dxa"/>
        <w:tblLayout w:type="fixed"/>
        <w:tblLook w:val="01E0" w:firstRow="1" w:lastRow="1" w:firstColumn="1" w:lastColumn="1" w:noHBand="0" w:noVBand="0"/>
      </w:tblPr>
      <w:tblGrid>
        <w:gridCol w:w="2102"/>
        <w:gridCol w:w="1815"/>
        <w:gridCol w:w="1872"/>
        <w:gridCol w:w="1872"/>
        <w:gridCol w:w="1872"/>
        <w:gridCol w:w="1815"/>
        <w:gridCol w:w="1872"/>
      </w:tblGrid>
      <w:tr w:rsidR="007A2C99" w:rsidRPr="002A0B87" w14:paraId="128E4CB1" w14:textId="77777777" w:rsidTr="00557104">
        <w:trPr>
          <w:trHeight w:val="20"/>
          <w:tblHeader/>
        </w:trPr>
        <w:tc>
          <w:tcPr>
            <w:tcW w:w="2102" w:type="dxa"/>
            <w:vAlign w:val="bottom"/>
            <w:hideMark/>
          </w:tcPr>
          <w:p w14:paraId="71A708F5" w14:textId="006D91E2" w:rsidR="007A2C99" w:rsidRPr="002A0B87" w:rsidRDefault="00565F0E" w:rsidP="00CC4417">
            <w:pPr>
              <w:pBdr>
                <w:bottom w:val="single" w:sz="4" w:space="0" w:color="auto"/>
              </w:pBdr>
              <w:overflowPunct/>
              <w:autoSpaceDE/>
              <w:autoSpaceDN/>
              <w:adjustRightInd/>
              <w:ind w:left="-115"/>
              <w:textAlignment w:val="auto"/>
              <w:rPr>
                <w:rFonts w:cs="Arial"/>
                <w:i/>
              </w:rPr>
            </w:pPr>
            <w:r w:rsidRPr="00565F0E">
              <w:rPr>
                <w:rFonts w:cs="Arial"/>
                <w:i/>
              </w:rPr>
              <w:t>Financial assets</w:t>
            </w:r>
          </w:p>
        </w:tc>
        <w:tc>
          <w:tcPr>
            <w:tcW w:w="1815" w:type="dxa"/>
            <w:vAlign w:val="bottom"/>
            <w:hideMark/>
          </w:tcPr>
          <w:p w14:paraId="3D7B4BCF" w14:textId="6C78B2A7" w:rsidR="007A2C99" w:rsidRPr="002A0B87" w:rsidRDefault="00565F0E" w:rsidP="00CC4417">
            <w:pPr>
              <w:widowControl w:val="0"/>
              <w:pBdr>
                <w:bottom w:val="single" w:sz="4" w:space="0" w:color="auto"/>
              </w:pBdr>
              <w:ind w:left="58" w:right="-86"/>
              <w:jc w:val="right"/>
              <w:rPr>
                <w:rFonts w:eastAsia="Batang" w:cs="Arial"/>
                <w:bCs/>
                <w:i/>
                <w:lang w:eastAsia="ko-KR"/>
              </w:rPr>
            </w:pPr>
            <w:r>
              <w:rPr>
                <w:rFonts w:eastAsia="Batang" w:cs="Arial"/>
                <w:bCs/>
                <w:i/>
                <w:lang w:eastAsia="ko-KR"/>
              </w:rPr>
              <w:t>Cost</w:t>
            </w:r>
          </w:p>
          <w:p w14:paraId="5FC663BE" w14:textId="6FC6ECE7" w:rsidR="007A2C99" w:rsidRPr="002A0B87" w:rsidRDefault="007A2C99" w:rsidP="00CC4417">
            <w:pPr>
              <w:widowControl w:val="0"/>
              <w:pBdr>
                <w:bottom w:val="single" w:sz="4" w:space="0" w:color="auto"/>
              </w:pBdr>
              <w:ind w:left="58" w:right="-86"/>
              <w:jc w:val="right"/>
              <w:rPr>
                <w:rFonts w:eastAsia="Batang" w:cs="Arial"/>
                <w:bCs/>
                <w:i/>
                <w:lang w:eastAsia="ko-KR"/>
              </w:rPr>
            </w:pPr>
            <w:r w:rsidRPr="002A0B87">
              <w:rPr>
                <w:rFonts w:eastAsia="Batang" w:cs="Arial"/>
                <w:bCs/>
                <w:i/>
                <w:lang w:eastAsia="ko-KR"/>
              </w:rPr>
              <w:t>VND</w:t>
            </w:r>
          </w:p>
        </w:tc>
        <w:tc>
          <w:tcPr>
            <w:tcW w:w="1872" w:type="dxa"/>
            <w:vAlign w:val="bottom"/>
            <w:hideMark/>
          </w:tcPr>
          <w:p w14:paraId="27421AE4" w14:textId="6A302C15" w:rsidR="007A2C99" w:rsidRPr="002A0B87" w:rsidRDefault="00565F0E" w:rsidP="00CC4417">
            <w:pPr>
              <w:widowControl w:val="0"/>
              <w:pBdr>
                <w:bottom w:val="single" w:sz="4" w:space="0" w:color="auto"/>
              </w:pBdr>
              <w:ind w:left="58" w:right="-86"/>
              <w:jc w:val="right"/>
              <w:rPr>
                <w:rFonts w:eastAsia="Batang" w:cs="Arial"/>
                <w:bCs/>
                <w:i/>
                <w:lang w:eastAsia="ko-KR"/>
              </w:rPr>
            </w:pPr>
            <w:r>
              <w:rPr>
                <w:rFonts w:eastAsia="Batang" w:cs="Arial"/>
                <w:bCs/>
                <w:i/>
                <w:lang w:eastAsia="ko-KR"/>
              </w:rPr>
              <w:t>Fair value</w:t>
            </w:r>
          </w:p>
          <w:p w14:paraId="2E0E6D4D" w14:textId="77777777" w:rsidR="007A2C99" w:rsidRPr="002A0B87" w:rsidRDefault="007A2C99" w:rsidP="00CC4417">
            <w:pPr>
              <w:widowControl w:val="0"/>
              <w:pBdr>
                <w:bottom w:val="single" w:sz="4" w:space="0" w:color="auto"/>
              </w:pBdr>
              <w:ind w:left="58" w:right="-86"/>
              <w:jc w:val="right"/>
              <w:rPr>
                <w:rFonts w:eastAsia="Batang" w:cs="Arial"/>
                <w:bCs/>
                <w:i/>
                <w:lang w:eastAsia="ko-KR"/>
              </w:rPr>
            </w:pPr>
            <w:r w:rsidRPr="002A0B87">
              <w:rPr>
                <w:rFonts w:eastAsia="Batang" w:cs="Arial"/>
                <w:bCs/>
                <w:i/>
                <w:lang w:eastAsia="ko-KR"/>
              </w:rPr>
              <w:t>VND</w:t>
            </w:r>
          </w:p>
        </w:tc>
        <w:tc>
          <w:tcPr>
            <w:tcW w:w="1872" w:type="dxa"/>
            <w:vAlign w:val="bottom"/>
            <w:hideMark/>
          </w:tcPr>
          <w:p w14:paraId="4D4EEDCC" w14:textId="52B612C3" w:rsidR="007A2C99" w:rsidRPr="002A0B87" w:rsidRDefault="00442B76">
            <w:pPr>
              <w:widowControl w:val="0"/>
              <w:pBdr>
                <w:bottom w:val="single" w:sz="4" w:space="0" w:color="auto"/>
              </w:pBdr>
              <w:ind w:left="58" w:right="-86"/>
              <w:jc w:val="right"/>
              <w:rPr>
                <w:rFonts w:eastAsia="Batang" w:cs="Arial"/>
                <w:bCs/>
                <w:i/>
                <w:lang w:eastAsia="ko-KR"/>
              </w:rPr>
            </w:pPr>
            <w:r w:rsidRPr="00442B76">
              <w:rPr>
                <w:rFonts w:eastAsia="Batang" w:cs="Arial"/>
                <w:bCs/>
                <w:i/>
                <w:lang w:eastAsia="ko-KR"/>
              </w:rPr>
              <w:t>Revaluation difference at the end of the year</w:t>
            </w:r>
          </w:p>
          <w:p w14:paraId="34FF43CE" w14:textId="723A9ABB" w:rsidR="007A2C99" w:rsidRPr="002A0B87" w:rsidRDefault="007A2C99">
            <w:pPr>
              <w:widowControl w:val="0"/>
              <w:pBdr>
                <w:bottom w:val="single" w:sz="4" w:space="0" w:color="auto"/>
              </w:pBdr>
              <w:ind w:left="58" w:right="-86"/>
              <w:jc w:val="right"/>
              <w:rPr>
                <w:rFonts w:eastAsia="Batang" w:cs="Arial"/>
                <w:bCs/>
                <w:i/>
                <w:lang w:eastAsia="ko-KR"/>
              </w:rPr>
            </w:pPr>
            <w:r w:rsidRPr="002A0B87">
              <w:rPr>
                <w:rFonts w:eastAsia="Batang" w:cs="Arial"/>
                <w:bCs/>
                <w:i/>
                <w:lang w:eastAsia="ko-KR"/>
              </w:rPr>
              <w:t>VND</w:t>
            </w:r>
          </w:p>
        </w:tc>
        <w:tc>
          <w:tcPr>
            <w:tcW w:w="1872" w:type="dxa"/>
            <w:vAlign w:val="bottom"/>
            <w:hideMark/>
          </w:tcPr>
          <w:p w14:paraId="007F0B5B" w14:textId="4A484814" w:rsidR="007A2C99" w:rsidRPr="002A0B87" w:rsidRDefault="00941047">
            <w:pPr>
              <w:widowControl w:val="0"/>
              <w:pBdr>
                <w:bottom w:val="single" w:sz="4" w:space="0" w:color="auto"/>
              </w:pBdr>
              <w:ind w:left="58" w:right="-86"/>
              <w:jc w:val="right"/>
              <w:rPr>
                <w:rFonts w:eastAsia="Batang" w:cs="Arial"/>
                <w:bCs/>
                <w:i/>
                <w:lang w:eastAsia="ko-KR"/>
              </w:rPr>
            </w:pPr>
            <w:r w:rsidRPr="00941047">
              <w:rPr>
                <w:rFonts w:eastAsia="Batang" w:cs="Arial"/>
                <w:bCs/>
                <w:i/>
                <w:lang w:eastAsia="ko-KR"/>
              </w:rPr>
              <w:t>Revaluation difference at the beginning of the year</w:t>
            </w:r>
          </w:p>
          <w:p w14:paraId="0238D42F" w14:textId="77777777" w:rsidR="007A2C99" w:rsidRPr="002A0B87" w:rsidRDefault="007A2C99">
            <w:pPr>
              <w:widowControl w:val="0"/>
              <w:pBdr>
                <w:bottom w:val="single" w:sz="4" w:space="0" w:color="auto"/>
              </w:pBdr>
              <w:ind w:left="58" w:right="-86"/>
              <w:jc w:val="right"/>
              <w:rPr>
                <w:rFonts w:eastAsia="Batang" w:cs="Arial"/>
                <w:bCs/>
                <w:i/>
                <w:lang w:eastAsia="ko-KR"/>
              </w:rPr>
            </w:pPr>
            <w:r w:rsidRPr="002A0B87">
              <w:rPr>
                <w:rFonts w:eastAsia="Batang" w:cs="Arial"/>
                <w:bCs/>
                <w:i/>
                <w:lang w:eastAsia="ko-KR"/>
              </w:rPr>
              <w:t>VND</w:t>
            </w:r>
          </w:p>
        </w:tc>
        <w:tc>
          <w:tcPr>
            <w:tcW w:w="1815" w:type="dxa"/>
            <w:vAlign w:val="bottom"/>
            <w:hideMark/>
          </w:tcPr>
          <w:p w14:paraId="00126888" w14:textId="1C2A0AF3" w:rsidR="007A2C99" w:rsidRPr="002A0B87" w:rsidRDefault="00194318" w:rsidP="00CC4417">
            <w:pPr>
              <w:widowControl w:val="0"/>
              <w:pBdr>
                <w:bottom w:val="single" w:sz="4" w:space="0" w:color="auto"/>
              </w:pBdr>
              <w:ind w:left="58" w:right="-86"/>
              <w:jc w:val="right"/>
              <w:rPr>
                <w:rFonts w:eastAsia="Batang" w:cs="Arial"/>
                <w:bCs/>
                <w:i/>
                <w:lang w:eastAsia="ko-KR"/>
              </w:rPr>
            </w:pPr>
            <w:r>
              <w:rPr>
                <w:rFonts w:eastAsia="Batang" w:cs="Arial"/>
                <w:bCs/>
                <w:i/>
                <w:lang w:eastAsia="ko-KR"/>
              </w:rPr>
              <w:t>Increase</w:t>
            </w:r>
          </w:p>
          <w:p w14:paraId="2DCCF189" w14:textId="7B978D3D" w:rsidR="007A2C99" w:rsidRPr="002A0B87" w:rsidRDefault="007A2C99" w:rsidP="00CC4417">
            <w:pPr>
              <w:widowControl w:val="0"/>
              <w:pBdr>
                <w:bottom w:val="single" w:sz="4" w:space="0" w:color="auto"/>
              </w:pBdr>
              <w:ind w:left="58" w:right="-86"/>
              <w:jc w:val="right"/>
              <w:rPr>
                <w:rFonts w:eastAsia="Batang" w:cs="Arial"/>
                <w:bCs/>
                <w:i/>
                <w:lang w:eastAsia="ko-KR"/>
              </w:rPr>
            </w:pPr>
            <w:r w:rsidRPr="002A0B87">
              <w:rPr>
                <w:rFonts w:eastAsia="Batang" w:cs="Arial"/>
                <w:bCs/>
                <w:i/>
                <w:lang w:eastAsia="ko-KR"/>
              </w:rPr>
              <w:t>VND</w:t>
            </w:r>
          </w:p>
        </w:tc>
        <w:tc>
          <w:tcPr>
            <w:tcW w:w="1872" w:type="dxa"/>
            <w:vAlign w:val="bottom"/>
            <w:hideMark/>
          </w:tcPr>
          <w:p w14:paraId="72BFEA37" w14:textId="3A74323D" w:rsidR="007A2C99" w:rsidRPr="002A0B87" w:rsidRDefault="00194318" w:rsidP="00CC4417">
            <w:pPr>
              <w:widowControl w:val="0"/>
              <w:pBdr>
                <w:bottom w:val="single" w:sz="4" w:space="0" w:color="auto"/>
              </w:pBdr>
              <w:ind w:left="58" w:right="-86"/>
              <w:jc w:val="right"/>
              <w:rPr>
                <w:rFonts w:eastAsia="Batang" w:cs="Arial"/>
                <w:bCs/>
                <w:i/>
                <w:lang w:eastAsia="ko-KR"/>
              </w:rPr>
            </w:pPr>
            <w:r>
              <w:rPr>
                <w:rFonts w:eastAsia="Batang" w:cs="Arial"/>
                <w:bCs/>
                <w:i/>
                <w:lang w:eastAsia="ko-KR"/>
              </w:rPr>
              <w:t>Decrease</w:t>
            </w:r>
          </w:p>
          <w:p w14:paraId="7E300074" w14:textId="28F5A4CC" w:rsidR="007A2C99" w:rsidRPr="002A0B87" w:rsidRDefault="007A2C99" w:rsidP="00CC4417">
            <w:pPr>
              <w:widowControl w:val="0"/>
              <w:pBdr>
                <w:bottom w:val="single" w:sz="4" w:space="0" w:color="auto"/>
              </w:pBdr>
              <w:ind w:left="58" w:right="-86"/>
              <w:jc w:val="right"/>
              <w:rPr>
                <w:rFonts w:eastAsia="Batang" w:cs="Arial"/>
                <w:bCs/>
                <w:i/>
                <w:lang w:eastAsia="ko-KR"/>
              </w:rPr>
            </w:pPr>
            <w:r w:rsidRPr="002A0B87">
              <w:rPr>
                <w:rFonts w:eastAsia="Batang" w:cs="Arial"/>
                <w:bCs/>
                <w:i/>
                <w:lang w:eastAsia="ko-KR"/>
              </w:rPr>
              <w:t>VND</w:t>
            </w:r>
          </w:p>
        </w:tc>
      </w:tr>
      <w:tr w:rsidR="00AC0D70" w:rsidRPr="002A0B87" w14:paraId="07921029" w14:textId="77777777" w:rsidTr="00994CF3">
        <w:trPr>
          <w:trHeight w:val="20"/>
        </w:trPr>
        <w:tc>
          <w:tcPr>
            <w:tcW w:w="2102" w:type="dxa"/>
            <w:vAlign w:val="bottom"/>
            <w:hideMark/>
          </w:tcPr>
          <w:p w14:paraId="7820E12A" w14:textId="59B16417" w:rsidR="00AC0D70" w:rsidRPr="002A0B87" w:rsidRDefault="00AC0D70" w:rsidP="00AC0D70">
            <w:pPr>
              <w:widowControl w:val="0"/>
              <w:spacing w:before="120"/>
              <w:ind w:left="-115"/>
              <w:rPr>
                <w:rFonts w:cs="Arial"/>
                <w:b/>
                <w:bCs/>
                <w:lang w:val="nl-NL"/>
              </w:rPr>
            </w:pPr>
            <w:r w:rsidRPr="002A0B87">
              <w:rPr>
                <w:rFonts w:cs="Arial"/>
                <w:b/>
                <w:bCs/>
                <w:lang w:val="nl-NL"/>
              </w:rPr>
              <w:t>FVTPL</w:t>
            </w:r>
          </w:p>
        </w:tc>
        <w:tc>
          <w:tcPr>
            <w:tcW w:w="1815" w:type="dxa"/>
          </w:tcPr>
          <w:p w14:paraId="206AF14F" w14:textId="332C6DB2" w:rsidR="00AC0D70" w:rsidRPr="00F04118" w:rsidRDefault="00AC0D70" w:rsidP="00AC0D70">
            <w:pPr>
              <w:widowControl w:val="0"/>
              <w:spacing w:before="120"/>
              <w:ind w:left="-58" w:right="-86"/>
              <w:jc w:val="right"/>
              <w:rPr>
                <w:rFonts w:eastAsia="Batang"/>
                <w:b/>
                <w:bCs/>
              </w:rPr>
            </w:pPr>
            <w:r w:rsidRPr="00F04118">
              <w:rPr>
                <w:b/>
                <w:bCs/>
              </w:rPr>
              <w:t>125</w:t>
            </w:r>
            <w:r w:rsidR="00BD2B5A">
              <w:rPr>
                <w:b/>
                <w:bCs/>
              </w:rPr>
              <w:t>,</w:t>
            </w:r>
            <w:r w:rsidRPr="00F04118">
              <w:rPr>
                <w:b/>
                <w:bCs/>
              </w:rPr>
              <w:t>379</w:t>
            </w:r>
            <w:r w:rsidR="00BD2B5A">
              <w:rPr>
                <w:b/>
                <w:bCs/>
              </w:rPr>
              <w:t>,</w:t>
            </w:r>
            <w:r w:rsidRPr="00F04118">
              <w:rPr>
                <w:b/>
                <w:bCs/>
              </w:rPr>
              <w:t>600</w:t>
            </w:r>
            <w:r w:rsidR="00BD2B5A">
              <w:rPr>
                <w:b/>
                <w:bCs/>
              </w:rPr>
              <w:t>,</w:t>
            </w:r>
            <w:r w:rsidRPr="00F04118">
              <w:rPr>
                <w:b/>
                <w:bCs/>
              </w:rPr>
              <w:t xml:space="preserve">925 </w:t>
            </w:r>
          </w:p>
        </w:tc>
        <w:tc>
          <w:tcPr>
            <w:tcW w:w="1872" w:type="dxa"/>
          </w:tcPr>
          <w:p w14:paraId="41B830A7" w14:textId="1E3CA7B3" w:rsidR="00AC0D70" w:rsidRPr="00F04118" w:rsidRDefault="00AC0D70" w:rsidP="00AC0D70">
            <w:pPr>
              <w:widowControl w:val="0"/>
              <w:spacing w:before="120"/>
              <w:ind w:left="58" w:right="-86"/>
              <w:jc w:val="right"/>
              <w:rPr>
                <w:rFonts w:eastAsia="Batang"/>
                <w:b/>
                <w:bCs/>
              </w:rPr>
            </w:pPr>
            <w:r w:rsidRPr="00F04118">
              <w:rPr>
                <w:b/>
                <w:bCs/>
              </w:rPr>
              <w:t>126</w:t>
            </w:r>
            <w:r w:rsidR="00BD2B5A">
              <w:rPr>
                <w:b/>
                <w:bCs/>
              </w:rPr>
              <w:t>,</w:t>
            </w:r>
            <w:r w:rsidRPr="00F04118">
              <w:rPr>
                <w:b/>
                <w:bCs/>
              </w:rPr>
              <w:t>593</w:t>
            </w:r>
            <w:r w:rsidR="00BD2B5A">
              <w:rPr>
                <w:b/>
                <w:bCs/>
              </w:rPr>
              <w:t>,</w:t>
            </w:r>
            <w:r w:rsidRPr="00F04118">
              <w:rPr>
                <w:b/>
                <w:bCs/>
              </w:rPr>
              <w:t>701</w:t>
            </w:r>
            <w:r w:rsidR="00BD2B5A">
              <w:rPr>
                <w:b/>
                <w:bCs/>
              </w:rPr>
              <w:t>,</w:t>
            </w:r>
            <w:r w:rsidRPr="00F04118">
              <w:rPr>
                <w:b/>
                <w:bCs/>
              </w:rPr>
              <w:t>320</w:t>
            </w:r>
          </w:p>
        </w:tc>
        <w:tc>
          <w:tcPr>
            <w:tcW w:w="1872" w:type="dxa"/>
          </w:tcPr>
          <w:p w14:paraId="522F3F0C" w14:textId="14563461" w:rsidR="00AC0D70" w:rsidRPr="00F04118" w:rsidRDefault="00AC0D70" w:rsidP="00AC0D70">
            <w:pPr>
              <w:widowControl w:val="0"/>
              <w:spacing w:before="120"/>
              <w:ind w:left="58" w:right="-86"/>
              <w:jc w:val="right"/>
              <w:rPr>
                <w:rFonts w:eastAsia="Batang"/>
                <w:b/>
                <w:bCs/>
              </w:rPr>
            </w:pPr>
            <w:r w:rsidRPr="00F04118">
              <w:rPr>
                <w:b/>
                <w:bCs/>
              </w:rPr>
              <w:t>1</w:t>
            </w:r>
            <w:r w:rsidR="00BD2B5A">
              <w:rPr>
                <w:b/>
                <w:bCs/>
              </w:rPr>
              <w:t>,</w:t>
            </w:r>
            <w:r w:rsidRPr="00F04118">
              <w:rPr>
                <w:b/>
                <w:bCs/>
              </w:rPr>
              <w:t>214</w:t>
            </w:r>
            <w:r w:rsidR="00BD2B5A">
              <w:rPr>
                <w:b/>
                <w:bCs/>
              </w:rPr>
              <w:t>,</w:t>
            </w:r>
            <w:r w:rsidRPr="00F04118">
              <w:rPr>
                <w:b/>
                <w:bCs/>
              </w:rPr>
              <w:t>100</w:t>
            </w:r>
            <w:r w:rsidR="00BD2B5A">
              <w:rPr>
                <w:b/>
                <w:bCs/>
              </w:rPr>
              <w:t>,</w:t>
            </w:r>
            <w:r w:rsidRPr="00F04118">
              <w:rPr>
                <w:b/>
                <w:bCs/>
              </w:rPr>
              <w:t xml:space="preserve">395 </w:t>
            </w:r>
          </w:p>
        </w:tc>
        <w:tc>
          <w:tcPr>
            <w:tcW w:w="1872" w:type="dxa"/>
          </w:tcPr>
          <w:p w14:paraId="79929B07" w14:textId="3D52E1BD" w:rsidR="00AC0D70" w:rsidRPr="00F04118" w:rsidRDefault="00AC0D70" w:rsidP="00AC0D70">
            <w:pPr>
              <w:widowControl w:val="0"/>
              <w:spacing w:before="120"/>
              <w:ind w:left="58" w:right="-86"/>
              <w:jc w:val="right"/>
              <w:rPr>
                <w:rFonts w:eastAsia="Batang" w:cs="Arial"/>
                <w:b/>
                <w:bCs/>
                <w:lang w:eastAsia="ko-KR"/>
              </w:rPr>
            </w:pPr>
            <w:r w:rsidRPr="00F04118">
              <w:rPr>
                <w:b/>
                <w:bCs/>
              </w:rPr>
              <w:t>28</w:t>
            </w:r>
            <w:r w:rsidR="00BD2B5A">
              <w:rPr>
                <w:b/>
                <w:bCs/>
              </w:rPr>
              <w:t>,</w:t>
            </w:r>
            <w:r w:rsidRPr="00F04118">
              <w:rPr>
                <w:b/>
                <w:bCs/>
              </w:rPr>
              <w:t>095</w:t>
            </w:r>
            <w:r w:rsidR="00BD2B5A">
              <w:rPr>
                <w:b/>
                <w:bCs/>
              </w:rPr>
              <w:t>,</w:t>
            </w:r>
            <w:r w:rsidRPr="00F04118">
              <w:rPr>
                <w:b/>
                <w:bCs/>
              </w:rPr>
              <w:t>357</w:t>
            </w:r>
          </w:p>
        </w:tc>
        <w:tc>
          <w:tcPr>
            <w:tcW w:w="1815" w:type="dxa"/>
          </w:tcPr>
          <w:p w14:paraId="5AB05EE5" w14:textId="5EC5984F" w:rsidR="00AC0D70" w:rsidRPr="00F04118" w:rsidRDefault="00AC0D70" w:rsidP="00AC0D70">
            <w:pPr>
              <w:widowControl w:val="0"/>
              <w:spacing w:before="120"/>
              <w:ind w:left="58" w:right="-86"/>
              <w:jc w:val="right"/>
              <w:rPr>
                <w:rFonts w:cs="Arial"/>
                <w:b/>
                <w:bCs/>
                <w:lang w:val="nl-NL"/>
              </w:rPr>
            </w:pPr>
            <w:r w:rsidRPr="00F04118">
              <w:rPr>
                <w:b/>
                <w:bCs/>
              </w:rPr>
              <w:t>1</w:t>
            </w:r>
            <w:r w:rsidR="00BD2B5A">
              <w:rPr>
                <w:b/>
                <w:bCs/>
              </w:rPr>
              <w:t>,</w:t>
            </w:r>
            <w:r w:rsidRPr="00F04118">
              <w:rPr>
                <w:b/>
                <w:bCs/>
              </w:rPr>
              <w:t>645</w:t>
            </w:r>
            <w:r w:rsidR="00BD2B5A">
              <w:rPr>
                <w:b/>
                <w:bCs/>
              </w:rPr>
              <w:t>,</w:t>
            </w:r>
            <w:r w:rsidRPr="00F04118">
              <w:rPr>
                <w:b/>
                <w:bCs/>
              </w:rPr>
              <w:t>549</w:t>
            </w:r>
            <w:r w:rsidR="00BD2B5A">
              <w:rPr>
                <w:b/>
                <w:bCs/>
              </w:rPr>
              <w:t>,</w:t>
            </w:r>
            <w:r w:rsidRPr="00F04118">
              <w:rPr>
                <w:b/>
                <w:bCs/>
              </w:rPr>
              <w:t>128</w:t>
            </w:r>
          </w:p>
        </w:tc>
        <w:tc>
          <w:tcPr>
            <w:tcW w:w="1872" w:type="dxa"/>
          </w:tcPr>
          <w:p w14:paraId="3B3551DB" w14:textId="7022CC9E" w:rsidR="00AC0D70" w:rsidRPr="00F04118" w:rsidRDefault="00AC0D70" w:rsidP="00AC0D70">
            <w:pPr>
              <w:widowControl w:val="0"/>
              <w:spacing w:before="120"/>
              <w:ind w:left="58" w:right="-86"/>
              <w:jc w:val="right"/>
              <w:rPr>
                <w:rFonts w:cs="Arial"/>
                <w:b/>
                <w:bCs/>
                <w:lang w:val="nl-NL"/>
              </w:rPr>
            </w:pPr>
            <w:r w:rsidRPr="00F04118">
              <w:rPr>
                <w:b/>
                <w:bCs/>
              </w:rPr>
              <w:t>(459</w:t>
            </w:r>
            <w:r w:rsidR="00BD2B5A">
              <w:rPr>
                <w:b/>
                <w:bCs/>
              </w:rPr>
              <w:t>,</w:t>
            </w:r>
            <w:r w:rsidRPr="00F04118">
              <w:rPr>
                <w:b/>
                <w:bCs/>
              </w:rPr>
              <w:t>544</w:t>
            </w:r>
            <w:r w:rsidR="00BD2B5A">
              <w:rPr>
                <w:b/>
                <w:bCs/>
              </w:rPr>
              <w:t>,</w:t>
            </w:r>
            <w:r w:rsidRPr="00F04118">
              <w:rPr>
                <w:b/>
                <w:bCs/>
              </w:rPr>
              <w:t>090)</w:t>
            </w:r>
          </w:p>
        </w:tc>
      </w:tr>
      <w:tr w:rsidR="00AC0D70" w:rsidRPr="002A0B87" w14:paraId="562D77FF" w14:textId="77777777" w:rsidTr="00994CF3">
        <w:trPr>
          <w:trHeight w:val="20"/>
        </w:trPr>
        <w:tc>
          <w:tcPr>
            <w:tcW w:w="2102" w:type="dxa"/>
            <w:vAlign w:val="bottom"/>
            <w:hideMark/>
          </w:tcPr>
          <w:p w14:paraId="0982A0F5" w14:textId="22C86EC9" w:rsidR="00AC0D70" w:rsidRPr="002A0B87" w:rsidRDefault="00AC0D70" w:rsidP="00AC0D70">
            <w:pPr>
              <w:widowControl w:val="0"/>
              <w:spacing w:before="120"/>
              <w:ind w:left="-115"/>
              <w:rPr>
                <w:rFonts w:cs="Arial"/>
                <w:bCs/>
                <w:lang w:val="nl-NL"/>
              </w:rPr>
            </w:pPr>
            <w:r w:rsidRPr="001F7821">
              <w:rPr>
                <w:rFonts w:cs="Arial"/>
                <w:b/>
                <w:i/>
                <w:lang w:val="nl-NL"/>
              </w:rPr>
              <w:t>Listed shares</w:t>
            </w:r>
          </w:p>
        </w:tc>
        <w:tc>
          <w:tcPr>
            <w:tcW w:w="1815" w:type="dxa"/>
          </w:tcPr>
          <w:p w14:paraId="736582FC" w14:textId="25889833" w:rsidR="00AC0D70" w:rsidRPr="00F04118" w:rsidRDefault="00AC0D70" w:rsidP="00AC0D70">
            <w:pPr>
              <w:widowControl w:val="0"/>
              <w:spacing w:before="120"/>
              <w:ind w:left="58" w:right="-86"/>
              <w:jc w:val="right"/>
              <w:rPr>
                <w:rFonts w:eastAsia="Batang" w:cs="Arial"/>
                <w:b/>
                <w:bCs/>
                <w:i/>
                <w:lang w:eastAsia="ko-KR"/>
              </w:rPr>
            </w:pPr>
            <w:r w:rsidRPr="00F04118">
              <w:rPr>
                <w:b/>
                <w:bCs/>
              </w:rPr>
              <w:t>375</w:t>
            </w:r>
            <w:r w:rsidR="00BD2B5A">
              <w:rPr>
                <w:b/>
                <w:bCs/>
              </w:rPr>
              <w:t>,</w:t>
            </w:r>
            <w:r w:rsidRPr="00F04118">
              <w:rPr>
                <w:b/>
                <w:bCs/>
              </w:rPr>
              <w:t>953</w:t>
            </w:r>
            <w:r w:rsidR="00BD2B5A">
              <w:rPr>
                <w:b/>
                <w:bCs/>
              </w:rPr>
              <w:t>,</w:t>
            </w:r>
            <w:r w:rsidRPr="00F04118">
              <w:rPr>
                <w:b/>
                <w:bCs/>
              </w:rPr>
              <w:t>425</w:t>
            </w:r>
          </w:p>
        </w:tc>
        <w:tc>
          <w:tcPr>
            <w:tcW w:w="1872" w:type="dxa"/>
          </w:tcPr>
          <w:p w14:paraId="185EEF4A" w14:textId="01F09C8C" w:rsidR="00AC0D70" w:rsidRPr="00F04118" w:rsidRDefault="00AC0D70" w:rsidP="00AC0D70">
            <w:pPr>
              <w:widowControl w:val="0"/>
              <w:spacing w:before="120"/>
              <w:ind w:left="58" w:right="-86"/>
              <w:jc w:val="right"/>
              <w:rPr>
                <w:rFonts w:eastAsia="Batang" w:cs="Arial"/>
                <w:b/>
                <w:bCs/>
                <w:i/>
                <w:lang w:eastAsia="ko-KR"/>
              </w:rPr>
            </w:pPr>
            <w:r w:rsidRPr="00F04118">
              <w:rPr>
                <w:b/>
                <w:bCs/>
              </w:rPr>
              <w:t>247</w:t>
            </w:r>
            <w:r w:rsidR="00BD2B5A">
              <w:rPr>
                <w:b/>
                <w:bCs/>
              </w:rPr>
              <w:t>,</w:t>
            </w:r>
            <w:r w:rsidRPr="00F04118">
              <w:rPr>
                <w:b/>
                <w:bCs/>
              </w:rPr>
              <w:t>396</w:t>
            </w:r>
            <w:r w:rsidR="00BD2B5A">
              <w:rPr>
                <w:b/>
                <w:bCs/>
              </w:rPr>
              <w:t>,</w:t>
            </w:r>
            <w:r w:rsidRPr="00F04118">
              <w:rPr>
                <w:b/>
                <w:bCs/>
              </w:rPr>
              <w:t>120</w:t>
            </w:r>
          </w:p>
        </w:tc>
        <w:tc>
          <w:tcPr>
            <w:tcW w:w="1872" w:type="dxa"/>
          </w:tcPr>
          <w:p w14:paraId="0D0EB989" w14:textId="208F216C" w:rsidR="00AC0D70" w:rsidRPr="00F04118" w:rsidRDefault="00AC0D70" w:rsidP="00AC0D70">
            <w:pPr>
              <w:widowControl w:val="0"/>
              <w:spacing w:before="120"/>
              <w:ind w:left="58" w:right="-86"/>
              <w:jc w:val="right"/>
              <w:rPr>
                <w:rFonts w:eastAsia="Batang" w:cs="Arial"/>
                <w:b/>
                <w:bCs/>
                <w:i/>
                <w:lang w:eastAsia="ko-KR"/>
              </w:rPr>
            </w:pPr>
            <w:r w:rsidRPr="00F04118">
              <w:rPr>
                <w:b/>
                <w:bCs/>
              </w:rPr>
              <w:t>(128</w:t>
            </w:r>
            <w:r w:rsidR="00BD2B5A">
              <w:rPr>
                <w:b/>
                <w:bCs/>
              </w:rPr>
              <w:t>,</w:t>
            </w:r>
            <w:r w:rsidRPr="00F04118">
              <w:rPr>
                <w:b/>
                <w:bCs/>
              </w:rPr>
              <w:t>557</w:t>
            </w:r>
            <w:r w:rsidR="00BD2B5A">
              <w:rPr>
                <w:b/>
                <w:bCs/>
              </w:rPr>
              <w:t>,</w:t>
            </w:r>
            <w:r w:rsidRPr="00F04118">
              <w:rPr>
                <w:b/>
                <w:bCs/>
              </w:rPr>
              <w:t>305)</w:t>
            </w:r>
          </w:p>
        </w:tc>
        <w:tc>
          <w:tcPr>
            <w:tcW w:w="1872" w:type="dxa"/>
          </w:tcPr>
          <w:p w14:paraId="08F07379" w14:textId="57508D6B" w:rsidR="00AC0D70" w:rsidRPr="00F04118" w:rsidRDefault="00AC0D70" w:rsidP="00AC0D70">
            <w:pPr>
              <w:widowControl w:val="0"/>
              <w:spacing w:before="120"/>
              <w:ind w:left="58" w:right="-86"/>
              <w:jc w:val="right"/>
              <w:rPr>
                <w:rFonts w:eastAsia="Batang" w:cs="Arial"/>
                <w:b/>
                <w:bCs/>
                <w:i/>
                <w:lang w:eastAsia="ko-KR"/>
              </w:rPr>
            </w:pPr>
            <w:r w:rsidRPr="00F04118">
              <w:rPr>
                <w:b/>
                <w:bCs/>
              </w:rPr>
              <w:t>30</w:t>
            </w:r>
            <w:r w:rsidR="00BD2B5A">
              <w:rPr>
                <w:b/>
                <w:bCs/>
              </w:rPr>
              <w:t>,</w:t>
            </w:r>
            <w:r w:rsidRPr="00F04118">
              <w:rPr>
                <w:b/>
                <w:bCs/>
              </w:rPr>
              <w:t>479</w:t>
            </w:r>
            <w:r w:rsidR="00BD2B5A">
              <w:rPr>
                <w:b/>
                <w:bCs/>
              </w:rPr>
              <w:t>,</w:t>
            </w:r>
            <w:r w:rsidRPr="00F04118">
              <w:rPr>
                <w:b/>
                <w:bCs/>
              </w:rPr>
              <w:t>557</w:t>
            </w:r>
          </w:p>
        </w:tc>
        <w:tc>
          <w:tcPr>
            <w:tcW w:w="1815" w:type="dxa"/>
          </w:tcPr>
          <w:p w14:paraId="5D4FFAA3" w14:textId="0FF1DD09" w:rsidR="00AC0D70" w:rsidRPr="00F04118" w:rsidRDefault="00AC0D70" w:rsidP="00AC0D70">
            <w:pPr>
              <w:widowControl w:val="0"/>
              <w:spacing w:before="120"/>
              <w:ind w:left="58" w:right="-86"/>
              <w:jc w:val="right"/>
              <w:rPr>
                <w:rFonts w:cs="Arial"/>
                <w:b/>
                <w:bCs/>
                <w:i/>
                <w:lang w:val="nl-NL"/>
              </w:rPr>
            </w:pPr>
            <w:r w:rsidRPr="00F04118">
              <w:rPr>
                <w:b/>
                <w:bCs/>
              </w:rPr>
              <w:t>116</w:t>
            </w:r>
            <w:r w:rsidR="00BD2B5A">
              <w:rPr>
                <w:b/>
                <w:bCs/>
              </w:rPr>
              <w:t>,</w:t>
            </w:r>
            <w:r w:rsidRPr="00F04118">
              <w:rPr>
                <w:b/>
                <w:bCs/>
              </w:rPr>
              <w:t>897</w:t>
            </w:r>
            <w:r w:rsidR="00BD2B5A">
              <w:rPr>
                <w:b/>
                <w:bCs/>
              </w:rPr>
              <w:t>,</w:t>
            </w:r>
            <w:r w:rsidRPr="00F04118">
              <w:rPr>
                <w:b/>
                <w:bCs/>
              </w:rPr>
              <w:t>527</w:t>
            </w:r>
          </w:p>
        </w:tc>
        <w:tc>
          <w:tcPr>
            <w:tcW w:w="1872" w:type="dxa"/>
          </w:tcPr>
          <w:p w14:paraId="604F1D8C" w14:textId="322437CC" w:rsidR="00AC0D70" w:rsidRPr="00F04118" w:rsidRDefault="00AC0D70" w:rsidP="00AC0D70">
            <w:pPr>
              <w:widowControl w:val="0"/>
              <w:spacing w:before="120"/>
              <w:ind w:left="58" w:right="-86"/>
              <w:jc w:val="right"/>
              <w:rPr>
                <w:rFonts w:cs="Arial"/>
                <w:b/>
                <w:bCs/>
                <w:i/>
                <w:lang w:val="nl-NL"/>
              </w:rPr>
            </w:pPr>
            <w:r w:rsidRPr="00F04118">
              <w:rPr>
                <w:b/>
                <w:bCs/>
              </w:rPr>
              <w:t>(275</w:t>
            </w:r>
            <w:r w:rsidR="00BD2B5A">
              <w:rPr>
                <w:b/>
                <w:bCs/>
              </w:rPr>
              <w:t>,</w:t>
            </w:r>
            <w:r w:rsidRPr="00F04118">
              <w:rPr>
                <w:b/>
                <w:bCs/>
              </w:rPr>
              <w:t>934</w:t>
            </w:r>
            <w:r w:rsidR="00BD2B5A">
              <w:rPr>
                <w:b/>
                <w:bCs/>
              </w:rPr>
              <w:t>,</w:t>
            </w:r>
            <w:r w:rsidRPr="00F04118">
              <w:rPr>
                <w:b/>
                <w:bCs/>
              </w:rPr>
              <w:t>390</w:t>
            </w:r>
          </w:p>
        </w:tc>
      </w:tr>
      <w:tr w:rsidR="00AC0D70" w:rsidRPr="00EF6EC5" w14:paraId="0435B7F4" w14:textId="77777777" w:rsidTr="00994CF3">
        <w:trPr>
          <w:trHeight w:val="20"/>
        </w:trPr>
        <w:tc>
          <w:tcPr>
            <w:tcW w:w="2102" w:type="dxa"/>
            <w:vAlign w:val="bottom"/>
          </w:tcPr>
          <w:p w14:paraId="2961604F" w14:textId="10ECF3BA" w:rsidR="00AC0D70" w:rsidRPr="003607A9" w:rsidRDefault="00AC0D70" w:rsidP="00AC0D70">
            <w:pPr>
              <w:widowControl w:val="0"/>
              <w:ind w:left="-115"/>
              <w:jc w:val="left"/>
              <w:rPr>
                <w:rFonts w:cs="Arial"/>
                <w:lang w:val="nl-NL"/>
              </w:rPr>
            </w:pPr>
            <w:r w:rsidRPr="003607A9">
              <w:rPr>
                <w:rFonts w:cs="Arial"/>
                <w:lang w:val="nl-NL"/>
              </w:rPr>
              <w:t>Development Investment Construction JSC</w:t>
            </w:r>
          </w:p>
        </w:tc>
        <w:tc>
          <w:tcPr>
            <w:tcW w:w="1815" w:type="dxa"/>
          </w:tcPr>
          <w:p w14:paraId="17B8750B" w14:textId="55FDBB94" w:rsidR="00AC0D70" w:rsidRPr="00EF6EC5" w:rsidRDefault="00AC0D70" w:rsidP="00AC0D70">
            <w:pPr>
              <w:widowControl w:val="0"/>
              <w:ind w:left="58" w:right="-86"/>
              <w:jc w:val="right"/>
              <w:rPr>
                <w:rFonts w:eastAsia="Batang" w:cs="Arial"/>
                <w:highlight w:val="yellow"/>
                <w:lang w:eastAsia="ko-KR"/>
              </w:rPr>
            </w:pPr>
            <w:r w:rsidRPr="004F21FC">
              <w:t>1</w:t>
            </w:r>
            <w:r w:rsidR="00BD2B5A">
              <w:t>,</w:t>
            </w:r>
            <w:r w:rsidRPr="004F21FC">
              <w:t>961</w:t>
            </w:r>
            <w:r w:rsidR="00BD2B5A">
              <w:t>,</w:t>
            </w:r>
            <w:r w:rsidRPr="004F21FC">
              <w:t xml:space="preserve">131 </w:t>
            </w:r>
          </w:p>
        </w:tc>
        <w:tc>
          <w:tcPr>
            <w:tcW w:w="1872" w:type="dxa"/>
          </w:tcPr>
          <w:p w14:paraId="1A6EDF45" w14:textId="0A7E3853" w:rsidR="00AC0D70" w:rsidRPr="00EF6EC5" w:rsidRDefault="00AC0D70" w:rsidP="00AC0D70">
            <w:pPr>
              <w:widowControl w:val="0"/>
              <w:ind w:left="58" w:right="-86"/>
              <w:jc w:val="right"/>
              <w:rPr>
                <w:rFonts w:eastAsia="Batang" w:cs="Arial"/>
                <w:highlight w:val="yellow"/>
                <w:lang w:eastAsia="ko-KR"/>
              </w:rPr>
            </w:pPr>
            <w:r w:rsidRPr="004F21FC">
              <w:t xml:space="preserve"> 429</w:t>
            </w:r>
            <w:r w:rsidR="00BD2B5A">
              <w:t>,</w:t>
            </w:r>
            <w:r w:rsidRPr="004F21FC">
              <w:t xml:space="preserve">000 </w:t>
            </w:r>
          </w:p>
        </w:tc>
        <w:tc>
          <w:tcPr>
            <w:tcW w:w="1872" w:type="dxa"/>
          </w:tcPr>
          <w:p w14:paraId="2A781D5B" w14:textId="3B7DFDCB" w:rsidR="00AC0D70" w:rsidRPr="00EF6EC5" w:rsidRDefault="00AC0D70" w:rsidP="00AC0D70">
            <w:pPr>
              <w:widowControl w:val="0"/>
              <w:ind w:left="58" w:right="-86"/>
              <w:jc w:val="right"/>
              <w:rPr>
                <w:rFonts w:eastAsia="Batang" w:cs="Arial"/>
                <w:highlight w:val="yellow"/>
                <w:lang w:eastAsia="ko-KR"/>
              </w:rPr>
            </w:pPr>
            <w:r w:rsidRPr="004F21FC">
              <w:t xml:space="preserve"> (1</w:t>
            </w:r>
            <w:r w:rsidR="00BD2B5A">
              <w:t>,</w:t>
            </w:r>
            <w:r w:rsidRPr="004F21FC">
              <w:t>532</w:t>
            </w:r>
            <w:r w:rsidR="00BD2B5A">
              <w:t>,</w:t>
            </w:r>
            <w:r w:rsidRPr="004F21FC">
              <w:t>131)</w:t>
            </w:r>
          </w:p>
        </w:tc>
        <w:tc>
          <w:tcPr>
            <w:tcW w:w="1872" w:type="dxa"/>
          </w:tcPr>
          <w:p w14:paraId="5D0AE3E1" w14:textId="2BCE481B" w:rsidR="00AC0D70" w:rsidRPr="00EF6EC5" w:rsidRDefault="00AC0D70" w:rsidP="00AC0D70">
            <w:pPr>
              <w:widowControl w:val="0"/>
              <w:ind w:left="58" w:right="-86"/>
              <w:jc w:val="right"/>
              <w:rPr>
                <w:rFonts w:eastAsia="Batang" w:cs="Arial"/>
                <w:highlight w:val="yellow"/>
                <w:lang w:eastAsia="ko-KR"/>
              </w:rPr>
            </w:pPr>
            <w:r w:rsidRPr="004F21FC">
              <w:t xml:space="preserve"> 9</w:t>
            </w:r>
            <w:r w:rsidR="00BD2B5A">
              <w:t>,</w:t>
            </w:r>
            <w:r w:rsidRPr="004F21FC">
              <w:t>301</w:t>
            </w:r>
            <w:r w:rsidR="00BD2B5A">
              <w:t>,</w:t>
            </w:r>
            <w:r w:rsidRPr="004F21FC">
              <w:t xml:space="preserve">600 </w:t>
            </w:r>
          </w:p>
        </w:tc>
        <w:tc>
          <w:tcPr>
            <w:tcW w:w="1815" w:type="dxa"/>
          </w:tcPr>
          <w:p w14:paraId="5A913219" w14:textId="65CA4823" w:rsidR="00AC0D70" w:rsidRPr="00EF6EC5" w:rsidRDefault="00AC0D70" w:rsidP="00AC0D70">
            <w:pPr>
              <w:widowControl w:val="0"/>
              <w:ind w:left="58" w:right="-86"/>
              <w:jc w:val="right"/>
              <w:rPr>
                <w:rFonts w:eastAsia="Batang" w:cs="Arial"/>
                <w:highlight w:val="yellow"/>
                <w:lang w:eastAsia="ko-KR"/>
              </w:rPr>
            </w:pPr>
            <w:r w:rsidRPr="004F21FC">
              <w:t xml:space="preserve"> 2</w:t>
            </w:r>
            <w:r w:rsidR="00BD2B5A">
              <w:t>,</w:t>
            </w:r>
            <w:r w:rsidRPr="004F21FC">
              <w:t>723</w:t>
            </w:r>
            <w:r w:rsidR="00BD2B5A">
              <w:t>,</w:t>
            </w:r>
            <w:r w:rsidRPr="004F21FC">
              <w:t xml:space="preserve">469 </w:t>
            </w:r>
          </w:p>
        </w:tc>
        <w:tc>
          <w:tcPr>
            <w:tcW w:w="1872" w:type="dxa"/>
          </w:tcPr>
          <w:p w14:paraId="0F3BCD0A" w14:textId="2F58DAF2" w:rsidR="00AC0D70" w:rsidRPr="00EF6EC5" w:rsidRDefault="00AC0D70" w:rsidP="00AC0D70">
            <w:pPr>
              <w:widowControl w:val="0"/>
              <w:ind w:left="58" w:right="-86"/>
              <w:jc w:val="right"/>
              <w:rPr>
                <w:rFonts w:eastAsia="Batang" w:cs="Arial"/>
                <w:highlight w:val="yellow"/>
                <w:lang w:eastAsia="ko-KR"/>
              </w:rPr>
            </w:pPr>
            <w:r w:rsidRPr="004F21FC">
              <w:t xml:space="preserve"> (13</w:t>
            </w:r>
            <w:r w:rsidR="00BD2B5A">
              <w:t>,</w:t>
            </w:r>
            <w:r w:rsidRPr="004F21FC">
              <w:t>557</w:t>
            </w:r>
            <w:r w:rsidR="00BD2B5A">
              <w:t>,</w:t>
            </w:r>
            <w:r w:rsidRPr="004F21FC">
              <w:t>200)</w:t>
            </w:r>
          </w:p>
        </w:tc>
      </w:tr>
      <w:tr w:rsidR="00AC0D70" w:rsidRPr="00EF6EC5" w14:paraId="667C4238" w14:textId="77777777" w:rsidTr="00994CF3">
        <w:trPr>
          <w:trHeight w:val="20"/>
        </w:trPr>
        <w:tc>
          <w:tcPr>
            <w:tcW w:w="2102" w:type="dxa"/>
            <w:vAlign w:val="bottom"/>
          </w:tcPr>
          <w:p w14:paraId="7705961A" w14:textId="01A34E88" w:rsidR="00AC0D70" w:rsidRPr="003607A9" w:rsidRDefault="00AC0D70" w:rsidP="00AC0D70">
            <w:pPr>
              <w:widowControl w:val="0"/>
              <w:ind w:left="-115"/>
              <w:jc w:val="left"/>
              <w:rPr>
                <w:rFonts w:cs="Arial"/>
                <w:lang w:val="nl-NL"/>
              </w:rPr>
            </w:pPr>
            <w:r w:rsidRPr="003607A9">
              <w:rPr>
                <w:rFonts w:cs="Arial"/>
                <w:lang w:val="nl-NL"/>
              </w:rPr>
              <w:t>Hoa Phat Group JSC</w:t>
            </w:r>
          </w:p>
        </w:tc>
        <w:tc>
          <w:tcPr>
            <w:tcW w:w="1815" w:type="dxa"/>
          </w:tcPr>
          <w:p w14:paraId="2C5C521E" w14:textId="13C32C4A" w:rsidR="00AC0D70" w:rsidRPr="00EF6EC5" w:rsidRDefault="00AC0D70" w:rsidP="00AC0D70">
            <w:pPr>
              <w:widowControl w:val="0"/>
              <w:ind w:left="58" w:right="-86"/>
              <w:jc w:val="right"/>
              <w:rPr>
                <w:rFonts w:cs="Arial"/>
                <w:color w:val="000000"/>
                <w:highlight w:val="yellow"/>
                <w:lang w:val="nl-NL"/>
              </w:rPr>
            </w:pPr>
            <w:r w:rsidRPr="004F21FC">
              <w:t>19</w:t>
            </w:r>
            <w:r w:rsidR="00BD2B5A">
              <w:t>,</w:t>
            </w:r>
            <w:r w:rsidRPr="004F21FC">
              <w:t>444</w:t>
            </w:r>
            <w:r w:rsidR="00BD2B5A">
              <w:t>,</w:t>
            </w:r>
            <w:r w:rsidRPr="004F21FC">
              <w:t xml:space="preserve">200 </w:t>
            </w:r>
          </w:p>
        </w:tc>
        <w:tc>
          <w:tcPr>
            <w:tcW w:w="1872" w:type="dxa"/>
          </w:tcPr>
          <w:p w14:paraId="6CC70750" w14:textId="02120022" w:rsidR="00AC0D70" w:rsidRPr="00EF6EC5" w:rsidRDefault="00AC0D70" w:rsidP="00AC0D70">
            <w:pPr>
              <w:widowControl w:val="0"/>
              <w:ind w:left="58" w:right="-86"/>
              <w:jc w:val="right"/>
              <w:rPr>
                <w:rFonts w:cs="Arial"/>
                <w:color w:val="000000"/>
                <w:highlight w:val="yellow"/>
              </w:rPr>
            </w:pPr>
            <w:r w:rsidRPr="004F21FC">
              <w:t xml:space="preserve"> 10</w:t>
            </w:r>
            <w:r w:rsidR="00BD2B5A">
              <w:t>,</w:t>
            </w:r>
            <w:r w:rsidRPr="004F21FC">
              <w:t>980</w:t>
            </w:r>
            <w:r w:rsidR="00BD2B5A">
              <w:t>,</w:t>
            </w:r>
            <w:r w:rsidRPr="004F21FC">
              <w:t xml:space="preserve">000 </w:t>
            </w:r>
          </w:p>
        </w:tc>
        <w:tc>
          <w:tcPr>
            <w:tcW w:w="1872" w:type="dxa"/>
          </w:tcPr>
          <w:p w14:paraId="2A706DAB" w14:textId="73EAD03E" w:rsidR="00AC0D70" w:rsidRPr="00EF6EC5" w:rsidRDefault="00AC0D70" w:rsidP="00AC0D70">
            <w:pPr>
              <w:widowControl w:val="0"/>
              <w:ind w:left="58" w:right="-86"/>
              <w:jc w:val="right"/>
              <w:rPr>
                <w:rFonts w:cs="Arial"/>
                <w:color w:val="000000"/>
                <w:highlight w:val="yellow"/>
              </w:rPr>
            </w:pPr>
            <w:r w:rsidRPr="004F21FC">
              <w:t xml:space="preserve"> (8</w:t>
            </w:r>
            <w:r w:rsidR="00BD2B5A">
              <w:t>,</w:t>
            </w:r>
            <w:r w:rsidRPr="004F21FC">
              <w:t>464</w:t>
            </w:r>
            <w:r w:rsidR="00BD2B5A">
              <w:t>,</w:t>
            </w:r>
            <w:r w:rsidRPr="004F21FC">
              <w:t>200)</w:t>
            </w:r>
          </w:p>
        </w:tc>
        <w:tc>
          <w:tcPr>
            <w:tcW w:w="1872" w:type="dxa"/>
          </w:tcPr>
          <w:p w14:paraId="362BF849" w14:textId="4C429052" w:rsidR="00AC0D70" w:rsidRPr="00EF6EC5" w:rsidRDefault="00AC0D70" w:rsidP="00AC0D70">
            <w:pPr>
              <w:widowControl w:val="0"/>
              <w:ind w:left="58" w:right="-86"/>
              <w:jc w:val="right"/>
              <w:rPr>
                <w:rFonts w:eastAsia="Batang" w:cs="Arial"/>
                <w:highlight w:val="yellow"/>
                <w:lang w:eastAsia="ko-KR"/>
              </w:rPr>
            </w:pPr>
            <w:r w:rsidRPr="004F21FC">
              <w:t xml:space="preserve"> (545</w:t>
            </w:r>
            <w:r w:rsidR="00BD2B5A">
              <w:t>,</w:t>
            </w:r>
            <w:r w:rsidRPr="004F21FC">
              <w:t>200)</w:t>
            </w:r>
          </w:p>
        </w:tc>
        <w:tc>
          <w:tcPr>
            <w:tcW w:w="1815" w:type="dxa"/>
          </w:tcPr>
          <w:p w14:paraId="4FE0E714" w14:textId="1AD7EF21" w:rsidR="00AC0D70" w:rsidRPr="00EF6EC5" w:rsidRDefault="00AC0D70" w:rsidP="00AC0D70">
            <w:pPr>
              <w:widowControl w:val="0"/>
              <w:ind w:left="58" w:right="-86"/>
              <w:jc w:val="right"/>
              <w:rPr>
                <w:rFonts w:cs="Arial"/>
                <w:color w:val="000000"/>
                <w:highlight w:val="yellow"/>
              </w:rPr>
            </w:pPr>
            <w:r w:rsidRPr="004F21FC">
              <w:t xml:space="preserve"> 3</w:t>
            </w:r>
            <w:r w:rsidR="00BD2B5A">
              <w:t>,</w:t>
            </w:r>
            <w:r w:rsidRPr="004F21FC">
              <w:t>277</w:t>
            </w:r>
            <w:r w:rsidR="00BD2B5A">
              <w:t>,</w:t>
            </w:r>
            <w:r w:rsidRPr="004F21FC">
              <w:t xml:space="preserve">500 </w:t>
            </w:r>
          </w:p>
        </w:tc>
        <w:tc>
          <w:tcPr>
            <w:tcW w:w="1872" w:type="dxa"/>
          </w:tcPr>
          <w:p w14:paraId="020DCCF3" w14:textId="1B7BD20E" w:rsidR="00AC0D70" w:rsidRPr="00EF6EC5" w:rsidRDefault="00AC0D70" w:rsidP="00AC0D70">
            <w:pPr>
              <w:widowControl w:val="0"/>
              <w:ind w:left="58" w:right="-86"/>
              <w:jc w:val="right"/>
              <w:rPr>
                <w:rFonts w:cs="Arial"/>
                <w:color w:val="000000"/>
                <w:highlight w:val="yellow"/>
              </w:rPr>
            </w:pPr>
            <w:r w:rsidRPr="004F21FC">
              <w:t xml:space="preserve"> (11</w:t>
            </w:r>
            <w:r w:rsidR="00BD2B5A">
              <w:t>,</w:t>
            </w:r>
            <w:r w:rsidRPr="004F21FC">
              <w:t>196</w:t>
            </w:r>
            <w:r w:rsidR="00BD2B5A">
              <w:t>,</w:t>
            </w:r>
            <w:r w:rsidRPr="004F21FC">
              <w:t>500)</w:t>
            </w:r>
          </w:p>
        </w:tc>
      </w:tr>
      <w:tr w:rsidR="00AC0D70" w:rsidRPr="00EF6EC5" w14:paraId="02638C3E" w14:textId="77777777" w:rsidTr="00994CF3">
        <w:trPr>
          <w:trHeight w:val="20"/>
        </w:trPr>
        <w:tc>
          <w:tcPr>
            <w:tcW w:w="2102" w:type="dxa"/>
            <w:vAlign w:val="bottom"/>
          </w:tcPr>
          <w:p w14:paraId="37D2C028" w14:textId="21A3E609" w:rsidR="00AC0D70" w:rsidRPr="003607A9" w:rsidRDefault="00AC0D70" w:rsidP="00AC0D70">
            <w:pPr>
              <w:widowControl w:val="0"/>
              <w:ind w:left="-115"/>
              <w:jc w:val="left"/>
              <w:rPr>
                <w:rFonts w:cs="Arial"/>
                <w:lang w:val="nl-NL"/>
              </w:rPr>
            </w:pPr>
            <w:r w:rsidRPr="003607A9">
              <w:rPr>
                <w:rFonts w:cs="Arial"/>
                <w:lang w:val="nl-NL"/>
              </w:rPr>
              <w:t>SSI Securities Corp</w:t>
            </w:r>
          </w:p>
        </w:tc>
        <w:tc>
          <w:tcPr>
            <w:tcW w:w="1815" w:type="dxa"/>
          </w:tcPr>
          <w:p w14:paraId="2B2291EE" w14:textId="7E007E11" w:rsidR="00AC0D70" w:rsidRPr="00EF6EC5" w:rsidRDefault="00AC0D70" w:rsidP="00AC0D70">
            <w:pPr>
              <w:widowControl w:val="0"/>
              <w:ind w:left="58" w:right="-86"/>
              <w:jc w:val="right"/>
              <w:rPr>
                <w:rFonts w:cs="Arial"/>
                <w:color w:val="000000"/>
                <w:highlight w:val="yellow"/>
                <w:lang w:val="nl-NL"/>
              </w:rPr>
            </w:pPr>
            <w:r w:rsidRPr="004F21FC">
              <w:t xml:space="preserve"> 12</w:t>
            </w:r>
            <w:r w:rsidR="00BD2B5A">
              <w:t>,</w:t>
            </w:r>
            <w:r w:rsidRPr="004F21FC">
              <w:t>335</w:t>
            </w:r>
            <w:r w:rsidR="00BD2B5A">
              <w:t>,</w:t>
            </w:r>
            <w:r w:rsidRPr="004F21FC">
              <w:t xml:space="preserve">519 </w:t>
            </w:r>
          </w:p>
        </w:tc>
        <w:tc>
          <w:tcPr>
            <w:tcW w:w="1872" w:type="dxa"/>
          </w:tcPr>
          <w:p w14:paraId="6845114E" w14:textId="33292BBA" w:rsidR="00AC0D70" w:rsidRPr="00EF6EC5" w:rsidRDefault="00AC0D70" w:rsidP="00AC0D70">
            <w:pPr>
              <w:widowControl w:val="0"/>
              <w:ind w:left="58" w:right="-86"/>
              <w:jc w:val="right"/>
              <w:rPr>
                <w:rFonts w:cs="Arial"/>
                <w:color w:val="000000"/>
                <w:highlight w:val="yellow"/>
              </w:rPr>
            </w:pPr>
            <w:r w:rsidRPr="004F21FC">
              <w:t xml:space="preserve"> 6</w:t>
            </w:r>
            <w:r w:rsidR="00BD2B5A">
              <w:t>,</w:t>
            </w:r>
            <w:r w:rsidRPr="004F21FC">
              <w:t>566</w:t>
            </w:r>
            <w:r w:rsidR="00BD2B5A">
              <w:t>,</w:t>
            </w:r>
            <w:r w:rsidRPr="004F21FC">
              <w:t xml:space="preserve">700 </w:t>
            </w:r>
          </w:p>
        </w:tc>
        <w:tc>
          <w:tcPr>
            <w:tcW w:w="1872" w:type="dxa"/>
          </w:tcPr>
          <w:p w14:paraId="3CB5BFDE" w14:textId="2A8BB65A" w:rsidR="00AC0D70" w:rsidRPr="00EF6EC5" w:rsidRDefault="00AC0D70" w:rsidP="00AC0D70">
            <w:pPr>
              <w:widowControl w:val="0"/>
              <w:ind w:left="58" w:right="-86"/>
              <w:jc w:val="right"/>
              <w:rPr>
                <w:rFonts w:cs="Arial"/>
                <w:color w:val="000000"/>
                <w:highlight w:val="yellow"/>
              </w:rPr>
            </w:pPr>
            <w:r w:rsidRPr="004F21FC">
              <w:t xml:space="preserve"> (5</w:t>
            </w:r>
            <w:r w:rsidR="00BD2B5A">
              <w:t>,</w:t>
            </w:r>
            <w:r w:rsidRPr="004F21FC">
              <w:t>768</w:t>
            </w:r>
            <w:r w:rsidR="00BD2B5A">
              <w:t>,</w:t>
            </w:r>
            <w:r w:rsidRPr="004F21FC">
              <w:t>819)</w:t>
            </w:r>
          </w:p>
        </w:tc>
        <w:tc>
          <w:tcPr>
            <w:tcW w:w="1872" w:type="dxa"/>
          </w:tcPr>
          <w:p w14:paraId="238E7C05" w14:textId="78F683C9" w:rsidR="00AC0D70" w:rsidRPr="00EF6EC5" w:rsidRDefault="00AC0D70" w:rsidP="00AC0D70">
            <w:pPr>
              <w:widowControl w:val="0"/>
              <w:ind w:left="58" w:right="-86"/>
              <w:jc w:val="right"/>
              <w:rPr>
                <w:rFonts w:eastAsia="Batang" w:cs="Arial"/>
                <w:highlight w:val="yellow"/>
                <w:lang w:eastAsia="ko-KR"/>
              </w:rPr>
            </w:pPr>
            <w:r w:rsidRPr="004F21FC">
              <w:t xml:space="preserve"> 1</w:t>
            </w:r>
            <w:r w:rsidR="00BD2B5A">
              <w:t>,</w:t>
            </w:r>
            <w:r w:rsidRPr="004F21FC">
              <w:t>081</w:t>
            </w:r>
            <w:r w:rsidR="00BD2B5A">
              <w:t>,</w:t>
            </w:r>
            <w:r w:rsidRPr="004F21FC">
              <w:t xml:space="preserve">500 </w:t>
            </w:r>
          </w:p>
        </w:tc>
        <w:tc>
          <w:tcPr>
            <w:tcW w:w="1815" w:type="dxa"/>
          </w:tcPr>
          <w:p w14:paraId="2C389386" w14:textId="35678329" w:rsidR="00AC0D70" w:rsidRPr="00EF6EC5" w:rsidRDefault="00AC0D70" w:rsidP="00AC0D70">
            <w:pPr>
              <w:widowControl w:val="0"/>
              <w:ind w:left="58" w:right="-86"/>
              <w:jc w:val="right"/>
              <w:rPr>
                <w:rFonts w:cs="Arial"/>
                <w:color w:val="000000"/>
                <w:highlight w:val="yellow"/>
              </w:rPr>
            </w:pPr>
            <w:r w:rsidRPr="004F21FC">
              <w:t xml:space="preserve"> 3</w:t>
            </w:r>
            <w:r w:rsidR="00BD2B5A">
              <w:t>,</w:t>
            </w:r>
            <w:r w:rsidRPr="004F21FC">
              <w:t>696</w:t>
            </w:r>
            <w:r w:rsidR="00BD2B5A">
              <w:t>,</w:t>
            </w:r>
            <w:r w:rsidRPr="004F21FC">
              <w:t xml:space="preserve">000 </w:t>
            </w:r>
          </w:p>
        </w:tc>
        <w:tc>
          <w:tcPr>
            <w:tcW w:w="1872" w:type="dxa"/>
          </w:tcPr>
          <w:p w14:paraId="11804F01" w14:textId="414473F1" w:rsidR="00AC0D70" w:rsidRPr="00EF6EC5" w:rsidRDefault="00AC0D70" w:rsidP="00AC0D70">
            <w:pPr>
              <w:widowControl w:val="0"/>
              <w:ind w:left="58" w:right="-86"/>
              <w:jc w:val="right"/>
              <w:rPr>
                <w:rFonts w:cs="Arial"/>
                <w:color w:val="000000"/>
                <w:highlight w:val="yellow"/>
              </w:rPr>
            </w:pPr>
            <w:r w:rsidRPr="004F21FC">
              <w:t xml:space="preserve"> (10</w:t>
            </w:r>
            <w:r w:rsidR="00BD2B5A">
              <w:t>,</w:t>
            </w:r>
            <w:r w:rsidRPr="004F21FC">
              <w:t>546</w:t>
            </w:r>
            <w:r w:rsidR="00BD2B5A">
              <w:t>,</w:t>
            </w:r>
            <w:r w:rsidRPr="004F21FC">
              <w:t>319)</w:t>
            </w:r>
          </w:p>
        </w:tc>
      </w:tr>
      <w:tr w:rsidR="00AC0D70" w:rsidRPr="00EF6EC5" w14:paraId="6DAD267A" w14:textId="77777777" w:rsidTr="00994CF3">
        <w:trPr>
          <w:trHeight w:val="20"/>
        </w:trPr>
        <w:tc>
          <w:tcPr>
            <w:tcW w:w="2102" w:type="dxa"/>
            <w:vAlign w:val="bottom"/>
          </w:tcPr>
          <w:p w14:paraId="30B00C86" w14:textId="45BA5C0C" w:rsidR="00AC0D70" w:rsidRPr="003607A9" w:rsidRDefault="00AC0D70" w:rsidP="00AC0D70">
            <w:pPr>
              <w:widowControl w:val="0"/>
              <w:ind w:left="-115"/>
              <w:rPr>
                <w:rFonts w:cs="Arial"/>
                <w:lang w:val="nl-NL"/>
              </w:rPr>
            </w:pPr>
            <w:r w:rsidRPr="003607A9">
              <w:rPr>
                <w:rFonts w:cs="Arial"/>
                <w:lang w:val="nl-NL"/>
              </w:rPr>
              <w:t>Hoang Huy Investment Financial Services JSC</w:t>
            </w:r>
          </w:p>
        </w:tc>
        <w:tc>
          <w:tcPr>
            <w:tcW w:w="1815" w:type="dxa"/>
          </w:tcPr>
          <w:p w14:paraId="6CDD462C" w14:textId="111CB69E" w:rsidR="00AC0D70" w:rsidRPr="00EF6EC5" w:rsidRDefault="00AC0D70" w:rsidP="00AC0D70">
            <w:pPr>
              <w:widowControl w:val="0"/>
              <w:ind w:left="58" w:right="-86"/>
              <w:jc w:val="right"/>
              <w:rPr>
                <w:rFonts w:eastAsia="Batang" w:cs="Arial"/>
                <w:highlight w:val="yellow"/>
                <w:lang w:eastAsia="ko-KR"/>
              </w:rPr>
            </w:pPr>
            <w:r w:rsidRPr="004F21FC">
              <w:t>8</w:t>
            </w:r>
            <w:r w:rsidR="00BD2B5A">
              <w:t>,</w:t>
            </w:r>
            <w:r w:rsidRPr="004F21FC">
              <w:t>169</w:t>
            </w:r>
            <w:r w:rsidR="00BD2B5A">
              <w:t>,</w:t>
            </w:r>
            <w:r w:rsidRPr="004F21FC">
              <w:t xml:space="preserve">900 </w:t>
            </w:r>
          </w:p>
        </w:tc>
        <w:tc>
          <w:tcPr>
            <w:tcW w:w="1872" w:type="dxa"/>
          </w:tcPr>
          <w:p w14:paraId="7FD9E97C" w14:textId="2B3EA283" w:rsidR="00AC0D70" w:rsidRPr="00EF6EC5" w:rsidRDefault="00AC0D70" w:rsidP="00AC0D70">
            <w:pPr>
              <w:widowControl w:val="0"/>
              <w:ind w:left="58" w:right="-86"/>
              <w:jc w:val="right"/>
              <w:rPr>
                <w:rFonts w:eastAsia="Batang" w:cs="Arial"/>
                <w:highlight w:val="yellow"/>
                <w:lang w:eastAsia="ko-KR"/>
              </w:rPr>
            </w:pPr>
            <w:r w:rsidRPr="004F21FC">
              <w:t xml:space="preserve"> 3</w:t>
            </w:r>
            <w:r w:rsidR="00BD2B5A">
              <w:t>,</w:t>
            </w:r>
            <w:r w:rsidRPr="004F21FC">
              <w:t>191</w:t>
            </w:r>
            <w:r w:rsidR="00BD2B5A">
              <w:t>,</w:t>
            </w:r>
            <w:r w:rsidRPr="004F21FC">
              <w:t xml:space="preserve">300 </w:t>
            </w:r>
          </w:p>
        </w:tc>
        <w:tc>
          <w:tcPr>
            <w:tcW w:w="1872" w:type="dxa"/>
          </w:tcPr>
          <w:p w14:paraId="65DF42A4" w14:textId="3A8EDD2A" w:rsidR="00AC0D70" w:rsidRPr="00EF6EC5" w:rsidRDefault="00AC0D70" w:rsidP="00AC0D70">
            <w:pPr>
              <w:widowControl w:val="0"/>
              <w:ind w:left="58" w:right="-86"/>
              <w:jc w:val="right"/>
              <w:rPr>
                <w:rFonts w:eastAsia="Batang" w:cs="Arial"/>
                <w:highlight w:val="yellow"/>
                <w:lang w:eastAsia="ko-KR"/>
              </w:rPr>
            </w:pPr>
            <w:r w:rsidRPr="004F21FC">
              <w:t xml:space="preserve"> (4</w:t>
            </w:r>
            <w:r w:rsidR="00BD2B5A">
              <w:t>,</w:t>
            </w:r>
            <w:r w:rsidRPr="004F21FC">
              <w:t>978</w:t>
            </w:r>
            <w:r w:rsidR="00BD2B5A">
              <w:t>,</w:t>
            </w:r>
            <w:r w:rsidRPr="004F21FC">
              <w:t>600)</w:t>
            </w:r>
          </w:p>
        </w:tc>
        <w:tc>
          <w:tcPr>
            <w:tcW w:w="1872" w:type="dxa"/>
          </w:tcPr>
          <w:p w14:paraId="410C6C83" w14:textId="1D229A6A" w:rsidR="00AC0D70" w:rsidRPr="00EF6EC5" w:rsidRDefault="00AC0D70" w:rsidP="00AC0D70">
            <w:pPr>
              <w:widowControl w:val="0"/>
              <w:ind w:left="58" w:right="-86"/>
              <w:jc w:val="right"/>
              <w:rPr>
                <w:rFonts w:eastAsia="Batang" w:cs="Arial"/>
                <w:highlight w:val="yellow"/>
                <w:lang w:eastAsia="ko-KR"/>
              </w:rPr>
            </w:pPr>
            <w:r w:rsidRPr="004F21FC">
              <w:t xml:space="preserve"> 255</w:t>
            </w:r>
            <w:r w:rsidR="00BD2B5A">
              <w:t>,</w:t>
            </w:r>
            <w:r w:rsidRPr="004F21FC">
              <w:t xml:space="preserve">000 </w:t>
            </w:r>
          </w:p>
        </w:tc>
        <w:tc>
          <w:tcPr>
            <w:tcW w:w="1815" w:type="dxa"/>
          </w:tcPr>
          <w:p w14:paraId="14ABBCC0" w14:textId="06614B46" w:rsidR="00AC0D70" w:rsidRPr="00EF6EC5" w:rsidRDefault="00AC0D70" w:rsidP="00AC0D70">
            <w:pPr>
              <w:widowControl w:val="0"/>
              <w:ind w:left="58" w:right="-86"/>
              <w:jc w:val="right"/>
              <w:rPr>
                <w:rFonts w:eastAsia="Batang" w:cs="Arial"/>
                <w:highlight w:val="yellow"/>
                <w:lang w:eastAsia="ko-KR"/>
              </w:rPr>
            </w:pPr>
            <w:r w:rsidRPr="004F21FC">
              <w:t xml:space="preserve"> 940</w:t>
            </w:r>
            <w:r w:rsidR="00BD2B5A">
              <w:t>,</w:t>
            </w:r>
            <w:r w:rsidRPr="004F21FC">
              <w:t xml:space="preserve">200 </w:t>
            </w:r>
          </w:p>
        </w:tc>
        <w:tc>
          <w:tcPr>
            <w:tcW w:w="1872" w:type="dxa"/>
          </w:tcPr>
          <w:p w14:paraId="1B74DF74" w14:textId="2A774026" w:rsidR="00AC0D70" w:rsidRPr="00EF6EC5" w:rsidRDefault="00AC0D70" w:rsidP="00AC0D70">
            <w:pPr>
              <w:widowControl w:val="0"/>
              <w:ind w:left="58" w:right="-86"/>
              <w:jc w:val="right"/>
              <w:rPr>
                <w:rFonts w:eastAsia="Batang" w:cs="Arial"/>
                <w:highlight w:val="yellow"/>
                <w:lang w:eastAsia="ko-KR"/>
              </w:rPr>
            </w:pPr>
            <w:r w:rsidRPr="004F21FC">
              <w:t xml:space="preserve"> (6</w:t>
            </w:r>
            <w:r w:rsidR="00BD2B5A">
              <w:t>,</w:t>
            </w:r>
            <w:r w:rsidRPr="004F21FC">
              <w:t>173</w:t>
            </w:r>
            <w:r w:rsidR="00BD2B5A">
              <w:t>,</w:t>
            </w:r>
            <w:r w:rsidRPr="004F21FC">
              <w:t>800)</w:t>
            </w:r>
          </w:p>
        </w:tc>
      </w:tr>
      <w:tr w:rsidR="00AC0D70" w:rsidRPr="00EF6EC5" w14:paraId="2888D890" w14:textId="77777777" w:rsidTr="00994CF3">
        <w:trPr>
          <w:trHeight w:val="20"/>
        </w:trPr>
        <w:tc>
          <w:tcPr>
            <w:tcW w:w="2102" w:type="dxa"/>
            <w:vAlign w:val="bottom"/>
          </w:tcPr>
          <w:p w14:paraId="7C4328E0" w14:textId="5A32AE9B" w:rsidR="00AC0D70" w:rsidRPr="003607A9" w:rsidRDefault="00AC0D70" w:rsidP="00AC0D70">
            <w:pPr>
              <w:widowControl w:val="0"/>
              <w:ind w:left="-115"/>
              <w:rPr>
                <w:rFonts w:cs="Arial"/>
                <w:lang w:val="nl-NL"/>
              </w:rPr>
            </w:pPr>
            <w:r w:rsidRPr="003607A9">
              <w:rPr>
                <w:rFonts w:cs="Arial"/>
                <w:lang w:val="nl-NL"/>
              </w:rPr>
              <w:t>Vingroup JSC</w:t>
            </w:r>
          </w:p>
        </w:tc>
        <w:tc>
          <w:tcPr>
            <w:tcW w:w="1815" w:type="dxa"/>
          </w:tcPr>
          <w:p w14:paraId="3784014D" w14:textId="5B6BBFBD" w:rsidR="00AC0D70" w:rsidRPr="00EF6EC5" w:rsidRDefault="00AC0D70" w:rsidP="00AC0D70">
            <w:pPr>
              <w:widowControl w:val="0"/>
              <w:ind w:left="58" w:right="-86"/>
              <w:jc w:val="right"/>
              <w:rPr>
                <w:rFonts w:eastAsia="Batang" w:cs="Arial"/>
                <w:highlight w:val="yellow"/>
                <w:lang w:eastAsia="ko-KR"/>
              </w:rPr>
            </w:pPr>
            <w:r w:rsidRPr="004F21FC">
              <w:t>60</w:t>
            </w:r>
            <w:r w:rsidR="00BD2B5A">
              <w:t>,</w:t>
            </w:r>
            <w:r w:rsidRPr="004F21FC">
              <w:t>767</w:t>
            </w:r>
            <w:r w:rsidR="00BD2B5A">
              <w:t>,</w:t>
            </w:r>
            <w:r w:rsidRPr="004F21FC">
              <w:t xml:space="preserve">700 </w:t>
            </w:r>
          </w:p>
        </w:tc>
        <w:tc>
          <w:tcPr>
            <w:tcW w:w="1872" w:type="dxa"/>
          </w:tcPr>
          <w:p w14:paraId="5E32BE6A" w14:textId="11A360B3" w:rsidR="00AC0D70" w:rsidRPr="00EF6EC5" w:rsidRDefault="00AC0D70" w:rsidP="00AC0D70">
            <w:pPr>
              <w:widowControl w:val="0"/>
              <w:ind w:left="58" w:right="-86"/>
              <w:jc w:val="right"/>
              <w:rPr>
                <w:rFonts w:eastAsia="Batang" w:cs="Arial"/>
                <w:highlight w:val="yellow"/>
                <w:lang w:eastAsia="ko-KR"/>
              </w:rPr>
            </w:pPr>
            <w:r w:rsidRPr="004F21FC">
              <w:t xml:space="preserve"> 40</w:t>
            </w:r>
            <w:r w:rsidR="00BD2B5A">
              <w:t>,</w:t>
            </w:r>
            <w:r w:rsidRPr="004F21FC">
              <w:t>619</w:t>
            </w:r>
            <w:r w:rsidR="00BD2B5A">
              <w:t>,</w:t>
            </w:r>
            <w:r w:rsidRPr="004F21FC">
              <w:t xml:space="preserve">000 </w:t>
            </w:r>
          </w:p>
        </w:tc>
        <w:tc>
          <w:tcPr>
            <w:tcW w:w="1872" w:type="dxa"/>
          </w:tcPr>
          <w:p w14:paraId="5BBFC15F" w14:textId="61B2A581" w:rsidR="00AC0D70" w:rsidRPr="00EF6EC5" w:rsidRDefault="00AC0D70" w:rsidP="00AC0D70">
            <w:pPr>
              <w:widowControl w:val="0"/>
              <w:ind w:left="58" w:right="-86"/>
              <w:jc w:val="right"/>
              <w:rPr>
                <w:rFonts w:eastAsia="Batang" w:cs="Arial"/>
                <w:highlight w:val="yellow"/>
                <w:lang w:eastAsia="ko-KR"/>
              </w:rPr>
            </w:pPr>
            <w:r w:rsidRPr="004F21FC">
              <w:t xml:space="preserve"> (20</w:t>
            </w:r>
            <w:r w:rsidR="00BD2B5A">
              <w:t>,</w:t>
            </w:r>
            <w:r w:rsidRPr="004F21FC">
              <w:t>148</w:t>
            </w:r>
            <w:r w:rsidR="00BD2B5A">
              <w:t>,</w:t>
            </w:r>
            <w:r w:rsidRPr="004F21FC">
              <w:t>700)</w:t>
            </w:r>
          </w:p>
        </w:tc>
        <w:tc>
          <w:tcPr>
            <w:tcW w:w="1872" w:type="dxa"/>
          </w:tcPr>
          <w:p w14:paraId="666A43AF" w14:textId="71E08121" w:rsidR="00AC0D70" w:rsidRPr="00EF6EC5" w:rsidRDefault="00AC0D70" w:rsidP="00AC0D70">
            <w:pPr>
              <w:widowControl w:val="0"/>
              <w:ind w:left="58" w:right="-86"/>
              <w:jc w:val="right"/>
              <w:rPr>
                <w:rFonts w:eastAsia="Batang" w:cs="Arial"/>
                <w:highlight w:val="yellow"/>
                <w:lang w:eastAsia="ko-KR"/>
              </w:rPr>
            </w:pPr>
            <w:r w:rsidRPr="004F21FC">
              <w:t xml:space="preserve"> 642</w:t>
            </w:r>
            <w:r w:rsidR="00BD2B5A">
              <w:t>,</w:t>
            </w:r>
            <w:r w:rsidRPr="004F21FC">
              <w:t xml:space="preserve">600 </w:t>
            </w:r>
          </w:p>
        </w:tc>
        <w:tc>
          <w:tcPr>
            <w:tcW w:w="1815" w:type="dxa"/>
          </w:tcPr>
          <w:p w14:paraId="15B3792D" w14:textId="2E860B2E" w:rsidR="00AC0D70" w:rsidRPr="00EF6EC5" w:rsidRDefault="00AC0D70" w:rsidP="00AC0D70">
            <w:pPr>
              <w:widowControl w:val="0"/>
              <w:ind w:left="58" w:right="-86"/>
              <w:jc w:val="right"/>
              <w:rPr>
                <w:rFonts w:eastAsia="Batang" w:cs="Arial"/>
                <w:highlight w:val="yellow"/>
                <w:lang w:eastAsia="ko-KR"/>
              </w:rPr>
            </w:pPr>
            <w:r w:rsidRPr="004F21FC">
              <w:t xml:space="preserve"> 13</w:t>
            </w:r>
            <w:r w:rsidR="00BD2B5A">
              <w:t>,</w:t>
            </w:r>
            <w:r w:rsidRPr="004F21FC">
              <w:t>012</w:t>
            </w:r>
            <w:r w:rsidR="00BD2B5A">
              <w:t>,</w:t>
            </w:r>
            <w:r w:rsidRPr="004F21FC">
              <w:t xml:space="preserve">200 </w:t>
            </w:r>
          </w:p>
        </w:tc>
        <w:tc>
          <w:tcPr>
            <w:tcW w:w="1872" w:type="dxa"/>
          </w:tcPr>
          <w:p w14:paraId="213C7CB4" w14:textId="3F214F43" w:rsidR="00AC0D70" w:rsidRPr="00EF6EC5" w:rsidRDefault="00AC0D70" w:rsidP="00AC0D70">
            <w:pPr>
              <w:widowControl w:val="0"/>
              <w:ind w:left="58" w:right="-86"/>
              <w:jc w:val="right"/>
              <w:rPr>
                <w:rFonts w:eastAsia="Batang" w:cs="Arial"/>
                <w:highlight w:val="yellow"/>
                <w:lang w:eastAsia="ko-KR"/>
              </w:rPr>
            </w:pPr>
            <w:r w:rsidRPr="004F21FC">
              <w:t xml:space="preserve"> (33</w:t>
            </w:r>
            <w:r w:rsidR="00BD2B5A">
              <w:t>,</w:t>
            </w:r>
            <w:r w:rsidRPr="004F21FC">
              <w:t>803</w:t>
            </w:r>
            <w:r w:rsidR="00BD2B5A">
              <w:t>,</w:t>
            </w:r>
            <w:r w:rsidRPr="004F21FC">
              <w:t>500)</w:t>
            </w:r>
          </w:p>
        </w:tc>
      </w:tr>
      <w:tr w:rsidR="00AC0D70" w:rsidRPr="00EF6EC5" w14:paraId="30B4B56F" w14:textId="77777777" w:rsidTr="00994CF3">
        <w:trPr>
          <w:trHeight w:val="20"/>
        </w:trPr>
        <w:tc>
          <w:tcPr>
            <w:tcW w:w="2102" w:type="dxa"/>
            <w:vAlign w:val="bottom"/>
          </w:tcPr>
          <w:p w14:paraId="22410AB1" w14:textId="4835F2BD" w:rsidR="00AC0D70" w:rsidRPr="003607A9" w:rsidRDefault="00AC0D70" w:rsidP="00AC0D70">
            <w:pPr>
              <w:widowControl w:val="0"/>
              <w:ind w:left="-115"/>
              <w:rPr>
                <w:rFonts w:cs="Arial"/>
                <w:lang w:val="nl-NL"/>
              </w:rPr>
            </w:pPr>
            <w:r w:rsidRPr="003607A9">
              <w:rPr>
                <w:rFonts w:cs="Arial"/>
                <w:lang w:val="nl-NL"/>
              </w:rPr>
              <w:t>VIX Securities Corp</w:t>
            </w:r>
          </w:p>
        </w:tc>
        <w:tc>
          <w:tcPr>
            <w:tcW w:w="1815" w:type="dxa"/>
          </w:tcPr>
          <w:p w14:paraId="3443F481" w14:textId="23D774EC" w:rsidR="00AC0D70" w:rsidRPr="00EF6EC5" w:rsidRDefault="00AC0D70" w:rsidP="00AC0D70">
            <w:pPr>
              <w:widowControl w:val="0"/>
              <w:ind w:left="58" w:right="-86"/>
              <w:jc w:val="right"/>
              <w:rPr>
                <w:rFonts w:eastAsia="Batang" w:cs="Arial"/>
                <w:highlight w:val="yellow"/>
                <w:lang w:eastAsia="ko-KR"/>
              </w:rPr>
            </w:pPr>
            <w:r w:rsidRPr="004F21FC">
              <w:t>7</w:t>
            </w:r>
            <w:r w:rsidR="00BD2B5A">
              <w:t>,</w:t>
            </w:r>
            <w:r w:rsidRPr="004F21FC">
              <w:t>632</w:t>
            </w:r>
            <w:r w:rsidR="00BD2B5A">
              <w:t>,</w:t>
            </w:r>
            <w:r w:rsidRPr="004F21FC">
              <w:t xml:space="preserve">300 </w:t>
            </w:r>
          </w:p>
        </w:tc>
        <w:tc>
          <w:tcPr>
            <w:tcW w:w="1872" w:type="dxa"/>
          </w:tcPr>
          <w:p w14:paraId="2E07C84A" w14:textId="17841D62" w:rsidR="00AC0D70" w:rsidRPr="00EF6EC5" w:rsidRDefault="00AC0D70" w:rsidP="00AC0D70">
            <w:pPr>
              <w:widowControl w:val="0"/>
              <w:ind w:left="58" w:right="-86"/>
              <w:jc w:val="right"/>
              <w:rPr>
                <w:rFonts w:eastAsia="Batang" w:cs="Arial"/>
                <w:highlight w:val="yellow"/>
                <w:lang w:eastAsia="ko-KR"/>
              </w:rPr>
            </w:pPr>
            <w:r w:rsidRPr="004F21FC">
              <w:t xml:space="preserve"> 1</w:t>
            </w:r>
            <w:r w:rsidR="00BD2B5A">
              <w:t>,</w:t>
            </w:r>
            <w:r w:rsidRPr="004F21FC">
              <w:t>696</w:t>
            </w:r>
            <w:r w:rsidR="00BD2B5A">
              <w:t>,</w:t>
            </w:r>
            <w:r w:rsidRPr="004F21FC">
              <w:t xml:space="preserve">500 </w:t>
            </w:r>
          </w:p>
        </w:tc>
        <w:tc>
          <w:tcPr>
            <w:tcW w:w="1872" w:type="dxa"/>
          </w:tcPr>
          <w:p w14:paraId="7B9B8709" w14:textId="21BB3CD7" w:rsidR="00AC0D70" w:rsidRPr="00EF6EC5" w:rsidRDefault="00AC0D70" w:rsidP="00AC0D70">
            <w:pPr>
              <w:widowControl w:val="0"/>
              <w:ind w:left="58" w:right="-86"/>
              <w:jc w:val="right"/>
              <w:rPr>
                <w:rFonts w:eastAsia="Batang" w:cs="Arial"/>
                <w:highlight w:val="yellow"/>
                <w:lang w:eastAsia="ko-KR"/>
              </w:rPr>
            </w:pPr>
            <w:r w:rsidRPr="004F21FC">
              <w:t xml:space="preserve"> (5</w:t>
            </w:r>
            <w:r w:rsidR="00BD2B5A">
              <w:t>,</w:t>
            </w:r>
            <w:r w:rsidRPr="004F21FC">
              <w:t>935</w:t>
            </w:r>
            <w:r w:rsidR="00BD2B5A">
              <w:t>,</w:t>
            </w:r>
            <w:r w:rsidRPr="004F21FC">
              <w:t>800)</w:t>
            </w:r>
          </w:p>
        </w:tc>
        <w:tc>
          <w:tcPr>
            <w:tcW w:w="1872" w:type="dxa"/>
          </w:tcPr>
          <w:p w14:paraId="18986167" w14:textId="248FD3AB" w:rsidR="00AC0D70" w:rsidRPr="00EF6EC5" w:rsidRDefault="00AC0D70" w:rsidP="00AC0D70">
            <w:pPr>
              <w:widowControl w:val="0"/>
              <w:ind w:left="58" w:right="-86"/>
              <w:jc w:val="right"/>
              <w:rPr>
                <w:rFonts w:eastAsia="Batang" w:cs="Arial"/>
                <w:highlight w:val="yellow"/>
                <w:lang w:eastAsia="ko-KR"/>
              </w:rPr>
            </w:pPr>
            <w:r w:rsidRPr="004F21FC">
              <w:t xml:space="preserve"> 518</w:t>
            </w:r>
            <w:r w:rsidR="00BD2B5A">
              <w:t>,</w:t>
            </w:r>
            <w:r w:rsidRPr="004F21FC">
              <w:t xml:space="preserve">700 </w:t>
            </w:r>
          </w:p>
        </w:tc>
        <w:tc>
          <w:tcPr>
            <w:tcW w:w="1815" w:type="dxa"/>
          </w:tcPr>
          <w:p w14:paraId="28DD6D15" w14:textId="42AB8C4B" w:rsidR="00AC0D70" w:rsidRPr="00EF6EC5" w:rsidRDefault="00AC0D70" w:rsidP="00AC0D70">
            <w:pPr>
              <w:widowControl w:val="0"/>
              <w:ind w:left="58" w:right="-86"/>
              <w:jc w:val="right"/>
              <w:rPr>
                <w:rFonts w:eastAsia="Batang" w:cs="Arial"/>
                <w:highlight w:val="yellow"/>
                <w:lang w:eastAsia="ko-KR"/>
              </w:rPr>
            </w:pPr>
            <w:r w:rsidRPr="004F21FC">
              <w:t xml:space="preserve"> 1</w:t>
            </w:r>
            <w:r w:rsidR="00BD2B5A">
              <w:t>,</w:t>
            </w:r>
            <w:r w:rsidRPr="004F21FC">
              <w:t>242</w:t>
            </w:r>
            <w:r w:rsidR="00BD2B5A">
              <w:t>,</w:t>
            </w:r>
            <w:r w:rsidRPr="004F21FC">
              <w:t xml:space="preserve">510 </w:t>
            </w:r>
          </w:p>
        </w:tc>
        <w:tc>
          <w:tcPr>
            <w:tcW w:w="1872" w:type="dxa"/>
          </w:tcPr>
          <w:p w14:paraId="51AE8F1A" w14:textId="2D7A3259" w:rsidR="00AC0D70" w:rsidRPr="00EF6EC5" w:rsidRDefault="00AC0D70" w:rsidP="00AC0D70">
            <w:pPr>
              <w:widowControl w:val="0"/>
              <w:ind w:left="58" w:right="-86"/>
              <w:jc w:val="right"/>
              <w:rPr>
                <w:rFonts w:eastAsia="Batang" w:cs="Arial"/>
                <w:highlight w:val="yellow"/>
                <w:lang w:eastAsia="ko-KR"/>
              </w:rPr>
            </w:pPr>
            <w:r w:rsidRPr="004F21FC">
              <w:t xml:space="preserve"> (7</w:t>
            </w:r>
            <w:r w:rsidR="00BD2B5A">
              <w:t>,</w:t>
            </w:r>
            <w:r w:rsidRPr="004F21FC">
              <w:t>697</w:t>
            </w:r>
            <w:r w:rsidR="00BD2B5A">
              <w:t>,</w:t>
            </w:r>
            <w:r w:rsidRPr="004F21FC">
              <w:t>010)</w:t>
            </w:r>
          </w:p>
        </w:tc>
      </w:tr>
      <w:tr w:rsidR="00AC0D70" w:rsidRPr="00EF6EC5" w14:paraId="1060DF87" w14:textId="77777777" w:rsidTr="00994CF3">
        <w:trPr>
          <w:trHeight w:val="20"/>
        </w:trPr>
        <w:tc>
          <w:tcPr>
            <w:tcW w:w="2102" w:type="dxa"/>
            <w:vAlign w:val="bottom"/>
          </w:tcPr>
          <w:p w14:paraId="3F6816A9" w14:textId="050A403F" w:rsidR="00AC0D70" w:rsidRPr="003607A9" w:rsidRDefault="00AC0D70" w:rsidP="00AC0D70">
            <w:pPr>
              <w:widowControl w:val="0"/>
              <w:ind w:left="-115"/>
              <w:rPr>
                <w:rFonts w:cs="Arial"/>
                <w:lang w:val="nl-NL"/>
              </w:rPr>
            </w:pPr>
            <w:r w:rsidRPr="003607A9">
              <w:rPr>
                <w:rFonts w:cs="Arial"/>
                <w:lang w:val="nl-NL"/>
              </w:rPr>
              <w:t>Others</w:t>
            </w:r>
          </w:p>
        </w:tc>
        <w:tc>
          <w:tcPr>
            <w:tcW w:w="1815" w:type="dxa"/>
          </w:tcPr>
          <w:p w14:paraId="173A1941" w14:textId="2317965F" w:rsidR="00AC0D70" w:rsidRPr="00EF6EC5" w:rsidRDefault="00AC0D70" w:rsidP="00AC0D70">
            <w:pPr>
              <w:widowControl w:val="0"/>
              <w:ind w:left="58" w:right="-86"/>
              <w:jc w:val="right"/>
              <w:rPr>
                <w:rFonts w:eastAsia="Batang" w:cs="Arial"/>
                <w:highlight w:val="yellow"/>
                <w:lang w:eastAsia="ko-KR"/>
              </w:rPr>
            </w:pPr>
            <w:r w:rsidRPr="004F21FC">
              <w:t xml:space="preserve"> 265</w:t>
            </w:r>
            <w:r w:rsidR="00BD2B5A">
              <w:t>,</w:t>
            </w:r>
            <w:r w:rsidRPr="004F21FC">
              <w:t>642</w:t>
            </w:r>
            <w:r w:rsidR="00BD2B5A">
              <w:t>,</w:t>
            </w:r>
            <w:r w:rsidRPr="004F21FC">
              <w:t xml:space="preserve">675 </w:t>
            </w:r>
          </w:p>
        </w:tc>
        <w:tc>
          <w:tcPr>
            <w:tcW w:w="1872" w:type="dxa"/>
          </w:tcPr>
          <w:p w14:paraId="2AE78D82" w14:textId="4F607F04" w:rsidR="00AC0D70" w:rsidRPr="00EF6EC5" w:rsidRDefault="00AC0D70" w:rsidP="00AC0D70">
            <w:pPr>
              <w:widowControl w:val="0"/>
              <w:ind w:left="58" w:right="-86"/>
              <w:jc w:val="right"/>
              <w:rPr>
                <w:rFonts w:eastAsia="Batang" w:cs="Arial"/>
                <w:highlight w:val="yellow"/>
                <w:lang w:eastAsia="ko-KR"/>
              </w:rPr>
            </w:pPr>
            <w:r w:rsidRPr="004F21FC">
              <w:t xml:space="preserve"> 183</w:t>
            </w:r>
            <w:r w:rsidR="00BD2B5A">
              <w:t>,</w:t>
            </w:r>
            <w:r w:rsidRPr="004F21FC">
              <w:t>913</w:t>
            </w:r>
            <w:r w:rsidR="00BD2B5A">
              <w:t>,</w:t>
            </w:r>
            <w:r w:rsidRPr="004F21FC">
              <w:t xml:space="preserve">620 </w:t>
            </w:r>
          </w:p>
        </w:tc>
        <w:tc>
          <w:tcPr>
            <w:tcW w:w="1872" w:type="dxa"/>
          </w:tcPr>
          <w:p w14:paraId="102C853A" w14:textId="6FC18315" w:rsidR="00AC0D70" w:rsidRPr="00EF6EC5" w:rsidRDefault="00AC0D70" w:rsidP="00AC0D70">
            <w:pPr>
              <w:widowControl w:val="0"/>
              <w:ind w:left="58" w:right="-86"/>
              <w:jc w:val="right"/>
              <w:rPr>
                <w:rFonts w:eastAsia="Batang" w:cs="Arial"/>
                <w:highlight w:val="yellow"/>
                <w:lang w:eastAsia="ko-KR"/>
              </w:rPr>
            </w:pPr>
            <w:r w:rsidRPr="004F21FC">
              <w:t xml:space="preserve"> (81</w:t>
            </w:r>
            <w:r w:rsidR="00BD2B5A">
              <w:t>,</w:t>
            </w:r>
            <w:r w:rsidRPr="004F21FC">
              <w:t>729</w:t>
            </w:r>
            <w:r w:rsidR="00BD2B5A">
              <w:t>,</w:t>
            </w:r>
            <w:r w:rsidRPr="004F21FC">
              <w:t>055)</w:t>
            </w:r>
          </w:p>
        </w:tc>
        <w:tc>
          <w:tcPr>
            <w:tcW w:w="1872" w:type="dxa"/>
          </w:tcPr>
          <w:p w14:paraId="16FFC31C" w14:textId="655CB722" w:rsidR="00AC0D70" w:rsidRPr="00EF6EC5" w:rsidRDefault="00AC0D70" w:rsidP="00AC0D70">
            <w:pPr>
              <w:widowControl w:val="0"/>
              <w:ind w:left="58" w:right="-86"/>
              <w:jc w:val="right"/>
              <w:rPr>
                <w:rFonts w:eastAsia="Batang" w:cs="Arial"/>
                <w:highlight w:val="yellow"/>
                <w:lang w:eastAsia="ko-KR"/>
              </w:rPr>
            </w:pPr>
            <w:r w:rsidRPr="004F21FC">
              <w:t xml:space="preserve"> 19</w:t>
            </w:r>
            <w:r w:rsidR="00BD2B5A">
              <w:t>,</w:t>
            </w:r>
            <w:r w:rsidRPr="004F21FC">
              <w:t>225</w:t>
            </w:r>
            <w:r w:rsidR="00BD2B5A">
              <w:t>,</w:t>
            </w:r>
            <w:r w:rsidRPr="004F21FC">
              <w:t xml:space="preserve">357 </w:t>
            </w:r>
          </w:p>
        </w:tc>
        <w:tc>
          <w:tcPr>
            <w:tcW w:w="1815" w:type="dxa"/>
          </w:tcPr>
          <w:p w14:paraId="54DF5201" w14:textId="7BD20877" w:rsidR="00AC0D70" w:rsidRPr="00EF6EC5" w:rsidRDefault="00AC0D70" w:rsidP="00AC0D70">
            <w:pPr>
              <w:widowControl w:val="0"/>
              <w:ind w:left="58" w:right="-86"/>
              <w:jc w:val="right"/>
              <w:rPr>
                <w:rFonts w:eastAsia="Batang" w:cs="Arial"/>
                <w:highlight w:val="yellow"/>
                <w:lang w:eastAsia="ko-KR"/>
              </w:rPr>
            </w:pPr>
            <w:r w:rsidRPr="004F21FC">
              <w:t xml:space="preserve"> 92</w:t>
            </w:r>
            <w:r w:rsidR="00BD2B5A">
              <w:t>,</w:t>
            </w:r>
            <w:r w:rsidRPr="004F21FC">
              <w:t>005</w:t>
            </w:r>
            <w:r w:rsidR="00BD2B5A">
              <w:t>,</w:t>
            </w:r>
            <w:r w:rsidRPr="004F21FC">
              <w:t xml:space="preserve">649 </w:t>
            </w:r>
          </w:p>
        </w:tc>
        <w:tc>
          <w:tcPr>
            <w:tcW w:w="1872" w:type="dxa"/>
          </w:tcPr>
          <w:p w14:paraId="1659DC30" w14:textId="56D893F0" w:rsidR="00AC0D70" w:rsidRPr="00EF6EC5" w:rsidRDefault="00AC0D70" w:rsidP="00AC0D70">
            <w:pPr>
              <w:widowControl w:val="0"/>
              <w:ind w:left="58" w:right="-86"/>
              <w:jc w:val="right"/>
              <w:rPr>
                <w:rFonts w:eastAsia="Batang" w:cs="Arial"/>
                <w:highlight w:val="yellow"/>
                <w:lang w:eastAsia="ko-KR"/>
              </w:rPr>
            </w:pPr>
            <w:r w:rsidRPr="004F21FC">
              <w:t xml:space="preserve"> (192</w:t>
            </w:r>
            <w:r w:rsidR="00BD2B5A">
              <w:t>,</w:t>
            </w:r>
            <w:r w:rsidRPr="004F21FC">
              <w:t>960</w:t>
            </w:r>
            <w:r w:rsidR="00BD2B5A">
              <w:t>,</w:t>
            </w:r>
            <w:r w:rsidRPr="004F21FC">
              <w:t>061)</w:t>
            </w:r>
          </w:p>
        </w:tc>
      </w:tr>
      <w:tr w:rsidR="00F04118" w:rsidRPr="00EF6EC5" w14:paraId="2AF52266" w14:textId="77777777" w:rsidTr="00FA0FEB">
        <w:trPr>
          <w:trHeight w:val="20"/>
        </w:trPr>
        <w:tc>
          <w:tcPr>
            <w:tcW w:w="2102" w:type="dxa"/>
            <w:vAlign w:val="bottom"/>
          </w:tcPr>
          <w:p w14:paraId="12B478D8" w14:textId="1FB89D76" w:rsidR="00F04118" w:rsidRPr="003607A9" w:rsidRDefault="00F04118" w:rsidP="00F04118">
            <w:pPr>
              <w:widowControl w:val="0"/>
              <w:spacing w:before="120"/>
              <w:ind w:left="-115"/>
              <w:rPr>
                <w:rFonts w:cs="Arial"/>
                <w:b/>
                <w:i/>
                <w:lang w:val="nl-NL"/>
              </w:rPr>
            </w:pPr>
            <w:r w:rsidRPr="003607A9">
              <w:rPr>
                <w:rFonts w:cs="Arial"/>
                <w:b/>
                <w:i/>
                <w:lang w:val="nl-NL"/>
              </w:rPr>
              <w:t>Non listed shares</w:t>
            </w:r>
          </w:p>
        </w:tc>
        <w:tc>
          <w:tcPr>
            <w:tcW w:w="1815" w:type="dxa"/>
          </w:tcPr>
          <w:p w14:paraId="308CBA35" w14:textId="119283B7" w:rsidR="00F04118" w:rsidRPr="00F04118" w:rsidRDefault="00F04118" w:rsidP="00F04118">
            <w:pPr>
              <w:widowControl w:val="0"/>
              <w:spacing w:before="120"/>
              <w:ind w:left="58" w:right="-86"/>
              <w:jc w:val="right"/>
              <w:rPr>
                <w:rFonts w:eastAsia="Batang" w:cs="Arial"/>
                <w:b/>
                <w:bCs/>
                <w:i/>
                <w:highlight w:val="yellow"/>
                <w:lang w:eastAsia="ko-KR"/>
              </w:rPr>
            </w:pPr>
            <w:r w:rsidRPr="00F04118">
              <w:rPr>
                <w:b/>
                <w:bCs/>
              </w:rPr>
              <w:t>125</w:t>
            </w:r>
            <w:r w:rsidR="00BD2B5A">
              <w:rPr>
                <w:b/>
                <w:bCs/>
              </w:rPr>
              <w:t>,</w:t>
            </w:r>
            <w:r w:rsidRPr="00F04118">
              <w:rPr>
                <w:b/>
                <w:bCs/>
              </w:rPr>
              <w:t>003</w:t>
            </w:r>
            <w:r w:rsidR="00BD2B5A">
              <w:rPr>
                <w:b/>
                <w:bCs/>
              </w:rPr>
              <w:t>,</w:t>
            </w:r>
            <w:r w:rsidRPr="00F04118">
              <w:rPr>
                <w:b/>
                <w:bCs/>
              </w:rPr>
              <w:t>647</w:t>
            </w:r>
            <w:r w:rsidR="00BD2B5A">
              <w:rPr>
                <w:b/>
                <w:bCs/>
              </w:rPr>
              <w:t>,</w:t>
            </w:r>
            <w:r w:rsidRPr="00F04118">
              <w:rPr>
                <w:b/>
                <w:bCs/>
              </w:rPr>
              <w:t>500</w:t>
            </w:r>
          </w:p>
        </w:tc>
        <w:tc>
          <w:tcPr>
            <w:tcW w:w="1872" w:type="dxa"/>
          </w:tcPr>
          <w:p w14:paraId="21D03E86" w14:textId="735C11D7" w:rsidR="00F04118" w:rsidRPr="00F04118" w:rsidRDefault="00F04118" w:rsidP="00F04118">
            <w:pPr>
              <w:widowControl w:val="0"/>
              <w:spacing w:before="120"/>
              <w:ind w:left="58" w:right="-86"/>
              <w:jc w:val="right"/>
              <w:rPr>
                <w:rFonts w:eastAsia="Batang" w:cs="Arial"/>
                <w:b/>
                <w:bCs/>
                <w:i/>
                <w:highlight w:val="yellow"/>
                <w:lang w:eastAsia="ko-KR"/>
              </w:rPr>
            </w:pPr>
            <w:r w:rsidRPr="00F04118">
              <w:rPr>
                <w:b/>
                <w:bCs/>
              </w:rPr>
              <w:t>126</w:t>
            </w:r>
            <w:r w:rsidR="00BD2B5A">
              <w:rPr>
                <w:b/>
                <w:bCs/>
              </w:rPr>
              <w:t>,</w:t>
            </w:r>
            <w:r w:rsidRPr="00F04118">
              <w:rPr>
                <w:b/>
                <w:bCs/>
              </w:rPr>
              <w:t>346</w:t>
            </w:r>
            <w:r w:rsidR="00BD2B5A">
              <w:rPr>
                <w:b/>
                <w:bCs/>
              </w:rPr>
              <w:t>,</w:t>
            </w:r>
            <w:r w:rsidRPr="00F04118">
              <w:rPr>
                <w:b/>
                <w:bCs/>
              </w:rPr>
              <w:t>305</w:t>
            </w:r>
            <w:r w:rsidR="00BD2B5A">
              <w:rPr>
                <w:b/>
                <w:bCs/>
              </w:rPr>
              <w:t>,</w:t>
            </w:r>
            <w:r w:rsidRPr="00F04118">
              <w:rPr>
                <w:b/>
                <w:bCs/>
              </w:rPr>
              <w:t>200</w:t>
            </w:r>
          </w:p>
        </w:tc>
        <w:tc>
          <w:tcPr>
            <w:tcW w:w="1872" w:type="dxa"/>
          </w:tcPr>
          <w:p w14:paraId="4CFB6828" w14:textId="2B5920B5" w:rsidR="00F04118" w:rsidRPr="00F04118" w:rsidRDefault="00F04118" w:rsidP="00F04118">
            <w:pPr>
              <w:widowControl w:val="0"/>
              <w:spacing w:before="120"/>
              <w:ind w:left="58" w:right="-86"/>
              <w:jc w:val="right"/>
              <w:rPr>
                <w:rFonts w:eastAsia="Batang" w:cs="Arial"/>
                <w:b/>
                <w:bCs/>
                <w:i/>
                <w:highlight w:val="yellow"/>
                <w:lang w:eastAsia="ko-KR"/>
              </w:rPr>
            </w:pPr>
            <w:r w:rsidRPr="00F04118">
              <w:rPr>
                <w:b/>
                <w:bCs/>
              </w:rPr>
              <w:t>1</w:t>
            </w:r>
            <w:r w:rsidR="00BD2B5A">
              <w:rPr>
                <w:b/>
                <w:bCs/>
              </w:rPr>
              <w:t>,</w:t>
            </w:r>
            <w:r w:rsidRPr="00F04118">
              <w:rPr>
                <w:b/>
                <w:bCs/>
              </w:rPr>
              <w:t>342</w:t>
            </w:r>
            <w:r w:rsidR="00BD2B5A">
              <w:rPr>
                <w:b/>
                <w:bCs/>
              </w:rPr>
              <w:t>,</w:t>
            </w:r>
            <w:r w:rsidRPr="00F04118">
              <w:rPr>
                <w:b/>
                <w:bCs/>
              </w:rPr>
              <w:t>657</w:t>
            </w:r>
            <w:r w:rsidR="00BD2B5A">
              <w:rPr>
                <w:b/>
                <w:bCs/>
              </w:rPr>
              <w:t>,</w:t>
            </w:r>
            <w:r w:rsidRPr="00F04118">
              <w:rPr>
                <w:b/>
                <w:bCs/>
              </w:rPr>
              <w:t>700</w:t>
            </w:r>
          </w:p>
        </w:tc>
        <w:tc>
          <w:tcPr>
            <w:tcW w:w="1872" w:type="dxa"/>
          </w:tcPr>
          <w:p w14:paraId="63D79953" w14:textId="70F497E6" w:rsidR="00F04118" w:rsidRPr="00F04118" w:rsidRDefault="00F04118" w:rsidP="00F04118">
            <w:pPr>
              <w:widowControl w:val="0"/>
              <w:spacing w:before="120"/>
              <w:ind w:left="58" w:right="-86"/>
              <w:jc w:val="right"/>
              <w:rPr>
                <w:rFonts w:eastAsia="Batang" w:cs="Arial"/>
                <w:b/>
                <w:bCs/>
                <w:i/>
                <w:highlight w:val="yellow"/>
                <w:lang w:eastAsia="ko-KR"/>
              </w:rPr>
            </w:pPr>
            <w:r w:rsidRPr="00F04118">
              <w:rPr>
                <w:b/>
                <w:bCs/>
              </w:rPr>
              <w:t>(2</w:t>
            </w:r>
            <w:r w:rsidR="00BD2B5A">
              <w:rPr>
                <w:b/>
                <w:bCs/>
              </w:rPr>
              <w:t>,</w:t>
            </w:r>
            <w:r w:rsidRPr="00F04118">
              <w:rPr>
                <w:b/>
                <w:bCs/>
              </w:rPr>
              <w:t>384</w:t>
            </w:r>
            <w:r w:rsidR="00BD2B5A">
              <w:rPr>
                <w:b/>
                <w:bCs/>
              </w:rPr>
              <w:t>,</w:t>
            </w:r>
            <w:r w:rsidRPr="00F04118">
              <w:rPr>
                <w:b/>
                <w:bCs/>
              </w:rPr>
              <w:t>200)</w:t>
            </w:r>
          </w:p>
        </w:tc>
        <w:tc>
          <w:tcPr>
            <w:tcW w:w="1815" w:type="dxa"/>
          </w:tcPr>
          <w:p w14:paraId="6121FA57" w14:textId="7B9FCE04" w:rsidR="00F04118" w:rsidRPr="00F04118" w:rsidRDefault="00F04118" w:rsidP="00F04118">
            <w:pPr>
              <w:widowControl w:val="0"/>
              <w:spacing w:before="120"/>
              <w:ind w:left="58" w:right="-86"/>
              <w:jc w:val="right"/>
              <w:rPr>
                <w:rFonts w:eastAsia="Batang" w:cs="Arial"/>
                <w:b/>
                <w:bCs/>
                <w:i/>
                <w:highlight w:val="yellow"/>
                <w:lang w:eastAsia="ko-KR"/>
              </w:rPr>
            </w:pPr>
            <w:r w:rsidRPr="00F04118">
              <w:rPr>
                <w:b/>
                <w:bCs/>
              </w:rPr>
              <w:t>1</w:t>
            </w:r>
            <w:r w:rsidR="00BD2B5A">
              <w:rPr>
                <w:b/>
                <w:bCs/>
              </w:rPr>
              <w:t>,</w:t>
            </w:r>
            <w:r w:rsidRPr="00F04118">
              <w:rPr>
                <w:b/>
                <w:bCs/>
              </w:rPr>
              <w:t>527</w:t>
            </w:r>
            <w:r w:rsidR="00BD2B5A">
              <w:rPr>
                <w:b/>
                <w:bCs/>
              </w:rPr>
              <w:t>,</w:t>
            </w:r>
            <w:r w:rsidRPr="00F04118">
              <w:rPr>
                <w:b/>
                <w:bCs/>
              </w:rPr>
              <w:t>750</w:t>
            </w:r>
            <w:r w:rsidR="00BD2B5A">
              <w:rPr>
                <w:b/>
                <w:bCs/>
              </w:rPr>
              <w:t>,</w:t>
            </w:r>
            <w:r w:rsidRPr="00F04118">
              <w:rPr>
                <w:b/>
                <w:bCs/>
              </w:rPr>
              <w:t>000</w:t>
            </w:r>
          </w:p>
        </w:tc>
        <w:tc>
          <w:tcPr>
            <w:tcW w:w="1872" w:type="dxa"/>
          </w:tcPr>
          <w:p w14:paraId="6F8DB8BD" w14:textId="7A716CE0" w:rsidR="00F04118" w:rsidRPr="00F04118" w:rsidRDefault="00F04118" w:rsidP="00F04118">
            <w:pPr>
              <w:widowControl w:val="0"/>
              <w:spacing w:before="120"/>
              <w:ind w:left="58" w:right="-86"/>
              <w:jc w:val="right"/>
              <w:rPr>
                <w:rFonts w:eastAsia="Batang" w:cs="Arial"/>
                <w:b/>
                <w:bCs/>
                <w:i/>
                <w:highlight w:val="yellow"/>
                <w:lang w:eastAsia="ko-KR"/>
              </w:rPr>
            </w:pPr>
            <w:r w:rsidRPr="00F04118">
              <w:rPr>
                <w:b/>
                <w:bCs/>
              </w:rPr>
              <w:t>(182</w:t>
            </w:r>
            <w:r w:rsidR="00BD2B5A">
              <w:rPr>
                <w:b/>
                <w:bCs/>
              </w:rPr>
              <w:t>,</w:t>
            </w:r>
            <w:r w:rsidRPr="00F04118">
              <w:rPr>
                <w:b/>
                <w:bCs/>
              </w:rPr>
              <w:t>125</w:t>
            </w:r>
            <w:r w:rsidR="00BD2B5A">
              <w:rPr>
                <w:b/>
                <w:bCs/>
              </w:rPr>
              <w:t>,</w:t>
            </w:r>
            <w:r w:rsidRPr="00F04118">
              <w:rPr>
                <w:b/>
                <w:bCs/>
              </w:rPr>
              <w:t>000)</w:t>
            </w:r>
          </w:p>
        </w:tc>
      </w:tr>
      <w:tr w:rsidR="00F04118" w:rsidRPr="002A0B87" w14:paraId="1437CA71" w14:textId="77777777" w:rsidTr="00FA0FEB">
        <w:trPr>
          <w:trHeight w:val="20"/>
        </w:trPr>
        <w:tc>
          <w:tcPr>
            <w:tcW w:w="2102" w:type="dxa"/>
            <w:vAlign w:val="bottom"/>
          </w:tcPr>
          <w:p w14:paraId="66E21272" w14:textId="0555D19A" w:rsidR="00F04118" w:rsidRPr="003607A9" w:rsidRDefault="00F04118" w:rsidP="00F04118">
            <w:pPr>
              <w:widowControl w:val="0"/>
              <w:ind w:left="-115"/>
              <w:rPr>
                <w:rFonts w:cs="Arial"/>
                <w:lang w:val="nl-NL"/>
              </w:rPr>
            </w:pPr>
            <w:r w:rsidRPr="003607A9">
              <w:rPr>
                <w:rFonts w:cs="Arial"/>
                <w:lang w:val="nl-NL"/>
              </w:rPr>
              <w:t>Other shares</w:t>
            </w:r>
          </w:p>
        </w:tc>
        <w:tc>
          <w:tcPr>
            <w:tcW w:w="1815" w:type="dxa"/>
          </w:tcPr>
          <w:p w14:paraId="09EA865F" w14:textId="13CAC1D2" w:rsidR="00F04118" w:rsidRPr="00EF6EC5" w:rsidRDefault="00F04118" w:rsidP="00F04118">
            <w:pPr>
              <w:widowControl w:val="0"/>
              <w:ind w:left="58" w:right="-86"/>
              <w:jc w:val="right"/>
              <w:rPr>
                <w:rFonts w:eastAsia="Batang" w:cs="Arial"/>
                <w:highlight w:val="yellow"/>
                <w:lang w:eastAsia="ko-KR"/>
              </w:rPr>
            </w:pPr>
            <w:r w:rsidRPr="009D6F7C">
              <w:t>125</w:t>
            </w:r>
            <w:r w:rsidR="00BD2B5A">
              <w:t>,</w:t>
            </w:r>
            <w:r w:rsidRPr="009D6F7C">
              <w:t>003</w:t>
            </w:r>
            <w:r w:rsidR="00BD2B5A">
              <w:t>,</w:t>
            </w:r>
            <w:r w:rsidRPr="009D6F7C">
              <w:t>647</w:t>
            </w:r>
            <w:r w:rsidR="00BD2B5A">
              <w:t>,</w:t>
            </w:r>
            <w:r w:rsidRPr="009D6F7C">
              <w:t>500</w:t>
            </w:r>
          </w:p>
        </w:tc>
        <w:tc>
          <w:tcPr>
            <w:tcW w:w="1872" w:type="dxa"/>
          </w:tcPr>
          <w:p w14:paraId="05318DA8" w14:textId="176E4D27" w:rsidR="00F04118" w:rsidRPr="00EF6EC5" w:rsidRDefault="00F04118" w:rsidP="00F04118">
            <w:pPr>
              <w:widowControl w:val="0"/>
              <w:ind w:left="58" w:right="-86"/>
              <w:jc w:val="right"/>
              <w:rPr>
                <w:rFonts w:eastAsia="Batang" w:cs="Arial"/>
                <w:highlight w:val="yellow"/>
                <w:lang w:eastAsia="ko-KR"/>
              </w:rPr>
            </w:pPr>
            <w:r w:rsidRPr="009D6F7C">
              <w:t>126</w:t>
            </w:r>
            <w:r w:rsidR="00BD2B5A">
              <w:t>,</w:t>
            </w:r>
            <w:r w:rsidRPr="009D6F7C">
              <w:t>346</w:t>
            </w:r>
            <w:r w:rsidR="00BD2B5A">
              <w:t>,</w:t>
            </w:r>
            <w:r w:rsidRPr="009D6F7C">
              <w:t>305</w:t>
            </w:r>
            <w:r w:rsidR="00BD2B5A">
              <w:t>,</w:t>
            </w:r>
            <w:r w:rsidRPr="009D6F7C">
              <w:t>200</w:t>
            </w:r>
          </w:p>
        </w:tc>
        <w:tc>
          <w:tcPr>
            <w:tcW w:w="1872" w:type="dxa"/>
          </w:tcPr>
          <w:p w14:paraId="591420C6" w14:textId="4E1348BC" w:rsidR="00F04118" w:rsidRPr="00EF6EC5" w:rsidRDefault="00F04118" w:rsidP="00F04118">
            <w:pPr>
              <w:widowControl w:val="0"/>
              <w:ind w:left="58" w:right="-86"/>
              <w:jc w:val="right"/>
              <w:rPr>
                <w:rFonts w:eastAsia="Batang" w:cs="Arial"/>
                <w:highlight w:val="yellow"/>
                <w:lang w:eastAsia="ko-KR"/>
              </w:rPr>
            </w:pPr>
            <w:r w:rsidRPr="009D6F7C">
              <w:t>1</w:t>
            </w:r>
            <w:r w:rsidR="00BD2B5A">
              <w:t>,</w:t>
            </w:r>
            <w:r w:rsidRPr="009D6F7C">
              <w:t>342</w:t>
            </w:r>
            <w:r w:rsidR="00BD2B5A">
              <w:t>,</w:t>
            </w:r>
            <w:r w:rsidRPr="009D6F7C">
              <w:t>657</w:t>
            </w:r>
            <w:r w:rsidR="00BD2B5A">
              <w:t>,</w:t>
            </w:r>
            <w:r w:rsidRPr="009D6F7C">
              <w:t>700</w:t>
            </w:r>
          </w:p>
        </w:tc>
        <w:tc>
          <w:tcPr>
            <w:tcW w:w="1872" w:type="dxa"/>
          </w:tcPr>
          <w:p w14:paraId="743A355A" w14:textId="612B6610" w:rsidR="00F04118" w:rsidRPr="00EF6EC5" w:rsidRDefault="00F04118" w:rsidP="00F04118">
            <w:pPr>
              <w:widowControl w:val="0"/>
              <w:ind w:left="58" w:right="-86"/>
              <w:jc w:val="right"/>
              <w:rPr>
                <w:rFonts w:eastAsia="Batang" w:cs="Arial"/>
                <w:highlight w:val="yellow"/>
                <w:lang w:eastAsia="ko-KR"/>
              </w:rPr>
            </w:pPr>
            <w:r w:rsidRPr="009D6F7C">
              <w:t>(2</w:t>
            </w:r>
            <w:r w:rsidR="00BD2B5A">
              <w:t>,</w:t>
            </w:r>
            <w:r w:rsidRPr="009D6F7C">
              <w:t>384</w:t>
            </w:r>
            <w:r w:rsidR="00BD2B5A">
              <w:t>,</w:t>
            </w:r>
            <w:r w:rsidRPr="009D6F7C">
              <w:t>200)</w:t>
            </w:r>
          </w:p>
        </w:tc>
        <w:tc>
          <w:tcPr>
            <w:tcW w:w="1815" w:type="dxa"/>
          </w:tcPr>
          <w:p w14:paraId="781DAD56" w14:textId="396FF0D8" w:rsidR="00F04118" w:rsidRPr="00EF6EC5" w:rsidRDefault="00F04118" w:rsidP="00F04118">
            <w:pPr>
              <w:widowControl w:val="0"/>
              <w:ind w:left="58" w:right="-86"/>
              <w:jc w:val="right"/>
              <w:rPr>
                <w:rFonts w:eastAsia="Batang" w:cs="Arial"/>
                <w:highlight w:val="yellow"/>
                <w:lang w:eastAsia="ko-KR"/>
              </w:rPr>
            </w:pPr>
            <w:r w:rsidRPr="009D6F7C">
              <w:t>1</w:t>
            </w:r>
            <w:r w:rsidR="00BD2B5A">
              <w:t>,</w:t>
            </w:r>
            <w:r w:rsidRPr="009D6F7C">
              <w:t>527</w:t>
            </w:r>
            <w:r w:rsidR="00BD2B5A">
              <w:t>,</w:t>
            </w:r>
            <w:r w:rsidRPr="009D6F7C">
              <w:t>750</w:t>
            </w:r>
            <w:r w:rsidR="00BD2B5A">
              <w:t>,</w:t>
            </w:r>
            <w:r w:rsidRPr="009D6F7C">
              <w:t>000</w:t>
            </w:r>
          </w:p>
        </w:tc>
        <w:tc>
          <w:tcPr>
            <w:tcW w:w="1872" w:type="dxa"/>
          </w:tcPr>
          <w:p w14:paraId="258FAEF6" w14:textId="1654AB6F" w:rsidR="00F04118" w:rsidRPr="00B467F5" w:rsidRDefault="00F04118" w:rsidP="00F04118">
            <w:pPr>
              <w:widowControl w:val="0"/>
              <w:ind w:left="58" w:right="-86"/>
              <w:jc w:val="right"/>
              <w:rPr>
                <w:rFonts w:eastAsia="Batang" w:cs="Arial"/>
                <w:lang w:eastAsia="ko-KR"/>
              </w:rPr>
            </w:pPr>
            <w:r w:rsidRPr="009D6F7C">
              <w:t>(182</w:t>
            </w:r>
            <w:r w:rsidR="00BD2B5A">
              <w:t>,</w:t>
            </w:r>
            <w:r w:rsidRPr="009D6F7C">
              <w:t>125</w:t>
            </w:r>
            <w:r w:rsidR="00BD2B5A">
              <w:t>,</w:t>
            </w:r>
            <w:r w:rsidRPr="009D6F7C">
              <w:t>000)</w:t>
            </w:r>
          </w:p>
        </w:tc>
      </w:tr>
    </w:tbl>
    <w:p w14:paraId="549A296C" w14:textId="77777777" w:rsidR="00B76E6E" w:rsidRDefault="00B76E6E" w:rsidP="00D06EF3">
      <w:pPr>
        <w:pStyle w:val="BodyTextIndent"/>
        <w:ind w:left="720"/>
        <w:rPr>
          <w:rFonts w:ascii="Arial" w:hAnsi="Arial" w:cs="Arial"/>
        </w:rPr>
      </w:pPr>
    </w:p>
    <w:p w14:paraId="3B0215D4" w14:textId="1358E6C7" w:rsidR="002F2829" w:rsidRPr="002A0B87" w:rsidRDefault="002F2829" w:rsidP="00D06EF3">
      <w:pPr>
        <w:pStyle w:val="BodyTextIndent"/>
        <w:ind w:left="720"/>
        <w:rPr>
          <w:rFonts w:ascii="Arial" w:hAnsi="Arial" w:cs="Arial"/>
        </w:rPr>
        <w:sectPr w:rsidR="002F2829" w:rsidRPr="002A0B87" w:rsidSect="00557104">
          <w:pgSz w:w="16834" w:h="11909" w:orient="landscape" w:code="9"/>
          <w:pgMar w:top="1440" w:right="1440" w:bottom="864" w:left="1440" w:header="720" w:footer="576" w:gutter="0"/>
          <w:cols w:space="720"/>
          <w:docGrid w:linePitch="272"/>
        </w:sectPr>
      </w:pPr>
    </w:p>
    <w:p w14:paraId="1BAF4750" w14:textId="5C01D93A" w:rsidR="009A159A" w:rsidRPr="002A0B87" w:rsidRDefault="009A159A" w:rsidP="009A159A">
      <w:pPr>
        <w:ind w:left="720" w:hanging="720"/>
        <w:rPr>
          <w:rFonts w:cs="Arial"/>
          <w:bCs/>
        </w:rPr>
      </w:pPr>
      <w:r w:rsidRPr="002A0B87">
        <w:rPr>
          <w:rFonts w:cs="Arial"/>
          <w:b/>
          <w:bCs/>
        </w:rPr>
        <w:lastRenderedPageBreak/>
        <w:t>2</w:t>
      </w:r>
      <w:r w:rsidR="001B2CD2">
        <w:rPr>
          <w:rFonts w:cs="Arial"/>
          <w:b/>
          <w:bCs/>
        </w:rPr>
        <w:t>0</w:t>
      </w:r>
      <w:r w:rsidRPr="002A0B87">
        <w:rPr>
          <w:rFonts w:cs="Arial"/>
          <w:b/>
          <w:bCs/>
        </w:rPr>
        <w:t>.</w:t>
      </w:r>
      <w:r w:rsidRPr="002A0B87">
        <w:rPr>
          <w:rFonts w:cs="Arial"/>
          <w:b/>
          <w:bCs/>
        </w:rPr>
        <w:tab/>
      </w:r>
      <w:r w:rsidR="00262B27" w:rsidRPr="00262B27">
        <w:rPr>
          <w:rFonts w:cs="Arial"/>
          <w:b/>
          <w:bCs/>
        </w:rPr>
        <w:t xml:space="preserve">GAIN/(LOSS) FROM FINANCIAL ASSETS </w:t>
      </w:r>
      <w:r w:rsidR="00262B27" w:rsidRPr="00FA28E4">
        <w:rPr>
          <w:rFonts w:cs="Arial"/>
        </w:rPr>
        <w:t>(continued)</w:t>
      </w:r>
    </w:p>
    <w:p w14:paraId="2E4F78D8" w14:textId="77777777" w:rsidR="009A159A" w:rsidRPr="002A0B87" w:rsidRDefault="009A159A" w:rsidP="00760439">
      <w:pPr>
        <w:pStyle w:val="NoSpacing"/>
      </w:pPr>
    </w:p>
    <w:p w14:paraId="39DBB376" w14:textId="4DF75D83" w:rsidR="009A159A" w:rsidRPr="002A0B87" w:rsidRDefault="009A159A" w:rsidP="00760439">
      <w:pPr>
        <w:pStyle w:val="Heading2"/>
      </w:pPr>
      <w:r w:rsidRPr="002A0B87">
        <w:t>2</w:t>
      </w:r>
      <w:r w:rsidR="001B2CD2">
        <w:t>0</w:t>
      </w:r>
      <w:r w:rsidRPr="002A0B87">
        <w:t>.3</w:t>
      </w:r>
      <w:r w:rsidRPr="002A0B87">
        <w:tab/>
      </w:r>
      <w:r w:rsidR="00174136" w:rsidRPr="00174136">
        <w:t>Dividend, interest income from financial assets at FVTPL</w:t>
      </w:r>
      <w:r w:rsidR="00174136" w:rsidRPr="00174136" w:rsidDel="00174136">
        <w:t xml:space="preserve"> </w:t>
      </w:r>
    </w:p>
    <w:p w14:paraId="3C808A29" w14:textId="3E75B8CB" w:rsidR="009A159A" w:rsidRPr="002A0B87" w:rsidRDefault="009A159A" w:rsidP="00760439">
      <w:pPr>
        <w:pStyle w:val="NoSpacing"/>
      </w:pPr>
    </w:p>
    <w:tbl>
      <w:tblPr>
        <w:tblW w:w="8160" w:type="dxa"/>
        <w:tblInd w:w="720" w:type="dxa"/>
        <w:tblLayout w:type="fixed"/>
        <w:tblLook w:val="01E0" w:firstRow="1" w:lastRow="1" w:firstColumn="1" w:lastColumn="1" w:noHBand="0" w:noVBand="0"/>
      </w:tblPr>
      <w:tblGrid>
        <w:gridCol w:w="4764"/>
        <w:gridCol w:w="1698"/>
        <w:gridCol w:w="1698"/>
      </w:tblGrid>
      <w:tr w:rsidR="00753B3C" w:rsidRPr="002A0B87" w14:paraId="3B5CD26B" w14:textId="77777777" w:rsidTr="002A30AF">
        <w:trPr>
          <w:trHeight w:val="20"/>
          <w:tblHeader/>
        </w:trPr>
        <w:tc>
          <w:tcPr>
            <w:tcW w:w="4764" w:type="dxa"/>
            <w:vAlign w:val="bottom"/>
          </w:tcPr>
          <w:p w14:paraId="2102D94E" w14:textId="77777777" w:rsidR="00753B3C" w:rsidRPr="002A0B87" w:rsidRDefault="00753B3C" w:rsidP="00A43845">
            <w:pPr>
              <w:widowControl w:val="0"/>
              <w:overflowPunct/>
              <w:autoSpaceDE/>
              <w:autoSpaceDN/>
              <w:adjustRightInd/>
              <w:ind w:left="-115"/>
              <w:textAlignment w:val="auto"/>
              <w:rPr>
                <w:rFonts w:eastAsia="Batang" w:cs="Arial"/>
                <w:i/>
                <w:lang w:val="es-ES"/>
              </w:rPr>
            </w:pPr>
          </w:p>
        </w:tc>
        <w:tc>
          <w:tcPr>
            <w:tcW w:w="1698" w:type="dxa"/>
            <w:vAlign w:val="bottom"/>
            <w:hideMark/>
          </w:tcPr>
          <w:p w14:paraId="689AF948" w14:textId="25CB4375" w:rsidR="00753B3C" w:rsidRPr="002A0B87" w:rsidRDefault="00C3271D" w:rsidP="00753B3C">
            <w:pPr>
              <w:widowControl w:val="0"/>
              <w:pBdr>
                <w:bottom w:val="single" w:sz="4" w:space="0" w:color="auto"/>
              </w:pBdr>
              <w:ind w:left="57" w:right="-85"/>
              <w:jc w:val="right"/>
              <w:rPr>
                <w:rFonts w:eastAsia="Batang" w:cs="Arial"/>
                <w:bCs/>
                <w:i/>
              </w:rPr>
            </w:pPr>
            <w:r w:rsidRPr="00C3271D">
              <w:rPr>
                <w:rFonts w:eastAsia="Batang" w:cs="Arial"/>
                <w:bCs/>
                <w:i/>
              </w:rPr>
              <w:t>Current year</w:t>
            </w:r>
          </w:p>
          <w:p w14:paraId="009DF90C" w14:textId="1C5A3D57" w:rsidR="00753B3C" w:rsidRPr="002A0B87" w:rsidRDefault="00753B3C" w:rsidP="00753B3C">
            <w:pPr>
              <w:widowControl w:val="0"/>
              <w:pBdr>
                <w:bottom w:val="single" w:sz="4" w:space="0" w:color="auto"/>
              </w:pBdr>
              <w:ind w:left="57" w:right="-85"/>
              <w:jc w:val="right"/>
              <w:rPr>
                <w:rFonts w:cs="Arial"/>
                <w:bCs/>
                <w:i/>
              </w:rPr>
            </w:pPr>
            <w:r w:rsidRPr="002A0B87">
              <w:rPr>
                <w:rFonts w:eastAsia="Batang" w:cs="Arial"/>
                <w:i/>
                <w:iCs/>
              </w:rPr>
              <w:t>VND</w:t>
            </w:r>
          </w:p>
        </w:tc>
        <w:tc>
          <w:tcPr>
            <w:tcW w:w="1698" w:type="dxa"/>
            <w:vAlign w:val="bottom"/>
            <w:hideMark/>
          </w:tcPr>
          <w:p w14:paraId="2D2F1EB4" w14:textId="67D0295A" w:rsidR="00753B3C" w:rsidRPr="002A0B87" w:rsidRDefault="00C270D2" w:rsidP="00753B3C">
            <w:pPr>
              <w:widowControl w:val="0"/>
              <w:pBdr>
                <w:bottom w:val="single" w:sz="4" w:space="0" w:color="auto"/>
              </w:pBdr>
              <w:ind w:left="57" w:right="-85"/>
              <w:jc w:val="right"/>
              <w:rPr>
                <w:rFonts w:eastAsia="Batang" w:cs="Arial"/>
                <w:bCs/>
                <w:i/>
              </w:rPr>
            </w:pPr>
            <w:r w:rsidRPr="00C270D2">
              <w:rPr>
                <w:rFonts w:eastAsia="Batang" w:cs="Arial"/>
                <w:bCs/>
                <w:i/>
              </w:rPr>
              <w:t>Previous year</w:t>
            </w:r>
          </w:p>
          <w:p w14:paraId="77B023DD" w14:textId="03B9B410" w:rsidR="00753B3C" w:rsidRPr="002A0B87" w:rsidRDefault="00753B3C" w:rsidP="00753B3C">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833222" w:rsidRPr="002A0B87" w14:paraId="21A14A02" w14:textId="77777777" w:rsidTr="0032109A">
        <w:trPr>
          <w:trHeight w:val="20"/>
        </w:trPr>
        <w:tc>
          <w:tcPr>
            <w:tcW w:w="4764" w:type="dxa"/>
            <w:vAlign w:val="center"/>
            <w:hideMark/>
          </w:tcPr>
          <w:p w14:paraId="5103571F" w14:textId="37CF516B" w:rsidR="00833222" w:rsidRPr="007973C8" w:rsidRDefault="00833222" w:rsidP="00833222">
            <w:pPr>
              <w:widowControl w:val="0"/>
              <w:spacing w:before="120"/>
              <w:ind w:left="-115"/>
              <w:rPr>
                <w:rFonts w:cs="Arial"/>
                <w:iCs/>
              </w:rPr>
            </w:pPr>
            <w:r w:rsidRPr="002A743E">
              <w:rPr>
                <w:rFonts w:cs="Arial"/>
                <w:iCs/>
              </w:rPr>
              <w:t>Shares</w:t>
            </w:r>
          </w:p>
        </w:tc>
        <w:tc>
          <w:tcPr>
            <w:tcW w:w="1698" w:type="dxa"/>
          </w:tcPr>
          <w:p w14:paraId="083233A8" w14:textId="2CA407EC" w:rsidR="00833222" w:rsidRPr="007973C8" w:rsidRDefault="00833222" w:rsidP="00833222">
            <w:pPr>
              <w:widowControl w:val="0"/>
              <w:pBdr>
                <w:bottom w:val="single" w:sz="4" w:space="0" w:color="auto"/>
              </w:pBdr>
              <w:spacing w:before="120"/>
              <w:ind w:left="57" w:right="-85"/>
              <w:jc w:val="right"/>
              <w:rPr>
                <w:rFonts w:eastAsia="Batang" w:cs="Arial"/>
                <w:iCs/>
                <w:highlight w:val="yellow"/>
                <w:lang w:eastAsia="ko-KR"/>
              </w:rPr>
            </w:pPr>
            <w:r w:rsidRPr="00D94DD1">
              <w:t>4</w:t>
            </w:r>
            <w:r>
              <w:t>,</w:t>
            </w:r>
            <w:r w:rsidRPr="00D94DD1">
              <w:t>182</w:t>
            </w:r>
            <w:r>
              <w:t>,</w:t>
            </w:r>
            <w:r w:rsidRPr="00D94DD1">
              <w:t xml:space="preserve">376 </w:t>
            </w:r>
          </w:p>
        </w:tc>
        <w:tc>
          <w:tcPr>
            <w:tcW w:w="1698" w:type="dxa"/>
          </w:tcPr>
          <w:p w14:paraId="08F45D05" w14:textId="7F0DDDE1" w:rsidR="00833222" w:rsidRPr="007973C8" w:rsidRDefault="00833222" w:rsidP="00833222">
            <w:pPr>
              <w:widowControl w:val="0"/>
              <w:pBdr>
                <w:bottom w:val="single" w:sz="4" w:space="0" w:color="auto"/>
              </w:pBdr>
              <w:spacing w:before="120"/>
              <w:ind w:left="57" w:right="-85"/>
              <w:jc w:val="right"/>
              <w:rPr>
                <w:rFonts w:eastAsia="Batang" w:cs="Arial"/>
                <w:iCs/>
                <w:lang w:eastAsia="ko-KR"/>
              </w:rPr>
            </w:pPr>
            <w:r w:rsidRPr="00D94DD1">
              <w:t>773</w:t>
            </w:r>
            <w:r>
              <w:t>,</w:t>
            </w:r>
            <w:r w:rsidRPr="00D94DD1">
              <w:t xml:space="preserve">300 </w:t>
            </w:r>
          </w:p>
        </w:tc>
      </w:tr>
      <w:tr w:rsidR="00833222" w:rsidRPr="002A0B87" w14:paraId="6812A974" w14:textId="77777777" w:rsidTr="0032109A">
        <w:trPr>
          <w:trHeight w:val="20"/>
        </w:trPr>
        <w:tc>
          <w:tcPr>
            <w:tcW w:w="4764" w:type="dxa"/>
            <w:vAlign w:val="bottom"/>
          </w:tcPr>
          <w:p w14:paraId="43A0E340" w14:textId="77777777" w:rsidR="00833222" w:rsidRPr="002A0B87" w:rsidRDefault="00833222" w:rsidP="00833222">
            <w:pPr>
              <w:widowControl w:val="0"/>
              <w:spacing w:before="120"/>
              <w:ind w:left="-115"/>
              <w:rPr>
                <w:rFonts w:cs="Arial"/>
                <w:b/>
              </w:rPr>
            </w:pPr>
          </w:p>
        </w:tc>
        <w:tc>
          <w:tcPr>
            <w:tcW w:w="1698" w:type="dxa"/>
          </w:tcPr>
          <w:p w14:paraId="0E3AF4C1" w14:textId="0FC25CD9" w:rsidR="00833222" w:rsidRPr="00833222" w:rsidRDefault="00833222" w:rsidP="00833222">
            <w:pPr>
              <w:widowControl w:val="0"/>
              <w:pBdr>
                <w:bottom w:val="double" w:sz="4" w:space="0" w:color="auto"/>
              </w:pBdr>
              <w:spacing w:before="120"/>
              <w:ind w:left="57" w:right="-85"/>
              <w:jc w:val="right"/>
              <w:rPr>
                <w:rFonts w:eastAsia="Batang" w:cs="Arial"/>
                <w:b/>
                <w:bCs/>
                <w:highlight w:val="yellow"/>
                <w:lang w:eastAsia="ko-KR"/>
              </w:rPr>
            </w:pPr>
            <w:r w:rsidRPr="00833222">
              <w:rPr>
                <w:b/>
                <w:bCs/>
              </w:rPr>
              <w:t xml:space="preserve">4,182,376 </w:t>
            </w:r>
          </w:p>
        </w:tc>
        <w:tc>
          <w:tcPr>
            <w:tcW w:w="1698" w:type="dxa"/>
          </w:tcPr>
          <w:p w14:paraId="06CC562D" w14:textId="329899A8" w:rsidR="00833222" w:rsidRPr="00833222" w:rsidRDefault="00833222" w:rsidP="00833222">
            <w:pPr>
              <w:widowControl w:val="0"/>
              <w:pBdr>
                <w:bottom w:val="double" w:sz="4" w:space="0" w:color="auto"/>
              </w:pBdr>
              <w:spacing w:before="120"/>
              <w:ind w:left="57" w:right="-85"/>
              <w:jc w:val="right"/>
              <w:rPr>
                <w:rFonts w:cs="Arial"/>
                <w:b/>
                <w:bCs/>
                <w:highlight w:val="yellow"/>
              </w:rPr>
            </w:pPr>
            <w:r w:rsidRPr="00833222">
              <w:rPr>
                <w:b/>
                <w:bCs/>
              </w:rPr>
              <w:t xml:space="preserve">773,300 </w:t>
            </w:r>
          </w:p>
        </w:tc>
      </w:tr>
    </w:tbl>
    <w:p w14:paraId="0DD786A2" w14:textId="77777777" w:rsidR="00E70A79" w:rsidRPr="002A0B87" w:rsidRDefault="00E70A79" w:rsidP="00760439">
      <w:pPr>
        <w:pStyle w:val="NoSpacing"/>
      </w:pPr>
    </w:p>
    <w:p w14:paraId="2054A256" w14:textId="4E93039C" w:rsidR="00E70A79" w:rsidRPr="002A0B87" w:rsidRDefault="00E70A79" w:rsidP="00760439">
      <w:pPr>
        <w:pStyle w:val="Heading2"/>
      </w:pPr>
      <w:r w:rsidRPr="002A0B87">
        <w:t>2</w:t>
      </w:r>
      <w:r w:rsidR="001B2CD2">
        <w:t>0</w:t>
      </w:r>
      <w:r w:rsidRPr="002A0B87">
        <w:t>.4</w:t>
      </w:r>
      <w:r w:rsidRPr="002A0B87">
        <w:tab/>
      </w:r>
      <w:r w:rsidR="00DF5072" w:rsidRPr="00DF5072">
        <w:t>Interest income from loans and receivables</w:t>
      </w:r>
      <w:r w:rsidR="00DF5072" w:rsidRPr="00DF5072" w:rsidDel="00DF5072">
        <w:t xml:space="preserve"> </w:t>
      </w:r>
    </w:p>
    <w:p w14:paraId="69E47A88" w14:textId="77777777" w:rsidR="00E70A79" w:rsidRPr="002A0B87" w:rsidRDefault="00E70A79" w:rsidP="00760439">
      <w:pPr>
        <w:pStyle w:val="NoSpacing"/>
      </w:pPr>
    </w:p>
    <w:tbl>
      <w:tblPr>
        <w:tblW w:w="8160" w:type="dxa"/>
        <w:tblInd w:w="720" w:type="dxa"/>
        <w:tblLayout w:type="fixed"/>
        <w:tblLook w:val="01E0" w:firstRow="1" w:lastRow="1" w:firstColumn="1" w:lastColumn="1" w:noHBand="0" w:noVBand="0"/>
      </w:tblPr>
      <w:tblGrid>
        <w:gridCol w:w="4764"/>
        <w:gridCol w:w="1698"/>
        <w:gridCol w:w="1698"/>
      </w:tblGrid>
      <w:tr w:rsidR="00F20ED9" w:rsidRPr="002A0B87" w14:paraId="49EDDE73" w14:textId="77777777" w:rsidTr="002A30AF">
        <w:trPr>
          <w:trHeight w:val="20"/>
          <w:tblHeader/>
        </w:trPr>
        <w:tc>
          <w:tcPr>
            <w:tcW w:w="4764" w:type="dxa"/>
            <w:vAlign w:val="bottom"/>
          </w:tcPr>
          <w:p w14:paraId="7D3DA392" w14:textId="77777777" w:rsidR="00F20ED9" w:rsidRPr="002A0B87" w:rsidRDefault="00F20ED9" w:rsidP="00BA05B1">
            <w:pPr>
              <w:widowControl w:val="0"/>
              <w:overflowPunct/>
              <w:autoSpaceDE/>
              <w:autoSpaceDN/>
              <w:adjustRightInd/>
              <w:ind w:left="-115"/>
              <w:textAlignment w:val="auto"/>
              <w:rPr>
                <w:rFonts w:eastAsia="Batang" w:cs="Arial"/>
                <w:i/>
                <w:lang w:val="es-ES"/>
              </w:rPr>
            </w:pPr>
          </w:p>
        </w:tc>
        <w:tc>
          <w:tcPr>
            <w:tcW w:w="1698" w:type="dxa"/>
            <w:vAlign w:val="bottom"/>
            <w:hideMark/>
          </w:tcPr>
          <w:p w14:paraId="6113CD68" w14:textId="78FE49F1" w:rsidR="00F20ED9" w:rsidRPr="002A0B87" w:rsidRDefault="00B274BE" w:rsidP="00F20ED9">
            <w:pPr>
              <w:widowControl w:val="0"/>
              <w:pBdr>
                <w:bottom w:val="single" w:sz="4" w:space="0" w:color="auto"/>
              </w:pBdr>
              <w:ind w:left="57" w:right="-85"/>
              <w:jc w:val="right"/>
              <w:rPr>
                <w:rFonts w:eastAsia="Batang" w:cs="Arial"/>
                <w:bCs/>
                <w:i/>
              </w:rPr>
            </w:pPr>
            <w:r w:rsidRPr="00B274BE">
              <w:rPr>
                <w:rFonts w:eastAsia="Batang" w:cs="Arial"/>
                <w:bCs/>
                <w:i/>
              </w:rPr>
              <w:t>Current year</w:t>
            </w:r>
          </w:p>
          <w:p w14:paraId="176839C2" w14:textId="325A9ACB" w:rsidR="00F20ED9" w:rsidRPr="002A0B87" w:rsidRDefault="00F20ED9" w:rsidP="00F20ED9">
            <w:pPr>
              <w:widowControl w:val="0"/>
              <w:pBdr>
                <w:bottom w:val="single" w:sz="4" w:space="0" w:color="auto"/>
              </w:pBdr>
              <w:ind w:left="57" w:right="-85"/>
              <w:jc w:val="right"/>
              <w:rPr>
                <w:rFonts w:cs="Arial"/>
                <w:bCs/>
                <w:i/>
              </w:rPr>
            </w:pPr>
            <w:r w:rsidRPr="002A0B87">
              <w:rPr>
                <w:rFonts w:eastAsia="Batang" w:cs="Arial"/>
                <w:i/>
                <w:iCs/>
              </w:rPr>
              <w:t>VND</w:t>
            </w:r>
          </w:p>
        </w:tc>
        <w:tc>
          <w:tcPr>
            <w:tcW w:w="1698" w:type="dxa"/>
            <w:vAlign w:val="bottom"/>
            <w:hideMark/>
          </w:tcPr>
          <w:p w14:paraId="44E3DA13" w14:textId="41A789EF" w:rsidR="00F20ED9" w:rsidRPr="002A0B87" w:rsidRDefault="00F9707B" w:rsidP="00F20ED9">
            <w:pPr>
              <w:widowControl w:val="0"/>
              <w:pBdr>
                <w:bottom w:val="single" w:sz="4" w:space="0" w:color="auto"/>
              </w:pBdr>
              <w:ind w:left="57" w:right="-85"/>
              <w:jc w:val="right"/>
              <w:rPr>
                <w:rFonts w:eastAsia="Batang" w:cs="Arial"/>
                <w:bCs/>
                <w:i/>
              </w:rPr>
            </w:pPr>
            <w:r w:rsidRPr="00F9707B">
              <w:rPr>
                <w:rFonts w:eastAsia="Batang" w:cs="Arial"/>
                <w:bCs/>
                <w:i/>
              </w:rPr>
              <w:t>Previous year</w:t>
            </w:r>
          </w:p>
          <w:p w14:paraId="0A03AC19" w14:textId="3BD1D600" w:rsidR="00F20ED9" w:rsidRPr="002A0B87" w:rsidRDefault="00F20ED9" w:rsidP="00F20ED9">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0C27C3" w:rsidRPr="002A0B87" w14:paraId="57027008" w14:textId="77777777" w:rsidTr="00CE21D3">
        <w:trPr>
          <w:trHeight w:val="20"/>
        </w:trPr>
        <w:tc>
          <w:tcPr>
            <w:tcW w:w="4764" w:type="dxa"/>
            <w:vAlign w:val="bottom"/>
            <w:hideMark/>
          </w:tcPr>
          <w:p w14:paraId="5C892225" w14:textId="536375CE" w:rsidR="000C27C3" w:rsidRPr="002A0B87" w:rsidRDefault="000C27C3" w:rsidP="000C27C3">
            <w:pPr>
              <w:widowControl w:val="0"/>
              <w:spacing w:before="120"/>
              <w:ind w:left="-115"/>
              <w:rPr>
                <w:rFonts w:cs="Arial"/>
              </w:rPr>
            </w:pPr>
            <w:r w:rsidRPr="00DA1CEC">
              <w:rPr>
                <w:rFonts w:cs="Arial"/>
              </w:rPr>
              <w:t>Interest income from margin lending</w:t>
            </w:r>
          </w:p>
        </w:tc>
        <w:tc>
          <w:tcPr>
            <w:tcW w:w="1698" w:type="dxa"/>
          </w:tcPr>
          <w:p w14:paraId="13EFC248" w14:textId="02C409E8" w:rsidR="000C27C3" w:rsidRPr="002A0B87" w:rsidRDefault="000C27C3" w:rsidP="000C27C3">
            <w:pPr>
              <w:widowControl w:val="0"/>
              <w:spacing w:before="120"/>
              <w:ind w:left="57" w:right="-85"/>
              <w:jc w:val="right"/>
              <w:rPr>
                <w:rFonts w:eastAsia="Batang" w:cs="Arial"/>
                <w:highlight w:val="yellow"/>
                <w:lang w:eastAsia="ko-KR"/>
              </w:rPr>
            </w:pPr>
            <w:r w:rsidRPr="00F11731">
              <w:t>83</w:t>
            </w:r>
            <w:r w:rsidR="00F16E8E">
              <w:t>,</w:t>
            </w:r>
            <w:r w:rsidRPr="00F11731">
              <w:t>181</w:t>
            </w:r>
            <w:r w:rsidR="00F16E8E">
              <w:t>,</w:t>
            </w:r>
            <w:r w:rsidRPr="00F11731">
              <w:t>212</w:t>
            </w:r>
            <w:r w:rsidR="00F16E8E">
              <w:t>,</w:t>
            </w:r>
            <w:r w:rsidRPr="00F11731">
              <w:t xml:space="preserve">153 </w:t>
            </w:r>
          </w:p>
        </w:tc>
        <w:tc>
          <w:tcPr>
            <w:tcW w:w="1698" w:type="dxa"/>
          </w:tcPr>
          <w:p w14:paraId="6FFCF9A7" w14:textId="15A82946" w:rsidR="000C27C3" w:rsidRPr="002A0B87" w:rsidRDefault="000C27C3" w:rsidP="000C27C3">
            <w:pPr>
              <w:widowControl w:val="0"/>
              <w:spacing w:before="120"/>
              <w:ind w:left="57" w:right="-85"/>
              <w:jc w:val="right"/>
              <w:rPr>
                <w:rFonts w:eastAsia="Batang" w:cs="Arial"/>
                <w:highlight w:val="yellow"/>
                <w:lang w:eastAsia="ko-KR"/>
              </w:rPr>
            </w:pPr>
            <w:r w:rsidRPr="00F11731">
              <w:t>75</w:t>
            </w:r>
            <w:r w:rsidR="00F16E8E">
              <w:t>,</w:t>
            </w:r>
            <w:r w:rsidRPr="00F11731">
              <w:t>064</w:t>
            </w:r>
            <w:r w:rsidR="00F16E8E">
              <w:t>,</w:t>
            </w:r>
            <w:r w:rsidRPr="00F11731">
              <w:t>225</w:t>
            </w:r>
            <w:r w:rsidR="00F16E8E">
              <w:t>,</w:t>
            </w:r>
            <w:r w:rsidRPr="00F11731">
              <w:t xml:space="preserve">993 </w:t>
            </w:r>
          </w:p>
        </w:tc>
      </w:tr>
      <w:tr w:rsidR="000C27C3" w:rsidRPr="002A0B87" w14:paraId="72B8D28D" w14:textId="77777777" w:rsidTr="008064F8">
        <w:trPr>
          <w:trHeight w:val="20"/>
        </w:trPr>
        <w:tc>
          <w:tcPr>
            <w:tcW w:w="4764" w:type="dxa"/>
            <w:vAlign w:val="bottom"/>
          </w:tcPr>
          <w:p w14:paraId="60A7044E" w14:textId="7BA709C2" w:rsidR="000C27C3" w:rsidRPr="002A0B87" w:rsidRDefault="000C27C3" w:rsidP="000C27C3">
            <w:pPr>
              <w:widowControl w:val="0"/>
              <w:ind w:left="-115"/>
              <w:rPr>
                <w:rFonts w:cs="Arial"/>
              </w:rPr>
            </w:pPr>
            <w:r w:rsidRPr="00E163AA">
              <w:rPr>
                <w:rFonts w:cs="Arial"/>
              </w:rPr>
              <w:t>Interest income from advance lending</w:t>
            </w:r>
          </w:p>
        </w:tc>
        <w:tc>
          <w:tcPr>
            <w:tcW w:w="1698" w:type="dxa"/>
          </w:tcPr>
          <w:p w14:paraId="025CFEA1" w14:textId="4BDB67E3" w:rsidR="000C27C3" w:rsidRPr="002A0B87" w:rsidRDefault="000C27C3" w:rsidP="000C27C3">
            <w:pPr>
              <w:widowControl w:val="0"/>
              <w:pBdr>
                <w:bottom w:val="single" w:sz="4" w:space="0" w:color="auto"/>
              </w:pBdr>
              <w:ind w:left="57" w:right="-85"/>
              <w:jc w:val="right"/>
              <w:rPr>
                <w:rFonts w:eastAsia="Batang" w:cs="Arial"/>
                <w:lang w:eastAsia="ko-KR"/>
              </w:rPr>
            </w:pPr>
            <w:r w:rsidRPr="00F11731">
              <w:t>4</w:t>
            </w:r>
            <w:r w:rsidR="00F16E8E">
              <w:t>,</w:t>
            </w:r>
            <w:r w:rsidRPr="00F11731">
              <w:t>983</w:t>
            </w:r>
            <w:r w:rsidR="00F16E8E">
              <w:t>,</w:t>
            </w:r>
            <w:r w:rsidRPr="00F11731">
              <w:t>719</w:t>
            </w:r>
            <w:r w:rsidR="00F16E8E">
              <w:t>,</w:t>
            </w:r>
            <w:r w:rsidRPr="00F11731">
              <w:t xml:space="preserve">207 </w:t>
            </w:r>
          </w:p>
        </w:tc>
        <w:tc>
          <w:tcPr>
            <w:tcW w:w="1698" w:type="dxa"/>
          </w:tcPr>
          <w:p w14:paraId="44A1153E" w14:textId="52B85FF8" w:rsidR="000C27C3" w:rsidRPr="002A0B87" w:rsidRDefault="000C27C3" w:rsidP="000C27C3">
            <w:pPr>
              <w:widowControl w:val="0"/>
              <w:pBdr>
                <w:bottom w:val="single" w:sz="4" w:space="0" w:color="auto"/>
              </w:pBdr>
              <w:ind w:left="57" w:right="-85"/>
              <w:jc w:val="right"/>
              <w:rPr>
                <w:rFonts w:eastAsia="Batang" w:cs="Arial"/>
                <w:lang w:eastAsia="ko-KR"/>
              </w:rPr>
            </w:pPr>
            <w:r w:rsidRPr="00F11731">
              <w:t>9</w:t>
            </w:r>
            <w:r w:rsidR="00F16E8E">
              <w:t>,</w:t>
            </w:r>
            <w:r w:rsidRPr="00F11731">
              <w:t>656</w:t>
            </w:r>
            <w:r w:rsidR="00F16E8E">
              <w:t>,</w:t>
            </w:r>
            <w:r w:rsidRPr="00F11731">
              <w:t>055</w:t>
            </w:r>
            <w:r w:rsidR="00F16E8E">
              <w:t>,</w:t>
            </w:r>
            <w:r w:rsidRPr="00F11731">
              <w:t xml:space="preserve">420 </w:t>
            </w:r>
          </w:p>
        </w:tc>
      </w:tr>
      <w:tr w:rsidR="000C27C3" w:rsidRPr="002A0B87" w14:paraId="68998CA8" w14:textId="77777777" w:rsidTr="00CE21D3">
        <w:trPr>
          <w:trHeight w:val="20"/>
        </w:trPr>
        <w:tc>
          <w:tcPr>
            <w:tcW w:w="4764" w:type="dxa"/>
            <w:vAlign w:val="bottom"/>
          </w:tcPr>
          <w:p w14:paraId="1390C032" w14:textId="77777777" w:rsidR="000C27C3" w:rsidRPr="002A0B87" w:rsidRDefault="000C27C3" w:rsidP="000C27C3">
            <w:pPr>
              <w:widowControl w:val="0"/>
              <w:spacing w:before="120"/>
              <w:ind w:left="-115"/>
              <w:rPr>
                <w:rFonts w:cs="Arial"/>
                <w:b/>
              </w:rPr>
            </w:pPr>
          </w:p>
        </w:tc>
        <w:tc>
          <w:tcPr>
            <w:tcW w:w="1698" w:type="dxa"/>
          </w:tcPr>
          <w:p w14:paraId="3329F71C" w14:textId="55E3F53D" w:rsidR="000C27C3" w:rsidRPr="000C27C3" w:rsidRDefault="000C27C3" w:rsidP="000C27C3">
            <w:pPr>
              <w:widowControl w:val="0"/>
              <w:pBdr>
                <w:bottom w:val="double" w:sz="4" w:space="0" w:color="auto"/>
              </w:pBdr>
              <w:spacing w:before="120"/>
              <w:ind w:left="57" w:right="-85"/>
              <w:jc w:val="right"/>
              <w:rPr>
                <w:rFonts w:eastAsia="Batang" w:cs="Arial"/>
                <w:b/>
                <w:bCs/>
                <w:highlight w:val="yellow"/>
                <w:lang w:eastAsia="ko-KR"/>
              </w:rPr>
            </w:pPr>
            <w:r w:rsidRPr="000C27C3">
              <w:rPr>
                <w:b/>
                <w:bCs/>
              </w:rPr>
              <w:t>88</w:t>
            </w:r>
            <w:r w:rsidR="00F16E8E">
              <w:rPr>
                <w:b/>
                <w:bCs/>
              </w:rPr>
              <w:t>,</w:t>
            </w:r>
            <w:r w:rsidRPr="000C27C3">
              <w:rPr>
                <w:b/>
                <w:bCs/>
              </w:rPr>
              <w:t>074</w:t>
            </w:r>
            <w:r w:rsidR="00F16E8E">
              <w:rPr>
                <w:b/>
                <w:bCs/>
              </w:rPr>
              <w:t>,</w:t>
            </w:r>
            <w:r w:rsidRPr="000C27C3">
              <w:rPr>
                <w:b/>
                <w:bCs/>
              </w:rPr>
              <w:t>931</w:t>
            </w:r>
            <w:r w:rsidR="00F16E8E">
              <w:rPr>
                <w:b/>
                <w:bCs/>
              </w:rPr>
              <w:t>,</w:t>
            </w:r>
            <w:r w:rsidRPr="000C27C3">
              <w:rPr>
                <w:b/>
                <w:bCs/>
              </w:rPr>
              <w:t xml:space="preserve">360 </w:t>
            </w:r>
          </w:p>
        </w:tc>
        <w:tc>
          <w:tcPr>
            <w:tcW w:w="1698" w:type="dxa"/>
          </w:tcPr>
          <w:p w14:paraId="6BF9C8CF" w14:textId="4CF470A3" w:rsidR="000C27C3" w:rsidRPr="000C27C3" w:rsidRDefault="000C27C3" w:rsidP="000C27C3">
            <w:pPr>
              <w:widowControl w:val="0"/>
              <w:pBdr>
                <w:bottom w:val="double" w:sz="4" w:space="0" w:color="auto"/>
              </w:pBdr>
              <w:spacing w:before="120"/>
              <w:ind w:left="57" w:right="-85"/>
              <w:jc w:val="right"/>
              <w:rPr>
                <w:rFonts w:cs="Arial"/>
                <w:b/>
                <w:bCs/>
                <w:highlight w:val="yellow"/>
              </w:rPr>
            </w:pPr>
            <w:r w:rsidRPr="000C27C3">
              <w:rPr>
                <w:b/>
                <w:bCs/>
              </w:rPr>
              <w:t>84</w:t>
            </w:r>
            <w:r w:rsidR="00F16E8E">
              <w:rPr>
                <w:b/>
                <w:bCs/>
              </w:rPr>
              <w:t>,</w:t>
            </w:r>
            <w:r w:rsidRPr="000C27C3">
              <w:rPr>
                <w:b/>
                <w:bCs/>
              </w:rPr>
              <w:t>720</w:t>
            </w:r>
            <w:r w:rsidR="00F16E8E">
              <w:rPr>
                <w:b/>
                <w:bCs/>
              </w:rPr>
              <w:t>,</w:t>
            </w:r>
            <w:r w:rsidRPr="000C27C3">
              <w:rPr>
                <w:b/>
                <w:bCs/>
              </w:rPr>
              <w:t>281</w:t>
            </w:r>
            <w:r w:rsidR="00F16E8E">
              <w:rPr>
                <w:b/>
                <w:bCs/>
              </w:rPr>
              <w:t>,</w:t>
            </w:r>
            <w:r w:rsidRPr="000C27C3">
              <w:rPr>
                <w:b/>
                <w:bCs/>
              </w:rPr>
              <w:t xml:space="preserve">413 </w:t>
            </w:r>
          </w:p>
        </w:tc>
      </w:tr>
    </w:tbl>
    <w:p w14:paraId="229BEB20" w14:textId="77777777" w:rsidR="00C51735" w:rsidRPr="002A0B87" w:rsidRDefault="00C51735" w:rsidP="00760439">
      <w:pPr>
        <w:pStyle w:val="NoSpacing"/>
      </w:pPr>
    </w:p>
    <w:p w14:paraId="5297F0D5" w14:textId="3ED71FA8" w:rsidR="00C51735" w:rsidRPr="002A0B87" w:rsidRDefault="00C51735" w:rsidP="00760439">
      <w:pPr>
        <w:pStyle w:val="Heading2"/>
      </w:pPr>
      <w:r w:rsidRPr="002A0B87">
        <w:t>2</w:t>
      </w:r>
      <w:r w:rsidR="001B2CD2">
        <w:t>0</w:t>
      </w:r>
      <w:r w:rsidRPr="002A0B87">
        <w:t>.</w:t>
      </w:r>
      <w:r w:rsidR="00B609B7" w:rsidRPr="002A0B87">
        <w:t>5</w:t>
      </w:r>
      <w:r w:rsidRPr="002A0B87">
        <w:tab/>
      </w:r>
      <w:r w:rsidR="00C2205B" w:rsidRPr="00C2205B">
        <w:t>Interest income from held-to-maturity (“HTM”) investments</w:t>
      </w:r>
      <w:r w:rsidR="00C2205B" w:rsidRPr="00C2205B" w:rsidDel="00C2205B">
        <w:t xml:space="preserve"> </w:t>
      </w:r>
    </w:p>
    <w:p w14:paraId="4A34EA0D" w14:textId="77777777" w:rsidR="00B609B7" w:rsidRPr="002A0B87" w:rsidRDefault="00B609B7" w:rsidP="00760439">
      <w:pPr>
        <w:pStyle w:val="NoSpacing"/>
      </w:pPr>
    </w:p>
    <w:tbl>
      <w:tblPr>
        <w:tblW w:w="8160" w:type="dxa"/>
        <w:tblInd w:w="720" w:type="dxa"/>
        <w:tblLayout w:type="fixed"/>
        <w:tblLook w:val="01E0" w:firstRow="1" w:lastRow="1" w:firstColumn="1" w:lastColumn="1" w:noHBand="0" w:noVBand="0"/>
      </w:tblPr>
      <w:tblGrid>
        <w:gridCol w:w="4764"/>
        <w:gridCol w:w="1698"/>
        <w:gridCol w:w="1698"/>
      </w:tblGrid>
      <w:tr w:rsidR="00F20ED9" w:rsidRPr="002A0B87" w14:paraId="4600E698" w14:textId="77777777" w:rsidTr="00CA4A4B">
        <w:trPr>
          <w:trHeight w:val="20"/>
          <w:tblHeader/>
        </w:trPr>
        <w:tc>
          <w:tcPr>
            <w:tcW w:w="4764" w:type="dxa"/>
            <w:vAlign w:val="bottom"/>
          </w:tcPr>
          <w:p w14:paraId="6B03C74B" w14:textId="77777777" w:rsidR="00F20ED9" w:rsidRPr="002A0B87" w:rsidRDefault="00F20ED9" w:rsidP="00BA05B1">
            <w:pPr>
              <w:widowControl w:val="0"/>
              <w:overflowPunct/>
              <w:autoSpaceDE/>
              <w:autoSpaceDN/>
              <w:adjustRightInd/>
              <w:ind w:left="-115"/>
              <w:textAlignment w:val="auto"/>
              <w:rPr>
                <w:rFonts w:eastAsia="Batang" w:cs="Arial"/>
                <w:i/>
                <w:lang w:val="es-ES"/>
              </w:rPr>
            </w:pPr>
          </w:p>
        </w:tc>
        <w:tc>
          <w:tcPr>
            <w:tcW w:w="1698" w:type="dxa"/>
            <w:vAlign w:val="bottom"/>
            <w:hideMark/>
          </w:tcPr>
          <w:p w14:paraId="7F92E720" w14:textId="5DE65243" w:rsidR="00F20ED9" w:rsidRPr="002A0B87" w:rsidRDefault="00DF38C9" w:rsidP="00F20ED9">
            <w:pPr>
              <w:widowControl w:val="0"/>
              <w:pBdr>
                <w:bottom w:val="single" w:sz="4" w:space="0" w:color="auto"/>
              </w:pBdr>
              <w:ind w:left="57" w:right="-85"/>
              <w:jc w:val="right"/>
              <w:rPr>
                <w:rFonts w:eastAsia="Batang" w:cs="Arial"/>
                <w:bCs/>
                <w:i/>
              </w:rPr>
            </w:pPr>
            <w:r w:rsidRPr="00DF38C9">
              <w:rPr>
                <w:rFonts w:eastAsia="Batang" w:cs="Arial"/>
                <w:bCs/>
                <w:i/>
              </w:rPr>
              <w:t>Current year</w:t>
            </w:r>
          </w:p>
          <w:p w14:paraId="5013EC9E" w14:textId="7E913A3E" w:rsidR="00F20ED9" w:rsidRPr="002A0B87" w:rsidRDefault="00F20ED9" w:rsidP="00F20ED9">
            <w:pPr>
              <w:widowControl w:val="0"/>
              <w:pBdr>
                <w:bottom w:val="single" w:sz="4" w:space="0" w:color="auto"/>
              </w:pBdr>
              <w:ind w:left="57" w:right="-85"/>
              <w:jc w:val="right"/>
              <w:rPr>
                <w:rFonts w:cs="Arial"/>
                <w:bCs/>
                <w:i/>
              </w:rPr>
            </w:pPr>
            <w:r w:rsidRPr="002A0B87">
              <w:rPr>
                <w:rFonts w:eastAsia="Batang" w:cs="Arial"/>
                <w:i/>
                <w:iCs/>
              </w:rPr>
              <w:t>VND</w:t>
            </w:r>
          </w:p>
        </w:tc>
        <w:tc>
          <w:tcPr>
            <w:tcW w:w="1698" w:type="dxa"/>
            <w:vAlign w:val="bottom"/>
            <w:hideMark/>
          </w:tcPr>
          <w:p w14:paraId="2E6F6B03" w14:textId="6B1D61F9" w:rsidR="00F20ED9" w:rsidRPr="002A0B87" w:rsidRDefault="00A01793" w:rsidP="00F20ED9">
            <w:pPr>
              <w:widowControl w:val="0"/>
              <w:pBdr>
                <w:bottom w:val="single" w:sz="4" w:space="0" w:color="auto"/>
              </w:pBdr>
              <w:ind w:left="57" w:right="-85"/>
              <w:jc w:val="right"/>
              <w:rPr>
                <w:rFonts w:eastAsia="Batang" w:cs="Arial"/>
                <w:bCs/>
                <w:i/>
              </w:rPr>
            </w:pPr>
            <w:r w:rsidRPr="00A01793">
              <w:rPr>
                <w:rFonts w:eastAsia="Batang" w:cs="Arial"/>
                <w:bCs/>
                <w:i/>
              </w:rPr>
              <w:t>Previous year</w:t>
            </w:r>
          </w:p>
          <w:p w14:paraId="0BE0B15D" w14:textId="323CC159" w:rsidR="00F20ED9" w:rsidRPr="002A0B87" w:rsidRDefault="00F20ED9" w:rsidP="00F20ED9">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5D0AAE" w:rsidRPr="002A0B87" w14:paraId="0A4551A1" w14:textId="77777777" w:rsidTr="004F64F9">
        <w:trPr>
          <w:trHeight w:val="20"/>
        </w:trPr>
        <w:tc>
          <w:tcPr>
            <w:tcW w:w="4764" w:type="dxa"/>
            <w:vAlign w:val="center"/>
          </w:tcPr>
          <w:p w14:paraId="55CD1D34" w14:textId="61448078" w:rsidR="005D0AAE" w:rsidRPr="001B2CD2" w:rsidRDefault="005D0AAE" w:rsidP="005D0AAE">
            <w:pPr>
              <w:widowControl w:val="0"/>
              <w:spacing w:before="120"/>
              <w:ind w:left="-115"/>
              <w:rPr>
                <w:rFonts w:cs="Arial"/>
                <w:iCs/>
              </w:rPr>
            </w:pPr>
            <w:r w:rsidRPr="0025185B">
              <w:rPr>
                <w:rFonts w:cs="Arial"/>
                <w:iCs/>
              </w:rPr>
              <w:t>Term deposits</w:t>
            </w:r>
          </w:p>
        </w:tc>
        <w:tc>
          <w:tcPr>
            <w:tcW w:w="1698" w:type="dxa"/>
          </w:tcPr>
          <w:p w14:paraId="38E638BF" w14:textId="1D1890FE" w:rsidR="005D0AAE" w:rsidRPr="001B2CD2" w:rsidRDefault="005D0AAE" w:rsidP="005D0AAE">
            <w:pPr>
              <w:widowControl w:val="0"/>
              <w:pBdr>
                <w:bottom w:val="single" w:sz="4" w:space="0" w:color="auto"/>
              </w:pBdr>
              <w:spacing w:before="120"/>
              <w:ind w:left="57" w:right="-85"/>
              <w:jc w:val="right"/>
              <w:rPr>
                <w:rFonts w:eastAsia="Batang" w:cs="Arial"/>
                <w:iCs/>
                <w:highlight w:val="yellow"/>
                <w:lang w:eastAsia="ko-KR"/>
              </w:rPr>
            </w:pPr>
            <w:r w:rsidRPr="00C37DC9">
              <w:t>71</w:t>
            </w:r>
            <w:r>
              <w:t>,</w:t>
            </w:r>
            <w:r w:rsidRPr="00C37DC9">
              <w:t>814</w:t>
            </w:r>
            <w:r>
              <w:t>,</w:t>
            </w:r>
            <w:r w:rsidRPr="00C37DC9">
              <w:t>234</w:t>
            </w:r>
            <w:r>
              <w:t>,</w:t>
            </w:r>
            <w:r w:rsidRPr="00C37DC9">
              <w:t xml:space="preserve">145 </w:t>
            </w:r>
          </w:p>
        </w:tc>
        <w:tc>
          <w:tcPr>
            <w:tcW w:w="1698" w:type="dxa"/>
          </w:tcPr>
          <w:p w14:paraId="731BBD97" w14:textId="56208C96" w:rsidR="005D0AAE" w:rsidRPr="001B2CD2" w:rsidRDefault="005D0AAE" w:rsidP="005D0AAE">
            <w:pPr>
              <w:widowControl w:val="0"/>
              <w:pBdr>
                <w:bottom w:val="single" w:sz="4" w:space="0" w:color="auto"/>
              </w:pBdr>
              <w:spacing w:before="120"/>
              <w:ind w:left="57" w:right="-85"/>
              <w:jc w:val="right"/>
              <w:rPr>
                <w:rFonts w:eastAsia="Batang" w:cs="Arial"/>
                <w:iCs/>
                <w:lang w:eastAsia="ko-KR"/>
              </w:rPr>
            </w:pPr>
            <w:r w:rsidRPr="00C37DC9">
              <w:t>81</w:t>
            </w:r>
            <w:r>
              <w:t>,</w:t>
            </w:r>
            <w:r w:rsidRPr="00C37DC9">
              <w:t>403</w:t>
            </w:r>
            <w:r>
              <w:t>,</w:t>
            </w:r>
            <w:r w:rsidRPr="00C37DC9">
              <w:t>501</w:t>
            </w:r>
            <w:r>
              <w:t>,</w:t>
            </w:r>
            <w:r w:rsidRPr="00C37DC9">
              <w:t xml:space="preserve">362 </w:t>
            </w:r>
          </w:p>
        </w:tc>
      </w:tr>
      <w:tr w:rsidR="005D0AAE" w:rsidRPr="002A0B87" w14:paraId="3286C637" w14:textId="77777777" w:rsidTr="004F64F9">
        <w:trPr>
          <w:trHeight w:val="20"/>
        </w:trPr>
        <w:tc>
          <w:tcPr>
            <w:tcW w:w="4764" w:type="dxa"/>
            <w:vAlign w:val="bottom"/>
          </w:tcPr>
          <w:p w14:paraId="20594610" w14:textId="77777777" w:rsidR="005D0AAE" w:rsidRPr="002A0B87" w:rsidRDefault="005D0AAE" w:rsidP="005D0AAE">
            <w:pPr>
              <w:widowControl w:val="0"/>
              <w:spacing w:before="120"/>
              <w:ind w:left="-115" w:firstLine="12"/>
              <w:rPr>
                <w:rFonts w:cs="Arial"/>
                <w:b/>
              </w:rPr>
            </w:pPr>
          </w:p>
        </w:tc>
        <w:tc>
          <w:tcPr>
            <w:tcW w:w="1698" w:type="dxa"/>
          </w:tcPr>
          <w:p w14:paraId="1BE18C9C" w14:textId="3FC97C3C" w:rsidR="005D0AAE" w:rsidRPr="00075523" w:rsidRDefault="005D0AAE" w:rsidP="005D0AAE">
            <w:pPr>
              <w:widowControl w:val="0"/>
              <w:pBdr>
                <w:bottom w:val="double" w:sz="4" w:space="0" w:color="auto"/>
              </w:pBdr>
              <w:spacing w:before="120"/>
              <w:ind w:left="57" w:right="-85"/>
              <w:jc w:val="right"/>
              <w:rPr>
                <w:rFonts w:eastAsia="Batang" w:cs="Arial"/>
                <w:b/>
                <w:bCs/>
                <w:highlight w:val="yellow"/>
                <w:lang w:eastAsia="ko-KR"/>
              </w:rPr>
            </w:pPr>
            <w:r w:rsidRPr="00075523">
              <w:rPr>
                <w:b/>
                <w:bCs/>
              </w:rPr>
              <w:t xml:space="preserve">71,814,234,145 </w:t>
            </w:r>
          </w:p>
        </w:tc>
        <w:tc>
          <w:tcPr>
            <w:tcW w:w="1698" w:type="dxa"/>
          </w:tcPr>
          <w:p w14:paraId="36DC0A60" w14:textId="7FA8E0A0" w:rsidR="005D0AAE" w:rsidRPr="00075523" w:rsidRDefault="005D0AAE" w:rsidP="005D0AAE">
            <w:pPr>
              <w:widowControl w:val="0"/>
              <w:pBdr>
                <w:bottom w:val="double" w:sz="4" w:space="0" w:color="auto"/>
              </w:pBdr>
              <w:spacing w:before="120"/>
              <w:ind w:left="57" w:right="-85"/>
              <w:jc w:val="right"/>
              <w:rPr>
                <w:rFonts w:cs="Arial"/>
                <w:b/>
                <w:bCs/>
              </w:rPr>
            </w:pPr>
            <w:r w:rsidRPr="00075523">
              <w:rPr>
                <w:b/>
                <w:bCs/>
              </w:rPr>
              <w:t xml:space="preserve">81,403,501,362 </w:t>
            </w:r>
          </w:p>
        </w:tc>
      </w:tr>
    </w:tbl>
    <w:p w14:paraId="1AF46B58" w14:textId="4A723CE0" w:rsidR="00420899" w:rsidRDefault="00420899" w:rsidP="00760439">
      <w:pPr>
        <w:pStyle w:val="NoSpacing"/>
      </w:pPr>
    </w:p>
    <w:p w14:paraId="1B963532" w14:textId="77777777" w:rsidR="00AC1D85" w:rsidRPr="00AC1D85" w:rsidRDefault="00AC1D85" w:rsidP="00AC1D85">
      <w:pPr>
        <w:pStyle w:val="NoSpacing"/>
      </w:pPr>
    </w:p>
    <w:p w14:paraId="4A881CD1" w14:textId="77DCB113" w:rsidR="00D348C4" w:rsidRPr="002A0B87" w:rsidRDefault="00D736DE" w:rsidP="00D348C4">
      <w:pPr>
        <w:pStyle w:val="ListParagraph"/>
        <w:overflowPunct/>
        <w:autoSpaceDE/>
        <w:autoSpaceDN/>
        <w:adjustRightInd/>
        <w:ind w:hanging="720"/>
        <w:textAlignment w:val="auto"/>
        <w:outlineLvl w:val="0"/>
        <w:rPr>
          <w:rFonts w:cs="Arial"/>
          <w:b/>
          <w:lang w:val="vi-VN"/>
        </w:rPr>
      </w:pPr>
      <w:r w:rsidRPr="002A0B87">
        <w:rPr>
          <w:rFonts w:cs="Arial"/>
          <w:b/>
          <w:lang w:val="en-US"/>
        </w:rPr>
        <w:t>2</w:t>
      </w:r>
      <w:r>
        <w:rPr>
          <w:rFonts w:cs="Arial"/>
          <w:b/>
          <w:lang w:val="en-US"/>
        </w:rPr>
        <w:t>1</w:t>
      </w:r>
      <w:r w:rsidR="00D348C4" w:rsidRPr="002A0B87">
        <w:rPr>
          <w:rFonts w:cs="Arial"/>
          <w:b/>
          <w:lang w:val="vi-VN"/>
        </w:rPr>
        <w:t>.</w:t>
      </w:r>
      <w:r w:rsidR="00D348C4" w:rsidRPr="002A0B87">
        <w:rPr>
          <w:rFonts w:cs="Arial"/>
          <w:b/>
          <w:lang w:val="vi-VN"/>
        </w:rPr>
        <w:tab/>
      </w:r>
      <w:r w:rsidR="00821B2F" w:rsidRPr="00821B2F">
        <w:rPr>
          <w:rFonts w:cs="Arial"/>
          <w:b/>
          <w:lang w:val="vi-VN"/>
        </w:rPr>
        <w:t>EXPENSES FOR BROKERAGE SERVICES</w:t>
      </w:r>
      <w:r w:rsidR="00821B2F" w:rsidRPr="00821B2F" w:rsidDel="00821B2F">
        <w:rPr>
          <w:rFonts w:cs="Arial"/>
          <w:b/>
          <w:lang w:val="vi-VN"/>
        </w:rPr>
        <w:t xml:space="preserve"> </w:t>
      </w:r>
    </w:p>
    <w:p w14:paraId="62C658D0" w14:textId="77777777" w:rsidR="00D348C4" w:rsidRPr="002A0B87" w:rsidRDefault="00D348C4" w:rsidP="00760439">
      <w:pPr>
        <w:pStyle w:val="NoSpacing"/>
      </w:pPr>
    </w:p>
    <w:tbl>
      <w:tblPr>
        <w:tblW w:w="8160" w:type="dxa"/>
        <w:tblInd w:w="720" w:type="dxa"/>
        <w:tblLayout w:type="fixed"/>
        <w:tblLook w:val="01E0" w:firstRow="1" w:lastRow="1" w:firstColumn="1" w:lastColumn="1" w:noHBand="0" w:noVBand="0"/>
      </w:tblPr>
      <w:tblGrid>
        <w:gridCol w:w="4764"/>
        <w:gridCol w:w="1698"/>
        <w:gridCol w:w="1698"/>
      </w:tblGrid>
      <w:tr w:rsidR="00D348C4" w:rsidRPr="002A0B87" w14:paraId="7FC96C7D" w14:textId="77777777" w:rsidTr="00AC6DCE">
        <w:trPr>
          <w:trHeight w:val="20"/>
          <w:tblHeader/>
        </w:trPr>
        <w:tc>
          <w:tcPr>
            <w:tcW w:w="4764" w:type="dxa"/>
            <w:vAlign w:val="bottom"/>
          </w:tcPr>
          <w:p w14:paraId="6E4A0A10" w14:textId="77777777" w:rsidR="00D348C4" w:rsidRPr="002A0B87" w:rsidRDefault="00D348C4" w:rsidP="00BA05B1">
            <w:pPr>
              <w:widowControl w:val="0"/>
              <w:overflowPunct/>
              <w:autoSpaceDE/>
              <w:autoSpaceDN/>
              <w:adjustRightInd/>
              <w:ind w:left="-115"/>
              <w:textAlignment w:val="auto"/>
              <w:rPr>
                <w:rFonts w:eastAsia="Batang" w:cs="Arial"/>
                <w:i/>
                <w:lang w:val="es-ES"/>
              </w:rPr>
            </w:pPr>
          </w:p>
        </w:tc>
        <w:tc>
          <w:tcPr>
            <w:tcW w:w="1698" w:type="dxa"/>
            <w:vAlign w:val="bottom"/>
            <w:hideMark/>
          </w:tcPr>
          <w:p w14:paraId="2970F43C" w14:textId="68821E63" w:rsidR="00D348C4" w:rsidRPr="002A0B87" w:rsidRDefault="00AA24BB" w:rsidP="00AC6DCE">
            <w:pPr>
              <w:widowControl w:val="0"/>
              <w:pBdr>
                <w:bottom w:val="single" w:sz="4" w:space="0" w:color="auto"/>
              </w:pBdr>
              <w:ind w:left="57" w:right="-85"/>
              <w:jc w:val="right"/>
              <w:rPr>
                <w:rFonts w:eastAsia="Batang" w:cs="Arial"/>
                <w:bCs/>
                <w:i/>
              </w:rPr>
            </w:pPr>
            <w:r w:rsidRPr="00AA24BB">
              <w:rPr>
                <w:rFonts w:eastAsia="Batang" w:cs="Arial"/>
                <w:bCs/>
                <w:i/>
              </w:rPr>
              <w:t>Current year</w:t>
            </w:r>
          </w:p>
          <w:p w14:paraId="6D567557" w14:textId="77777777" w:rsidR="00D348C4" w:rsidRPr="002A0B87" w:rsidRDefault="00D348C4" w:rsidP="00AC6DCE">
            <w:pPr>
              <w:widowControl w:val="0"/>
              <w:pBdr>
                <w:bottom w:val="single" w:sz="4" w:space="0" w:color="auto"/>
              </w:pBdr>
              <w:ind w:left="57" w:right="-85"/>
              <w:jc w:val="right"/>
              <w:rPr>
                <w:rFonts w:cs="Arial"/>
                <w:bCs/>
                <w:i/>
              </w:rPr>
            </w:pPr>
            <w:r w:rsidRPr="002A0B87">
              <w:rPr>
                <w:rFonts w:eastAsia="Batang" w:cs="Arial"/>
                <w:i/>
                <w:iCs/>
              </w:rPr>
              <w:t>VND</w:t>
            </w:r>
          </w:p>
        </w:tc>
        <w:tc>
          <w:tcPr>
            <w:tcW w:w="1698" w:type="dxa"/>
            <w:vAlign w:val="bottom"/>
            <w:hideMark/>
          </w:tcPr>
          <w:p w14:paraId="28E078C0" w14:textId="520A24A3" w:rsidR="00D348C4" w:rsidRPr="002A0B87" w:rsidRDefault="001D35E1" w:rsidP="00AC6DCE">
            <w:pPr>
              <w:widowControl w:val="0"/>
              <w:pBdr>
                <w:bottom w:val="single" w:sz="4" w:space="0" w:color="auto"/>
              </w:pBdr>
              <w:ind w:left="57" w:right="-85"/>
              <w:jc w:val="right"/>
              <w:rPr>
                <w:rFonts w:eastAsia="Batang" w:cs="Arial"/>
                <w:bCs/>
                <w:i/>
              </w:rPr>
            </w:pPr>
            <w:r w:rsidRPr="001D35E1">
              <w:rPr>
                <w:rFonts w:eastAsia="Batang" w:cs="Arial"/>
                <w:bCs/>
                <w:i/>
              </w:rPr>
              <w:t>Previous year</w:t>
            </w:r>
          </w:p>
          <w:p w14:paraId="46853830" w14:textId="77777777" w:rsidR="00D348C4" w:rsidRPr="002A0B87" w:rsidRDefault="00D348C4" w:rsidP="00AC6DCE">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CE13F7" w:rsidRPr="002A0B87" w14:paraId="4CA0B0CF" w14:textId="77777777" w:rsidTr="00CE13F7">
        <w:trPr>
          <w:trHeight w:val="20"/>
        </w:trPr>
        <w:tc>
          <w:tcPr>
            <w:tcW w:w="4764" w:type="dxa"/>
            <w:hideMark/>
          </w:tcPr>
          <w:p w14:paraId="6D53FC8E" w14:textId="6A2C610C" w:rsidR="00CE13F7" w:rsidRPr="002A0B87" w:rsidRDefault="00CE13F7" w:rsidP="00CE13F7">
            <w:pPr>
              <w:widowControl w:val="0"/>
              <w:spacing w:before="120"/>
              <w:ind w:left="-115"/>
              <w:rPr>
                <w:rFonts w:cs="Arial"/>
                <w:highlight w:val="yellow"/>
              </w:rPr>
            </w:pPr>
            <w:r w:rsidRPr="004E630F">
              <w:rPr>
                <w:rFonts w:cs="Arial"/>
              </w:rPr>
              <w:t>Brokerage securities transaction fees</w:t>
            </w:r>
          </w:p>
        </w:tc>
        <w:tc>
          <w:tcPr>
            <w:tcW w:w="1698" w:type="dxa"/>
            <w:vAlign w:val="bottom"/>
          </w:tcPr>
          <w:p w14:paraId="4A0CCB3F" w14:textId="25B05000" w:rsidR="00CE13F7" w:rsidRPr="002A0B87" w:rsidRDefault="00CE13F7" w:rsidP="00CE13F7">
            <w:pPr>
              <w:widowControl w:val="0"/>
              <w:spacing w:before="120"/>
              <w:ind w:left="57" w:right="-85"/>
              <w:jc w:val="right"/>
              <w:rPr>
                <w:rFonts w:eastAsia="Batang" w:cs="Arial"/>
                <w:highlight w:val="yellow"/>
                <w:lang w:eastAsia="ko-KR"/>
              </w:rPr>
            </w:pPr>
            <w:r w:rsidRPr="00D3138B">
              <w:t xml:space="preserve"> 6</w:t>
            </w:r>
            <w:r w:rsidR="00C222A6">
              <w:t>,</w:t>
            </w:r>
            <w:r w:rsidRPr="00D3138B">
              <w:t>851</w:t>
            </w:r>
            <w:r w:rsidR="00C222A6">
              <w:t>,</w:t>
            </w:r>
            <w:r w:rsidRPr="00D3138B">
              <w:t>494</w:t>
            </w:r>
            <w:r w:rsidR="00C222A6">
              <w:t>,</w:t>
            </w:r>
            <w:r w:rsidRPr="00D3138B">
              <w:t xml:space="preserve">841 </w:t>
            </w:r>
          </w:p>
        </w:tc>
        <w:tc>
          <w:tcPr>
            <w:tcW w:w="1698" w:type="dxa"/>
            <w:vAlign w:val="bottom"/>
          </w:tcPr>
          <w:p w14:paraId="67DE0CDF" w14:textId="43543502" w:rsidR="00CE13F7" w:rsidRPr="002A0B87" w:rsidRDefault="00CE13F7" w:rsidP="00CE13F7">
            <w:pPr>
              <w:widowControl w:val="0"/>
              <w:spacing w:before="120"/>
              <w:ind w:left="57" w:right="-85"/>
              <w:jc w:val="right"/>
              <w:rPr>
                <w:rFonts w:eastAsia="Batang" w:cs="Arial"/>
                <w:highlight w:val="yellow"/>
                <w:lang w:eastAsia="ko-KR"/>
              </w:rPr>
            </w:pPr>
            <w:r w:rsidRPr="00D3138B">
              <w:t>13</w:t>
            </w:r>
            <w:r w:rsidR="00C222A6">
              <w:t>,</w:t>
            </w:r>
            <w:r w:rsidRPr="00D3138B">
              <w:t>430</w:t>
            </w:r>
            <w:r w:rsidR="00C222A6">
              <w:t>,</w:t>
            </w:r>
            <w:r w:rsidRPr="00D3138B">
              <w:t>389</w:t>
            </w:r>
            <w:r w:rsidR="00C222A6">
              <w:t>,</w:t>
            </w:r>
            <w:r w:rsidRPr="00D3138B">
              <w:t xml:space="preserve">705  </w:t>
            </w:r>
          </w:p>
        </w:tc>
      </w:tr>
      <w:tr w:rsidR="00CE13F7" w:rsidRPr="002A0B87" w14:paraId="4C428845" w14:textId="77777777" w:rsidTr="00CE13F7">
        <w:trPr>
          <w:trHeight w:val="20"/>
        </w:trPr>
        <w:tc>
          <w:tcPr>
            <w:tcW w:w="4764" w:type="dxa"/>
          </w:tcPr>
          <w:p w14:paraId="4BABE152" w14:textId="6939AC90" w:rsidR="00CE13F7" w:rsidRPr="002A0B87" w:rsidRDefault="00CE13F7" w:rsidP="00CE13F7">
            <w:pPr>
              <w:widowControl w:val="0"/>
              <w:ind w:left="-115"/>
              <w:jc w:val="left"/>
              <w:rPr>
                <w:rFonts w:cs="Arial"/>
                <w:highlight w:val="yellow"/>
              </w:rPr>
            </w:pPr>
            <w:r w:rsidRPr="00E71D9F">
              <w:rPr>
                <w:rFonts w:cs="Arial"/>
              </w:rPr>
              <w:t>Membership management fees and annual fees allocated to brokerage activities</w:t>
            </w:r>
          </w:p>
        </w:tc>
        <w:tc>
          <w:tcPr>
            <w:tcW w:w="1698" w:type="dxa"/>
            <w:vAlign w:val="bottom"/>
          </w:tcPr>
          <w:p w14:paraId="1BEFE4C0" w14:textId="3A29D264" w:rsidR="00CE13F7" w:rsidRPr="002A0B87" w:rsidRDefault="00CE13F7" w:rsidP="00CE13F7">
            <w:pPr>
              <w:widowControl w:val="0"/>
              <w:ind w:left="57" w:right="-85"/>
              <w:jc w:val="right"/>
              <w:rPr>
                <w:rFonts w:eastAsia="Batang" w:cs="Arial"/>
                <w:bCs/>
                <w:highlight w:val="yellow"/>
                <w:lang w:eastAsia="ko-KR"/>
              </w:rPr>
            </w:pPr>
            <w:r w:rsidRPr="00D3138B">
              <w:t xml:space="preserve"> 454</w:t>
            </w:r>
            <w:r w:rsidR="00C222A6">
              <w:t>,</w:t>
            </w:r>
            <w:r w:rsidRPr="00D3138B">
              <w:t>000</w:t>
            </w:r>
            <w:r w:rsidR="00C222A6">
              <w:t>,</w:t>
            </w:r>
            <w:r w:rsidRPr="00D3138B">
              <w:t xml:space="preserve">000 </w:t>
            </w:r>
          </w:p>
        </w:tc>
        <w:tc>
          <w:tcPr>
            <w:tcW w:w="1698" w:type="dxa"/>
            <w:vAlign w:val="bottom"/>
          </w:tcPr>
          <w:p w14:paraId="5D276B0C" w14:textId="0DC1214F" w:rsidR="00CE13F7" w:rsidRPr="002A0B87" w:rsidRDefault="00CE13F7" w:rsidP="00CE13F7">
            <w:pPr>
              <w:widowControl w:val="0"/>
              <w:ind w:left="57" w:right="-85"/>
              <w:jc w:val="right"/>
              <w:rPr>
                <w:rFonts w:eastAsia="Batang" w:cs="Arial"/>
                <w:bCs/>
                <w:highlight w:val="yellow"/>
                <w:lang w:eastAsia="ko-KR"/>
              </w:rPr>
            </w:pPr>
            <w:r w:rsidRPr="00D3138B">
              <w:t>454</w:t>
            </w:r>
            <w:r w:rsidR="00C222A6">
              <w:t>,</w:t>
            </w:r>
            <w:r w:rsidRPr="00D3138B">
              <w:t>000</w:t>
            </w:r>
            <w:r w:rsidR="00C222A6">
              <w:t>,</w:t>
            </w:r>
            <w:r w:rsidRPr="00D3138B">
              <w:t xml:space="preserve">000 </w:t>
            </w:r>
          </w:p>
        </w:tc>
      </w:tr>
      <w:tr w:rsidR="00CE13F7" w:rsidRPr="002A0B87" w14:paraId="3DDD1077" w14:textId="77777777" w:rsidTr="00CE13F7">
        <w:trPr>
          <w:trHeight w:val="60"/>
        </w:trPr>
        <w:tc>
          <w:tcPr>
            <w:tcW w:w="4764" w:type="dxa"/>
          </w:tcPr>
          <w:p w14:paraId="2F72A1E6" w14:textId="61FB0DDC" w:rsidR="00CE13F7" w:rsidRPr="002A0B87" w:rsidRDefault="00CE13F7" w:rsidP="00CE13F7">
            <w:pPr>
              <w:widowControl w:val="0"/>
              <w:ind w:left="-115"/>
              <w:rPr>
                <w:rFonts w:cs="Arial"/>
              </w:rPr>
            </w:pPr>
            <w:r w:rsidRPr="007C638E">
              <w:rPr>
                <w:rFonts w:cs="Arial"/>
              </w:rPr>
              <w:t>Operating expenses for brokerage services</w:t>
            </w:r>
          </w:p>
        </w:tc>
        <w:tc>
          <w:tcPr>
            <w:tcW w:w="1698" w:type="dxa"/>
            <w:vAlign w:val="bottom"/>
          </w:tcPr>
          <w:p w14:paraId="5BB9BE6F" w14:textId="694C7694" w:rsidR="00CE13F7" w:rsidRPr="002A0B87" w:rsidRDefault="00CE13F7" w:rsidP="00CE13F7">
            <w:pPr>
              <w:widowControl w:val="0"/>
              <w:ind w:left="57" w:right="-85"/>
              <w:jc w:val="right"/>
              <w:rPr>
                <w:rFonts w:eastAsia="Batang" w:cs="Arial"/>
                <w:bCs/>
                <w:highlight w:val="yellow"/>
                <w:lang w:eastAsia="ko-KR"/>
              </w:rPr>
            </w:pPr>
            <w:r w:rsidRPr="00D3138B">
              <w:t xml:space="preserve"> 41</w:t>
            </w:r>
            <w:r w:rsidR="00C222A6">
              <w:t>,</w:t>
            </w:r>
            <w:r w:rsidRPr="00D3138B">
              <w:t>926</w:t>
            </w:r>
            <w:r w:rsidR="00C222A6">
              <w:t>,</w:t>
            </w:r>
            <w:r w:rsidRPr="00D3138B">
              <w:t>325</w:t>
            </w:r>
            <w:r w:rsidR="00C222A6">
              <w:t>,</w:t>
            </w:r>
            <w:r w:rsidRPr="00D3138B">
              <w:t xml:space="preserve">765 </w:t>
            </w:r>
          </w:p>
        </w:tc>
        <w:tc>
          <w:tcPr>
            <w:tcW w:w="1698" w:type="dxa"/>
            <w:vAlign w:val="bottom"/>
          </w:tcPr>
          <w:p w14:paraId="7FCB85E8" w14:textId="716D3663" w:rsidR="00CE13F7" w:rsidRPr="002A0B87" w:rsidRDefault="00CE13F7" w:rsidP="00CE13F7">
            <w:pPr>
              <w:widowControl w:val="0"/>
              <w:ind w:left="57" w:right="-85"/>
              <w:jc w:val="right"/>
              <w:rPr>
                <w:rFonts w:eastAsia="Batang" w:cs="Arial"/>
                <w:bCs/>
                <w:highlight w:val="yellow"/>
                <w:lang w:eastAsia="ko-KR"/>
              </w:rPr>
            </w:pPr>
            <w:r w:rsidRPr="00D3138B">
              <w:t>52</w:t>
            </w:r>
            <w:r w:rsidR="00C222A6">
              <w:t>,</w:t>
            </w:r>
            <w:r w:rsidRPr="00D3138B">
              <w:t>151</w:t>
            </w:r>
            <w:r w:rsidR="00C222A6">
              <w:t>,</w:t>
            </w:r>
            <w:r w:rsidRPr="00D3138B">
              <w:t>602</w:t>
            </w:r>
            <w:r w:rsidR="00C222A6">
              <w:t>,</w:t>
            </w:r>
            <w:r w:rsidRPr="00D3138B">
              <w:t xml:space="preserve">371 </w:t>
            </w:r>
          </w:p>
        </w:tc>
      </w:tr>
      <w:tr w:rsidR="00CE13F7" w:rsidRPr="002A0B87" w14:paraId="66DF5F35" w14:textId="77777777" w:rsidTr="00CE13F7">
        <w:trPr>
          <w:trHeight w:val="20"/>
        </w:trPr>
        <w:tc>
          <w:tcPr>
            <w:tcW w:w="4764" w:type="dxa"/>
          </w:tcPr>
          <w:p w14:paraId="64CD7062" w14:textId="5D6E398A" w:rsidR="00CE13F7" w:rsidRPr="002A0B87" w:rsidRDefault="00CE13F7" w:rsidP="00CE13F7">
            <w:pPr>
              <w:widowControl w:val="0"/>
              <w:ind w:left="245" w:hanging="360"/>
              <w:rPr>
                <w:rFonts w:cs="Arial"/>
                <w:i/>
              </w:rPr>
            </w:pPr>
            <w:r w:rsidRPr="002A0B87">
              <w:rPr>
                <w:rFonts w:cs="Arial"/>
                <w:i/>
              </w:rPr>
              <w:t>-</w:t>
            </w:r>
            <w:r w:rsidRPr="002A0B87">
              <w:rPr>
                <w:rFonts w:cs="Arial"/>
                <w:i/>
              </w:rPr>
              <w:tab/>
            </w:r>
            <w:r w:rsidRPr="00C25B6F">
              <w:rPr>
                <w:rFonts w:cs="Arial"/>
                <w:i/>
              </w:rPr>
              <w:t>Salaries and other employee benefits</w:t>
            </w:r>
          </w:p>
        </w:tc>
        <w:tc>
          <w:tcPr>
            <w:tcW w:w="1698" w:type="dxa"/>
            <w:vAlign w:val="bottom"/>
          </w:tcPr>
          <w:p w14:paraId="385D408F" w14:textId="130B34EC" w:rsidR="00CE13F7" w:rsidRPr="00CE13F7" w:rsidRDefault="00CE13F7" w:rsidP="00CE13F7">
            <w:pPr>
              <w:widowControl w:val="0"/>
              <w:ind w:left="57" w:right="-85"/>
              <w:jc w:val="right"/>
              <w:rPr>
                <w:rFonts w:eastAsia="Batang" w:cs="Arial"/>
                <w:bCs/>
                <w:i/>
                <w:iCs/>
                <w:highlight w:val="yellow"/>
                <w:lang w:eastAsia="ko-KR"/>
              </w:rPr>
            </w:pPr>
            <w:r w:rsidRPr="00CE13F7">
              <w:rPr>
                <w:i/>
                <w:iCs/>
              </w:rPr>
              <w:t xml:space="preserve"> 24</w:t>
            </w:r>
            <w:r w:rsidR="00C222A6">
              <w:rPr>
                <w:i/>
                <w:iCs/>
              </w:rPr>
              <w:t>,</w:t>
            </w:r>
            <w:r w:rsidRPr="00CE13F7">
              <w:rPr>
                <w:i/>
                <w:iCs/>
              </w:rPr>
              <w:t>816</w:t>
            </w:r>
            <w:r w:rsidR="00C222A6">
              <w:rPr>
                <w:i/>
                <w:iCs/>
              </w:rPr>
              <w:t>,</w:t>
            </w:r>
            <w:r w:rsidRPr="00CE13F7">
              <w:rPr>
                <w:i/>
                <w:iCs/>
              </w:rPr>
              <w:t>827</w:t>
            </w:r>
            <w:r w:rsidR="00C222A6">
              <w:rPr>
                <w:i/>
                <w:iCs/>
              </w:rPr>
              <w:t>,</w:t>
            </w:r>
            <w:r w:rsidRPr="00CE13F7">
              <w:rPr>
                <w:i/>
                <w:iCs/>
              </w:rPr>
              <w:t xml:space="preserve">506 </w:t>
            </w:r>
          </w:p>
        </w:tc>
        <w:tc>
          <w:tcPr>
            <w:tcW w:w="1698" w:type="dxa"/>
            <w:vAlign w:val="bottom"/>
          </w:tcPr>
          <w:p w14:paraId="6C82896F" w14:textId="388B9FFF" w:rsidR="00CE13F7" w:rsidRPr="00CE13F7" w:rsidRDefault="00CE13F7" w:rsidP="00CE13F7">
            <w:pPr>
              <w:widowControl w:val="0"/>
              <w:ind w:left="57" w:right="-85"/>
              <w:jc w:val="right"/>
              <w:rPr>
                <w:rFonts w:eastAsia="Batang" w:cs="Arial"/>
                <w:bCs/>
                <w:i/>
                <w:iCs/>
                <w:highlight w:val="yellow"/>
                <w:lang w:eastAsia="ko-KR"/>
              </w:rPr>
            </w:pPr>
            <w:r w:rsidRPr="00CE13F7">
              <w:rPr>
                <w:i/>
                <w:iCs/>
              </w:rPr>
              <w:t>39</w:t>
            </w:r>
            <w:r w:rsidR="00C222A6">
              <w:rPr>
                <w:i/>
                <w:iCs/>
              </w:rPr>
              <w:t>,</w:t>
            </w:r>
            <w:r w:rsidRPr="00CE13F7">
              <w:rPr>
                <w:i/>
                <w:iCs/>
              </w:rPr>
              <w:t>988</w:t>
            </w:r>
            <w:r w:rsidR="00C222A6">
              <w:rPr>
                <w:i/>
                <w:iCs/>
              </w:rPr>
              <w:t>,</w:t>
            </w:r>
            <w:r w:rsidRPr="00CE13F7">
              <w:rPr>
                <w:i/>
                <w:iCs/>
              </w:rPr>
              <w:t>114</w:t>
            </w:r>
            <w:r w:rsidR="00C222A6">
              <w:rPr>
                <w:i/>
                <w:iCs/>
              </w:rPr>
              <w:t>,</w:t>
            </w:r>
            <w:r w:rsidRPr="00CE13F7">
              <w:rPr>
                <w:i/>
                <w:iCs/>
              </w:rPr>
              <w:t xml:space="preserve">403 </w:t>
            </w:r>
          </w:p>
        </w:tc>
      </w:tr>
      <w:tr w:rsidR="00CE13F7" w:rsidRPr="002A0B87" w14:paraId="7C01C2F3" w14:textId="77777777" w:rsidTr="00CE13F7">
        <w:trPr>
          <w:trHeight w:val="20"/>
        </w:trPr>
        <w:tc>
          <w:tcPr>
            <w:tcW w:w="4764" w:type="dxa"/>
          </w:tcPr>
          <w:p w14:paraId="22546612" w14:textId="6D28F3CB" w:rsidR="00CE13F7" w:rsidRPr="002A0B87" w:rsidRDefault="00CE13F7" w:rsidP="00CE13F7">
            <w:pPr>
              <w:widowControl w:val="0"/>
              <w:ind w:left="245" w:hanging="360"/>
              <w:rPr>
                <w:rFonts w:cs="Arial"/>
                <w:i/>
              </w:rPr>
            </w:pPr>
            <w:r w:rsidRPr="002A0B87">
              <w:rPr>
                <w:rFonts w:cs="Arial"/>
                <w:i/>
              </w:rPr>
              <w:t>-</w:t>
            </w:r>
            <w:r w:rsidRPr="002A0B87">
              <w:rPr>
                <w:rFonts w:cs="Arial"/>
                <w:i/>
              </w:rPr>
              <w:tab/>
            </w:r>
            <w:r w:rsidRPr="006D3814">
              <w:rPr>
                <w:rFonts w:cs="Arial"/>
                <w:i/>
              </w:rPr>
              <w:t>Office supplies</w:t>
            </w:r>
          </w:p>
        </w:tc>
        <w:tc>
          <w:tcPr>
            <w:tcW w:w="1698" w:type="dxa"/>
            <w:vAlign w:val="bottom"/>
          </w:tcPr>
          <w:p w14:paraId="1ADC9702" w14:textId="398F82D8" w:rsidR="00CE13F7" w:rsidRPr="00CE13F7" w:rsidRDefault="00CE13F7" w:rsidP="00CE13F7">
            <w:pPr>
              <w:widowControl w:val="0"/>
              <w:ind w:left="57" w:right="-85"/>
              <w:jc w:val="right"/>
              <w:rPr>
                <w:rFonts w:eastAsia="Batang" w:cs="Arial"/>
                <w:bCs/>
                <w:i/>
                <w:iCs/>
                <w:highlight w:val="yellow"/>
                <w:lang w:eastAsia="ko-KR"/>
              </w:rPr>
            </w:pPr>
            <w:r w:rsidRPr="00CE13F7">
              <w:rPr>
                <w:i/>
                <w:iCs/>
              </w:rPr>
              <w:t xml:space="preserve"> - </w:t>
            </w:r>
          </w:p>
        </w:tc>
        <w:tc>
          <w:tcPr>
            <w:tcW w:w="1698" w:type="dxa"/>
            <w:vAlign w:val="bottom"/>
          </w:tcPr>
          <w:p w14:paraId="1B99F2BB" w14:textId="7C95200A" w:rsidR="00CE13F7" w:rsidRPr="00CE13F7" w:rsidRDefault="00CE13F7" w:rsidP="00CE13F7">
            <w:pPr>
              <w:widowControl w:val="0"/>
              <w:ind w:left="57" w:right="-85"/>
              <w:jc w:val="right"/>
              <w:rPr>
                <w:rFonts w:eastAsia="Batang" w:cs="Arial"/>
                <w:bCs/>
                <w:i/>
                <w:iCs/>
                <w:highlight w:val="yellow"/>
                <w:lang w:eastAsia="ko-KR"/>
              </w:rPr>
            </w:pPr>
            <w:r w:rsidRPr="00CE13F7">
              <w:rPr>
                <w:i/>
                <w:iCs/>
              </w:rPr>
              <w:t>2</w:t>
            </w:r>
            <w:r w:rsidR="00C222A6">
              <w:rPr>
                <w:i/>
                <w:iCs/>
              </w:rPr>
              <w:t>,</w:t>
            </w:r>
            <w:r w:rsidRPr="00CE13F7">
              <w:rPr>
                <w:i/>
                <w:iCs/>
              </w:rPr>
              <w:t>300</w:t>
            </w:r>
            <w:r w:rsidR="00C222A6">
              <w:rPr>
                <w:i/>
                <w:iCs/>
              </w:rPr>
              <w:t>,</w:t>
            </w:r>
            <w:r w:rsidRPr="00CE13F7">
              <w:rPr>
                <w:i/>
                <w:iCs/>
              </w:rPr>
              <w:t xml:space="preserve">000 </w:t>
            </w:r>
          </w:p>
        </w:tc>
      </w:tr>
      <w:tr w:rsidR="00CE13F7" w:rsidRPr="002A0B87" w14:paraId="54D28EA8" w14:textId="77777777" w:rsidTr="00CE13F7">
        <w:trPr>
          <w:trHeight w:val="20"/>
        </w:trPr>
        <w:tc>
          <w:tcPr>
            <w:tcW w:w="4764" w:type="dxa"/>
          </w:tcPr>
          <w:p w14:paraId="6AA0EE5E" w14:textId="4B355D68" w:rsidR="00CE13F7" w:rsidRPr="002A0B87" w:rsidRDefault="00CE13F7" w:rsidP="00CE13F7">
            <w:pPr>
              <w:widowControl w:val="0"/>
              <w:ind w:left="245" w:hanging="360"/>
              <w:rPr>
                <w:rFonts w:cs="Arial"/>
                <w:i/>
              </w:rPr>
            </w:pPr>
            <w:r w:rsidRPr="002A0B87">
              <w:rPr>
                <w:rFonts w:cs="Arial"/>
                <w:i/>
              </w:rPr>
              <w:t>-</w:t>
            </w:r>
            <w:r w:rsidRPr="002A0B87">
              <w:rPr>
                <w:rFonts w:cs="Arial"/>
                <w:i/>
              </w:rPr>
              <w:tab/>
            </w:r>
            <w:r w:rsidRPr="00E65720">
              <w:rPr>
                <w:rFonts w:cs="Arial"/>
                <w:i/>
              </w:rPr>
              <w:t>Tools and equipment</w:t>
            </w:r>
          </w:p>
        </w:tc>
        <w:tc>
          <w:tcPr>
            <w:tcW w:w="1698" w:type="dxa"/>
            <w:vAlign w:val="bottom"/>
          </w:tcPr>
          <w:p w14:paraId="3AE5835C" w14:textId="4137F4F2" w:rsidR="00CE13F7" w:rsidRPr="00CE13F7" w:rsidRDefault="00CE13F7" w:rsidP="00CE13F7">
            <w:pPr>
              <w:widowControl w:val="0"/>
              <w:ind w:left="57" w:right="-85"/>
              <w:jc w:val="right"/>
              <w:rPr>
                <w:rFonts w:eastAsia="Batang" w:cs="Arial"/>
                <w:bCs/>
                <w:i/>
                <w:iCs/>
                <w:highlight w:val="yellow"/>
                <w:lang w:eastAsia="ko-KR"/>
              </w:rPr>
            </w:pPr>
            <w:r w:rsidRPr="00CE13F7">
              <w:rPr>
                <w:i/>
                <w:iCs/>
              </w:rPr>
              <w:t xml:space="preserve"> 966</w:t>
            </w:r>
            <w:r w:rsidR="00C222A6">
              <w:rPr>
                <w:i/>
                <w:iCs/>
              </w:rPr>
              <w:t>,</w:t>
            </w:r>
            <w:r w:rsidRPr="00CE13F7">
              <w:rPr>
                <w:i/>
                <w:iCs/>
              </w:rPr>
              <w:t>349</w:t>
            </w:r>
            <w:r w:rsidR="00C222A6">
              <w:rPr>
                <w:i/>
                <w:iCs/>
              </w:rPr>
              <w:t>,</w:t>
            </w:r>
            <w:r w:rsidRPr="00CE13F7">
              <w:rPr>
                <w:i/>
                <w:iCs/>
              </w:rPr>
              <w:t xml:space="preserve">367 </w:t>
            </w:r>
          </w:p>
        </w:tc>
        <w:tc>
          <w:tcPr>
            <w:tcW w:w="1698" w:type="dxa"/>
            <w:vAlign w:val="bottom"/>
          </w:tcPr>
          <w:p w14:paraId="11ED39E4" w14:textId="62F730DE" w:rsidR="00CE13F7" w:rsidRPr="00CE13F7" w:rsidRDefault="00CE13F7" w:rsidP="00CE13F7">
            <w:pPr>
              <w:widowControl w:val="0"/>
              <w:ind w:left="57" w:right="-85"/>
              <w:jc w:val="right"/>
              <w:rPr>
                <w:rFonts w:eastAsia="Batang" w:cs="Arial"/>
                <w:bCs/>
                <w:i/>
                <w:iCs/>
                <w:highlight w:val="yellow"/>
                <w:lang w:eastAsia="ko-KR"/>
              </w:rPr>
            </w:pPr>
            <w:r w:rsidRPr="00CE13F7">
              <w:rPr>
                <w:i/>
                <w:iCs/>
              </w:rPr>
              <w:t>233</w:t>
            </w:r>
            <w:r w:rsidR="00C222A6">
              <w:rPr>
                <w:i/>
                <w:iCs/>
              </w:rPr>
              <w:t>,</w:t>
            </w:r>
            <w:r w:rsidRPr="00CE13F7">
              <w:rPr>
                <w:i/>
                <w:iCs/>
              </w:rPr>
              <w:t>509</w:t>
            </w:r>
            <w:r w:rsidR="00C222A6">
              <w:rPr>
                <w:i/>
                <w:iCs/>
              </w:rPr>
              <w:t>,</w:t>
            </w:r>
            <w:r w:rsidRPr="00CE13F7">
              <w:rPr>
                <w:i/>
                <w:iCs/>
              </w:rPr>
              <w:t xml:space="preserve">675 </w:t>
            </w:r>
          </w:p>
        </w:tc>
      </w:tr>
      <w:tr w:rsidR="00CE13F7" w:rsidRPr="002A0B87" w14:paraId="5F4ECA80" w14:textId="77777777" w:rsidTr="00CE13F7">
        <w:trPr>
          <w:trHeight w:val="20"/>
        </w:trPr>
        <w:tc>
          <w:tcPr>
            <w:tcW w:w="4764" w:type="dxa"/>
          </w:tcPr>
          <w:p w14:paraId="2CB7B107" w14:textId="24DE5BDF" w:rsidR="00CE13F7" w:rsidRPr="002A0B87" w:rsidRDefault="00CE13F7" w:rsidP="00CE13F7">
            <w:pPr>
              <w:widowControl w:val="0"/>
              <w:ind w:left="245" w:hanging="360"/>
              <w:rPr>
                <w:rFonts w:cs="Arial"/>
                <w:i/>
              </w:rPr>
            </w:pPr>
            <w:r w:rsidRPr="002A0B87">
              <w:rPr>
                <w:rFonts w:cs="Arial"/>
                <w:i/>
              </w:rPr>
              <w:t>-</w:t>
            </w:r>
            <w:r w:rsidRPr="002A0B87">
              <w:rPr>
                <w:rFonts w:cs="Arial"/>
                <w:i/>
              </w:rPr>
              <w:tab/>
            </w:r>
            <w:r w:rsidRPr="00F445B1">
              <w:rPr>
                <w:rFonts w:cs="Arial"/>
                <w:i/>
              </w:rPr>
              <w:t>Depreciation and amortization</w:t>
            </w:r>
          </w:p>
        </w:tc>
        <w:tc>
          <w:tcPr>
            <w:tcW w:w="1698" w:type="dxa"/>
            <w:vAlign w:val="bottom"/>
          </w:tcPr>
          <w:p w14:paraId="1E0F25E6" w14:textId="22EA4D7D" w:rsidR="00CE13F7" w:rsidRPr="00CE13F7" w:rsidRDefault="00CE13F7" w:rsidP="00CE13F7">
            <w:pPr>
              <w:widowControl w:val="0"/>
              <w:ind w:left="57" w:right="-85"/>
              <w:jc w:val="right"/>
              <w:rPr>
                <w:rFonts w:eastAsia="Batang" w:cs="Arial"/>
                <w:bCs/>
                <w:i/>
                <w:iCs/>
                <w:highlight w:val="yellow"/>
                <w:lang w:eastAsia="ko-KR"/>
              </w:rPr>
            </w:pPr>
            <w:r w:rsidRPr="00CE13F7">
              <w:rPr>
                <w:i/>
                <w:iCs/>
              </w:rPr>
              <w:t xml:space="preserve"> 7</w:t>
            </w:r>
            <w:r w:rsidR="00C222A6">
              <w:rPr>
                <w:i/>
                <w:iCs/>
              </w:rPr>
              <w:t>,</w:t>
            </w:r>
            <w:r w:rsidRPr="00CE13F7">
              <w:rPr>
                <w:i/>
                <w:iCs/>
              </w:rPr>
              <w:t>721</w:t>
            </w:r>
            <w:r w:rsidR="00C222A6">
              <w:rPr>
                <w:i/>
                <w:iCs/>
              </w:rPr>
              <w:t>,</w:t>
            </w:r>
            <w:r w:rsidRPr="00CE13F7">
              <w:rPr>
                <w:i/>
                <w:iCs/>
              </w:rPr>
              <w:t>706</w:t>
            </w:r>
            <w:r w:rsidR="00C222A6">
              <w:rPr>
                <w:i/>
                <w:iCs/>
              </w:rPr>
              <w:t>,</w:t>
            </w:r>
            <w:r w:rsidRPr="00CE13F7">
              <w:rPr>
                <w:i/>
                <w:iCs/>
              </w:rPr>
              <w:t xml:space="preserve">880 </w:t>
            </w:r>
          </w:p>
        </w:tc>
        <w:tc>
          <w:tcPr>
            <w:tcW w:w="1698" w:type="dxa"/>
            <w:vAlign w:val="bottom"/>
          </w:tcPr>
          <w:p w14:paraId="462D9F8D" w14:textId="32A51613" w:rsidR="00CE13F7" w:rsidRPr="00CE13F7" w:rsidRDefault="00CE13F7" w:rsidP="00CE13F7">
            <w:pPr>
              <w:widowControl w:val="0"/>
              <w:ind w:left="57" w:right="-85"/>
              <w:jc w:val="right"/>
              <w:rPr>
                <w:rFonts w:eastAsia="Batang" w:cs="Arial"/>
                <w:bCs/>
                <w:i/>
                <w:iCs/>
                <w:highlight w:val="yellow"/>
                <w:lang w:eastAsia="ko-KR"/>
              </w:rPr>
            </w:pPr>
            <w:r w:rsidRPr="00CE13F7">
              <w:rPr>
                <w:i/>
                <w:iCs/>
              </w:rPr>
              <w:t>7</w:t>
            </w:r>
            <w:r w:rsidR="00C222A6">
              <w:rPr>
                <w:i/>
                <w:iCs/>
              </w:rPr>
              <w:t>,</w:t>
            </w:r>
            <w:r w:rsidRPr="00CE13F7">
              <w:rPr>
                <w:i/>
                <w:iCs/>
              </w:rPr>
              <w:t>703</w:t>
            </w:r>
            <w:r w:rsidR="00C222A6">
              <w:rPr>
                <w:i/>
                <w:iCs/>
              </w:rPr>
              <w:t>,</w:t>
            </w:r>
            <w:r w:rsidRPr="00CE13F7">
              <w:rPr>
                <w:i/>
                <w:iCs/>
              </w:rPr>
              <w:t>623</w:t>
            </w:r>
            <w:r w:rsidR="00C222A6">
              <w:rPr>
                <w:i/>
                <w:iCs/>
              </w:rPr>
              <w:t>,</w:t>
            </w:r>
            <w:r w:rsidRPr="00CE13F7">
              <w:rPr>
                <w:i/>
                <w:iCs/>
              </w:rPr>
              <w:t xml:space="preserve">258 </w:t>
            </w:r>
          </w:p>
        </w:tc>
      </w:tr>
      <w:tr w:rsidR="00CE13F7" w:rsidRPr="002A0B87" w14:paraId="346470F6" w14:textId="77777777" w:rsidTr="00CE13F7">
        <w:trPr>
          <w:trHeight w:val="20"/>
        </w:trPr>
        <w:tc>
          <w:tcPr>
            <w:tcW w:w="4764" w:type="dxa"/>
          </w:tcPr>
          <w:p w14:paraId="6CBB6804" w14:textId="4D89C4FD" w:rsidR="00CE13F7" w:rsidRPr="002A0B87" w:rsidRDefault="00CE13F7" w:rsidP="00CE13F7">
            <w:pPr>
              <w:widowControl w:val="0"/>
              <w:ind w:left="245" w:hanging="360"/>
              <w:rPr>
                <w:rFonts w:cs="Arial"/>
                <w:i/>
              </w:rPr>
            </w:pPr>
            <w:r w:rsidRPr="002A0B87">
              <w:rPr>
                <w:rFonts w:cs="Arial"/>
                <w:i/>
              </w:rPr>
              <w:t>-</w:t>
            </w:r>
            <w:r w:rsidRPr="002A0B87">
              <w:rPr>
                <w:rFonts w:cs="Arial"/>
                <w:i/>
              </w:rPr>
              <w:tab/>
            </w:r>
            <w:r w:rsidRPr="00640A9A">
              <w:rPr>
                <w:rFonts w:cs="Arial"/>
                <w:i/>
              </w:rPr>
              <w:t>Outsourcing services</w:t>
            </w:r>
          </w:p>
        </w:tc>
        <w:tc>
          <w:tcPr>
            <w:tcW w:w="1698" w:type="dxa"/>
            <w:vAlign w:val="bottom"/>
          </w:tcPr>
          <w:p w14:paraId="6C924149" w14:textId="12E52D83" w:rsidR="00CE13F7" w:rsidRPr="00CE13F7" w:rsidRDefault="00CE13F7" w:rsidP="00CE13F7">
            <w:pPr>
              <w:widowControl w:val="0"/>
              <w:ind w:left="57" w:right="-85"/>
              <w:jc w:val="right"/>
              <w:rPr>
                <w:rFonts w:eastAsia="Batang" w:cs="Arial"/>
                <w:bCs/>
                <w:i/>
                <w:iCs/>
                <w:highlight w:val="yellow"/>
                <w:lang w:eastAsia="ko-KR"/>
              </w:rPr>
            </w:pPr>
            <w:r w:rsidRPr="00CE13F7">
              <w:rPr>
                <w:i/>
                <w:iCs/>
              </w:rPr>
              <w:t xml:space="preserve"> 8</w:t>
            </w:r>
            <w:r w:rsidR="00C222A6">
              <w:rPr>
                <w:i/>
                <w:iCs/>
              </w:rPr>
              <w:t>,</w:t>
            </w:r>
            <w:r w:rsidRPr="00CE13F7">
              <w:rPr>
                <w:i/>
                <w:iCs/>
              </w:rPr>
              <w:t>135</w:t>
            </w:r>
            <w:r w:rsidR="00C222A6">
              <w:rPr>
                <w:i/>
                <w:iCs/>
              </w:rPr>
              <w:t>,</w:t>
            </w:r>
            <w:r w:rsidRPr="00CE13F7">
              <w:rPr>
                <w:i/>
                <w:iCs/>
              </w:rPr>
              <w:t>104</w:t>
            </w:r>
            <w:r w:rsidR="00C222A6">
              <w:rPr>
                <w:i/>
                <w:iCs/>
              </w:rPr>
              <w:t>,</w:t>
            </w:r>
            <w:r w:rsidRPr="00CE13F7">
              <w:rPr>
                <w:i/>
                <w:iCs/>
              </w:rPr>
              <w:t xml:space="preserve">483 </w:t>
            </w:r>
          </w:p>
        </w:tc>
        <w:tc>
          <w:tcPr>
            <w:tcW w:w="1698" w:type="dxa"/>
            <w:vAlign w:val="bottom"/>
          </w:tcPr>
          <w:p w14:paraId="41DF73A6" w14:textId="05549CE9" w:rsidR="00CE13F7" w:rsidRPr="00CE13F7" w:rsidRDefault="00CE13F7" w:rsidP="00CE13F7">
            <w:pPr>
              <w:widowControl w:val="0"/>
              <w:ind w:left="57" w:right="-85"/>
              <w:jc w:val="right"/>
              <w:rPr>
                <w:rFonts w:eastAsia="Batang" w:cs="Arial"/>
                <w:bCs/>
                <w:i/>
                <w:iCs/>
                <w:highlight w:val="yellow"/>
                <w:lang w:eastAsia="ko-KR"/>
              </w:rPr>
            </w:pPr>
            <w:r w:rsidRPr="00CE13F7">
              <w:rPr>
                <w:i/>
                <w:iCs/>
              </w:rPr>
              <w:t>4</w:t>
            </w:r>
            <w:r w:rsidR="00C222A6">
              <w:rPr>
                <w:i/>
                <w:iCs/>
              </w:rPr>
              <w:t>,</w:t>
            </w:r>
            <w:r w:rsidRPr="00CE13F7">
              <w:rPr>
                <w:i/>
                <w:iCs/>
              </w:rPr>
              <w:t>148</w:t>
            </w:r>
            <w:r w:rsidR="00C222A6">
              <w:rPr>
                <w:i/>
                <w:iCs/>
              </w:rPr>
              <w:t>,</w:t>
            </w:r>
            <w:r w:rsidRPr="00CE13F7">
              <w:rPr>
                <w:i/>
                <w:iCs/>
              </w:rPr>
              <w:t>278</w:t>
            </w:r>
            <w:r w:rsidR="00C222A6">
              <w:rPr>
                <w:i/>
                <w:iCs/>
              </w:rPr>
              <w:t>,</w:t>
            </w:r>
            <w:r w:rsidRPr="00CE13F7">
              <w:rPr>
                <w:i/>
                <w:iCs/>
              </w:rPr>
              <w:t xml:space="preserve">871 </w:t>
            </w:r>
          </w:p>
        </w:tc>
      </w:tr>
      <w:tr w:rsidR="00CE13F7" w:rsidRPr="002A0B87" w14:paraId="6DC1E933" w14:textId="77777777" w:rsidTr="00CE13F7">
        <w:trPr>
          <w:trHeight w:val="20"/>
        </w:trPr>
        <w:tc>
          <w:tcPr>
            <w:tcW w:w="4764" w:type="dxa"/>
          </w:tcPr>
          <w:p w14:paraId="0C4E560D" w14:textId="21A4C777" w:rsidR="00CE13F7" w:rsidRPr="002A0B87" w:rsidRDefault="00CE13F7" w:rsidP="00CE13F7">
            <w:pPr>
              <w:widowControl w:val="0"/>
              <w:ind w:left="245" w:hanging="360"/>
              <w:rPr>
                <w:rFonts w:cs="Arial"/>
                <w:i/>
              </w:rPr>
            </w:pPr>
            <w:r w:rsidRPr="002A0B87">
              <w:rPr>
                <w:rFonts w:cs="Arial"/>
                <w:i/>
              </w:rPr>
              <w:t>-</w:t>
            </w:r>
            <w:r w:rsidRPr="002A0B87">
              <w:rPr>
                <w:rFonts w:cs="Arial"/>
                <w:i/>
              </w:rPr>
              <w:tab/>
            </w:r>
            <w:r w:rsidRPr="000222B1">
              <w:rPr>
                <w:rFonts w:cs="Arial"/>
                <w:i/>
              </w:rPr>
              <w:t>Other expenses</w:t>
            </w:r>
          </w:p>
        </w:tc>
        <w:tc>
          <w:tcPr>
            <w:tcW w:w="1698" w:type="dxa"/>
            <w:vAlign w:val="bottom"/>
          </w:tcPr>
          <w:p w14:paraId="3447EB8B" w14:textId="28FD952D" w:rsidR="00CE13F7" w:rsidRPr="00CE13F7" w:rsidRDefault="00CE13F7" w:rsidP="00CE13F7">
            <w:pPr>
              <w:widowControl w:val="0"/>
              <w:pBdr>
                <w:bottom w:val="single" w:sz="4" w:space="0" w:color="auto"/>
              </w:pBdr>
              <w:ind w:left="57" w:right="-85"/>
              <w:jc w:val="right"/>
              <w:rPr>
                <w:rFonts w:eastAsia="Batang" w:cs="Arial"/>
                <w:i/>
                <w:iCs/>
                <w:highlight w:val="yellow"/>
                <w:lang w:eastAsia="ko-KR"/>
              </w:rPr>
            </w:pPr>
            <w:r w:rsidRPr="00CE13F7">
              <w:rPr>
                <w:i/>
                <w:iCs/>
              </w:rPr>
              <w:t xml:space="preserve"> 286</w:t>
            </w:r>
            <w:r w:rsidR="00C222A6">
              <w:rPr>
                <w:i/>
                <w:iCs/>
              </w:rPr>
              <w:t>,</w:t>
            </w:r>
            <w:r w:rsidRPr="00CE13F7">
              <w:rPr>
                <w:i/>
                <w:iCs/>
              </w:rPr>
              <w:t>337</w:t>
            </w:r>
            <w:r w:rsidR="00C222A6">
              <w:rPr>
                <w:i/>
                <w:iCs/>
              </w:rPr>
              <w:t>,</w:t>
            </w:r>
            <w:r w:rsidRPr="00CE13F7">
              <w:rPr>
                <w:i/>
                <w:iCs/>
              </w:rPr>
              <w:t xml:space="preserve">529 </w:t>
            </w:r>
          </w:p>
        </w:tc>
        <w:tc>
          <w:tcPr>
            <w:tcW w:w="1698" w:type="dxa"/>
            <w:vAlign w:val="bottom"/>
          </w:tcPr>
          <w:p w14:paraId="4623FD86" w14:textId="25D51569" w:rsidR="00CE13F7" w:rsidRPr="00CE13F7" w:rsidRDefault="00CE13F7" w:rsidP="00CE13F7">
            <w:pPr>
              <w:widowControl w:val="0"/>
              <w:pBdr>
                <w:bottom w:val="single" w:sz="4" w:space="0" w:color="auto"/>
              </w:pBdr>
              <w:ind w:left="57" w:right="-85"/>
              <w:jc w:val="right"/>
              <w:rPr>
                <w:rFonts w:eastAsia="Batang" w:cs="Arial"/>
                <w:i/>
                <w:iCs/>
                <w:highlight w:val="yellow"/>
                <w:lang w:eastAsia="ko-KR"/>
              </w:rPr>
            </w:pPr>
            <w:r w:rsidRPr="00CE13F7">
              <w:rPr>
                <w:i/>
                <w:iCs/>
              </w:rPr>
              <w:t>75</w:t>
            </w:r>
            <w:r w:rsidR="00C222A6">
              <w:rPr>
                <w:i/>
                <w:iCs/>
              </w:rPr>
              <w:t>,</w:t>
            </w:r>
            <w:r w:rsidRPr="00CE13F7">
              <w:rPr>
                <w:i/>
                <w:iCs/>
              </w:rPr>
              <w:t>776</w:t>
            </w:r>
            <w:r w:rsidR="00C222A6">
              <w:rPr>
                <w:i/>
                <w:iCs/>
              </w:rPr>
              <w:t>,</w:t>
            </w:r>
            <w:r w:rsidRPr="00CE13F7">
              <w:rPr>
                <w:i/>
                <w:iCs/>
              </w:rPr>
              <w:t xml:space="preserve">164 </w:t>
            </w:r>
          </w:p>
        </w:tc>
      </w:tr>
      <w:tr w:rsidR="00CE13F7" w:rsidRPr="002A0B87" w14:paraId="5D3F2425" w14:textId="77777777" w:rsidTr="00CE13F7">
        <w:trPr>
          <w:trHeight w:val="20"/>
        </w:trPr>
        <w:tc>
          <w:tcPr>
            <w:tcW w:w="4764" w:type="dxa"/>
            <w:vAlign w:val="bottom"/>
          </w:tcPr>
          <w:p w14:paraId="431C3C78" w14:textId="77777777" w:rsidR="00CE13F7" w:rsidRPr="002A0B87" w:rsidRDefault="00CE13F7" w:rsidP="00CE13F7">
            <w:pPr>
              <w:widowControl w:val="0"/>
              <w:spacing w:before="120"/>
              <w:ind w:left="-115" w:firstLine="12"/>
              <w:rPr>
                <w:rFonts w:cs="Arial"/>
                <w:b/>
              </w:rPr>
            </w:pPr>
          </w:p>
        </w:tc>
        <w:tc>
          <w:tcPr>
            <w:tcW w:w="1698" w:type="dxa"/>
            <w:vAlign w:val="bottom"/>
          </w:tcPr>
          <w:p w14:paraId="2D4893A6" w14:textId="59A981DB" w:rsidR="00CE13F7" w:rsidRPr="00C222A6" w:rsidRDefault="00CE13F7" w:rsidP="00CE13F7">
            <w:pPr>
              <w:widowControl w:val="0"/>
              <w:pBdr>
                <w:bottom w:val="double" w:sz="4" w:space="0" w:color="auto"/>
              </w:pBdr>
              <w:spacing w:before="120"/>
              <w:ind w:left="57" w:right="-85"/>
              <w:jc w:val="right"/>
              <w:rPr>
                <w:rFonts w:eastAsia="Batang" w:cs="Arial"/>
                <w:b/>
                <w:bCs/>
                <w:highlight w:val="yellow"/>
                <w:lang w:eastAsia="ko-KR"/>
              </w:rPr>
            </w:pPr>
            <w:r w:rsidRPr="00C222A6">
              <w:rPr>
                <w:b/>
                <w:bCs/>
              </w:rPr>
              <w:t xml:space="preserve"> 49</w:t>
            </w:r>
            <w:r w:rsidR="00C222A6" w:rsidRPr="00C222A6">
              <w:rPr>
                <w:b/>
                <w:bCs/>
              </w:rPr>
              <w:t>,</w:t>
            </w:r>
            <w:r w:rsidRPr="00C222A6">
              <w:rPr>
                <w:b/>
                <w:bCs/>
              </w:rPr>
              <w:t>231</w:t>
            </w:r>
            <w:r w:rsidR="00C222A6" w:rsidRPr="00C222A6">
              <w:rPr>
                <w:b/>
                <w:bCs/>
              </w:rPr>
              <w:t>,</w:t>
            </w:r>
            <w:r w:rsidRPr="00C222A6">
              <w:rPr>
                <w:b/>
                <w:bCs/>
              </w:rPr>
              <w:t>820</w:t>
            </w:r>
            <w:r w:rsidR="00C222A6" w:rsidRPr="00C222A6">
              <w:rPr>
                <w:b/>
                <w:bCs/>
              </w:rPr>
              <w:t>,</w:t>
            </w:r>
            <w:r w:rsidRPr="00C222A6">
              <w:rPr>
                <w:b/>
                <w:bCs/>
              </w:rPr>
              <w:t xml:space="preserve">606 </w:t>
            </w:r>
          </w:p>
        </w:tc>
        <w:tc>
          <w:tcPr>
            <w:tcW w:w="1698" w:type="dxa"/>
            <w:vAlign w:val="bottom"/>
          </w:tcPr>
          <w:p w14:paraId="545508CB" w14:textId="50C6F1D9" w:rsidR="00CE13F7" w:rsidRPr="00C222A6" w:rsidRDefault="00CE13F7" w:rsidP="00CE13F7">
            <w:pPr>
              <w:widowControl w:val="0"/>
              <w:pBdr>
                <w:bottom w:val="double" w:sz="4" w:space="0" w:color="auto"/>
              </w:pBdr>
              <w:spacing w:before="120"/>
              <w:ind w:left="57" w:right="-85"/>
              <w:jc w:val="right"/>
              <w:rPr>
                <w:rFonts w:cs="Arial"/>
                <w:b/>
                <w:bCs/>
                <w:highlight w:val="yellow"/>
              </w:rPr>
            </w:pPr>
            <w:r w:rsidRPr="00C222A6">
              <w:rPr>
                <w:b/>
                <w:bCs/>
              </w:rPr>
              <w:t>66</w:t>
            </w:r>
            <w:r w:rsidR="00C222A6" w:rsidRPr="00C222A6">
              <w:rPr>
                <w:b/>
                <w:bCs/>
              </w:rPr>
              <w:t>,</w:t>
            </w:r>
            <w:r w:rsidRPr="00C222A6">
              <w:rPr>
                <w:b/>
                <w:bCs/>
              </w:rPr>
              <w:t>035</w:t>
            </w:r>
            <w:r w:rsidR="00C222A6" w:rsidRPr="00C222A6">
              <w:rPr>
                <w:b/>
                <w:bCs/>
              </w:rPr>
              <w:t>,</w:t>
            </w:r>
            <w:r w:rsidRPr="00C222A6">
              <w:rPr>
                <w:b/>
                <w:bCs/>
              </w:rPr>
              <w:t>992</w:t>
            </w:r>
            <w:r w:rsidR="00C222A6" w:rsidRPr="00C222A6">
              <w:rPr>
                <w:b/>
                <w:bCs/>
              </w:rPr>
              <w:t>,</w:t>
            </w:r>
            <w:r w:rsidRPr="00C222A6">
              <w:rPr>
                <w:b/>
                <w:bCs/>
              </w:rPr>
              <w:t xml:space="preserve">076 </w:t>
            </w:r>
          </w:p>
        </w:tc>
      </w:tr>
    </w:tbl>
    <w:p w14:paraId="2AA9AE15" w14:textId="47D2F337" w:rsidR="00D348C4" w:rsidRDefault="00D348C4" w:rsidP="004B1241">
      <w:pPr>
        <w:pStyle w:val="NoSpacing"/>
      </w:pPr>
    </w:p>
    <w:p w14:paraId="02C953F5" w14:textId="77777777" w:rsidR="00D736DE" w:rsidRPr="00D736DE" w:rsidRDefault="00D736DE" w:rsidP="00D736DE">
      <w:pPr>
        <w:pStyle w:val="NoSpacing"/>
      </w:pPr>
    </w:p>
    <w:p w14:paraId="612F53AF" w14:textId="7E5CDBA8" w:rsidR="00927A54" w:rsidRPr="002A0B87" w:rsidRDefault="00024C64" w:rsidP="00927A54">
      <w:pPr>
        <w:pStyle w:val="ListParagraph"/>
        <w:overflowPunct/>
        <w:autoSpaceDE/>
        <w:autoSpaceDN/>
        <w:adjustRightInd/>
        <w:ind w:hanging="720"/>
        <w:textAlignment w:val="auto"/>
        <w:outlineLvl w:val="0"/>
        <w:rPr>
          <w:rFonts w:cs="Arial"/>
          <w:b/>
          <w:lang w:val="vi-VN"/>
        </w:rPr>
      </w:pPr>
      <w:r>
        <w:rPr>
          <w:rFonts w:cs="Arial"/>
          <w:b/>
          <w:lang w:val="en-US"/>
        </w:rPr>
        <w:t>2</w:t>
      </w:r>
      <w:r w:rsidR="00D736DE">
        <w:rPr>
          <w:rFonts w:cs="Arial"/>
          <w:b/>
          <w:lang w:val="en-US"/>
        </w:rPr>
        <w:t>2</w:t>
      </w:r>
      <w:r w:rsidR="00927A54" w:rsidRPr="002A0B87">
        <w:rPr>
          <w:rFonts w:cs="Arial"/>
          <w:b/>
          <w:lang w:val="vi-VN"/>
        </w:rPr>
        <w:t>.</w:t>
      </w:r>
      <w:r w:rsidR="00927A54" w:rsidRPr="002A0B87">
        <w:rPr>
          <w:rFonts w:cs="Arial"/>
          <w:b/>
          <w:lang w:val="vi-VN"/>
        </w:rPr>
        <w:tab/>
      </w:r>
      <w:r w:rsidR="001B7627" w:rsidRPr="001B7627">
        <w:rPr>
          <w:rFonts w:cs="Arial"/>
          <w:b/>
          <w:lang w:val="vi-VN"/>
        </w:rPr>
        <w:t>FINANCIAL INCOME</w:t>
      </w:r>
      <w:r w:rsidR="001B7627" w:rsidRPr="001B7627" w:rsidDel="001B7627">
        <w:rPr>
          <w:rFonts w:cs="Arial"/>
          <w:b/>
          <w:lang w:val="vi-VN"/>
        </w:rPr>
        <w:t xml:space="preserve"> </w:t>
      </w:r>
    </w:p>
    <w:p w14:paraId="6FAA5A8E" w14:textId="77777777" w:rsidR="00927A54" w:rsidRPr="002A0B87" w:rsidRDefault="00927A54" w:rsidP="00760439">
      <w:pPr>
        <w:pStyle w:val="NoSpacing"/>
      </w:pPr>
    </w:p>
    <w:tbl>
      <w:tblPr>
        <w:tblW w:w="8160" w:type="dxa"/>
        <w:tblInd w:w="720" w:type="dxa"/>
        <w:tblLayout w:type="fixed"/>
        <w:tblLook w:val="01E0" w:firstRow="1" w:lastRow="1" w:firstColumn="1" w:lastColumn="1" w:noHBand="0" w:noVBand="0"/>
      </w:tblPr>
      <w:tblGrid>
        <w:gridCol w:w="4764"/>
        <w:gridCol w:w="1698"/>
        <w:gridCol w:w="1698"/>
      </w:tblGrid>
      <w:tr w:rsidR="00F20ED9" w:rsidRPr="002A0B87" w14:paraId="7FAE066D" w14:textId="77777777" w:rsidTr="002A30AF">
        <w:trPr>
          <w:trHeight w:val="20"/>
          <w:tblHeader/>
        </w:trPr>
        <w:tc>
          <w:tcPr>
            <w:tcW w:w="4764" w:type="dxa"/>
            <w:vAlign w:val="bottom"/>
          </w:tcPr>
          <w:p w14:paraId="7560EEB2" w14:textId="77777777" w:rsidR="00F20ED9" w:rsidRPr="002A0B87" w:rsidRDefault="00F20ED9" w:rsidP="00BA05B1">
            <w:pPr>
              <w:widowControl w:val="0"/>
              <w:overflowPunct/>
              <w:autoSpaceDE/>
              <w:autoSpaceDN/>
              <w:adjustRightInd/>
              <w:ind w:left="-115"/>
              <w:textAlignment w:val="auto"/>
              <w:rPr>
                <w:rFonts w:eastAsia="Batang" w:cs="Arial"/>
                <w:i/>
                <w:lang w:val="es-ES"/>
              </w:rPr>
            </w:pPr>
          </w:p>
        </w:tc>
        <w:tc>
          <w:tcPr>
            <w:tcW w:w="1698" w:type="dxa"/>
            <w:vAlign w:val="bottom"/>
            <w:hideMark/>
          </w:tcPr>
          <w:p w14:paraId="7D9F77D4" w14:textId="4B63C6A6" w:rsidR="00F20ED9" w:rsidRPr="002A0B87" w:rsidRDefault="00AC6B17" w:rsidP="00F20ED9">
            <w:pPr>
              <w:widowControl w:val="0"/>
              <w:pBdr>
                <w:bottom w:val="single" w:sz="4" w:space="0" w:color="auto"/>
              </w:pBdr>
              <w:ind w:left="57" w:right="-85"/>
              <w:jc w:val="right"/>
              <w:rPr>
                <w:rFonts w:eastAsia="Batang" w:cs="Arial"/>
                <w:bCs/>
                <w:i/>
              </w:rPr>
            </w:pPr>
            <w:r w:rsidRPr="00AC6B17">
              <w:rPr>
                <w:rFonts w:eastAsia="Batang" w:cs="Arial"/>
                <w:bCs/>
                <w:i/>
              </w:rPr>
              <w:t>Current year</w:t>
            </w:r>
          </w:p>
          <w:p w14:paraId="2666769B" w14:textId="6C47F5C2" w:rsidR="00F20ED9" w:rsidRPr="002A0B87" w:rsidRDefault="00F20ED9" w:rsidP="00F20ED9">
            <w:pPr>
              <w:widowControl w:val="0"/>
              <w:pBdr>
                <w:bottom w:val="single" w:sz="4" w:space="0" w:color="auto"/>
              </w:pBdr>
              <w:ind w:left="57" w:right="-85"/>
              <w:jc w:val="right"/>
              <w:rPr>
                <w:rFonts w:cs="Arial"/>
                <w:bCs/>
                <w:i/>
              </w:rPr>
            </w:pPr>
            <w:r w:rsidRPr="002A0B87">
              <w:rPr>
                <w:rFonts w:eastAsia="Batang" w:cs="Arial"/>
                <w:i/>
                <w:iCs/>
              </w:rPr>
              <w:t>VND</w:t>
            </w:r>
          </w:p>
        </w:tc>
        <w:tc>
          <w:tcPr>
            <w:tcW w:w="1698" w:type="dxa"/>
            <w:vAlign w:val="bottom"/>
            <w:hideMark/>
          </w:tcPr>
          <w:p w14:paraId="10AF31B4" w14:textId="707D4B48" w:rsidR="00F20ED9" w:rsidRPr="002A0B87" w:rsidRDefault="008445CC" w:rsidP="00F20ED9">
            <w:pPr>
              <w:widowControl w:val="0"/>
              <w:pBdr>
                <w:bottom w:val="single" w:sz="4" w:space="0" w:color="auto"/>
              </w:pBdr>
              <w:ind w:left="57" w:right="-85"/>
              <w:jc w:val="right"/>
              <w:rPr>
                <w:rFonts w:eastAsia="Batang" w:cs="Arial"/>
                <w:bCs/>
                <w:i/>
              </w:rPr>
            </w:pPr>
            <w:r w:rsidRPr="008445CC">
              <w:rPr>
                <w:rFonts w:eastAsia="Batang" w:cs="Arial"/>
                <w:bCs/>
                <w:i/>
              </w:rPr>
              <w:t>Previous year</w:t>
            </w:r>
          </w:p>
          <w:p w14:paraId="23D6BA19" w14:textId="016C6E65" w:rsidR="00F20ED9" w:rsidRPr="002A0B87" w:rsidRDefault="00F20ED9" w:rsidP="00F20ED9">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683B9E" w:rsidRPr="002A0B87" w14:paraId="56C357A6" w14:textId="77777777" w:rsidTr="00683B9E">
        <w:trPr>
          <w:trHeight w:val="20"/>
        </w:trPr>
        <w:tc>
          <w:tcPr>
            <w:tcW w:w="4764" w:type="dxa"/>
            <w:vAlign w:val="bottom"/>
          </w:tcPr>
          <w:p w14:paraId="09E23C48" w14:textId="580369EE" w:rsidR="00683B9E" w:rsidRPr="002A0B87" w:rsidRDefault="00683B9E" w:rsidP="00683B9E">
            <w:pPr>
              <w:widowControl w:val="0"/>
              <w:spacing w:before="120"/>
              <w:ind w:left="-115"/>
              <w:jc w:val="left"/>
              <w:rPr>
                <w:rFonts w:cs="Arial"/>
              </w:rPr>
            </w:pPr>
            <w:r>
              <w:rPr>
                <w:rFonts w:cs="Arial"/>
              </w:rPr>
              <w:t>Realized and u</w:t>
            </w:r>
            <w:r w:rsidRPr="00687E66">
              <w:rPr>
                <w:rFonts w:cs="Arial"/>
              </w:rPr>
              <w:t>nrealized gain from exchange rate difference</w:t>
            </w:r>
          </w:p>
        </w:tc>
        <w:tc>
          <w:tcPr>
            <w:tcW w:w="1698" w:type="dxa"/>
            <w:vAlign w:val="bottom"/>
          </w:tcPr>
          <w:p w14:paraId="472F4A9B" w14:textId="4E94386F" w:rsidR="00683B9E" w:rsidRPr="006D6F74" w:rsidDel="00117541" w:rsidRDefault="00683B9E" w:rsidP="00683B9E">
            <w:pPr>
              <w:widowControl w:val="0"/>
              <w:spacing w:before="120"/>
              <w:ind w:left="57" w:right="-85"/>
              <w:jc w:val="right"/>
              <w:rPr>
                <w:rFonts w:cs="Arial"/>
              </w:rPr>
            </w:pPr>
            <w:r w:rsidRPr="00794282">
              <w:t xml:space="preserve"> 4</w:t>
            </w:r>
            <w:r>
              <w:t>,</w:t>
            </w:r>
            <w:r w:rsidRPr="00794282">
              <w:t>870</w:t>
            </w:r>
            <w:r>
              <w:t>,</w:t>
            </w:r>
            <w:r w:rsidRPr="00794282">
              <w:t xml:space="preserve">127 </w:t>
            </w:r>
          </w:p>
        </w:tc>
        <w:tc>
          <w:tcPr>
            <w:tcW w:w="1698" w:type="dxa"/>
            <w:vAlign w:val="bottom"/>
          </w:tcPr>
          <w:p w14:paraId="7C4DFBD7" w14:textId="44F73540" w:rsidR="00683B9E" w:rsidRPr="006D6F74" w:rsidDel="00117541" w:rsidRDefault="00683B9E" w:rsidP="00683B9E">
            <w:pPr>
              <w:widowControl w:val="0"/>
              <w:spacing w:before="120"/>
              <w:ind w:left="57" w:right="-85"/>
              <w:jc w:val="right"/>
              <w:rPr>
                <w:rFonts w:eastAsia="Batang" w:cs="Arial"/>
                <w:bCs/>
                <w:lang w:eastAsia="ko-KR"/>
              </w:rPr>
            </w:pPr>
            <w:r w:rsidRPr="00794282">
              <w:t>4</w:t>
            </w:r>
            <w:r>
              <w:t>,</w:t>
            </w:r>
            <w:r w:rsidRPr="00794282">
              <w:t>775</w:t>
            </w:r>
            <w:r>
              <w:t>,</w:t>
            </w:r>
            <w:r w:rsidRPr="00794282">
              <w:t xml:space="preserve">696 </w:t>
            </w:r>
          </w:p>
        </w:tc>
      </w:tr>
      <w:tr w:rsidR="00683B9E" w:rsidRPr="002A0B87" w14:paraId="51327B75" w14:textId="77777777" w:rsidTr="00683B9E">
        <w:trPr>
          <w:trHeight w:val="20"/>
        </w:trPr>
        <w:tc>
          <w:tcPr>
            <w:tcW w:w="4764" w:type="dxa"/>
            <w:vAlign w:val="bottom"/>
            <w:hideMark/>
          </w:tcPr>
          <w:p w14:paraId="5A4A0A41" w14:textId="11496FDC" w:rsidR="00683B9E" w:rsidRPr="002A0B87" w:rsidRDefault="00683B9E" w:rsidP="00683B9E">
            <w:pPr>
              <w:widowControl w:val="0"/>
              <w:ind w:left="-115"/>
              <w:rPr>
                <w:rFonts w:cs="Arial"/>
                <w:highlight w:val="yellow"/>
              </w:rPr>
            </w:pPr>
            <w:r w:rsidRPr="00331DF6">
              <w:rPr>
                <w:rFonts w:cs="Arial"/>
              </w:rPr>
              <w:t>Interest income from demand deposits</w:t>
            </w:r>
          </w:p>
        </w:tc>
        <w:tc>
          <w:tcPr>
            <w:tcW w:w="1698" w:type="dxa"/>
            <w:vAlign w:val="bottom"/>
          </w:tcPr>
          <w:p w14:paraId="65784570" w14:textId="23EF073B" w:rsidR="00683B9E" w:rsidRPr="002A0B87" w:rsidRDefault="00683B9E" w:rsidP="00683B9E">
            <w:pPr>
              <w:widowControl w:val="0"/>
              <w:pBdr>
                <w:bottom w:val="single" w:sz="4" w:space="0" w:color="auto"/>
              </w:pBdr>
              <w:ind w:left="57" w:right="-85"/>
              <w:jc w:val="right"/>
              <w:rPr>
                <w:rFonts w:eastAsia="Batang" w:cs="Arial"/>
                <w:highlight w:val="yellow"/>
                <w:lang w:eastAsia="ko-KR"/>
              </w:rPr>
            </w:pPr>
            <w:r w:rsidRPr="00794282">
              <w:t xml:space="preserve"> 482</w:t>
            </w:r>
            <w:r>
              <w:t>,</w:t>
            </w:r>
            <w:r w:rsidRPr="00794282">
              <w:t>242</w:t>
            </w:r>
            <w:r>
              <w:t>,</w:t>
            </w:r>
            <w:r w:rsidRPr="00794282">
              <w:t xml:space="preserve">882 </w:t>
            </w:r>
          </w:p>
        </w:tc>
        <w:tc>
          <w:tcPr>
            <w:tcW w:w="1698" w:type="dxa"/>
            <w:vAlign w:val="bottom"/>
          </w:tcPr>
          <w:p w14:paraId="520CD41F" w14:textId="685ABEB5" w:rsidR="00683B9E" w:rsidRPr="002A0B87" w:rsidRDefault="00683B9E" w:rsidP="00683B9E">
            <w:pPr>
              <w:widowControl w:val="0"/>
              <w:pBdr>
                <w:bottom w:val="single" w:sz="4" w:space="0" w:color="auto"/>
              </w:pBdr>
              <w:ind w:left="57" w:right="-85"/>
              <w:jc w:val="right"/>
              <w:rPr>
                <w:rFonts w:eastAsia="Batang" w:cs="Arial"/>
                <w:highlight w:val="yellow"/>
                <w:lang w:eastAsia="ko-KR"/>
              </w:rPr>
            </w:pPr>
            <w:r w:rsidRPr="00794282">
              <w:t>769</w:t>
            </w:r>
            <w:r>
              <w:t>,</w:t>
            </w:r>
            <w:r w:rsidRPr="00794282">
              <w:t>282</w:t>
            </w:r>
            <w:r>
              <w:t>,</w:t>
            </w:r>
            <w:r w:rsidRPr="00794282">
              <w:t xml:space="preserve">970 </w:t>
            </w:r>
          </w:p>
        </w:tc>
      </w:tr>
      <w:tr w:rsidR="00683B9E" w:rsidRPr="002A0B87" w14:paraId="797AFD49" w14:textId="77777777" w:rsidTr="00683B9E">
        <w:trPr>
          <w:trHeight w:val="20"/>
        </w:trPr>
        <w:tc>
          <w:tcPr>
            <w:tcW w:w="4764" w:type="dxa"/>
            <w:vAlign w:val="bottom"/>
          </w:tcPr>
          <w:p w14:paraId="18B71B50" w14:textId="77777777" w:rsidR="00683B9E" w:rsidRPr="002A0B87" w:rsidRDefault="00683B9E" w:rsidP="00683B9E">
            <w:pPr>
              <w:widowControl w:val="0"/>
              <w:spacing w:before="120"/>
              <w:ind w:left="-115"/>
              <w:rPr>
                <w:rFonts w:cs="Arial"/>
                <w:b/>
              </w:rPr>
            </w:pPr>
          </w:p>
        </w:tc>
        <w:tc>
          <w:tcPr>
            <w:tcW w:w="1698" w:type="dxa"/>
            <w:vAlign w:val="bottom"/>
          </w:tcPr>
          <w:p w14:paraId="439F7D71" w14:textId="4084DE1B" w:rsidR="00683B9E" w:rsidRPr="00683B9E" w:rsidRDefault="00683B9E" w:rsidP="00683B9E">
            <w:pPr>
              <w:widowControl w:val="0"/>
              <w:pBdr>
                <w:bottom w:val="double" w:sz="4" w:space="0" w:color="auto"/>
              </w:pBdr>
              <w:spacing w:before="120"/>
              <w:ind w:left="57" w:right="-85"/>
              <w:jc w:val="right"/>
              <w:rPr>
                <w:rFonts w:eastAsia="Batang" w:cs="Arial"/>
                <w:b/>
                <w:bCs/>
                <w:highlight w:val="yellow"/>
                <w:lang w:eastAsia="ko-KR"/>
              </w:rPr>
            </w:pPr>
            <w:r w:rsidRPr="00683B9E">
              <w:rPr>
                <w:b/>
                <w:bCs/>
              </w:rPr>
              <w:t xml:space="preserve"> 487,113,009 </w:t>
            </w:r>
          </w:p>
        </w:tc>
        <w:tc>
          <w:tcPr>
            <w:tcW w:w="1698" w:type="dxa"/>
            <w:vAlign w:val="bottom"/>
          </w:tcPr>
          <w:p w14:paraId="589C266D" w14:textId="6EE9FD49" w:rsidR="00683B9E" w:rsidRPr="00683B9E" w:rsidRDefault="00683B9E" w:rsidP="00683B9E">
            <w:pPr>
              <w:widowControl w:val="0"/>
              <w:pBdr>
                <w:bottom w:val="double" w:sz="4" w:space="0" w:color="auto"/>
              </w:pBdr>
              <w:spacing w:before="120"/>
              <w:ind w:left="57" w:right="-85"/>
              <w:jc w:val="right"/>
              <w:rPr>
                <w:rFonts w:cs="Arial"/>
                <w:b/>
                <w:bCs/>
                <w:highlight w:val="yellow"/>
              </w:rPr>
            </w:pPr>
            <w:r w:rsidRPr="00683B9E">
              <w:rPr>
                <w:b/>
                <w:bCs/>
              </w:rPr>
              <w:t xml:space="preserve">774,058,666 </w:t>
            </w:r>
          </w:p>
        </w:tc>
      </w:tr>
    </w:tbl>
    <w:p w14:paraId="31BFAF88" w14:textId="21BDB18D" w:rsidR="003D145B" w:rsidRPr="002A0B87" w:rsidRDefault="003D145B" w:rsidP="00760439">
      <w:pPr>
        <w:pStyle w:val="NoSpacing"/>
      </w:pPr>
    </w:p>
    <w:p w14:paraId="5F7C8609" w14:textId="77777777" w:rsidR="00AC1D85" w:rsidRDefault="00AC1D85" w:rsidP="00760439">
      <w:pPr>
        <w:pStyle w:val="NoSpacing"/>
        <w:sectPr w:rsidR="00AC1D85" w:rsidSect="00F5257E">
          <w:pgSz w:w="11909" w:h="16834" w:code="9"/>
          <w:pgMar w:top="1440" w:right="1440" w:bottom="864" w:left="1584" w:header="720" w:footer="576" w:gutter="0"/>
          <w:cols w:space="720"/>
          <w:docGrid w:linePitch="272"/>
        </w:sectPr>
      </w:pPr>
    </w:p>
    <w:p w14:paraId="52CF5675" w14:textId="52A7F668" w:rsidR="00D348C4" w:rsidRPr="002A0B87" w:rsidRDefault="00F5540A" w:rsidP="00D348C4">
      <w:pPr>
        <w:pStyle w:val="ListParagraph"/>
        <w:overflowPunct/>
        <w:autoSpaceDE/>
        <w:autoSpaceDN/>
        <w:adjustRightInd/>
        <w:ind w:hanging="720"/>
        <w:textAlignment w:val="auto"/>
        <w:outlineLvl w:val="0"/>
        <w:rPr>
          <w:rFonts w:cs="Arial"/>
          <w:b/>
          <w:lang w:val="vi-VN"/>
        </w:rPr>
      </w:pPr>
      <w:r>
        <w:rPr>
          <w:rFonts w:cs="Arial"/>
          <w:b/>
          <w:lang w:val="en-US"/>
        </w:rPr>
        <w:lastRenderedPageBreak/>
        <w:t>23</w:t>
      </w:r>
      <w:r w:rsidR="00D348C4" w:rsidRPr="002A0B87">
        <w:rPr>
          <w:rFonts w:cs="Arial"/>
          <w:b/>
          <w:lang w:val="vi-VN"/>
        </w:rPr>
        <w:t>.</w:t>
      </w:r>
      <w:r w:rsidR="00D348C4" w:rsidRPr="002A0B87">
        <w:rPr>
          <w:rFonts w:cs="Arial"/>
          <w:b/>
          <w:lang w:val="vi-VN"/>
        </w:rPr>
        <w:tab/>
      </w:r>
      <w:r w:rsidR="00CD07BD" w:rsidRPr="00CD07BD">
        <w:rPr>
          <w:rFonts w:cs="Arial"/>
          <w:b/>
          <w:lang w:val="vi-VN"/>
        </w:rPr>
        <w:t>FINANCIAL EXPENSES</w:t>
      </w:r>
      <w:r w:rsidR="00CD07BD" w:rsidRPr="00CD07BD" w:rsidDel="00CD07BD">
        <w:rPr>
          <w:rFonts w:cs="Arial"/>
          <w:b/>
          <w:lang w:val="vi-VN"/>
        </w:rPr>
        <w:t xml:space="preserve"> </w:t>
      </w:r>
    </w:p>
    <w:p w14:paraId="7734BA1D" w14:textId="77777777" w:rsidR="00D348C4" w:rsidRPr="002A0B87" w:rsidRDefault="00D348C4" w:rsidP="00760439">
      <w:pPr>
        <w:pStyle w:val="NoSpacing"/>
      </w:pPr>
    </w:p>
    <w:tbl>
      <w:tblPr>
        <w:tblW w:w="8160" w:type="dxa"/>
        <w:tblInd w:w="720" w:type="dxa"/>
        <w:tblLayout w:type="fixed"/>
        <w:tblLook w:val="01E0" w:firstRow="1" w:lastRow="1" w:firstColumn="1" w:lastColumn="1" w:noHBand="0" w:noVBand="0"/>
      </w:tblPr>
      <w:tblGrid>
        <w:gridCol w:w="4764"/>
        <w:gridCol w:w="1698"/>
        <w:gridCol w:w="1698"/>
      </w:tblGrid>
      <w:tr w:rsidR="00D348C4" w:rsidRPr="002A0B87" w14:paraId="711CF494" w14:textId="77777777" w:rsidTr="00AC6DCE">
        <w:trPr>
          <w:trHeight w:val="20"/>
          <w:tblHeader/>
        </w:trPr>
        <w:tc>
          <w:tcPr>
            <w:tcW w:w="4764" w:type="dxa"/>
            <w:vAlign w:val="bottom"/>
          </w:tcPr>
          <w:p w14:paraId="3CD4F527" w14:textId="77777777" w:rsidR="00D348C4" w:rsidRPr="002A0B87" w:rsidRDefault="00D348C4" w:rsidP="00BA05B1">
            <w:pPr>
              <w:widowControl w:val="0"/>
              <w:overflowPunct/>
              <w:autoSpaceDE/>
              <w:autoSpaceDN/>
              <w:adjustRightInd/>
              <w:ind w:left="-115"/>
              <w:textAlignment w:val="auto"/>
              <w:rPr>
                <w:rFonts w:eastAsia="Batang" w:cs="Arial"/>
                <w:i/>
                <w:lang w:val="es-ES"/>
              </w:rPr>
            </w:pPr>
          </w:p>
        </w:tc>
        <w:tc>
          <w:tcPr>
            <w:tcW w:w="1698" w:type="dxa"/>
            <w:vAlign w:val="bottom"/>
            <w:hideMark/>
          </w:tcPr>
          <w:p w14:paraId="7E92A2CF" w14:textId="10A4C4DB" w:rsidR="00D348C4" w:rsidRPr="002A0B87" w:rsidRDefault="00F164A4" w:rsidP="00AC6DCE">
            <w:pPr>
              <w:widowControl w:val="0"/>
              <w:pBdr>
                <w:bottom w:val="single" w:sz="4" w:space="0" w:color="auto"/>
              </w:pBdr>
              <w:ind w:left="57" w:right="-85"/>
              <w:jc w:val="right"/>
              <w:rPr>
                <w:rFonts w:cs="Arial"/>
                <w:bCs/>
                <w:i/>
              </w:rPr>
            </w:pPr>
            <w:r w:rsidRPr="00F164A4">
              <w:rPr>
                <w:rFonts w:eastAsia="Batang" w:cs="Arial"/>
                <w:bCs/>
                <w:i/>
              </w:rPr>
              <w:t>Current year</w:t>
            </w:r>
            <w:r w:rsidR="00132A0B">
              <w:rPr>
                <w:rFonts w:eastAsia="Batang" w:cs="Arial"/>
                <w:bCs/>
                <w:i/>
              </w:rPr>
              <w:br/>
            </w:r>
            <w:r w:rsidR="00D348C4" w:rsidRPr="002A0B87">
              <w:rPr>
                <w:rFonts w:eastAsia="Batang" w:cs="Arial"/>
                <w:i/>
                <w:iCs/>
              </w:rPr>
              <w:t>VND</w:t>
            </w:r>
          </w:p>
        </w:tc>
        <w:tc>
          <w:tcPr>
            <w:tcW w:w="1698" w:type="dxa"/>
            <w:vAlign w:val="bottom"/>
            <w:hideMark/>
          </w:tcPr>
          <w:p w14:paraId="5A7CD942" w14:textId="57448126" w:rsidR="00D348C4" w:rsidRPr="002A0B87" w:rsidRDefault="00021715" w:rsidP="00AC6DCE">
            <w:pPr>
              <w:widowControl w:val="0"/>
              <w:pBdr>
                <w:bottom w:val="single" w:sz="4" w:space="0" w:color="auto"/>
              </w:pBdr>
              <w:ind w:left="57" w:right="-85"/>
              <w:jc w:val="right"/>
              <w:rPr>
                <w:rFonts w:eastAsia="Batang" w:cs="Arial"/>
                <w:bCs/>
                <w:i/>
              </w:rPr>
            </w:pPr>
            <w:r w:rsidRPr="00021715">
              <w:rPr>
                <w:rFonts w:eastAsia="Batang" w:cs="Arial"/>
                <w:bCs/>
                <w:i/>
              </w:rPr>
              <w:t>Previous year</w:t>
            </w:r>
          </w:p>
          <w:p w14:paraId="02A78EC6" w14:textId="77777777" w:rsidR="00D348C4" w:rsidRPr="002A0B87" w:rsidRDefault="00D348C4" w:rsidP="00AC6DCE">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753EA2" w:rsidRPr="002A0B87" w14:paraId="36401BDA" w14:textId="77777777" w:rsidTr="00753EA2">
        <w:trPr>
          <w:trHeight w:val="20"/>
        </w:trPr>
        <w:tc>
          <w:tcPr>
            <w:tcW w:w="4764" w:type="dxa"/>
            <w:hideMark/>
          </w:tcPr>
          <w:p w14:paraId="7EDFC9E0" w14:textId="7252D481" w:rsidR="00753EA2" w:rsidRPr="002A0B87" w:rsidRDefault="00753EA2" w:rsidP="00753EA2">
            <w:pPr>
              <w:widowControl w:val="0"/>
              <w:spacing w:before="120"/>
              <w:ind w:left="-115"/>
              <w:jc w:val="left"/>
              <w:rPr>
                <w:rFonts w:cs="Arial"/>
                <w:highlight w:val="yellow"/>
              </w:rPr>
            </w:pPr>
            <w:r>
              <w:rPr>
                <w:rFonts w:cs="Arial"/>
              </w:rPr>
              <w:t>Realized and u</w:t>
            </w:r>
            <w:r w:rsidRPr="00154D1A">
              <w:rPr>
                <w:rFonts w:cs="Arial"/>
              </w:rPr>
              <w:t>nrealized loss from exchange rate difference</w:t>
            </w:r>
          </w:p>
        </w:tc>
        <w:tc>
          <w:tcPr>
            <w:tcW w:w="1698" w:type="dxa"/>
            <w:vAlign w:val="bottom"/>
          </w:tcPr>
          <w:p w14:paraId="6A508DBC" w14:textId="0BB3A4F0" w:rsidR="00753EA2" w:rsidRPr="002A0B87" w:rsidRDefault="00753EA2" w:rsidP="00753EA2">
            <w:pPr>
              <w:widowControl w:val="0"/>
              <w:spacing w:before="120"/>
              <w:ind w:left="57" w:right="-85"/>
              <w:jc w:val="right"/>
              <w:rPr>
                <w:rFonts w:eastAsia="Batang" w:cs="Arial"/>
                <w:highlight w:val="yellow"/>
                <w:lang w:eastAsia="ko-KR"/>
              </w:rPr>
            </w:pPr>
            <w:r w:rsidRPr="00241C7A">
              <w:t xml:space="preserve"> - </w:t>
            </w:r>
          </w:p>
        </w:tc>
        <w:tc>
          <w:tcPr>
            <w:tcW w:w="1698" w:type="dxa"/>
            <w:vAlign w:val="bottom"/>
          </w:tcPr>
          <w:p w14:paraId="2F5A4CC6" w14:textId="68C0B7CB" w:rsidR="00753EA2" w:rsidRPr="002A0B87" w:rsidRDefault="00753EA2" w:rsidP="00753EA2">
            <w:pPr>
              <w:widowControl w:val="0"/>
              <w:spacing w:before="120"/>
              <w:ind w:left="57" w:right="-85"/>
              <w:jc w:val="right"/>
              <w:rPr>
                <w:rFonts w:eastAsia="Batang" w:cs="Arial"/>
                <w:highlight w:val="yellow"/>
                <w:lang w:eastAsia="ko-KR"/>
              </w:rPr>
            </w:pPr>
            <w:r w:rsidRPr="00241C7A">
              <w:t>1</w:t>
            </w:r>
            <w:r>
              <w:t>,</w:t>
            </w:r>
            <w:r w:rsidRPr="00241C7A">
              <w:t>624</w:t>
            </w:r>
            <w:r>
              <w:t>,</w:t>
            </w:r>
            <w:r w:rsidRPr="00241C7A">
              <w:t>569</w:t>
            </w:r>
          </w:p>
        </w:tc>
      </w:tr>
      <w:tr w:rsidR="00753EA2" w:rsidRPr="002A0B87" w14:paraId="3FC3AD61" w14:textId="77777777" w:rsidTr="00753EA2">
        <w:trPr>
          <w:trHeight w:val="20"/>
        </w:trPr>
        <w:tc>
          <w:tcPr>
            <w:tcW w:w="4764" w:type="dxa"/>
          </w:tcPr>
          <w:p w14:paraId="54793E74" w14:textId="3A4C4E6A" w:rsidR="00753EA2" w:rsidRPr="002A0B87" w:rsidRDefault="00753EA2" w:rsidP="00753EA2">
            <w:pPr>
              <w:widowControl w:val="0"/>
              <w:ind w:left="-115"/>
              <w:rPr>
                <w:rFonts w:cs="Arial"/>
                <w:highlight w:val="yellow"/>
              </w:rPr>
            </w:pPr>
            <w:r w:rsidRPr="00520921">
              <w:rPr>
                <w:rFonts w:cs="Arial"/>
              </w:rPr>
              <w:t>Interest expenses</w:t>
            </w:r>
          </w:p>
        </w:tc>
        <w:tc>
          <w:tcPr>
            <w:tcW w:w="1698" w:type="dxa"/>
            <w:vAlign w:val="bottom"/>
          </w:tcPr>
          <w:p w14:paraId="4A5DD430" w14:textId="292E963C" w:rsidR="00753EA2" w:rsidRPr="002A0B87" w:rsidRDefault="00753EA2" w:rsidP="00753EA2">
            <w:pPr>
              <w:widowControl w:val="0"/>
              <w:ind w:left="57" w:right="-85"/>
              <w:jc w:val="right"/>
              <w:rPr>
                <w:rFonts w:eastAsia="Batang" w:cs="Arial"/>
                <w:bCs/>
                <w:highlight w:val="yellow"/>
                <w:lang w:eastAsia="ko-KR"/>
              </w:rPr>
            </w:pPr>
            <w:r w:rsidRPr="00241C7A">
              <w:t xml:space="preserve"> 48</w:t>
            </w:r>
            <w:r>
              <w:t>,</w:t>
            </w:r>
            <w:r w:rsidRPr="00241C7A">
              <w:t>894</w:t>
            </w:r>
            <w:r>
              <w:t>,</w:t>
            </w:r>
            <w:r w:rsidRPr="00241C7A">
              <w:t>306</w:t>
            </w:r>
            <w:r>
              <w:t>,</w:t>
            </w:r>
            <w:r w:rsidRPr="00241C7A">
              <w:t xml:space="preserve">175 </w:t>
            </w:r>
          </w:p>
        </w:tc>
        <w:tc>
          <w:tcPr>
            <w:tcW w:w="1698" w:type="dxa"/>
            <w:vAlign w:val="bottom"/>
          </w:tcPr>
          <w:p w14:paraId="0CA20C6F" w14:textId="770CFE33" w:rsidR="00753EA2" w:rsidRPr="002A0B87" w:rsidRDefault="00753EA2" w:rsidP="00753EA2">
            <w:pPr>
              <w:widowControl w:val="0"/>
              <w:ind w:left="57" w:right="-85"/>
              <w:jc w:val="right"/>
              <w:rPr>
                <w:rFonts w:eastAsia="Batang" w:cs="Arial"/>
                <w:bCs/>
                <w:highlight w:val="yellow"/>
                <w:lang w:eastAsia="ko-KR"/>
              </w:rPr>
            </w:pPr>
            <w:r w:rsidRPr="00241C7A">
              <w:t>45</w:t>
            </w:r>
            <w:r>
              <w:t>,</w:t>
            </w:r>
            <w:r w:rsidRPr="00241C7A">
              <w:t>321</w:t>
            </w:r>
            <w:r>
              <w:t>,</w:t>
            </w:r>
            <w:r w:rsidRPr="00241C7A">
              <w:t>583</w:t>
            </w:r>
            <w:r>
              <w:t>,</w:t>
            </w:r>
            <w:r w:rsidRPr="00241C7A">
              <w:t>468</w:t>
            </w:r>
          </w:p>
        </w:tc>
      </w:tr>
      <w:tr w:rsidR="00753EA2" w:rsidRPr="002A0B87" w14:paraId="2BFE9848" w14:textId="77777777" w:rsidTr="00753EA2">
        <w:trPr>
          <w:trHeight w:val="20"/>
        </w:trPr>
        <w:tc>
          <w:tcPr>
            <w:tcW w:w="4764" w:type="dxa"/>
            <w:vAlign w:val="bottom"/>
            <w:hideMark/>
          </w:tcPr>
          <w:p w14:paraId="52DEB04F" w14:textId="276517D1" w:rsidR="00753EA2" w:rsidRPr="002A0B87" w:rsidRDefault="00753EA2" w:rsidP="00753EA2">
            <w:pPr>
              <w:widowControl w:val="0"/>
              <w:ind w:left="-115"/>
              <w:rPr>
                <w:rFonts w:cs="Arial"/>
                <w:highlight w:val="yellow"/>
              </w:rPr>
            </w:pPr>
            <w:r w:rsidRPr="00032EE6">
              <w:rPr>
                <w:rFonts w:cs="Arial"/>
              </w:rPr>
              <w:t>Other financial expenses</w:t>
            </w:r>
          </w:p>
        </w:tc>
        <w:tc>
          <w:tcPr>
            <w:tcW w:w="1698" w:type="dxa"/>
            <w:vAlign w:val="bottom"/>
          </w:tcPr>
          <w:p w14:paraId="441EAC27" w14:textId="6E9B2F95" w:rsidR="00753EA2" w:rsidRPr="002A0B87" w:rsidRDefault="00753EA2" w:rsidP="00753EA2">
            <w:pPr>
              <w:widowControl w:val="0"/>
              <w:pBdr>
                <w:bottom w:val="single" w:sz="4" w:space="0" w:color="auto"/>
              </w:pBdr>
              <w:ind w:left="57" w:right="-85"/>
              <w:jc w:val="right"/>
              <w:rPr>
                <w:rFonts w:eastAsia="Batang" w:cs="Arial"/>
                <w:highlight w:val="yellow"/>
                <w:lang w:eastAsia="ko-KR"/>
              </w:rPr>
            </w:pPr>
            <w:r w:rsidRPr="00241C7A">
              <w:t xml:space="preserve"> 5</w:t>
            </w:r>
            <w:r>
              <w:t>,</w:t>
            </w:r>
            <w:r w:rsidRPr="00241C7A">
              <w:t>866</w:t>
            </w:r>
            <w:r>
              <w:t>,</w:t>
            </w:r>
            <w:r w:rsidRPr="00241C7A">
              <w:t>401</w:t>
            </w:r>
            <w:r>
              <w:t>,</w:t>
            </w:r>
            <w:r w:rsidRPr="00241C7A">
              <w:t xml:space="preserve">387 </w:t>
            </w:r>
          </w:p>
        </w:tc>
        <w:tc>
          <w:tcPr>
            <w:tcW w:w="1698" w:type="dxa"/>
            <w:vAlign w:val="bottom"/>
          </w:tcPr>
          <w:p w14:paraId="67BF2BC2" w14:textId="46D04532" w:rsidR="00753EA2" w:rsidRPr="002A0B87" w:rsidRDefault="00753EA2" w:rsidP="00753EA2">
            <w:pPr>
              <w:widowControl w:val="0"/>
              <w:pBdr>
                <w:bottom w:val="single" w:sz="4" w:space="0" w:color="auto"/>
              </w:pBdr>
              <w:ind w:left="57" w:right="-85"/>
              <w:jc w:val="right"/>
              <w:rPr>
                <w:rFonts w:eastAsia="Batang" w:cs="Arial"/>
                <w:lang w:eastAsia="ko-KR"/>
              </w:rPr>
            </w:pPr>
            <w:r w:rsidRPr="00241C7A">
              <w:t>10</w:t>
            </w:r>
            <w:r>
              <w:t>,</w:t>
            </w:r>
            <w:r w:rsidRPr="00241C7A">
              <w:t>666</w:t>
            </w:r>
            <w:r>
              <w:t>,</w:t>
            </w:r>
            <w:r w:rsidRPr="00241C7A">
              <w:t>351</w:t>
            </w:r>
            <w:r>
              <w:t>,</w:t>
            </w:r>
            <w:r w:rsidRPr="00241C7A">
              <w:t xml:space="preserve">413 </w:t>
            </w:r>
          </w:p>
        </w:tc>
      </w:tr>
      <w:tr w:rsidR="00753EA2" w:rsidRPr="002A0B87" w14:paraId="1A832DAA" w14:textId="77777777" w:rsidTr="00753EA2">
        <w:trPr>
          <w:trHeight w:val="20"/>
        </w:trPr>
        <w:tc>
          <w:tcPr>
            <w:tcW w:w="4764" w:type="dxa"/>
            <w:vAlign w:val="bottom"/>
          </w:tcPr>
          <w:p w14:paraId="6124BDB9" w14:textId="77777777" w:rsidR="00753EA2" w:rsidRPr="002A0B87" w:rsidRDefault="00753EA2" w:rsidP="00753EA2">
            <w:pPr>
              <w:widowControl w:val="0"/>
              <w:spacing w:before="120"/>
              <w:ind w:left="-115"/>
              <w:rPr>
                <w:rFonts w:cs="Arial"/>
                <w:b/>
              </w:rPr>
            </w:pPr>
          </w:p>
        </w:tc>
        <w:tc>
          <w:tcPr>
            <w:tcW w:w="1698" w:type="dxa"/>
            <w:vAlign w:val="bottom"/>
          </w:tcPr>
          <w:p w14:paraId="598F4B8E" w14:textId="28F8ED18" w:rsidR="00753EA2" w:rsidRPr="00753EA2" w:rsidRDefault="00753EA2" w:rsidP="00753EA2">
            <w:pPr>
              <w:widowControl w:val="0"/>
              <w:pBdr>
                <w:bottom w:val="double" w:sz="4" w:space="0" w:color="auto"/>
              </w:pBdr>
              <w:spacing w:before="120"/>
              <w:ind w:left="57" w:right="-85"/>
              <w:jc w:val="right"/>
              <w:rPr>
                <w:rFonts w:eastAsia="Batang" w:cs="Arial"/>
                <w:b/>
                <w:bCs/>
                <w:highlight w:val="yellow"/>
                <w:lang w:eastAsia="ko-KR"/>
              </w:rPr>
            </w:pPr>
            <w:r w:rsidRPr="00753EA2">
              <w:rPr>
                <w:b/>
                <w:bCs/>
              </w:rPr>
              <w:t xml:space="preserve"> 54</w:t>
            </w:r>
            <w:r>
              <w:rPr>
                <w:b/>
                <w:bCs/>
              </w:rPr>
              <w:t>,</w:t>
            </w:r>
            <w:r w:rsidRPr="00753EA2">
              <w:rPr>
                <w:b/>
                <w:bCs/>
              </w:rPr>
              <w:t>760</w:t>
            </w:r>
            <w:r>
              <w:rPr>
                <w:b/>
                <w:bCs/>
              </w:rPr>
              <w:t>,</w:t>
            </w:r>
            <w:r w:rsidRPr="00753EA2">
              <w:rPr>
                <w:b/>
                <w:bCs/>
              </w:rPr>
              <w:t>707</w:t>
            </w:r>
            <w:r>
              <w:rPr>
                <w:b/>
                <w:bCs/>
              </w:rPr>
              <w:t>,</w:t>
            </w:r>
            <w:r w:rsidRPr="00753EA2">
              <w:rPr>
                <w:b/>
                <w:bCs/>
              </w:rPr>
              <w:t xml:space="preserve">562 </w:t>
            </w:r>
          </w:p>
        </w:tc>
        <w:tc>
          <w:tcPr>
            <w:tcW w:w="1698" w:type="dxa"/>
            <w:vAlign w:val="bottom"/>
          </w:tcPr>
          <w:p w14:paraId="69526F42" w14:textId="52D89879" w:rsidR="00753EA2" w:rsidRPr="00753EA2" w:rsidRDefault="00753EA2" w:rsidP="00753EA2">
            <w:pPr>
              <w:widowControl w:val="0"/>
              <w:pBdr>
                <w:bottom w:val="double" w:sz="4" w:space="0" w:color="auto"/>
              </w:pBdr>
              <w:spacing w:before="120"/>
              <w:ind w:left="57" w:right="-85"/>
              <w:jc w:val="right"/>
              <w:rPr>
                <w:rFonts w:cs="Arial"/>
                <w:b/>
                <w:bCs/>
                <w:highlight w:val="yellow"/>
              </w:rPr>
            </w:pPr>
            <w:r w:rsidRPr="00753EA2">
              <w:rPr>
                <w:b/>
                <w:bCs/>
              </w:rPr>
              <w:t>55</w:t>
            </w:r>
            <w:r>
              <w:rPr>
                <w:b/>
                <w:bCs/>
              </w:rPr>
              <w:t>,</w:t>
            </w:r>
            <w:r w:rsidRPr="00753EA2">
              <w:rPr>
                <w:b/>
                <w:bCs/>
              </w:rPr>
              <w:t>989</w:t>
            </w:r>
            <w:r>
              <w:rPr>
                <w:b/>
                <w:bCs/>
              </w:rPr>
              <w:t>,</w:t>
            </w:r>
            <w:r w:rsidRPr="00753EA2">
              <w:rPr>
                <w:b/>
                <w:bCs/>
              </w:rPr>
              <w:t>559</w:t>
            </w:r>
            <w:r>
              <w:rPr>
                <w:b/>
                <w:bCs/>
              </w:rPr>
              <w:t>,</w:t>
            </w:r>
            <w:r w:rsidRPr="00753EA2">
              <w:rPr>
                <w:b/>
                <w:bCs/>
              </w:rPr>
              <w:t>450</w:t>
            </w:r>
          </w:p>
        </w:tc>
      </w:tr>
    </w:tbl>
    <w:p w14:paraId="357BA1CF" w14:textId="77777777" w:rsidR="00D348C4" w:rsidRPr="002A0B87" w:rsidRDefault="00D348C4" w:rsidP="00760439">
      <w:pPr>
        <w:pStyle w:val="NoSpacing"/>
      </w:pPr>
    </w:p>
    <w:p w14:paraId="62FB4DE0" w14:textId="77777777" w:rsidR="00D348C4" w:rsidRPr="002A0B87" w:rsidRDefault="00D348C4" w:rsidP="00760439">
      <w:pPr>
        <w:pStyle w:val="NoSpacing"/>
      </w:pPr>
    </w:p>
    <w:p w14:paraId="5DE775BF" w14:textId="2C01BD89" w:rsidR="00D348C4" w:rsidRPr="002A0B87" w:rsidRDefault="00F5540A" w:rsidP="00D348C4">
      <w:pPr>
        <w:pStyle w:val="ListParagraph"/>
        <w:overflowPunct/>
        <w:autoSpaceDE/>
        <w:autoSpaceDN/>
        <w:adjustRightInd/>
        <w:ind w:hanging="720"/>
        <w:textAlignment w:val="auto"/>
        <w:outlineLvl w:val="0"/>
        <w:rPr>
          <w:rFonts w:cs="Arial"/>
          <w:b/>
          <w:lang w:val="vi-VN"/>
        </w:rPr>
      </w:pPr>
      <w:r>
        <w:rPr>
          <w:rFonts w:cs="Arial"/>
          <w:b/>
          <w:lang w:val="en-US"/>
        </w:rPr>
        <w:t>24</w:t>
      </w:r>
      <w:r w:rsidR="00D348C4" w:rsidRPr="002A0B87">
        <w:rPr>
          <w:rFonts w:cs="Arial"/>
          <w:b/>
          <w:lang w:val="vi-VN"/>
        </w:rPr>
        <w:t>.</w:t>
      </w:r>
      <w:r w:rsidR="00D348C4" w:rsidRPr="002A0B87">
        <w:rPr>
          <w:rFonts w:cs="Arial"/>
          <w:b/>
          <w:lang w:val="vi-VN"/>
        </w:rPr>
        <w:tab/>
      </w:r>
      <w:r w:rsidR="001C7C94" w:rsidRPr="001C7C94">
        <w:rPr>
          <w:rFonts w:cs="Arial"/>
          <w:b/>
          <w:lang w:val="vi-VN"/>
        </w:rPr>
        <w:t>GENERAL AND ADMINISTRATIVE EXPENSES</w:t>
      </w:r>
      <w:r w:rsidR="001C7C94" w:rsidRPr="001C7C94" w:rsidDel="001C7C94">
        <w:rPr>
          <w:rFonts w:cs="Arial"/>
          <w:b/>
          <w:lang w:val="vi-VN"/>
        </w:rPr>
        <w:t xml:space="preserve"> </w:t>
      </w:r>
    </w:p>
    <w:p w14:paraId="139D0565" w14:textId="77777777" w:rsidR="00D348C4" w:rsidRPr="002A0B87" w:rsidRDefault="00D348C4" w:rsidP="00760439">
      <w:pPr>
        <w:pStyle w:val="NoSpacing"/>
      </w:pPr>
    </w:p>
    <w:tbl>
      <w:tblPr>
        <w:tblW w:w="8160" w:type="dxa"/>
        <w:tblInd w:w="720" w:type="dxa"/>
        <w:tblLayout w:type="fixed"/>
        <w:tblLook w:val="01E0" w:firstRow="1" w:lastRow="1" w:firstColumn="1" w:lastColumn="1" w:noHBand="0" w:noVBand="0"/>
      </w:tblPr>
      <w:tblGrid>
        <w:gridCol w:w="4764"/>
        <w:gridCol w:w="1698"/>
        <w:gridCol w:w="1698"/>
      </w:tblGrid>
      <w:tr w:rsidR="00D348C4" w:rsidRPr="002A0B87" w14:paraId="7CAC6EFF" w14:textId="77777777" w:rsidTr="00AC6DCE">
        <w:trPr>
          <w:trHeight w:val="20"/>
          <w:tblHeader/>
        </w:trPr>
        <w:tc>
          <w:tcPr>
            <w:tcW w:w="4764" w:type="dxa"/>
            <w:vAlign w:val="bottom"/>
          </w:tcPr>
          <w:p w14:paraId="09E4A17A" w14:textId="77777777" w:rsidR="00D348C4" w:rsidRPr="002A0B87" w:rsidRDefault="00D348C4" w:rsidP="00233FAD">
            <w:pPr>
              <w:widowControl w:val="0"/>
              <w:overflowPunct/>
              <w:autoSpaceDE/>
              <w:autoSpaceDN/>
              <w:adjustRightInd/>
              <w:ind w:left="-115"/>
              <w:textAlignment w:val="auto"/>
              <w:rPr>
                <w:rFonts w:eastAsia="Batang" w:cs="Arial"/>
                <w:i/>
                <w:lang w:val="es-ES"/>
              </w:rPr>
            </w:pPr>
          </w:p>
        </w:tc>
        <w:tc>
          <w:tcPr>
            <w:tcW w:w="1698" w:type="dxa"/>
            <w:vAlign w:val="bottom"/>
            <w:hideMark/>
          </w:tcPr>
          <w:p w14:paraId="23137820" w14:textId="59D0F388" w:rsidR="00D348C4" w:rsidRPr="002A0B87" w:rsidRDefault="00225CAC" w:rsidP="00AC6DCE">
            <w:pPr>
              <w:widowControl w:val="0"/>
              <w:pBdr>
                <w:bottom w:val="single" w:sz="4" w:space="0" w:color="auto"/>
              </w:pBdr>
              <w:ind w:left="57" w:right="-85"/>
              <w:jc w:val="right"/>
              <w:rPr>
                <w:rFonts w:eastAsia="Batang" w:cs="Arial"/>
                <w:bCs/>
                <w:i/>
              </w:rPr>
            </w:pPr>
            <w:r w:rsidRPr="00225CAC">
              <w:rPr>
                <w:rFonts w:eastAsia="Batang" w:cs="Arial"/>
                <w:bCs/>
                <w:i/>
              </w:rPr>
              <w:t>Current year</w:t>
            </w:r>
          </w:p>
          <w:p w14:paraId="3CF41CF2" w14:textId="77777777" w:rsidR="00D348C4" w:rsidRPr="002A0B87" w:rsidRDefault="00D348C4" w:rsidP="00AC6DCE">
            <w:pPr>
              <w:widowControl w:val="0"/>
              <w:pBdr>
                <w:bottom w:val="single" w:sz="4" w:space="0" w:color="auto"/>
              </w:pBdr>
              <w:ind w:left="57" w:right="-85"/>
              <w:jc w:val="right"/>
              <w:rPr>
                <w:rFonts w:cs="Arial"/>
                <w:bCs/>
                <w:i/>
              </w:rPr>
            </w:pPr>
            <w:r w:rsidRPr="002A0B87">
              <w:rPr>
                <w:rFonts w:eastAsia="Batang" w:cs="Arial"/>
                <w:i/>
                <w:iCs/>
              </w:rPr>
              <w:t>VND</w:t>
            </w:r>
          </w:p>
        </w:tc>
        <w:tc>
          <w:tcPr>
            <w:tcW w:w="1698" w:type="dxa"/>
            <w:vAlign w:val="bottom"/>
            <w:hideMark/>
          </w:tcPr>
          <w:p w14:paraId="7C074807" w14:textId="3EACD851" w:rsidR="00D348C4" w:rsidRPr="002A0B87" w:rsidRDefault="00B052A9" w:rsidP="00AC6DCE">
            <w:pPr>
              <w:widowControl w:val="0"/>
              <w:pBdr>
                <w:bottom w:val="single" w:sz="4" w:space="0" w:color="auto"/>
              </w:pBdr>
              <w:ind w:left="57" w:right="-85"/>
              <w:jc w:val="right"/>
              <w:rPr>
                <w:rFonts w:eastAsia="Batang" w:cs="Arial"/>
                <w:bCs/>
                <w:i/>
              </w:rPr>
            </w:pPr>
            <w:r w:rsidRPr="00B052A9">
              <w:rPr>
                <w:rFonts w:eastAsia="Batang" w:cs="Arial"/>
                <w:bCs/>
                <w:i/>
              </w:rPr>
              <w:t>Previous year</w:t>
            </w:r>
          </w:p>
          <w:p w14:paraId="3E6325C3" w14:textId="77777777" w:rsidR="00D348C4" w:rsidRPr="002A0B87" w:rsidRDefault="00D348C4" w:rsidP="00AC6DCE">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32514B" w:rsidRPr="002A0B87" w14:paraId="260E5390" w14:textId="77777777" w:rsidTr="00635CB7">
        <w:trPr>
          <w:trHeight w:val="20"/>
        </w:trPr>
        <w:tc>
          <w:tcPr>
            <w:tcW w:w="4764" w:type="dxa"/>
            <w:vAlign w:val="bottom"/>
            <w:hideMark/>
          </w:tcPr>
          <w:p w14:paraId="7E2B1F93" w14:textId="07F381C8" w:rsidR="0032514B" w:rsidRPr="002A0B87" w:rsidRDefault="0032514B" w:rsidP="0032514B">
            <w:pPr>
              <w:widowControl w:val="0"/>
              <w:spacing w:before="120"/>
              <w:ind w:left="-115"/>
              <w:rPr>
                <w:rFonts w:cs="Arial"/>
                <w:highlight w:val="yellow"/>
              </w:rPr>
            </w:pPr>
            <w:r w:rsidRPr="00746C13">
              <w:rPr>
                <w:rFonts w:cs="Arial"/>
              </w:rPr>
              <w:t>Employees expenses</w:t>
            </w:r>
          </w:p>
        </w:tc>
        <w:tc>
          <w:tcPr>
            <w:tcW w:w="1698" w:type="dxa"/>
          </w:tcPr>
          <w:p w14:paraId="57673CD1" w14:textId="5327D977" w:rsidR="0032514B" w:rsidRPr="002A0B87" w:rsidRDefault="0032514B" w:rsidP="0032514B">
            <w:pPr>
              <w:widowControl w:val="0"/>
              <w:spacing w:before="120"/>
              <w:ind w:left="57" w:right="-85"/>
              <w:jc w:val="right"/>
              <w:rPr>
                <w:rFonts w:eastAsia="Batang" w:cs="Arial"/>
                <w:highlight w:val="yellow"/>
                <w:lang w:eastAsia="ko-KR"/>
              </w:rPr>
            </w:pPr>
            <w:r w:rsidRPr="00B632BE">
              <w:t>39</w:t>
            </w:r>
            <w:r>
              <w:t>,</w:t>
            </w:r>
            <w:r w:rsidRPr="00B632BE">
              <w:t>364</w:t>
            </w:r>
            <w:r>
              <w:t>,</w:t>
            </w:r>
            <w:r w:rsidRPr="00B632BE">
              <w:t>807</w:t>
            </w:r>
            <w:r>
              <w:t>,</w:t>
            </w:r>
            <w:r w:rsidRPr="00B632BE">
              <w:t xml:space="preserve">434 </w:t>
            </w:r>
          </w:p>
        </w:tc>
        <w:tc>
          <w:tcPr>
            <w:tcW w:w="1698" w:type="dxa"/>
          </w:tcPr>
          <w:p w14:paraId="2E9505DA" w14:textId="080CB69A" w:rsidR="0032514B" w:rsidRPr="002A0B87" w:rsidRDefault="0032514B" w:rsidP="0032514B">
            <w:pPr>
              <w:widowControl w:val="0"/>
              <w:spacing w:before="120"/>
              <w:ind w:left="57" w:right="-85"/>
              <w:jc w:val="right"/>
              <w:rPr>
                <w:rFonts w:eastAsia="Batang" w:cs="Arial"/>
                <w:highlight w:val="yellow"/>
                <w:lang w:eastAsia="ko-KR"/>
              </w:rPr>
            </w:pPr>
            <w:r w:rsidRPr="00B632BE">
              <w:t>30</w:t>
            </w:r>
            <w:r>
              <w:t>,</w:t>
            </w:r>
            <w:r w:rsidRPr="00B632BE">
              <w:t>242</w:t>
            </w:r>
            <w:r>
              <w:t>,</w:t>
            </w:r>
            <w:r w:rsidRPr="00B632BE">
              <w:t>806</w:t>
            </w:r>
            <w:r>
              <w:t>,</w:t>
            </w:r>
            <w:r w:rsidRPr="00B632BE">
              <w:t xml:space="preserve">821 </w:t>
            </w:r>
          </w:p>
        </w:tc>
      </w:tr>
      <w:tr w:rsidR="0032514B" w:rsidRPr="002A0B87" w14:paraId="586EB020" w14:textId="77777777" w:rsidTr="00635CB7">
        <w:trPr>
          <w:trHeight w:val="20"/>
        </w:trPr>
        <w:tc>
          <w:tcPr>
            <w:tcW w:w="4764" w:type="dxa"/>
            <w:vAlign w:val="bottom"/>
          </w:tcPr>
          <w:p w14:paraId="0DC2774C" w14:textId="1F529625" w:rsidR="0032514B" w:rsidRPr="002A0B87" w:rsidRDefault="0032514B" w:rsidP="0032514B">
            <w:pPr>
              <w:widowControl w:val="0"/>
              <w:ind w:left="-115"/>
              <w:rPr>
                <w:rFonts w:cs="Arial"/>
              </w:rPr>
            </w:pPr>
            <w:r w:rsidRPr="0042016F">
              <w:rPr>
                <w:rFonts w:cs="Arial"/>
              </w:rPr>
              <w:t>Tools and equipment</w:t>
            </w:r>
          </w:p>
        </w:tc>
        <w:tc>
          <w:tcPr>
            <w:tcW w:w="1698" w:type="dxa"/>
          </w:tcPr>
          <w:p w14:paraId="786763EA" w14:textId="197834FB" w:rsidR="0032514B" w:rsidRPr="002A0B87" w:rsidRDefault="0032514B" w:rsidP="0032514B">
            <w:pPr>
              <w:widowControl w:val="0"/>
              <w:ind w:left="57" w:right="-85"/>
              <w:jc w:val="right"/>
              <w:rPr>
                <w:rFonts w:eastAsia="Batang" w:cs="Arial"/>
                <w:bCs/>
                <w:highlight w:val="yellow"/>
                <w:lang w:eastAsia="ko-KR"/>
              </w:rPr>
            </w:pPr>
            <w:r w:rsidRPr="00B632BE">
              <w:t xml:space="preserve"> 577</w:t>
            </w:r>
            <w:r>
              <w:t>,</w:t>
            </w:r>
            <w:r w:rsidRPr="00B632BE">
              <w:t>705</w:t>
            </w:r>
            <w:r>
              <w:t>,</w:t>
            </w:r>
            <w:r w:rsidRPr="00B632BE">
              <w:t xml:space="preserve">133 </w:t>
            </w:r>
          </w:p>
        </w:tc>
        <w:tc>
          <w:tcPr>
            <w:tcW w:w="1698" w:type="dxa"/>
          </w:tcPr>
          <w:p w14:paraId="317108E3" w14:textId="49B78BC9" w:rsidR="0032514B" w:rsidRPr="002A0B87" w:rsidRDefault="0032514B" w:rsidP="0032514B">
            <w:pPr>
              <w:widowControl w:val="0"/>
              <w:ind w:left="57" w:right="-85"/>
              <w:jc w:val="right"/>
              <w:rPr>
                <w:rFonts w:eastAsia="Batang" w:cs="Arial"/>
                <w:bCs/>
                <w:highlight w:val="yellow"/>
                <w:lang w:eastAsia="ko-KR"/>
              </w:rPr>
            </w:pPr>
            <w:r w:rsidRPr="00B632BE">
              <w:t>670</w:t>
            </w:r>
            <w:r>
              <w:t>,</w:t>
            </w:r>
            <w:r w:rsidRPr="00B632BE">
              <w:t>222</w:t>
            </w:r>
            <w:r>
              <w:t>,</w:t>
            </w:r>
            <w:r w:rsidRPr="00B632BE">
              <w:t xml:space="preserve">149 </w:t>
            </w:r>
          </w:p>
        </w:tc>
      </w:tr>
      <w:tr w:rsidR="0032514B" w:rsidRPr="002A0B87" w14:paraId="7B549127" w14:textId="77777777" w:rsidTr="00635CB7">
        <w:trPr>
          <w:trHeight w:val="20"/>
        </w:trPr>
        <w:tc>
          <w:tcPr>
            <w:tcW w:w="4764" w:type="dxa"/>
            <w:vAlign w:val="bottom"/>
          </w:tcPr>
          <w:p w14:paraId="2967964A" w14:textId="63CF8832" w:rsidR="0032514B" w:rsidRPr="002A0B87" w:rsidRDefault="0032514B" w:rsidP="0032514B">
            <w:pPr>
              <w:widowControl w:val="0"/>
              <w:ind w:left="-115"/>
              <w:rPr>
                <w:rFonts w:cs="Arial"/>
              </w:rPr>
            </w:pPr>
            <w:r w:rsidRPr="000D6F9A">
              <w:rPr>
                <w:rFonts w:cs="Arial"/>
              </w:rPr>
              <w:t>Depreciation and amortization expenses</w:t>
            </w:r>
          </w:p>
        </w:tc>
        <w:tc>
          <w:tcPr>
            <w:tcW w:w="1698" w:type="dxa"/>
          </w:tcPr>
          <w:p w14:paraId="05FD667C" w14:textId="38CD317B" w:rsidR="0032514B" w:rsidRPr="002A0B87" w:rsidRDefault="0032514B" w:rsidP="0032514B">
            <w:pPr>
              <w:widowControl w:val="0"/>
              <w:ind w:left="57" w:right="-85"/>
              <w:jc w:val="right"/>
              <w:rPr>
                <w:rFonts w:eastAsia="Batang" w:cs="Arial"/>
                <w:bCs/>
                <w:highlight w:val="yellow"/>
                <w:lang w:eastAsia="ko-KR"/>
              </w:rPr>
            </w:pPr>
            <w:r w:rsidRPr="00B632BE">
              <w:t xml:space="preserve"> 429</w:t>
            </w:r>
            <w:r>
              <w:t>,</w:t>
            </w:r>
            <w:r w:rsidRPr="00B632BE">
              <w:t>190</w:t>
            </w:r>
            <w:r>
              <w:t>,</w:t>
            </w:r>
            <w:r w:rsidRPr="00B632BE">
              <w:t xml:space="preserve">926 </w:t>
            </w:r>
          </w:p>
        </w:tc>
        <w:tc>
          <w:tcPr>
            <w:tcW w:w="1698" w:type="dxa"/>
          </w:tcPr>
          <w:p w14:paraId="65514F1A" w14:textId="40404495" w:rsidR="0032514B" w:rsidRPr="002A0B87" w:rsidRDefault="0032514B" w:rsidP="0032514B">
            <w:pPr>
              <w:widowControl w:val="0"/>
              <w:ind w:left="57" w:right="-85"/>
              <w:jc w:val="right"/>
              <w:rPr>
                <w:rFonts w:eastAsia="Batang" w:cs="Arial"/>
                <w:bCs/>
                <w:highlight w:val="yellow"/>
                <w:lang w:eastAsia="ko-KR"/>
              </w:rPr>
            </w:pPr>
            <w:r w:rsidRPr="00B632BE">
              <w:t>383</w:t>
            </w:r>
            <w:r>
              <w:t>,</w:t>
            </w:r>
            <w:r w:rsidRPr="00B632BE">
              <w:t>575</w:t>
            </w:r>
            <w:r>
              <w:t>,</w:t>
            </w:r>
            <w:r w:rsidRPr="00B632BE">
              <w:t xml:space="preserve">092 </w:t>
            </w:r>
          </w:p>
        </w:tc>
      </w:tr>
      <w:tr w:rsidR="0032514B" w:rsidRPr="002A0B87" w14:paraId="174B4AFA" w14:textId="77777777" w:rsidTr="00635CB7">
        <w:trPr>
          <w:trHeight w:val="20"/>
        </w:trPr>
        <w:tc>
          <w:tcPr>
            <w:tcW w:w="4764" w:type="dxa"/>
            <w:vAlign w:val="bottom"/>
          </w:tcPr>
          <w:p w14:paraId="765176E8" w14:textId="1E96D07F" w:rsidR="0032514B" w:rsidRPr="002A0B87" w:rsidRDefault="0032514B" w:rsidP="0032514B">
            <w:pPr>
              <w:widowControl w:val="0"/>
              <w:ind w:left="-115"/>
              <w:rPr>
                <w:rFonts w:cs="Arial"/>
              </w:rPr>
            </w:pPr>
            <w:r w:rsidRPr="00B15C22">
              <w:rPr>
                <w:rFonts w:cs="Arial"/>
              </w:rPr>
              <w:t xml:space="preserve">Tax, </w:t>
            </w:r>
            <w:proofErr w:type="gramStart"/>
            <w:r w:rsidRPr="00B15C22">
              <w:rPr>
                <w:rFonts w:cs="Arial"/>
              </w:rPr>
              <w:t>fees</w:t>
            </w:r>
            <w:proofErr w:type="gramEnd"/>
            <w:r w:rsidRPr="00B15C22">
              <w:rPr>
                <w:rFonts w:cs="Arial"/>
              </w:rPr>
              <w:t xml:space="preserve"> and charges</w:t>
            </w:r>
          </w:p>
        </w:tc>
        <w:tc>
          <w:tcPr>
            <w:tcW w:w="1698" w:type="dxa"/>
          </w:tcPr>
          <w:p w14:paraId="2E4B984B" w14:textId="32855521" w:rsidR="0032514B" w:rsidRPr="002A0B87" w:rsidRDefault="0032514B" w:rsidP="0032514B">
            <w:pPr>
              <w:widowControl w:val="0"/>
              <w:ind w:left="57" w:right="-85"/>
              <w:jc w:val="right"/>
              <w:rPr>
                <w:rFonts w:eastAsia="Batang" w:cs="Arial"/>
                <w:bCs/>
                <w:highlight w:val="yellow"/>
                <w:lang w:eastAsia="ko-KR"/>
              </w:rPr>
            </w:pPr>
            <w:r w:rsidRPr="00B632BE">
              <w:t xml:space="preserve"> 1</w:t>
            </w:r>
            <w:r>
              <w:t>,</w:t>
            </w:r>
            <w:r w:rsidRPr="00B632BE">
              <w:t>874</w:t>
            </w:r>
            <w:r>
              <w:t>,</w:t>
            </w:r>
            <w:r w:rsidRPr="00B632BE">
              <w:t>859</w:t>
            </w:r>
            <w:r>
              <w:t>,</w:t>
            </w:r>
            <w:r w:rsidRPr="00B632BE">
              <w:t xml:space="preserve">507 </w:t>
            </w:r>
          </w:p>
        </w:tc>
        <w:tc>
          <w:tcPr>
            <w:tcW w:w="1698" w:type="dxa"/>
          </w:tcPr>
          <w:p w14:paraId="251E5262" w14:textId="16913140" w:rsidR="0032514B" w:rsidRPr="002A0B87" w:rsidRDefault="0032514B" w:rsidP="0032514B">
            <w:pPr>
              <w:widowControl w:val="0"/>
              <w:ind w:left="57" w:right="-85"/>
              <w:jc w:val="right"/>
              <w:rPr>
                <w:rFonts w:eastAsia="Batang" w:cs="Arial"/>
                <w:bCs/>
                <w:highlight w:val="yellow"/>
                <w:lang w:eastAsia="ko-KR"/>
              </w:rPr>
            </w:pPr>
            <w:r w:rsidRPr="00B632BE">
              <w:t>1</w:t>
            </w:r>
            <w:r>
              <w:t>,</w:t>
            </w:r>
            <w:r w:rsidRPr="00B632BE">
              <w:t>227</w:t>
            </w:r>
            <w:r>
              <w:t>,</w:t>
            </w:r>
            <w:r w:rsidRPr="00B632BE">
              <w:t>078</w:t>
            </w:r>
            <w:r>
              <w:t>,</w:t>
            </w:r>
            <w:r w:rsidRPr="00B632BE">
              <w:t>991</w:t>
            </w:r>
          </w:p>
        </w:tc>
      </w:tr>
      <w:tr w:rsidR="0032514B" w:rsidRPr="002A0B87" w14:paraId="4506D441" w14:textId="77777777" w:rsidTr="00635CB7">
        <w:trPr>
          <w:trHeight w:val="20"/>
        </w:trPr>
        <w:tc>
          <w:tcPr>
            <w:tcW w:w="4764" w:type="dxa"/>
            <w:vAlign w:val="bottom"/>
          </w:tcPr>
          <w:p w14:paraId="3E881656" w14:textId="3CC62AC5" w:rsidR="0032514B" w:rsidRPr="002A0B87" w:rsidRDefault="0032514B" w:rsidP="0032514B">
            <w:pPr>
              <w:widowControl w:val="0"/>
              <w:ind w:left="-115"/>
              <w:rPr>
                <w:rFonts w:cs="Arial"/>
              </w:rPr>
            </w:pPr>
            <w:r w:rsidRPr="00270EA1">
              <w:rPr>
                <w:rFonts w:cs="Arial"/>
              </w:rPr>
              <w:t>Outsourcing expenses</w:t>
            </w:r>
          </w:p>
        </w:tc>
        <w:tc>
          <w:tcPr>
            <w:tcW w:w="1698" w:type="dxa"/>
          </w:tcPr>
          <w:p w14:paraId="05CDBFF5" w14:textId="57B4A161" w:rsidR="0032514B" w:rsidRPr="002A0B87" w:rsidRDefault="0032514B" w:rsidP="0032514B">
            <w:pPr>
              <w:widowControl w:val="0"/>
              <w:ind w:left="57" w:right="-85"/>
              <w:jc w:val="right"/>
              <w:rPr>
                <w:rFonts w:eastAsia="Batang" w:cs="Arial"/>
                <w:bCs/>
                <w:highlight w:val="yellow"/>
                <w:lang w:eastAsia="ko-KR"/>
              </w:rPr>
            </w:pPr>
            <w:r w:rsidRPr="00B632BE">
              <w:t xml:space="preserve"> 11</w:t>
            </w:r>
            <w:r>
              <w:t>,</w:t>
            </w:r>
            <w:r w:rsidRPr="00B632BE">
              <w:t>641</w:t>
            </w:r>
            <w:r>
              <w:t>,</w:t>
            </w:r>
            <w:r w:rsidRPr="00B632BE">
              <w:t>505</w:t>
            </w:r>
            <w:r>
              <w:t>,</w:t>
            </w:r>
            <w:r w:rsidRPr="00B632BE">
              <w:t xml:space="preserve">837 </w:t>
            </w:r>
          </w:p>
        </w:tc>
        <w:tc>
          <w:tcPr>
            <w:tcW w:w="1698" w:type="dxa"/>
          </w:tcPr>
          <w:p w14:paraId="4149BDE5" w14:textId="41932272" w:rsidR="0032514B" w:rsidRPr="002A0B87" w:rsidRDefault="0032514B" w:rsidP="0032514B">
            <w:pPr>
              <w:widowControl w:val="0"/>
              <w:ind w:left="57" w:right="-85"/>
              <w:jc w:val="right"/>
              <w:rPr>
                <w:rFonts w:eastAsia="Batang" w:cs="Arial"/>
                <w:bCs/>
                <w:highlight w:val="yellow"/>
                <w:lang w:eastAsia="ko-KR"/>
              </w:rPr>
            </w:pPr>
            <w:r w:rsidRPr="00B632BE">
              <w:t>11</w:t>
            </w:r>
            <w:r>
              <w:t>,</w:t>
            </w:r>
            <w:r w:rsidRPr="00B632BE">
              <w:t>077</w:t>
            </w:r>
            <w:r>
              <w:t>,</w:t>
            </w:r>
            <w:r w:rsidRPr="00B632BE">
              <w:t>677</w:t>
            </w:r>
            <w:r>
              <w:t>,</w:t>
            </w:r>
            <w:r w:rsidRPr="00B632BE">
              <w:t xml:space="preserve">801 </w:t>
            </w:r>
          </w:p>
        </w:tc>
      </w:tr>
      <w:tr w:rsidR="0032514B" w:rsidRPr="002A0B87" w14:paraId="13192757" w14:textId="77777777" w:rsidTr="00635CB7">
        <w:trPr>
          <w:trHeight w:val="20"/>
        </w:trPr>
        <w:tc>
          <w:tcPr>
            <w:tcW w:w="4764" w:type="dxa"/>
            <w:vAlign w:val="bottom"/>
            <w:hideMark/>
          </w:tcPr>
          <w:p w14:paraId="3209A831" w14:textId="2C9FB087" w:rsidR="0032514B" w:rsidRPr="002A0B87" w:rsidRDefault="0032514B" w:rsidP="0032514B">
            <w:pPr>
              <w:widowControl w:val="0"/>
              <w:ind w:left="-115"/>
              <w:rPr>
                <w:rFonts w:cs="Arial"/>
                <w:highlight w:val="yellow"/>
              </w:rPr>
            </w:pPr>
            <w:r w:rsidRPr="00FE0406">
              <w:rPr>
                <w:rFonts w:cs="Arial"/>
              </w:rPr>
              <w:t>Other expenses</w:t>
            </w:r>
          </w:p>
        </w:tc>
        <w:tc>
          <w:tcPr>
            <w:tcW w:w="1698" w:type="dxa"/>
          </w:tcPr>
          <w:p w14:paraId="37862CD4" w14:textId="4230ADDA" w:rsidR="0032514B" w:rsidRPr="002A0B87" w:rsidRDefault="0032514B" w:rsidP="0032514B">
            <w:pPr>
              <w:widowControl w:val="0"/>
              <w:pBdr>
                <w:bottom w:val="single" w:sz="4" w:space="0" w:color="auto"/>
              </w:pBdr>
              <w:ind w:left="57" w:right="-85"/>
              <w:jc w:val="right"/>
              <w:rPr>
                <w:rFonts w:eastAsia="Batang" w:cs="Arial"/>
                <w:highlight w:val="yellow"/>
                <w:lang w:eastAsia="ko-KR"/>
              </w:rPr>
            </w:pPr>
            <w:r w:rsidRPr="00B632BE">
              <w:t xml:space="preserve"> 365</w:t>
            </w:r>
            <w:r>
              <w:t>,</w:t>
            </w:r>
            <w:r w:rsidRPr="00B632BE">
              <w:t>020</w:t>
            </w:r>
            <w:r>
              <w:t>,</w:t>
            </w:r>
            <w:r w:rsidRPr="00B632BE">
              <w:t xml:space="preserve">674 </w:t>
            </w:r>
          </w:p>
        </w:tc>
        <w:tc>
          <w:tcPr>
            <w:tcW w:w="1698" w:type="dxa"/>
          </w:tcPr>
          <w:p w14:paraId="3172905E" w14:textId="04657621" w:rsidR="0032514B" w:rsidRPr="002A0B87" w:rsidRDefault="0032514B" w:rsidP="0032514B">
            <w:pPr>
              <w:widowControl w:val="0"/>
              <w:pBdr>
                <w:bottom w:val="single" w:sz="4" w:space="0" w:color="auto"/>
              </w:pBdr>
              <w:ind w:left="57" w:right="-85"/>
              <w:jc w:val="right"/>
              <w:rPr>
                <w:rFonts w:eastAsia="Batang" w:cs="Arial"/>
                <w:highlight w:val="yellow"/>
                <w:lang w:eastAsia="ko-KR"/>
              </w:rPr>
            </w:pPr>
            <w:r w:rsidRPr="00B632BE">
              <w:t>183</w:t>
            </w:r>
            <w:r>
              <w:t>,</w:t>
            </w:r>
            <w:r w:rsidRPr="00B632BE">
              <w:t>916</w:t>
            </w:r>
            <w:r>
              <w:t>,</w:t>
            </w:r>
            <w:r w:rsidRPr="00B632BE">
              <w:t xml:space="preserve">887 </w:t>
            </w:r>
          </w:p>
        </w:tc>
      </w:tr>
      <w:tr w:rsidR="0032514B" w:rsidRPr="002A0B87" w14:paraId="121B8EED" w14:textId="77777777" w:rsidTr="00635CB7">
        <w:trPr>
          <w:trHeight w:val="20"/>
        </w:trPr>
        <w:tc>
          <w:tcPr>
            <w:tcW w:w="4764" w:type="dxa"/>
            <w:vAlign w:val="bottom"/>
          </w:tcPr>
          <w:p w14:paraId="4706E921" w14:textId="77777777" w:rsidR="0032514B" w:rsidRPr="002A0B87" w:rsidRDefault="0032514B" w:rsidP="0032514B">
            <w:pPr>
              <w:widowControl w:val="0"/>
              <w:spacing w:before="120"/>
              <w:ind w:left="-115"/>
              <w:rPr>
                <w:rFonts w:cs="Arial"/>
                <w:b/>
              </w:rPr>
            </w:pPr>
          </w:p>
        </w:tc>
        <w:tc>
          <w:tcPr>
            <w:tcW w:w="1698" w:type="dxa"/>
          </w:tcPr>
          <w:p w14:paraId="6F2A7D7D" w14:textId="7478A067" w:rsidR="0032514B" w:rsidRPr="0032514B" w:rsidRDefault="0032514B" w:rsidP="0032514B">
            <w:pPr>
              <w:widowControl w:val="0"/>
              <w:pBdr>
                <w:bottom w:val="double" w:sz="4" w:space="0" w:color="auto"/>
              </w:pBdr>
              <w:spacing w:before="120"/>
              <w:ind w:left="57" w:right="-85"/>
              <w:jc w:val="right"/>
              <w:rPr>
                <w:rFonts w:eastAsia="Batang" w:cs="Arial"/>
                <w:b/>
                <w:bCs/>
                <w:highlight w:val="yellow"/>
                <w:lang w:eastAsia="ko-KR"/>
              </w:rPr>
            </w:pPr>
            <w:r w:rsidRPr="0032514B">
              <w:rPr>
                <w:b/>
                <w:bCs/>
              </w:rPr>
              <w:t xml:space="preserve"> 54,253,089,511 </w:t>
            </w:r>
          </w:p>
        </w:tc>
        <w:tc>
          <w:tcPr>
            <w:tcW w:w="1698" w:type="dxa"/>
          </w:tcPr>
          <w:p w14:paraId="4C1D10D5" w14:textId="43EC18F2" w:rsidR="0032514B" w:rsidRPr="0032514B" w:rsidRDefault="0032514B" w:rsidP="0032514B">
            <w:pPr>
              <w:widowControl w:val="0"/>
              <w:pBdr>
                <w:bottom w:val="double" w:sz="4" w:space="0" w:color="auto"/>
              </w:pBdr>
              <w:spacing w:before="120"/>
              <w:ind w:left="57" w:right="-85"/>
              <w:jc w:val="right"/>
              <w:rPr>
                <w:rFonts w:cs="Arial"/>
                <w:b/>
                <w:bCs/>
                <w:highlight w:val="yellow"/>
              </w:rPr>
            </w:pPr>
            <w:r w:rsidRPr="0032514B">
              <w:rPr>
                <w:b/>
                <w:bCs/>
              </w:rPr>
              <w:t>43,785,277,741</w:t>
            </w:r>
          </w:p>
        </w:tc>
      </w:tr>
    </w:tbl>
    <w:p w14:paraId="76771E39" w14:textId="1F643C2A" w:rsidR="00D348C4" w:rsidRPr="002A0B87" w:rsidRDefault="00D348C4" w:rsidP="004B1241">
      <w:pPr>
        <w:pStyle w:val="NoSpacing"/>
      </w:pPr>
    </w:p>
    <w:p w14:paraId="6364E3AF" w14:textId="307F94E8" w:rsidR="0089162D" w:rsidRPr="002A0B87" w:rsidRDefault="0089162D" w:rsidP="004C4A00">
      <w:pPr>
        <w:pStyle w:val="NoSpacing"/>
      </w:pPr>
    </w:p>
    <w:p w14:paraId="38C064CB" w14:textId="378183A0" w:rsidR="0089162D" w:rsidRPr="002A0B87" w:rsidRDefault="00F5540A" w:rsidP="0089162D">
      <w:pPr>
        <w:pStyle w:val="ListParagraph"/>
        <w:overflowPunct/>
        <w:autoSpaceDE/>
        <w:autoSpaceDN/>
        <w:adjustRightInd/>
        <w:ind w:hanging="720"/>
        <w:textAlignment w:val="auto"/>
        <w:outlineLvl w:val="0"/>
        <w:rPr>
          <w:rFonts w:cs="Arial"/>
          <w:b/>
          <w:lang w:val="en-US"/>
        </w:rPr>
      </w:pPr>
      <w:r>
        <w:rPr>
          <w:rFonts w:cs="Arial"/>
          <w:b/>
          <w:lang w:val="en-US"/>
        </w:rPr>
        <w:t>25</w:t>
      </w:r>
      <w:r w:rsidR="0089162D" w:rsidRPr="002A0B87">
        <w:rPr>
          <w:rFonts w:cs="Arial"/>
          <w:b/>
          <w:lang w:val="vi-VN"/>
        </w:rPr>
        <w:t>.</w:t>
      </w:r>
      <w:r w:rsidR="0089162D" w:rsidRPr="002A0B87">
        <w:rPr>
          <w:rFonts w:cs="Arial"/>
          <w:b/>
          <w:lang w:val="vi-VN"/>
        </w:rPr>
        <w:tab/>
      </w:r>
      <w:r w:rsidR="00BB20E9" w:rsidRPr="00BB20E9">
        <w:rPr>
          <w:rFonts w:cs="Arial"/>
          <w:b/>
          <w:lang w:val="vi-VN"/>
        </w:rPr>
        <w:t>CORPORATE INCOME TAX (“CIT”)</w:t>
      </w:r>
    </w:p>
    <w:p w14:paraId="47E79C0F" w14:textId="77777777" w:rsidR="0089162D" w:rsidRPr="002A0B87" w:rsidRDefault="0089162D" w:rsidP="0089162D">
      <w:pPr>
        <w:pStyle w:val="NoSpacing"/>
      </w:pPr>
    </w:p>
    <w:p w14:paraId="1B5ABCE6" w14:textId="7EA3712E" w:rsidR="0089162D" w:rsidRPr="002A0B87" w:rsidRDefault="00F5540A" w:rsidP="0089162D">
      <w:pPr>
        <w:pStyle w:val="Heading2"/>
      </w:pPr>
      <w:r>
        <w:t>25</w:t>
      </w:r>
      <w:r w:rsidR="0089162D" w:rsidRPr="002A0B87">
        <w:t>.1</w:t>
      </w:r>
      <w:r w:rsidR="0089162D" w:rsidRPr="002A0B87">
        <w:tab/>
      </w:r>
      <w:r w:rsidR="008C223B" w:rsidRPr="008C223B">
        <w:t>Current CIT expenses</w:t>
      </w:r>
      <w:r w:rsidR="008C223B" w:rsidRPr="008C223B" w:rsidDel="008C223B">
        <w:t xml:space="preserve"> </w:t>
      </w:r>
    </w:p>
    <w:p w14:paraId="030D880B" w14:textId="77777777" w:rsidR="0089162D" w:rsidRPr="002A0B87" w:rsidRDefault="0089162D" w:rsidP="0089162D">
      <w:pPr>
        <w:pStyle w:val="NoSpacing"/>
      </w:pPr>
    </w:p>
    <w:p w14:paraId="3928C239" w14:textId="326703DA" w:rsidR="0089162D" w:rsidRPr="002A0B87" w:rsidRDefault="00DF41B9" w:rsidP="0089162D">
      <w:pPr>
        <w:pStyle w:val="NoSpacing"/>
        <w:rPr>
          <w:bCs/>
        </w:rPr>
      </w:pPr>
      <w:r w:rsidRPr="00DF41B9">
        <w:rPr>
          <w:bCs/>
        </w:rPr>
        <w:t xml:space="preserve">The Company’s tax reports are subject to examination by the tax authorities. Because the application of tax laws and regulations to many types of transactions is susceptible to varying interpretations, amount reported in the financial statements could be changed </w:t>
      </w:r>
      <w:proofErr w:type="gramStart"/>
      <w:r w:rsidRPr="00DF41B9">
        <w:rPr>
          <w:bCs/>
        </w:rPr>
        <w:t>at a later date</w:t>
      </w:r>
      <w:proofErr w:type="gramEnd"/>
      <w:r w:rsidRPr="00DF41B9">
        <w:rPr>
          <w:bCs/>
        </w:rPr>
        <w:t xml:space="preserve"> upon final determination by the tax authorities.</w:t>
      </w:r>
    </w:p>
    <w:p w14:paraId="6BAFCF56" w14:textId="77777777" w:rsidR="0089162D" w:rsidRPr="002A0B87" w:rsidRDefault="0089162D" w:rsidP="0089162D">
      <w:pPr>
        <w:pStyle w:val="NoSpacing"/>
        <w:rPr>
          <w:bCs/>
        </w:rPr>
      </w:pPr>
    </w:p>
    <w:p w14:paraId="52B203C9" w14:textId="7E555DBB" w:rsidR="0089162D" w:rsidRPr="002A0B87" w:rsidRDefault="006F673C" w:rsidP="0089162D">
      <w:pPr>
        <w:pStyle w:val="NoSpacing"/>
        <w:rPr>
          <w:bCs/>
        </w:rPr>
      </w:pPr>
      <w:r w:rsidRPr="006F673C">
        <w:rPr>
          <w:bCs/>
        </w:rPr>
        <w:t>Current CIT payables are determined based on taxable income of the year. Taxable income differs from the one reported in the income statement since taxable income excludes incomes which are taxable or expenses which are deducted in the other years due to the differences between the Company’s accounting policies and the tax regulations. It also excludes non-taxable income and non-deductible expenses. The current CIT payable of the Company is calculated based on the statutory tax rates applicable at the end of the year. The Company is obliged to pay CIT at the rate of 20% (in 2021: 20%) of the total taxable profit under Circular No. 78/2014/TT-BTC effective from 02 August 2014.</w:t>
      </w:r>
    </w:p>
    <w:p w14:paraId="4AC47D2C" w14:textId="519778CA" w:rsidR="003D145B" w:rsidRPr="002A0B87" w:rsidRDefault="003D145B" w:rsidP="004B1241">
      <w:pPr>
        <w:pStyle w:val="NoSpacing"/>
      </w:pPr>
    </w:p>
    <w:p w14:paraId="66386302" w14:textId="77777777" w:rsidR="00C6408B" w:rsidRPr="002A0B87" w:rsidRDefault="00C6408B" w:rsidP="007A4161">
      <w:pPr>
        <w:pStyle w:val="BodyTextIndent"/>
        <w:ind w:left="720"/>
        <w:rPr>
          <w:rFonts w:ascii="Arial" w:hAnsi="Arial" w:cs="Arial"/>
        </w:rPr>
        <w:sectPr w:rsidR="00C6408B" w:rsidRPr="002A0B87" w:rsidSect="00F5257E">
          <w:pgSz w:w="11909" w:h="16834" w:code="9"/>
          <w:pgMar w:top="1440" w:right="1440" w:bottom="864" w:left="1584" w:header="720" w:footer="576" w:gutter="0"/>
          <w:cols w:space="720"/>
          <w:docGrid w:linePitch="272"/>
        </w:sectPr>
      </w:pPr>
    </w:p>
    <w:p w14:paraId="237B7A79" w14:textId="05C9E20E" w:rsidR="00DD7720" w:rsidRPr="002A0B87" w:rsidRDefault="00367D98" w:rsidP="004C4A00">
      <w:pPr>
        <w:pStyle w:val="ListParagraph"/>
        <w:overflowPunct/>
        <w:autoSpaceDE/>
        <w:autoSpaceDN/>
        <w:adjustRightInd/>
        <w:ind w:hanging="720"/>
        <w:textAlignment w:val="auto"/>
        <w:rPr>
          <w:rFonts w:cs="Arial"/>
          <w:bCs/>
          <w:lang w:val="en-US"/>
        </w:rPr>
      </w:pPr>
      <w:r>
        <w:rPr>
          <w:rFonts w:cs="Arial"/>
          <w:b/>
          <w:lang w:val="en-US"/>
        </w:rPr>
        <w:lastRenderedPageBreak/>
        <w:t>25</w:t>
      </w:r>
      <w:r w:rsidR="00DD7720" w:rsidRPr="002A0B87">
        <w:rPr>
          <w:rFonts w:cs="Arial"/>
          <w:b/>
          <w:lang w:val="vi-VN"/>
        </w:rPr>
        <w:t>.</w:t>
      </w:r>
      <w:r w:rsidR="00DD7720" w:rsidRPr="002A0B87">
        <w:rPr>
          <w:rFonts w:cs="Arial"/>
          <w:b/>
          <w:lang w:val="vi-VN"/>
        </w:rPr>
        <w:tab/>
      </w:r>
      <w:r w:rsidR="000C1E1D" w:rsidRPr="000C1E1D">
        <w:rPr>
          <w:rFonts w:cs="Arial"/>
          <w:b/>
          <w:lang w:val="vi-VN"/>
        </w:rPr>
        <w:t xml:space="preserve">CORPORATE INCOME TAX (“CIT”) </w:t>
      </w:r>
      <w:r w:rsidR="000C1E1D" w:rsidRPr="00FA28E4">
        <w:rPr>
          <w:rFonts w:cs="Arial"/>
          <w:bCs/>
          <w:lang w:val="vi-VN"/>
        </w:rPr>
        <w:t>(continued)</w:t>
      </w:r>
    </w:p>
    <w:p w14:paraId="162E76F5" w14:textId="77777777" w:rsidR="009C5DDF" w:rsidRPr="002A0B87" w:rsidRDefault="009C5DDF" w:rsidP="00760439">
      <w:pPr>
        <w:pStyle w:val="NoSpacing"/>
      </w:pPr>
    </w:p>
    <w:p w14:paraId="0F9650F3" w14:textId="1A1877B5" w:rsidR="009C5DDF" w:rsidRPr="002A0B87" w:rsidRDefault="00367D98" w:rsidP="004C4A00">
      <w:pPr>
        <w:ind w:left="720" w:hanging="720"/>
      </w:pPr>
      <w:r>
        <w:rPr>
          <w:b/>
          <w:bCs/>
          <w:i/>
          <w:iCs/>
        </w:rPr>
        <w:t>25</w:t>
      </w:r>
      <w:r w:rsidR="009C5DDF" w:rsidRPr="002A0B87">
        <w:rPr>
          <w:b/>
          <w:bCs/>
          <w:i/>
          <w:iCs/>
        </w:rPr>
        <w:t>.1</w:t>
      </w:r>
      <w:r w:rsidR="009C5DDF" w:rsidRPr="002A0B87">
        <w:rPr>
          <w:b/>
          <w:bCs/>
          <w:i/>
          <w:iCs/>
        </w:rPr>
        <w:tab/>
      </w:r>
      <w:r w:rsidR="00091751" w:rsidRPr="00091751">
        <w:rPr>
          <w:b/>
          <w:bCs/>
          <w:i/>
          <w:iCs/>
        </w:rPr>
        <w:t xml:space="preserve">Current CIT expenses </w:t>
      </w:r>
      <w:r w:rsidR="00091751" w:rsidRPr="00FA28E4">
        <w:t>(continued)</w:t>
      </w:r>
    </w:p>
    <w:p w14:paraId="14AC39BF" w14:textId="77777777" w:rsidR="009C5DDF" w:rsidRPr="002A0B87" w:rsidRDefault="009C5DDF" w:rsidP="00760439">
      <w:pPr>
        <w:pStyle w:val="NoSpacing"/>
      </w:pPr>
    </w:p>
    <w:p w14:paraId="7A01B45B" w14:textId="1C45F461" w:rsidR="00D348C4" w:rsidRPr="002A0B87" w:rsidRDefault="003E3BF6" w:rsidP="00760439">
      <w:pPr>
        <w:pStyle w:val="NoSpacing"/>
      </w:pPr>
      <w:r w:rsidRPr="003E3BF6">
        <w:t>The estimated current CIT of the Company is represented in the table below:</w:t>
      </w:r>
    </w:p>
    <w:p w14:paraId="2E70F534" w14:textId="77777777" w:rsidR="00D348C4" w:rsidRPr="002A0B87" w:rsidRDefault="00D348C4" w:rsidP="00760439">
      <w:pPr>
        <w:pStyle w:val="NoSpacing"/>
      </w:pPr>
    </w:p>
    <w:tbl>
      <w:tblPr>
        <w:tblW w:w="8164" w:type="dxa"/>
        <w:tblInd w:w="720" w:type="dxa"/>
        <w:tblLayout w:type="fixed"/>
        <w:tblLook w:val="01E0" w:firstRow="1" w:lastRow="1" w:firstColumn="1" w:lastColumn="1" w:noHBand="0" w:noVBand="0"/>
      </w:tblPr>
      <w:tblGrid>
        <w:gridCol w:w="4410"/>
        <w:gridCol w:w="1890"/>
        <w:gridCol w:w="1864"/>
      </w:tblGrid>
      <w:tr w:rsidR="00D348C4" w:rsidRPr="002A0B87" w14:paraId="66D5CE60" w14:textId="77777777" w:rsidTr="00650473">
        <w:trPr>
          <w:trHeight w:val="20"/>
          <w:tblHeader/>
        </w:trPr>
        <w:tc>
          <w:tcPr>
            <w:tcW w:w="4410" w:type="dxa"/>
            <w:vAlign w:val="bottom"/>
          </w:tcPr>
          <w:p w14:paraId="3E7BA654" w14:textId="77777777" w:rsidR="00D348C4" w:rsidRPr="002A0B87" w:rsidRDefault="00D348C4" w:rsidP="00AC6DCE">
            <w:pPr>
              <w:widowControl w:val="0"/>
              <w:overflowPunct/>
              <w:autoSpaceDE/>
              <w:autoSpaceDN/>
              <w:adjustRightInd/>
              <w:ind w:left="-115"/>
              <w:textAlignment w:val="auto"/>
              <w:rPr>
                <w:rFonts w:eastAsia="Batang" w:cs="Arial"/>
                <w:i/>
                <w:lang w:val="es-ES"/>
              </w:rPr>
            </w:pPr>
          </w:p>
        </w:tc>
        <w:tc>
          <w:tcPr>
            <w:tcW w:w="1890" w:type="dxa"/>
            <w:vAlign w:val="bottom"/>
            <w:hideMark/>
          </w:tcPr>
          <w:p w14:paraId="28A8C793" w14:textId="42BCDBC5" w:rsidR="00D348C4" w:rsidRPr="002A0B87" w:rsidRDefault="00B85021" w:rsidP="00CC4417">
            <w:pPr>
              <w:widowControl w:val="0"/>
              <w:pBdr>
                <w:bottom w:val="single" w:sz="4" w:space="0" w:color="auto"/>
              </w:pBdr>
              <w:ind w:left="58" w:right="-85"/>
              <w:jc w:val="right"/>
              <w:rPr>
                <w:rFonts w:eastAsia="Batang" w:cs="Arial"/>
                <w:bCs/>
                <w:i/>
              </w:rPr>
            </w:pPr>
            <w:r w:rsidRPr="00B85021">
              <w:rPr>
                <w:rFonts w:eastAsia="Batang" w:cs="Arial"/>
                <w:bCs/>
                <w:i/>
              </w:rPr>
              <w:t>Current year</w:t>
            </w:r>
          </w:p>
          <w:p w14:paraId="6DFD0AD2" w14:textId="77777777" w:rsidR="00D348C4" w:rsidRPr="002A0B87" w:rsidRDefault="00D348C4" w:rsidP="00CC4417">
            <w:pPr>
              <w:widowControl w:val="0"/>
              <w:pBdr>
                <w:bottom w:val="single" w:sz="4" w:space="0" w:color="auto"/>
              </w:pBdr>
              <w:ind w:left="58" w:right="-85"/>
              <w:jc w:val="right"/>
              <w:rPr>
                <w:rFonts w:cs="Arial"/>
                <w:bCs/>
                <w:i/>
              </w:rPr>
            </w:pPr>
            <w:r w:rsidRPr="002A0B87">
              <w:rPr>
                <w:rFonts w:eastAsia="Batang" w:cs="Arial"/>
                <w:i/>
                <w:iCs/>
              </w:rPr>
              <w:t>VND</w:t>
            </w:r>
          </w:p>
        </w:tc>
        <w:tc>
          <w:tcPr>
            <w:tcW w:w="1864" w:type="dxa"/>
            <w:vAlign w:val="bottom"/>
            <w:hideMark/>
          </w:tcPr>
          <w:p w14:paraId="1F9511E0" w14:textId="2494E9CB" w:rsidR="00D348C4" w:rsidRPr="002A0B87" w:rsidRDefault="00D277C6" w:rsidP="00CC4417">
            <w:pPr>
              <w:widowControl w:val="0"/>
              <w:pBdr>
                <w:bottom w:val="single" w:sz="4" w:space="0" w:color="auto"/>
              </w:pBdr>
              <w:ind w:left="58" w:right="-85"/>
              <w:jc w:val="right"/>
              <w:rPr>
                <w:rFonts w:eastAsia="Batang" w:cs="Arial"/>
                <w:bCs/>
                <w:i/>
              </w:rPr>
            </w:pPr>
            <w:r w:rsidRPr="00D277C6">
              <w:rPr>
                <w:rFonts w:eastAsia="Batang" w:cs="Arial"/>
                <w:bCs/>
                <w:i/>
              </w:rPr>
              <w:t>Previous year</w:t>
            </w:r>
          </w:p>
          <w:p w14:paraId="34DB9452" w14:textId="77777777" w:rsidR="00D348C4" w:rsidRPr="002A0B87" w:rsidRDefault="00D348C4" w:rsidP="00CC4417">
            <w:pPr>
              <w:widowControl w:val="0"/>
              <w:pBdr>
                <w:bottom w:val="single" w:sz="4" w:space="0" w:color="auto"/>
              </w:pBdr>
              <w:ind w:left="58" w:right="-85"/>
              <w:jc w:val="right"/>
              <w:rPr>
                <w:rFonts w:cs="Arial"/>
                <w:bCs/>
                <w:i/>
              </w:rPr>
            </w:pPr>
            <w:r w:rsidRPr="002A0B87">
              <w:rPr>
                <w:rFonts w:eastAsia="Batang" w:cs="Arial"/>
                <w:i/>
                <w:iCs/>
              </w:rPr>
              <w:t xml:space="preserve">VND </w:t>
            </w:r>
          </w:p>
        </w:tc>
      </w:tr>
      <w:tr w:rsidR="00322891" w:rsidRPr="002A0B87" w14:paraId="480CACCA" w14:textId="77777777" w:rsidTr="002C3C9F">
        <w:trPr>
          <w:trHeight w:val="20"/>
        </w:trPr>
        <w:tc>
          <w:tcPr>
            <w:tcW w:w="4410" w:type="dxa"/>
            <w:vAlign w:val="bottom"/>
            <w:hideMark/>
          </w:tcPr>
          <w:p w14:paraId="335B28BE" w14:textId="7FD9DEE5" w:rsidR="00322891" w:rsidRPr="002A0B87" w:rsidRDefault="00322891" w:rsidP="00322891">
            <w:pPr>
              <w:widowControl w:val="0"/>
              <w:spacing w:before="120"/>
              <w:ind w:left="-115" w:firstLine="12"/>
              <w:rPr>
                <w:rFonts w:cs="Arial"/>
                <w:b/>
                <w:highlight w:val="yellow"/>
              </w:rPr>
            </w:pPr>
            <w:r w:rsidRPr="00AA624C">
              <w:rPr>
                <w:rFonts w:cs="Arial"/>
                <w:b/>
              </w:rPr>
              <w:t>Profit before tax</w:t>
            </w:r>
          </w:p>
        </w:tc>
        <w:tc>
          <w:tcPr>
            <w:tcW w:w="1890" w:type="dxa"/>
            <w:vAlign w:val="bottom"/>
          </w:tcPr>
          <w:p w14:paraId="4B36E221" w14:textId="4C60B7A0" w:rsidR="00322891" w:rsidRPr="00650473" w:rsidRDefault="00322891" w:rsidP="002C3C9F">
            <w:pPr>
              <w:widowControl w:val="0"/>
              <w:spacing w:before="120"/>
              <w:ind w:left="58" w:right="-85"/>
              <w:jc w:val="right"/>
              <w:rPr>
                <w:rFonts w:eastAsia="Batang" w:cs="Arial"/>
                <w:b/>
                <w:bCs/>
                <w:highlight w:val="yellow"/>
                <w:lang w:eastAsia="ko-KR"/>
              </w:rPr>
            </w:pPr>
            <w:r w:rsidRPr="00650473">
              <w:rPr>
                <w:b/>
                <w:bCs/>
              </w:rPr>
              <w:t xml:space="preserve"> 38</w:t>
            </w:r>
            <w:r w:rsidR="00650473" w:rsidRPr="00650473">
              <w:rPr>
                <w:b/>
                <w:bCs/>
              </w:rPr>
              <w:t>,</w:t>
            </w:r>
            <w:r w:rsidRPr="00650473">
              <w:rPr>
                <w:b/>
                <w:bCs/>
              </w:rPr>
              <w:t>278</w:t>
            </w:r>
            <w:r w:rsidR="00650473" w:rsidRPr="00650473">
              <w:rPr>
                <w:b/>
                <w:bCs/>
              </w:rPr>
              <w:t>,</w:t>
            </w:r>
            <w:r w:rsidRPr="00650473">
              <w:rPr>
                <w:b/>
                <w:bCs/>
              </w:rPr>
              <w:t>340</w:t>
            </w:r>
            <w:r w:rsidR="00650473" w:rsidRPr="00650473">
              <w:rPr>
                <w:b/>
                <w:bCs/>
              </w:rPr>
              <w:t>,</w:t>
            </w:r>
            <w:r w:rsidRPr="00650473">
              <w:rPr>
                <w:b/>
                <w:bCs/>
              </w:rPr>
              <w:t xml:space="preserve">453 </w:t>
            </w:r>
          </w:p>
        </w:tc>
        <w:tc>
          <w:tcPr>
            <w:tcW w:w="1864" w:type="dxa"/>
            <w:vAlign w:val="bottom"/>
          </w:tcPr>
          <w:p w14:paraId="138DF56A" w14:textId="1996730D" w:rsidR="00322891" w:rsidRPr="00650473" w:rsidRDefault="00322891" w:rsidP="002C3C9F">
            <w:pPr>
              <w:widowControl w:val="0"/>
              <w:spacing w:before="120"/>
              <w:ind w:left="58" w:right="-85"/>
              <w:jc w:val="right"/>
              <w:rPr>
                <w:rFonts w:eastAsia="Batang" w:cs="Arial"/>
                <w:b/>
                <w:bCs/>
                <w:lang w:eastAsia="ko-KR"/>
              </w:rPr>
            </w:pPr>
            <w:r w:rsidRPr="00650473">
              <w:rPr>
                <w:b/>
                <w:bCs/>
              </w:rPr>
              <w:t>69</w:t>
            </w:r>
            <w:r w:rsidR="00650473" w:rsidRPr="00650473">
              <w:rPr>
                <w:b/>
                <w:bCs/>
              </w:rPr>
              <w:t>,</w:t>
            </w:r>
            <w:r w:rsidRPr="00650473">
              <w:rPr>
                <w:b/>
                <w:bCs/>
              </w:rPr>
              <w:t>906</w:t>
            </w:r>
            <w:r w:rsidR="00650473" w:rsidRPr="00650473">
              <w:rPr>
                <w:b/>
                <w:bCs/>
              </w:rPr>
              <w:t>,</w:t>
            </w:r>
            <w:r w:rsidRPr="00650473">
              <w:rPr>
                <w:b/>
                <w:bCs/>
              </w:rPr>
              <w:t>208</w:t>
            </w:r>
            <w:r w:rsidR="00650473" w:rsidRPr="00650473">
              <w:rPr>
                <w:b/>
                <w:bCs/>
              </w:rPr>
              <w:t>,</w:t>
            </w:r>
            <w:r w:rsidRPr="00650473">
              <w:rPr>
                <w:b/>
                <w:bCs/>
              </w:rPr>
              <w:t xml:space="preserve">478 </w:t>
            </w:r>
          </w:p>
        </w:tc>
      </w:tr>
      <w:tr w:rsidR="00322891" w:rsidRPr="002A0B87" w14:paraId="09AFC6D0" w14:textId="77777777" w:rsidTr="002C3C9F">
        <w:trPr>
          <w:trHeight w:val="20"/>
        </w:trPr>
        <w:tc>
          <w:tcPr>
            <w:tcW w:w="4410" w:type="dxa"/>
            <w:vAlign w:val="bottom"/>
          </w:tcPr>
          <w:p w14:paraId="294D8D96" w14:textId="28BA4569" w:rsidR="00322891" w:rsidRPr="002A0B87" w:rsidRDefault="00322891" w:rsidP="00322891">
            <w:pPr>
              <w:widowControl w:val="0"/>
              <w:spacing w:before="120"/>
              <w:ind w:left="-115" w:firstLine="12"/>
              <w:rPr>
                <w:rFonts w:cs="Arial"/>
                <w:i/>
                <w:highlight w:val="yellow"/>
              </w:rPr>
            </w:pPr>
            <w:r w:rsidRPr="00413CED">
              <w:rPr>
                <w:rFonts w:cs="Arial"/>
                <w:i/>
              </w:rPr>
              <w:t>Plus</w:t>
            </w:r>
          </w:p>
        </w:tc>
        <w:tc>
          <w:tcPr>
            <w:tcW w:w="1890" w:type="dxa"/>
            <w:vAlign w:val="bottom"/>
          </w:tcPr>
          <w:p w14:paraId="1F3D82EB" w14:textId="77777777" w:rsidR="00322891" w:rsidRPr="002A0B87" w:rsidRDefault="00322891" w:rsidP="002C3C9F">
            <w:pPr>
              <w:widowControl w:val="0"/>
              <w:spacing w:before="120"/>
              <w:ind w:left="58" w:right="-85"/>
              <w:jc w:val="right"/>
              <w:rPr>
                <w:rFonts w:eastAsia="Batang" w:cs="Arial"/>
                <w:bCs/>
                <w:i/>
                <w:highlight w:val="yellow"/>
                <w:lang w:eastAsia="ko-KR"/>
              </w:rPr>
            </w:pPr>
          </w:p>
        </w:tc>
        <w:tc>
          <w:tcPr>
            <w:tcW w:w="1864" w:type="dxa"/>
            <w:vAlign w:val="bottom"/>
          </w:tcPr>
          <w:p w14:paraId="15D43988" w14:textId="77777777" w:rsidR="00322891" w:rsidRPr="003C222B" w:rsidRDefault="00322891" w:rsidP="002C3C9F">
            <w:pPr>
              <w:widowControl w:val="0"/>
              <w:spacing w:before="120"/>
              <w:ind w:left="58" w:right="-85"/>
              <w:jc w:val="right"/>
              <w:rPr>
                <w:rFonts w:eastAsia="Batang" w:cs="Arial"/>
                <w:i/>
                <w:lang w:eastAsia="ko-KR"/>
              </w:rPr>
            </w:pPr>
          </w:p>
        </w:tc>
      </w:tr>
      <w:tr w:rsidR="00322891" w:rsidRPr="002A0B87" w14:paraId="6A9DC0C8" w14:textId="77777777" w:rsidTr="002C3C9F">
        <w:trPr>
          <w:trHeight w:val="20"/>
        </w:trPr>
        <w:tc>
          <w:tcPr>
            <w:tcW w:w="4410" w:type="dxa"/>
            <w:vAlign w:val="bottom"/>
          </w:tcPr>
          <w:p w14:paraId="72532E30" w14:textId="0D05A4D0" w:rsidR="00322891" w:rsidRPr="00D33812" w:rsidRDefault="00322891" w:rsidP="00322891">
            <w:pPr>
              <w:widowControl w:val="0"/>
              <w:ind w:left="245" w:hanging="360"/>
              <w:jc w:val="left"/>
              <w:rPr>
                <w:rFonts w:cs="Arial"/>
                <w:iCs/>
              </w:rPr>
            </w:pPr>
            <w:r w:rsidRPr="00D62A65">
              <w:rPr>
                <w:rFonts w:cs="Arial"/>
                <w:iCs/>
              </w:rPr>
              <w:t>-</w:t>
            </w:r>
            <w:r w:rsidRPr="00D62A65">
              <w:rPr>
                <w:rFonts w:cs="Arial"/>
                <w:iCs/>
              </w:rPr>
              <w:tab/>
            </w:r>
            <w:r>
              <w:rPr>
                <w:rFonts w:cs="Arial"/>
                <w:iCs/>
              </w:rPr>
              <w:t>Unrealized loss from exchange rate difference</w:t>
            </w:r>
          </w:p>
        </w:tc>
        <w:tc>
          <w:tcPr>
            <w:tcW w:w="1890" w:type="dxa"/>
            <w:vAlign w:val="bottom"/>
          </w:tcPr>
          <w:p w14:paraId="7C1FD308" w14:textId="1921DC44" w:rsidR="00322891" w:rsidRPr="00D33812" w:rsidRDefault="00322891" w:rsidP="002C3C9F">
            <w:pPr>
              <w:widowControl w:val="0"/>
              <w:spacing w:before="120"/>
              <w:ind w:left="58" w:right="-85"/>
              <w:jc w:val="right"/>
              <w:rPr>
                <w:rFonts w:eastAsia="Batang" w:cs="Arial"/>
                <w:bCs/>
                <w:iCs/>
                <w:lang w:eastAsia="ko-KR"/>
              </w:rPr>
            </w:pPr>
            <w:r w:rsidRPr="00897F3B">
              <w:t xml:space="preserve"> - </w:t>
            </w:r>
          </w:p>
        </w:tc>
        <w:tc>
          <w:tcPr>
            <w:tcW w:w="1864" w:type="dxa"/>
            <w:vAlign w:val="bottom"/>
          </w:tcPr>
          <w:p w14:paraId="6BEFD3D0" w14:textId="2B7D4029" w:rsidR="00322891" w:rsidRPr="00D33812" w:rsidRDefault="00322891" w:rsidP="002C3C9F">
            <w:pPr>
              <w:widowControl w:val="0"/>
              <w:spacing w:before="120"/>
              <w:ind w:left="58" w:right="-85"/>
              <w:jc w:val="right"/>
              <w:rPr>
                <w:rFonts w:eastAsia="Batang" w:cs="Arial"/>
                <w:iCs/>
                <w:lang w:eastAsia="ko-KR"/>
              </w:rPr>
            </w:pPr>
            <w:r w:rsidRPr="00897F3B">
              <w:t>1</w:t>
            </w:r>
            <w:r w:rsidR="00650473">
              <w:t>,</w:t>
            </w:r>
            <w:r w:rsidRPr="00897F3B">
              <w:t>556</w:t>
            </w:r>
            <w:r w:rsidR="00650473">
              <w:t>,</w:t>
            </w:r>
            <w:r w:rsidRPr="00897F3B">
              <w:t>162</w:t>
            </w:r>
          </w:p>
        </w:tc>
      </w:tr>
      <w:tr w:rsidR="00322891" w:rsidRPr="002A0B87" w14:paraId="108F9014" w14:textId="77777777" w:rsidTr="002C3C9F">
        <w:trPr>
          <w:trHeight w:val="20"/>
        </w:trPr>
        <w:tc>
          <w:tcPr>
            <w:tcW w:w="4410" w:type="dxa"/>
            <w:vAlign w:val="bottom"/>
          </w:tcPr>
          <w:p w14:paraId="376ADA14" w14:textId="59EB0803" w:rsidR="00322891" w:rsidRPr="00D62A65" w:rsidRDefault="00322891" w:rsidP="00322891">
            <w:pPr>
              <w:widowControl w:val="0"/>
              <w:ind w:left="245" w:hanging="360"/>
              <w:jc w:val="left"/>
              <w:rPr>
                <w:rFonts w:cs="Arial"/>
              </w:rPr>
            </w:pPr>
            <w:r w:rsidRPr="00D62A65">
              <w:rPr>
                <w:rFonts w:cs="Arial"/>
              </w:rPr>
              <w:t>-</w:t>
            </w:r>
            <w:r w:rsidRPr="00D62A65">
              <w:rPr>
                <w:rFonts w:cs="Arial"/>
              </w:rPr>
              <w:tab/>
            </w:r>
            <w:r w:rsidRPr="00436A16">
              <w:rPr>
                <w:rFonts w:cs="Arial"/>
              </w:rPr>
              <w:t>Loss from revaluation of financial assets at FVTPL</w:t>
            </w:r>
          </w:p>
        </w:tc>
        <w:tc>
          <w:tcPr>
            <w:tcW w:w="1890" w:type="dxa"/>
            <w:vAlign w:val="bottom"/>
          </w:tcPr>
          <w:p w14:paraId="193CF3CE" w14:textId="489C3C63" w:rsidR="00322891" w:rsidRPr="00D33812" w:rsidRDefault="00322891" w:rsidP="002C3C9F">
            <w:pPr>
              <w:widowControl w:val="0"/>
              <w:ind w:left="58" w:right="-85"/>
              <w:jc w:val="right"/>
              <w:rPr>
                <w:rFonts w:eastAsia="Batang" w:cs="Arial"/>
                <w:bCs/>
                <w:lang w:eastAsia="ko-KR"/>
              </w:rPr>
            </w:pPr>
            <w:r w:rsidRPr="00897F3B">
              <w:t xml:space="preserve"> 459</w:t>
            </w:r>
            <w:r w:rsidR="00650473">
              <w:t>,</w:t>
            </w:r>
            <w:r w:rsidRPr="00897F3B">
              <w:t>544</w:t>
            </w:r>
            <w:r w:rsidR="00650473">
              <w:t>,</w:t>
            </w:r>
            <w:r w:rsidRPr="00897F3B">
              <w:t xml:space="preserve">090 </w:t>
            </w:r>
          </w:p>
        </w:tc>
        <w:tc>
          <w:tcPr>
            <w:tcW w:w="1864" w:type="dxa"/>
            <w:vAlign w:val="bottom"/>
          </w:tcPr>
          <w:p w14:paraId="5261E4B3" w14:textId="09F7D432" w:rsidR="00322891" w:rsidRPr="002A0B87" w:rsidRDefault="00322891" w:rsidP="002C3C9F">
            <w:pPr>
              <w:widowControl w:val="0"/>
              <w:ind w:left="58" w:right="-85"/>
              <w:jc w:val="right"/>
              <w:rPr>
                <w:rFonts w:eastAsia="Batang" w:cs="Arial"/>
                <w:bCs/>
                <w:lang w:eastAsia="ko-KR"/>
              </w:rPr>
            </w:pPr>
            <w:r w:rsidRPr="00897F3B">
              <w:t>214</w:t>
            </w:r>
            <w:r w:rsidR="00650473">
              <w:t>,</w:t>
            </w:r>
            <w:r w:rsidRPr="00897F3B">
              <w:t>652</w:t>
            </w:r>
            <w:r w:rsidR="00650473">
              <w:t>,</w:t>
            </w:r>
            <w:r w:rsidRPr="00897F3B">
              <w:t>635</w:t>
            </w:r>
          </w:p>
        </w:tc>
      </w:tr>
      <w:tr w:rsidR="00322891" w:rsidRPr="002A0B87" w14:paraId="7EA09DD8" w14:textId="77777777" w:rsidTr="002C3C9F">
        <w:trPr>
          <w:trHeight w:val="20"/>
        </w:trPr>
        <w:tc>
          <w:tcPr>
            <w:tcW w:w="4410" w:type="dxa"/>
            <w:vAlign w:val="bottom"/>
          </w:tcPr>
          <w:p w14:paraId="6E971C11" w14:textId="73D1EBDE" w:rsidR="00322891" w:rsidRPr="00D33812" w:rsidRDefault="00322891" w:rsidP="00322891">
            <w:pPr>
              <w:widowControl w:val="0"/>
              <w:ind w:left="245" w:hanging="360"/>
              <w:jc w:val="left"/>
              <w:rPr>
                <w:rFonts w:cs="Arial"/>
              </w:rPr>
            </w:pPr>
            <w:r w:rsidRPr="00D62A65">
              <w:rPr>
                <w:rFonts w:cs="Arial"/>
              </w:rPr>
              <w:t>-</w:t>
            </w:r>
            <w:r w:rsidRPr="00D62A65">
              <w:rPr>
                <w:rFonts w:cs="Arial"/>
              </w:rPr>
              <w:tab/>
            </w:r>
            <w:r w:rsidRPr="00141098">
              <w:rPr>
                <w:rFonts w:cs="Arial"/>
              </w:rPr>
              <w:t>Provision expenses</w:t>
            </w:r>
          </w:p>
        </w:tc>
        <w:tc>
          <w:tcPr>
            <w:tcW w:w="1890" w:type="dxa"/>
            <w:vAlign w:val="bottom"/>
          </w:tcPr>
          <w:p w14:paraId="361C98FC" w14:textId="7F462912" w:rsidR="00322891" w:rsidRPr="00D33812" w:rsidRDefault="00322891" w:rsidP="002C3C9F">
            <w:pPr>
              <w:widowControl w:val="0"/>
              <w:ind w:left="58" w:right="-85"/>
              <w:jc w:val="right"/>
              <w:rPr>
                <w:rFonts w:eastAsia="Batang" w:cs="Arial"/>
                <w:bCs/>
                <w:lang w:eastAsia="ko-KR"/>
              </w:rPr>
            </w:pPr>
            <w:r w:rsidRPr="00897F3B">
              <w:t xml:space="preserve"> - </w:t>
            </w:r>
          </w:p>
        </w:tc>
        <w:tc>
          <w:tcPr>
            <w:tcW w:w="1864" w:type="dxa"/>
            <w:vAlign w:val="bottom"/>
          </w:tcPr>
          <w:p w14:paraId="0225C91A" w14:textId="12E10596" w:rsidR="00322891" w:rsidRPr="003C222B" w:rsidRDefault="00322891" w:rsidP="002C3C9F">
            <w:pPr>
              <w:widowControl w:val="0"/>
              <w:ind w:left="58" w:right="-85"/>
              <w:jc w:val="right"/>
              <w:rPr>
                <w:rFonts w:eastAsia="Batang" w:cs="Arial"/>
                <w:lang w:eastAsia="ko-KR"/>
              </w:rPr>
            </w:pPr>
            <w:r w:rsidRPr="00897F3B">
              <w:t xml:space="preserve">- </w:t>
            </w:r>
          </w:p>
        </w:tc>
      </w:tr>
      <w:tr w:rsidR="00322891" w:rsidRPr="002A0B87" w14:paraId="36B6C9DD" w14:textId="77777777" w:rsidTr="002C3C9F">
        <w:trPr>
          <w:trHeight w:val="20"/>
        </w:trPr>
        <w:tc>
          <w:tcPr>
            <w:tcW w:w="4410" w:type="dxa"/>
            <w:vAlign w:val="bottom"/>
          </w:tcPr>
          <w:p w14:paraId="07E5E0A9" w14:textId="6113CACD" w:rsidR="00322891" w:rsidRPr="00D33812" w:rsidRDefault="00322891" w:rsidP="00322891">
            <w:pPr>
              <w:widowControl w:val="0"/>
              <w:ind w:left="245" w:hanging="360"/>
              <w:jc w:val="left"/>
              <w:rPr>
                <w:rFonts w:cs="Arial"/>
              </w:rPr>
            </w:pPr>
            <w:r w:rsidRPr="00D62A65">
              <w:rPr>
                <w:rFonts w:cs="Arial"/>
              </w:rPr>
              <w:t>-</w:t>
            </w:r>
            <w:r w:rsidRPr="00D62A65">
              <w:rPr>
                <w:rFonts w:cs="Arial"/>
              </w:rPr>
              <w:tab/>
            </w:r>
            <w:r w:rsidRPr="00116FA7">
              <w:rPr>
                <w:rFonts w:cs="Arial"/>
              </w:rPr>
              <w:t>Non-deductible severance allowances</w:t>
            </w:r>
          </w:p>
        </w:tc>
        <w:tc>
          <w:tcPr>
            <w:tcW w:w="1890" w:type="dxa"/>
            <w:vAlign w:val="bottom"/>
          </w:tcPr>
          <w:p w14:paraId="18E87556" w14:textId="6171FA52" w:rsidR="00322891" w:rsidRPr="00D33812" w:rsidRDefault="00322891" w:rsidP="002C3C9F">
            <w:pPr>
              <w:widowControl w:val="0"/>
              <w:ind w:left="58" w:right="-85"/>
              <w:jc w:val="right"/>
              <w:rPr>
                <w:rFonts w:eastAsia="Batang" w:cs="Arial"/>
                <w:bCs/>
                <w:lang w:eastAsia="ko-KR"/>
              </w:rPr>
            </w:pPr>
            <w:r w:rsidRPr="00897F3B">
              <w:t xml:space="preserve"> - </w:t>
            </w:r>
          </w:p>
        </w:tc>
        <w:tc>
          <w:tcPr>
            <w:tcW w:w="1864" w:type="dxa"/>
            <w:vAlign w:val="bottom"/>
          </w:tcPr>
          <w:p w14:paraId="28EA11BA" w14:textId="47F17B27" w:rsidR="00322891" w:rsidRPr="00F9143E" w:rsidRDefault="00322891" w:rsidP="002C3C9F">
            <w:pPr>
              <w:widowControl w:val="0"/>
              <w:ind w:left="58" w:right="-85"/>
              <w:jc w:val="right"/>
              <w:rPr>
                <w:rFonts w:eastAsia="Batang" w:cs="Arial"/>
                <w:bCs/>
                <w:lang w:eastAsia="ko-KR"/>
              </w:rPr>
            </w:pPr>
            <w:r w:rsidRPr="00897F3B">
              <w:t>3</w:t>
            </w:r>
            <w:r w:rsidR="00650473">
              <w:t>,</w:t>
            </w:r>
            <w:r w:rsidRPr="00897F3B">
              <w:t>273</w:t>
            </w:r>
            <w:r w:rsidR="00650473">
              <w:t>,</w:t>
            </w:r>
            <w:r w:rsidRPr="00897F3B">
              <w:t>916</w:t>
            </w:r>
            <w:r w:rsidR="00650473">
              <w:t>,</w:t>
            </w:r>
            <w:r w:rsidRPr="00897F3B">
              <w:t xml:space="preserve">744 </w:t>
            </w:r>
          </w:p>
        </w:tc>
      </w:tr>
      <w:tr w:rsidR="00322891" w:rsidRPr="002A0B87" w14:paraId="2C52354E" w14:textId="77777777" w:rsidTr="002C3C9F">
        <w:trPr>
          <w:trHeight w:val="20"/>
        </w:trPr>
        <w:tc>
          <w:tcPr>
            <w:tcW w:w="4410" w:type="dxa"/>
            <w:vAlign w:val="bottom"/>
          </w:tcPr>
          <w:p w14:paraId="72D45889" w14:textId="71641E39" w:rsidR="00322891" w:rsidRPr="00D33812" w:rsidRDefault="00322891" w:rsidP="00322891">
            <w:pPr>
              <w:widowControl w:val="0"/>
              <w:ind w:left="245" w:hanging="360"/>
              <w:jc w:val="left"/>
              <w:rPr>
                <w:rFonts w:cs="Arial"/>
              </w:rPr>
            </w:pPr>
            <w:r w:rsidRPr="00D62A65">
              <w:rPr>
                <w:rFonts w:cs="Arial"/>
              </w:rPr>
              <w:t>-</w:t>
            </w:r>
            <w:r w:rsidRPr="00D62A65">
              <w:rPr>
                <w:rFonts w:cs="Arial"/>
              </w:rPr>
              <w:tab/>
            </w:r>
            <w:r w:rsidRPr="002D075D">
              <w:rPr>
                <w:rFonts w:cs="Arial"/>
              </w:rPr>
              <w:t>Non-deductible expenses</w:t>
            </w:r>
          </w:p>
        </w:tc>
        <w:tc>
          <w:tcPr>
            <w:tcW w:w="1890" w:type="dxa"/>
            <w:vAlign w:val="bottom"/>
          </w:tcPr>
          <w:p w14:paraId="57557448" w14:textId="1021B6F0" w:rsidR="00322891" w:rsidRPr="00D33812" w:rsidRDefault="00322891" w:rsidP="002C3C9F">
            <w:pPr>
              <w:widowControl w:val="0"/>
              <w:ind w:left="58" w:right="-85"/>
              <w:jc w:val="right"/>
              <w:rPr>
                <w:rFonts w:eastAsia="Batang" w:cs="Arial"/>
                <w:bCs/>
                <w:lang w:eastAsia="ko-KR"/>
              </w:rPr>
            </w:pPr>
            <w:r w:rsidRPr="00897F3B">
              <w:t xml:space="preserve"> - </w:t>
            </w:r>
          </w:p>
        </w:tc>
        <w:tc>
          <w:tcPr>
            <w:tcW w:w="1864" w:type="dxa"/>
            <w:vAlign w:val="bottom"/>
          </w:tcPr>
          <w:p w14:paraId="045AD962" w14:textId="515BD453" w:rsidR="00322891" w:rsidRPr="003C222B" w:rsidRDefault="00322891" w:rsidP="002C3C9F">
            <w:pPr>
              <w:widowControl w:val="0"/>
              <w:ind w:left="58" w:right="-85"/>
              <w:jc w:val="right"/>
              <w:rPr>
                <w:rFonts w:eastAsia="Batang" w:cs="Arial"/>
                <w:lang w:eastAsia="ko-KR"/>
              </w:rPr>
            </w:pPr>
            <w:r w:rsidRPr="00897F3B">
              <w:t>101</w:t>
            </w:r>
            <w:r w:rsidR="00650473">
              <w:t>,</w:t>
            </w:r>
            <w:r w:rsidRPr="00897F3B">
              <w:t>517</w:t>
            </w:r>
            <w:r w:rsidR="00650473">
              <w:t>,</w:t>
            </w:r>
            <w:r w:rsidRPr="00897F3B">
              <w:t xml:space="preserve">910 </w:t>
            </w:r>
          </w:p>
        </w:tc>
      </w:tr>
      <w:tr w:rsidR="00322891" w:rsidRPr="002A0B87" w14:paraId="65C374CC" w14:textId="77777777" w:rsidTr="002C3C9F">
        <w:trPr>
          <w:trHeight w:val="20"/>
        </w:trPr>
        <w:tc>
          <w:tcPr>
            <w:tcW w:w="4410" w:type="dxa"/>
            <w:vAlign w:val="bottom"/>
          </w:tcPr>
          <w:p w14:paraId="466901CC" w14:textId="65752C0C" w:rsidR="00322891" w:rsidRPr="00D62A65" w:rsidRDefault="00322891" w:rsidP="00322891">
            <w:pPr>
              <w:widowControl w:val="0"/>
              <w:spacing w:before="120"/>
              <w:ind w:left="-115"/>
              <w:rPr>
                <w:rFonts w:cs="Arial"/>
                <w:i/>
                <w:iCs/>
              </w:rPr>
            </w:pPr>
            <w:r>
              <w:rPr>
                <w:rFonts w:cs="Arial"/>
                <w:i/>
                <w:iCs/>
              </w:rPr>
              <w:t>Less</w:t>
            </w:r>
          </w:p>
        </w:tc>
        <w:tc>
          <w:tcPr>
            <w:tcW w:w="1890" w:type="dxa"/>
            <w:vAlign w:val="bottom"/>
          </w:tcPr>
          <w:p w14:paraId="4576D7EF" w14:textId="0F7B2D4D" w:rsidR="00322891" w:rsidRPr="00D33812" w:rsidRDefault="00322891" w:rsidP="002C3C9F">
            <w:pPr>
              <w:widowControl w:val="0"/>
              <w:spacing w:before="120"/>
              <w:ind w:left="57" w:right="-85"/>
              <w:jc w:val="right"/>
              <w:rPr>
                <w:rFonts w:eastAsia="Batang" w:cs="Arial"/>
                <w:bCs/>
                <w:i/>
                <w:iCs/>
                <w:lang w:eastAsia="ko-KR"/>
              </w:rPr>
            </w:pPr>
          </w:p>
        </w:tc>
        <w:tc>
          <w:tcPr>
            <w:tcW w:w="1864" w:type="dxa"/>
            <w:vAlign w:val="bottom"/>
          </w:tcPr>
          <w:p w14:paraId="7B46CA15" w14:textId="77777777" w:rsidR="00322891" w:rsidRPr="003C222B" w:rsidRDefault="00322891" w:rsidP="002C3C9F">
            <w:pPr>
              <w:widowControl w:val="0"/>
              <w:spacing w:before="120"/>
              <w:ind w:left="57" w:right="-85"/>
              <w:jc w:val="right"/>
              <w:rPr>
                <w:rFonts w:eastAsia="Batang" w:cs="Arial"/>
                <w:i/>
                <w:lang w:eastAsia="ko-KR"/>
              </w:rPr>
            </w:pPr>
          </w:p>
        </w:tc>
      </w:tr>
      <w:tr w:rsidR="00322891" w:rsidRPr="002731C4" w14:paraId="6EBC3B6D" w14:textId="77777777" w:rsidTr="002C3C9F">
        <w:trPr>
          <w:trHeight w:val="20"/>
        </w:trPr>
        <w:tc>
          <w:tcPr>
            <w:tcW w:w="4410" w:type="dxa"/>
            <w:vAlign w:val="bottom"/>
          </w:tcPr>
          <w:p w14:paraId="480D8A0A" w14:textId="5ED92411" w:rsidR="00322891" w:rsidRPr="00D33812" w:rsidRDefault="00322891" w:rsidP="00322891">
            <w:pPr>
              <w:widowControl w:val="0"/>
              <w:spacing w:before="120"/>
              <w:ind w:left="-115"/>
              <w:rPr>
                <w:rFonts w:cs="Arial"/>
              </w:rPr>
            </w:pPr>
            <w:r w:rsidRPr="00D62A65">
              <w:rPr>
                <w:rFonts w:cs="Arial"/>
              </w:rPr>
              <w:t>-</w:t>
            </w:r>
            <w:r w:rsidRPr="00D62A65">
              <w:rPr>
                <w:rFonts w:cs="Arial"/>
              </w:rPr>
              <w:tab/>
            </w:r>
            <w:r w:rsidRPr="00D62A65">
              <w:rPr>
                <w:rFonts w:cs="Arial"/>
              </w:rPr>
              <w:tab/>
            </w:r>
            <w:r w:rsidRPr="00D62A65">
              <w:rPr>
                <w:rFonts w:cs="Arial"/>
              </w:rPr>
              <w:tab/>
              <w:t xml:space="preserve">     </w:t>
            </w:r>
            <w:r>
              <w:rPr>
                <w:rFonts w:cs="Arial"/>
              </w:rPr>
              <w:t>Unrealized gain from exchange rate difference</w:t>
            </w:r>
          </w:p>
        </w:tc>
        <w:tc>
          <w:tcPr>
            <w:tcW w:w="1890" w:type="dxa"/>
            <w:vAlign w:val="bottom"/>
          </w:tcPr>
          <w:p w14:paraId="4A757FE4" w14:textId="376805C2" w:rsidR="00322891" w:rsidRPr="00D33812" w:rsidRDefault="006D1ACB" w:rsidP="002C3C9F">
            <w:pPr>
              <w:widowControl w:val="0"/>
              <w:spacing w:before="120"/>
              <w:ind w:left="57" w:right="-85"/>
              <w:jc w:val="right"/>
              <w:rPr>
                <w:rFonts w:eastAsia="Batang" w:cs="Arial"/>
                <w:bCs/>
                <w:lang w:eastAsia="ko-KR"/>
              </w:rPr>
            </w:pPr>
            <w:r w:rsidRPr="00897F3B">
              <w:t>303</w:t>
            </w:r>
            <w:r>
              <w:t>,</w:t>
            </w:r>
            <w:r w:rsidRPr="00897F3B">
              <w:t>842</w:t>
            </w:r>
            <w:r>
              <w:t>,</w:t>
            </w:r>
            <w:r w:rsidRPr="00897F3B">
              <w:t>056</w:t>
            </w:r>
          </w:p>
        </w:tc>
        <w:tc>
          <w:tcPr>
            <w:tcW w:w="1864" w:type="dxa"/>
            <w:vAlign w:val="bottom"/>
          </w:tcPr>
          <w:p w14:paraId="18B83B00" w14:textId="7269C67B" w:rsidR="00322891" w:rsidRPr="00D33812" w:rsidRDefault="00322891" w:rsidP="002C3C9F">
            <w:pPr>
              <w:widowControl w:val="0"/>
              <w:spacing w:before="120"/>
              <w:ind w:left="57" w:right="-85"/>
              <w:jc w:val="right"/>
              <w:rPr>
                <w:rFonts w:eastAsia="Batang" w:cs="Arial"/>
                <w:lang w:eastAsia="ko-KR"/>
              </w:rPr>
            </w:pPr>
            <w:r w:rsidRPr="00897F3B">
              <w:t>(4</w:t>
            </w:r>
            <w:r w:rsidR="00650473">
              <w:t>,</w:t>
            </w:r>
            <w:r w:rsidRPr="00897F3B">
              <w:t>775</w:t>
            </w:r>
            <w:r w:rsidR="00650473">
              <w:t>,</w:t>
            </w:r>
            <w:r w:rsidRPr="00897F3B">
              <w:t>696)</w:t>
            </w:r>
          </w:p>
        </w:tc>
      </w:tr>
      <w:tr w:rsidR="00322891" w:rsidRPr="002A0B87" w14:paraId="5B45025F" w14:textId="77777777" w:rsidTr="002C3C9F">
        <w:trPr>
          <w:trHeight w:val="20"/>
        </w:trPr>
        <w:tc>
          <w:tcPr>
            <w:tcW w:w="4410" w:type="dxa"/>
            <w:vAlign w:val="bottom"/>
          </w:tcPr>
          <w:p w14:paraId="68D3CDB8" w14:textId="35B92B7A" w:rsidR="00322891" w:rsidRPr="00D33812" w:rsidRDefault="00322891" w:rsidP="00322891">
            <w:pPr>
              <w:widowControl w:val="0"/>
              <w:ind w:left="245" w:hanging="360"/>
              <w:jc w:val="left"/>
              <w:rPr>
                <w:rFonts w:cs="Arial"/>
              </w:rPr>
            </w:pPr>
            <w:r w:rsidRPr="00D62A65">
              <w:rPr>
                <w:rFonts w:cs="Arial"/>
              </w:rPr>
              <w:t>-</w:t>
            </w:r>
            <w:r w:rsidRPr="00D62A65">
              <w:rPr>
                <w:rFonts w:cs="Arial"/>
              </w:rPr>
              <w:tab/>
            </w:r>
            <w:r w:rsidRPr="009627AA">
              <w:rPr>
                <w:rFonts w:cs="Arial"/>
              </w:rPr>
              <w:t>Gain from revaluation of financial assets at FVTPL</w:t>
            </w:r>
          </w:p>
        </w:tc>
        <w:tc>
          <w:tcPr>
            <w:tcW w:w="1890" w:type="dxa"/>
            <w:vAlign w:val="bottom"/>
          </w:tcPr>
          <w:p w14:paraId="20880AA0" w14:textId="64C8A4C5" w:rsidR="00322891" w:rsidRPr="00D33812" w:rsidRDefault="00322891" w:rsidP="002C3C9F">
            <w:pPr>
              <w:widowControl w:val="0"/>
              <w:ind w:left="-86" w:right="-85"/>
              <w:jc w:val="right"/>
              <w:rPr>
                <w:rFonts w:eastAsia="Batang" w:cs="Arial"/>
                <w:bCs/>
                <w:lang w:eastAsia="ko-KR"/>
              </w:rPr>
            </w:pPr>
            <w:r w:rsidRPr="00897F3B">
              <w:t xml:space="preserve"> (4</w:t>
            </w:r>
            <w:r w:rsidR="00650473">
              <w:t>,</w:t>
            </w:r>
            <w:r w:rsidRPr="00897F3B">
              <w:t>870</w:t>
            </w:r>
            <w:r w:rsidR="00650473">
              <w:t>,</w:t>
            </w:r>
            <w:r w:rsidRPr="00897F3B">
              <w:t>127)</w:t>
            </w:r>
          </w:p>
        </w:tc>
        <w:tc>
          <w:tcPr>
            <w:tcW w:w="1864" w:type="dxa"/>
            <w:vAlign w:val="bottom"/>
          </w:tcPr>
          <w:p w14:paraId="1E0C5C7E" w14:textId="17E3CBE3" w:rsidR="00322891" w:rsidRPr="002A0B87" w:rsidRDefault="00322891" w:rsidP="002C3C9F">
            <w:pPr>
              <w:widowControl w:val="0"/>
              <w:ind w:left="-86" w:right="-85"/>
              <w:jc w:val="right"/>
              <w:rPr>
                <w:rFonts w:eastAsia="Batang" w:cs="Arial"/>
                <w:bCs/>
                <w:lang w:eastAsia="ko-KR"/>
              </w:rPr>
            </w:pPr>
            <w:r w:rsidRPr="00897F3B">
              <w:t>(312</w:t>
            </w:r>
            <w:r w:rsidR="00650473">
              <w:t>,</w:t>
            </w:r>
            <w:r w:rsidRPr="00897F3B">
              <w:t>217</w:t>
            </w:r>
            <w:r w:rsidR="00650473">
              <w:t>,</w:t>
            </w:r>
            <w:r w:rsidRPr="00897F3B">
              <w:t xml:space="preserve">837) </w:t>
            </w:r>
          </w:p>
        </w:tc>
      </w:tr>
      <w:tr w:rsidR="00322891" w:rsidRPr="002A0B87" w14:paraId="1297BDFD" w14:textId="77777777" w:rsidTr="002C3C9F">
        <w:trPr>
          <w:trHeight w:val="20"/>
        </w:trPr>
        <w:tc>
          <w:tcPr>
            <w:tcW w:w="4410" w:type="dxa"/>
            <w:vAlign w:val="bottom"/>
          </w:tcPr>
          <w:p w14:paraId="0178E3FC" w14:textId="738B5E87" w:rsidR="00322891" w:rsidRPr="00D62A65" w:rsidRDefault="00322891" w:rsidP="00322891">
            <w:pPr>
              <w:widowControl w:val="0"/>
              <w:ind w:left="245" w:hanging="360"/>
              <w:rPr>
                <w:rFonts w:cs="Arial"/>
              </w:rPr>
            </w:pPr>
            <w:r w:rsidRPr="00D62A65">
              <w:rPr>
                <w:rFonts w:cs="Arial"/>
              </w:rPr>
              <w:t>-</w:t>
            </w:r>
            <w:r w:rsidRPr="00D62A65">
              <w:rPr>
                <w:rFonts w:cs="Arial"/>
              </w:rPr>
              <w:tab/>
            </w:r>
            <w:r w:rsidRPr="00C32A03">
              <w:rPr>
                <w:rFonts w:cs="Arial"/>
              </w:rPr>
              <w:t>Dividend received</w:t>
            </w:r>
          </w:p>
        </w:tc>
        <w:tc>
          <w:tcPr>
            <w:tcW w:w="1890" w:type="dxa"/>
            <w:vAlign w:val="bottom"/>
          </w:tcPr>
          <w:p w14:paraId="15CEFC7D" w14:textId="255F8AB0" w:rsidR="00322891" w:rsidRPr="00D33812" w:rsidRDefault="00322891" w:rsidP="002C3C9F">
            <w:pPr>
              <w:widowControl w:val="0"/>
              <w:ind w:right="-85"/>
              <w:jc w:val="right"/>
              <w:rPr>
                <w:rFonts w:eastAsia="Batang" w:cs="Arial"/>
                <w:bCs/>
                <w:lang w:eastAsia="ko-KR"/>
              </w:rPr>
            </w:pPr>
            <w:r w:rsidRPr="00897F3B">
              <w:t xml:space="preserve"> (1</w:t>
            </w:r>
            <w:r w:rsidR="00650473">
              <w:t>,</w:t>
            </w:r>
            <w:r w:rsidRPr="00897F3B">
              <w:t>645</w:t>
            </w:r>
            <w:r w:rsidR="00650473">
              <w:t>,</w:t>
            </w:r>
            <w:r w:rsidRPr="00897F3B">
              <w:t>549</w:t>
            </w:r>
            <w:r w:rsidR="00650473">
              <w:t>,</w:t>
            </w:r>
            <w:r w:rsidRPr="00897F3B">
              <w:t>128)</w:t>
            </w:r>
          </w:p>
        </w:tc>
        <w:tc>
          <w:tcPr>
            <w:tcW w:w="1864" w:type="dxa"/>
            <w:vAlign w:val="bottom"/>
          </w:tcPr>
          <w:p w14:paraId="40B8F4E5" w14:textId="20A36007" w:rsidR="00322891" w:rsidRPr="002A0B87" w:rsidRDefault="00322891" w:rsidP="002C3C9F">
            <w:pPr>
              <w:widowControl w:val="0"/>
              <w:ind w:right="-85"/>
              <w:jc w:val="right"/>
              <w:rPr>
                <w:rFonts w:eastAsia="Batang" w:cs="Arial"/>
                <w:bCs/>
                <w:lang w:eastAsia="ko-KR"/>
              </w:rPr>
            </w:pPr>
            <w:r w:rsidRPr="00897F3B">
              <w:t>(773</w:t>
            </w:r>
            <w:r w:rsidR="00650473">
              <w:t>,</w:t>
            </w:r>
            <w:r w:rsidRPr="00897F3B">
              <w:t xml:space="preserve">300) </w:t>
            </w:r>
          </w:p>
        </w:tc>
      </w:tr>
      <w:tr w:rsidR="00322891" w:rsidRPr="002A0B87" w14:paraId="59B0C103" w14:textId="77777777" w:rsidTr="002C3C9F">
        <w:trPr>
          <w:trHeight w:val="20"/>
        </w:trPr>
        <w:tc>
          <w:tcPr>
            <w:tcW w:w="4410" w:type="dxa"/>
            <w:vAlign w:val="bottom"/>
          </w:tcPr>
          <w:p w14:paraId="15F164BA" w14:textId="4C0BD587" w:rsidR="00322891" w:rsidRPr="00D33812" w:rsidRDefault="00322891" w:rsidP="00322891">
            <w:pPr>
              <w:widowControl w:val="0"/>
              <w:ind w:left="245" w:hanging="360"/>
              <w:rPr>
                <w:rFonts w:cs="Arial"/>
              </w:rPr>
            </w:pPr>
            <w:r w:rsidRPr="005C55A7">
              <w:rPr>
                <w:rFonts w:cs="Arial"/>
              </w:rPr>
              <w:t>-</w:t>
            </w:r>
            <w:r w:rsidRPr="005C55A7">
              <w:rPr>
                <w:rFonts w:cs="Arial"/>
              </w:rPr>
              <w:tab/>
            </w:r>
            <w:r w:rsidRPr="00FA28E4">
              <w:rPr>
                <w:rFonts w:cs="Arial"/>
              </w:rPr>
              <w:t>Temporary taxable difference</w:t>
            </w:r>
          </w:p>
        </w:tc>
        <w:tc>
          <w:tcPr>
            <w:tcW w:w="1890" w:type="dxa"/>
            <w:vAlign w:val="bottom"/>
          </w:tcPr>
          <w:p w14:paraId="68B1E47F" w14:textId="0378AAB0" w:rsidR="00322891" w:rsidRPr="00D33812" w:rsidRDefault="00322891" w:rsidP="002C3C9F">
            <w:pPr>
              <w:widowControl w:val="0"/>
              <w:ind w:right="-85"/>
              <w:jc w:val="right"/>
              <w:rPr>
                <w:rFonts w:eastAsia="Batang" w:cs="Arial"/>
                <w:bCs/>
                <w:lang w:eastAsia="ko-KR"/>
              </w:rPr>
            </w:pPr>
            <w:r w:rsidRPr="00897F3B">
              <w:t xml:space="preserve"> (4</w:t>
            </w:r>
            <w:r w:rsidR="00650473">
              <w:t>,</w:t>
            </w:r>
            <w:r w:rsidRPr="00897F3B">
              <w:t>182</w:t>
            </w:r>
            <w:r w:rsidR="00650473">
              <w:t>,</w:t>
            </w:r>
            <w:r w:rsidRPr="00897F3B">
              <w:t>376)</w:t>
            </w:r>
          </w:p>
        </w:tc>
        <w:tc>
          <w:tcPr>
            <w:tcW w:w="1864" w:type="dxa"/>
            <w:vAlign w:val="bottom"/>
          </w:tcPr>
          <w:p w14:paraId="0B97CD6F" w14:textId="59D3EAD9" w:rsidR="00322891" w:rsidDel="001A79FD" w:rsidRDefault="00322891" w:rsidP="002C3C9F">
            <w:pPr>
              <w:widowControl w:val="0"/>
              <w:ind w:right="-85"/>
              <w:jc w:val="right"/>
              <w:rPr>
                <w:rFonts w:eastAsia="Batang" w:cs="Arial"/>
                <w:bCs/>
                <w:lang w:eastAsia="ko-KR"/>
              </w:rPr>
            </w:pPr>
            <w:r w:rsidRPr="00897F3B">
              <w:t>(1</w:t>
            </w:r>
            <w:r w:rsidR="00650473">
              <w:t>,</w:t>
            </w:r>
            <w:r w:rsidRPr="00897F3B">
              <w:t>496</w:t>
            </w:r>
            <w:r w:rsidR="00650473">
              <w:t>,</w:t>
            </w:r>
            <w:r w:rsidRPr="00897F3B">
              <w:t>324</w:t>
            </w:r>
            <w:r w:rsidR="00650473">
              <w:t>,</w:t>
            </w:r>
            <w:r w:rsidRPr="00897F3B">
              <w:t>534)</w:t>
            </w:r>
          </w:p>
        </w:tc>
      </w:tr>
      <w:tr w:rsidR="00322891" w:rsidRPr="002A0B87" w14:paraId="60E40EA4" w14:textId="77777777" w:rsidTr="002C3C9F">
        <w:trPr>
          <w:trHeight w:val="20"/>
        </w:trPr>
        <w:tc>
          <w:tcPr>
            <w:tcW w:w="4410" w:type="dxa"/>
            <w:vAlign w:val="bottom"/>
          </w:tcPr>
          <w:p w14:paraId="29A58969" w14:textId="629D27F6" w:rsidR="00322891" w:rsidRPr="002A0B87" w:rsidRDefault="00322891" w:rsidP="00322891">
            <w:pPr>
              <w:widowControl w:val="0"/>
              <w:ind w:left="245" w:hanging="360"/>
              <w:rPr>
                <w:rFonts w:cs="Arial"/>
              </w:rPr>
            </w:pPr>
            <w:r>
              <w:rPr>
                <w:rFonts w:cs="Arial"/>
              </w:rPr>
              <w:t>-</w:t>
            </w:r>
            <w:r>
              <w:rPr>
                <w:rFonts w:cs="Arial"/>
              </w:rPr>
              <w:tab/>
            </w:r>
            <w:r w:rsidRPr="00FA0CBE">
              <w:rPr>
                <w:rFonts w:cs="Arial"/>
              </w:rPr>
              <w:t>Losses carried forward</w:t>
            </w:r>
          </w:p>
        </w:tc>
        <w:tc>
          <w:tcPr>
            <w:tcW w:w="1890" w:type="dxa"/>
            <w:vAlign w:val="bottom"/>
          </w:tcPr>
          <w:p w14:paraId="4E953FA2" w14:textId="1145EF33" w:rsidR="00322891" w:rsidRPr="005D6C8F" w:rsidRDefault="00322891" w:rsidP="002C3C9F">
            <w:pPr>
              <w:widowControl w:val="0"/>
              <w:pBdr>
                <w:bottom w:val="single" w:sz="4" w:space="1" w:color="auto"/>
              </w:pBdr>
              <w:ind w:right="-85"/>
              <w:jc w:val="right"/>
              <w:rPr>
                <w:rFonts w:eastAsia="Batang" w:cs="Arial"/>
                <w:bCs/>
                <w:lang w:eastAsia="ko-KR"/>
              </w:rPr>
            </w:pPr>
            <w:r w:rsidRPr="00897F3B">
              <w:t xml:space="preserve"> (2</w:t>
            </w:r>
            <w:r w:rsidR="00650473">
              <w:t>,</w:t>
            </w:r>
            <w:r w:rsidRPr="00897F3B">
              <w:t>244</w:t>
            </w:r>
            <w:r w:rsidR="00650473">
              <w:t>,</w:t>
            </w:r>
            <w:r w:rsidRPr="00897F3B">
              <w:t>486</w:t>
            </w:r>
            <w:r w:rsidR="00650473">
              <w:t>,</w:t>
            </w:r>
            <w:r w:rsidRPr="00897F3B">
              <w:t>801)</w:t>
            </w:r>
          </w:p>
        </w:tc>
        <w:tc>
          <w:tcPr>
            <w:tcW w:w="1864" w:type="dxa"/>
            <w:vAlign w:val="bottom"/>
          </w:tcPr>
          <w:p w14:paraId="4EB7166C" w14:textId="5FCAB2BF" w:rsidR="00322891" w:rsidRPr="005D6C8F" w:rsidRDefault="00322891" w:rsidP="002C3C9F">
            <w:pPr>
              <w:widowControl w:val="0"/>
              <w:pBdr>
                <w:bottom w:val="single" w:sz="4" w:space="1" w:color="auto"/>
              </w:pBdr>
              <w:ind w:right="-85"/>
              <w:jc w:val="right"/>
              <w:rPr>
                <w:rFonts w:eastAsia="Batang" w:cs="Arial"/>
                <w:bCs/>
                <w:lang w:eastAsia="ko-KR"/>
              </w:rPr>
            </w:pPr>
            <w:r w:rsidRPr="00897F3B">
              <w:t>(6</w:t>
            </w:r>
            <w:r w:rsidR="00650473">
              <w:t>,</w:t>
            </w:r>
            <w:r w:rsidRPr="00897F3B">
              <w:t>235</w:t>
            </w:r>
            <w:r w:rsidR="00650473">
              <w:t>,</w:t>
            </w:r>
            <w:r w:rsidRPr="00897F3B">
              <w:t>801</w:t>
            </w:r>
            <w:r w:rsidR="00650473">
              <w:t>,</w:t>
            </w:r>
            <w:r w:rsidRPr="00897F3B">
              <w:t xml:space="preserve">348) </w:t>
            </w:r>
          </w:p>
        </w:tc>
      </w:tr>
      <w:tr w:rsidR="00322891" w:rsidRPr="002A0B87" w14:paraId="61FAFFAE" w14:textId="77777777" w:rsidTr="002C3C9F">
        <w:trPr>
          <w:trHeight w:val="20"/>
        </w:trPr>
        <w:tc>
          <w:tcPr>
            <w:tcW w:w="4410" w:type="dxa"/>
            <w:vAlign w:val="bottom"/>
          </w:tcPr>
          <w:p w14:paraId="626044F6" w14:textId="095D2697" w:rsidR="00322891" w:rsidRPr="002A0B87" w:rsidRDefault="00322891" w:rsidP="00322891">
            <w:pPr>
              <w:widowControl w:val="0"/>
              <w:spacing w:before="120"/>
              <w:ind w:left="-115" w:right="-86" w:firstLine="12"/>
              <w:rPr>
                <w:rFonts w:cs="Arial"/>
                <w:b/>
              </w:rPr>
            </w:pPr>
            <w:r w:rsidRPr="008949CA">
              <w:rPr>
                <w:rFonts w:cs="Arial"/>
                <w:b/>
              </w:rPr>
              <w:t>Estimated current taxable profit</w:t>
            </w:r>
          </w:p>
        </w:tc>
        <w:tc>
          <w:tcPr>
            <w:tcW w:w="1890" w:type="dxa"/>
            <w:vAlign w:val="bottom"/>
          </w:tcPr>
          <w:p w14:paraId="22427819" w14:textId="2CFB993C" w:rsidR="00322891" w:rsidRPr="00650473" w:rsidRDefault="00322891" w:rsidP="002C3C9F">
            <w:pPr>
              <w:widowControl w:val="0"/>
              <w:spacing w:before="120"/>
              <w:ind w:left="57" w:right="-85"/>
              <w:jc w:val="right"/>
              <w:rPr>
                <w:rFonts w:eastAsia="Batang" w:cs="Arial"/>
                <w:b/>
                <w:bCs/>
                <w:highlight w:val="yellow"/>
                <w:lang w:eastAsia="ko-KR"/>
              </w:rPr>
            </w:pPr>
            <w:r w:rsidRPr="00650473">
              <w:rPr>
                <w:b/>
                <w:bCs/>
              </w:rPr>
              <w:t xml:space="preserve"> 35</w:t>
            </w:r>
            <w:r w:rsidR="00650473" w:rsidRPr="00650473">
              <w:rPr>
                <w:b/>
                <w:bCs/>
              </w:rPr>
              <w:t>,</w:t>
            </w:r>
            <w:r w:rsidRPr="00650473">
              <w:rPr>
                <w:b/>
                <w:bCs/>
              </w:rPr>
              <w:t>142</w:t>
            </w:r>
            <w:r w:rsidR="00650473" w:rsidRPr="00650473">
              <w:rPr>
                <w:b/>
                <w:bCs/>
              </w:rPr>
              <w:t>,</w:t>
            </w:r>
            <w:r w:rsidRPr="00650473">
              <w:rPr>
                <w:b/>
                <w:bCs/>
              </w:rPr>
              <w:t>638</w:t>
            </w:r>
            <w:r w:rsidR="00650473" w:rsidRPr="00650473">
              <w:rPr>
                <w:b/>
                <w:bCs/>
              </w:rPr>
              <w:t>,</w:t>
            </w:r>
            <w:r w:rsidRPr="00650473">
              <w:rPr>
                <w:b/>
                <w:bCs/>
              </w:rPr>
              <w:t xml:space="preserve">167 </w:t>
            </w:r>
          </w:p>
        </w:tc>
        <w:tc>
          <w:tcPr>
            <w:tcW w:w="1864" w:type="dxa"/>
            <w:vAlign w:val="bottom"/>
          </w:tcPr>
          <w:p w14:paraId="6B060BAE" w14:textId="6B2A0DF1" w:rsidR="00322891" w:rsidRPr="00650473" w:rsidRDefault="00322891" w:rsidP="002C3C9F">
            <w:pPr>
              <w:widowControl w:val="0"/>
              <w:spacing w:before="120"/>
              <w:ind w:left="57" w:right="-85"/>
              <w:jc w:val="right"/>
              <w:rPr>
                <w:rFonts w:eastAsia="Batang" w:cs="Arial"/>
                <w:b/>
                <w:bCs/>
                <w:lang w:eastAsia="ko-KR"/>
              </w:rPr>
            </w:pPr>
            <w:r w:rsidRPr="00650473">
              <w:rPr>
                <w:b/>
                <w:bCs/>
              </w:rPr>
              <w:t>65</w:t>
            </w:r>
            <w:r w:rsidR="00650473" w:rsidRPr="00650473">
              <w:rPr>
                <w:b/>
                <w:bCs/>
              </w:rPr>
              <w:t>,</w:t>
            </w:r>
            <w:r w:rsidRPr="00650473">
              <w:rPr>
                <w:b/>
                <w:bCs/>
              </w:rPr>
              <w:t>447</w:t>
            </w:r>
            <w:r w:rsidR="00650473" w:rsidRPr="00650473">
              <w:rPr>
                <w:b/>
                <w:bCs/>
              </w:rPr>
              <w:t>,</w:t>
            </w:r>
            <w:r w:rsidRPr="00650473">
              <w:rPr>
                <w:b/>
                <w:bCs/>
              </w:rPr>
              <w:t>959</w:t>
            </w:r>
            <w:r w:rsidR="00650473" w:rsidRPr="00650473">
              <w:rPr>
                <w:b/>
                <w:bCs/>
              </w:rPr>
              <w:t>,</w:t>
            </w:r>
            <w:r w:rsidRPr="00650473">
              <w:rPr>
                <w:b/>
                <w:bCs/>
              </w:rPr>
              <w:t xml:space="preserve">214 </w:t>
            </w:r>
          </w:p>
        </w:tc>
      </w:tr>
      <w:tr w:rsidR="00322891" w:rsidRPr="002A0B87" w14:paraId="1C7FF67D" w14:textId="77777777" w:rsidTr="002C3C9F">
        <w:trPr>
          <w:trHeight w:val="20"/>
        </w:trPr>
        <w:tc>
          <w:tcPr>
            <w:tcW w:w="4410" w:type="dxa"/>
            <w:vAlign w:val="bottom"/>
          </w:tcPr>
          <w:p w14:paraId="620F2B54" w14:textId="09BF19D8" w:rsidR="00322891" w:rsidRPr="00926528" w:rsidRDefault="00322891" w:rsidP="00322891">
            <w:pPr>
              <w:widowControl w:val="0"/>
              <w:ind w:left="-115" w:right="-86" w:firstLine="12"/>
              <w:rPr>
                <w:rFonts w:cs="Arial"/>
                <w:bCs/>
              </w:rPr>
            </w:pPr>
            <w:r w:rsidRPr="00426AD5">
              <w:rPr>
                <w:rFonts w:cs="Arial"/>
              </w:rPr>
              <w:t>CIT rate</w:t>
            </w:r>
          </w:p>
        </w:tc>
        <w:tc>
          <w:tcPr>
            <w:tcW w:w="1890" w:type="dxa"/>
            <w:vAlign w:val="bottom"/>
          </w:tcPr>
          <w:p w14:paraId="7AFE1FB0" w14:textId="63F0112B" w:rsidR="00322891" w:rsidRPr="00926528" w:rsidRDefault="00322891" w:rsidP="002C3C9F">
            <w:pPr>
              <w:widowControl w:val="0"/>
              <w:pBdr>
                <w:bottom w:val="single" w:sz="4" w:space="1" w:color="auto"/>
              </w:pBdr>
              <w:ind w:left="57" w:right="-85"/>
              <w:jc w:val="right"/>
              <w:rPr>
                <w:rFonts w:eastAsia="Batang" w:cs="Arial"/>
                <w:bCs/>
                <w:highlight w:val="yellow"/>
                <w:lang w:eastAsia="ko-KR"/>
              </w:rPr>
            </w:pPr>
            <w:r w:rsidRPr="00897F3B">
              <w:t>20%</w:t>
            </w:r>
          </w:p>
        </w:tc>
        <w:tc>
          <w:tcPr>
            <w:tcW w:w="1864" w:type="dxa"/>
            <w:vAlign w:val="bottom"/>
          </w:tcPr>
          <w:p w14:paraId="02128B8B" w14:textId="35FEA27B" w:rsidR="00322891" w:rsidRPr="003C222B" w:rsidRDefault="00322891" w:rsidP="002C3C9F">
            <w:pPr>
              <w:widowControl w:val="0"/>
              <w:pBdr>
                <w:bottom w:val="single" w:sz="4" w:space="1" w:color="auto"/>
              </w:pBdr>
              <w:ind w:left="57" w:right="-85"/>
              <w:jc w:val="right"/>
              <w:rPr>
                <w:rFonts w:eastAsia="Batang" w:cs="Arial"/>
                <w:lang w:eastAsia="ko-KR"/>
              </w:rPr>
            </w:pPr>
            <w:r w:rsidRPr="00897F3B">
              <w:t>20%</w:t>
            </w:r>
          </w:p>
        </w:tc>
      </w:tr>
      <w:tr w:rsidR="00322891" w:rsidRPr="002A0B87" w14:paraId="64B3B065" w14:textId="77777777" w:rsidTr="002C3C9F">
        <w:trPr>
          <w:trHeight w:val="20"/>
        </w:trPr>
        <w:tc>
          <w:tcPr>
            <w:tcW w:w="4410" w:type="dxa"/>
            <w:vAlign w:val="bottom"/>
          </w:tcPr>
          <w:p w14:paraId="2780163D" w14:textId="06DD2A3D" w:rsidR="00322891" w:rsidRPr="002A0B87" w:rsidRDefault="00322891" w:rsidP="00322891">
            <w:pPr>
              <w:widowControl w:val="0"/>
              <w:spacing w:before="120"/>
              <w:ind w:left="-115" w:right="-86" w:firstLine="12"/>
              <w:rPr>
                <w:rFonts w:cs="Arial"/>
                <w:b/>
              </w:rPr>
            </w:pPr>
            <w:r w:rsidRPr="0079095E">
              <w:rPr>
                <w:rFonts w:cs="Arial"/>
                <w:b/>
              </w:rPr>
              <w:t>Estimated CIT expenses</w:t>
            </w:r>
          </w:p>
        </w:tc>
        <w:tc>
          <w:tcPr>
            <w:tcW w:w="1890" w:type="dxa"/>
            <w:vAlign w:val="bottom"/>
          </w:tcPr>
          <w:p w14:paraId="77E1F45B" w14:textId="073BC02E" w:rsidR="00322891" w:rsidRPr="00CE5D27" w:rsidRDefault="00322891" w:rsidP="002C3C9F">
            <w:pPr>
              <w:widowControl w:val="0"/>
              <w:spacing w:before="120"/>
              <w:ind w:left="57" w:right="-85"/>
              <w:jc w:val="right"/>
              <w:rPr>
                <w:rFonts w:eastAsia="Batang" w:cs="Arial"/>
                <w:b/>
                <w:bCs/>
                <w:highlight w:val="yellow"/>
                <w:lang w:eastAsia="ko-KR"/>
              </w:rPr>
            </w:pPr>
            <w:r w:rsidRPr="00CE5D27">
              <w:rPr>
                <w:b/>
                <w:bCs/>
              </w:rPr>
              <w:t xml:space="preserve"> 7</w:t>
            </w:r>
            <w:r w:rsidR="00650473" w:rsidRPr="00CE5D27">
              <w:rPr>
                <w:b/>
                <w:bCs/>
              </w:rPr>
              <w:t>,</w:t>
            </w:r>
            <w:r w:rsidRPr="00CE5D27">
              <w:rPr>
                <w:b/>
                <w:bCs/>
              </w:rPr>
              <w:t>028</w:t>
            </w:r>
            <w:r w:rsidR="00650473" w:rsidRPr="00CE5D27">
              <w:rPr>
                <w:b/>
                <w:bCs/>
              </w:rPr>
              <w:t>,</w:t>
            </w:r>
            <w:r w:rsidRPr="00CE5D27">
              <w:rPr>
                <w:b/>
                <w:bCs/>
              </w:rPr>
              <w:t>527</w:t>
            </w:r>
            <w:r w:rsidR="00650473" w:rsidRPr="00CE5D27">
              <w:rPr>
                <w:b/>
                <w:bCs/>
              </w:rPr>
              <w:t>,</w:t>
            </w:r>
            <w:r w:rsidRPr="00CE5D27">
              <w:rPr>
                <w:b/>
                <w:bCs/>
              </w:rPr>
              <w:t xml:space="preserve">633 </w:t>
            </w:r>
          </w:p>
        </w:tc>
        <w:tc>
          <w:tcPr>
            <w:tcW w:w="1864" w:type="dxa"/>
            <w:vAlign w:val="bottom"/>
          </w:tcPr>
          <w:p w14:paraId="326841DE" w14:textId="41C7686A" w:rsidR="00322891" w:rsidRPr="00CE5D27" w:rsidRDefault="00322891" w:rsidP="002C3C9F">
            <w:pPr>
              <w:widowControl w:val="0"/>
              <w:spacing w:before="120"/>
              <w:ind w:left="57" w:right="-85"/>
              <w:jc w:val="right"/>
              <w:rPr>
                <w:rFonts w:eastAsia="Batang" w:cs="Arial"/>
                <w:b/>
                <w:bCs/>
                <w:lang w:eastAsia="ko-KR"/>
              </w:rPr>
            </w:pPr>
            <w:r w:rsidRPr="00CE5D27">
              <w:rPr>
                <w:b/>
                <w:bCs/>
              </w:rPr>
              <w:t>13</w:t>
            </w:r>
            <w:r w:rsidR="00650473" w:rsidRPr="00CE5D27">
              <w:rPr>
                <w:b/>
                <w:bCs/>
              </w:rPr>
              <w:t>,</w:t>
            </w:r>
            <w:r w:rsidRPr="00CE5D27">
              <w:rPr>
                <w:b/>
                <w:bCs/>
              </w:rPr>
              <w:t>089</w:t>
            </w:r>
            <w:r w:rsidR="00650473" w:rsidRPr="00CE5D27">
              <w:rPr>
                <w:b/>
                <w:bCs/>
              </w:rPr>
              <w:t>,</w:t>
            </w:r>
            <w:r w:rsidRPr="00CE5D27">
              <w:rPr>
                <w:b/>
                <w:bCs/>
              </w:rPr>
              <w:t>591</w:t>
            </w:r>
            <w:r w:rsidR="00650473" w:rsidRPr="00CE5D27">
              <w:rPr>
                <w:b/>
                <w:bCs/>
              </w:rPr>
              <w:t>,</w:t>
            </w:r>
            <w:r w:rsidRPr="00CE5D27">
              <w:rPr>
                <w:b/>
                <w:bCs/>
              </w:rPr>
              <w:t xml:space="preserve">843 </w:t>
            </w:r>
          </w:p>
        </w:tc>
      </w:tr>
      <w:tr w:rsidR="00322891" w:rsidRPr="00CA39C1" w14:paraId="7501806B" w14:textId="77777777" w:rsidTr="002C3C9F">
        <w:trPr>
          <w:trHeight w:val="20"/>
        </w:trPr>
        <w:tc>
          <w:tcPr>
            <w:tcW w:w="4410" w:type="dxa"/>
            <w:vAlign w:val="bottom"/>
          </w:tcPr>
          <w:p w14:paraId="3B04A47D" w14:textId="36C477FE" w:rsidR="00322891" w:rsidRPr="00926528" w:rsidRDefault="00322891" w:rsidP="00322891">
            <w:pPr>
              <w:widowControl w:val="0"/>
              <w:spacing w:before="120"/>
              <w:ind w:left="-115" w:right="-86" w:firstLine="12"/>
              <w:rPr>
                <w:rFonts w:cs="Arial"/>
                <w:bCs/>
              </w:rPr>
            </w:pPr>
            <w:r w:rsidRPr="00422929">
              <w:rPr>
                <w:rFonts w:cs="Arial"/>
                <w:bCs/>
              </w:rPr>
              <w:t>CIT payables at the beginning of the year</w:t>
            </w:r>
          </w:p>
        </w:tc>
        <w:tc>
          <w:tcPr>
            <w:tcW w:w="1890" w:type="dxa"/>
            <w:vAlign w:val="bottom"/>
          </w:tcPr>
          <w:p w14:paraId="3C2727AD" w14:textId="75A113D2" w:rsidR="00322891" w:rsidRPr="00926528" w:rsidRDefault="00322891" w:rsidP="002C3C9F">
            <w:pPr>
              <w:widowControl w:val="0"/>
              <w:spacing w:before="120"/>
              <w:ind w:left="57" w:right="-85"/>
              <w:jc w:val="right"/>
              <w:rPr>
                <w:rFonts w:eastAsia="Batang" w:cs="Arial"/>
                <w:bCs/>
                <w:highlight w:val="yellow"/>
                <w:lang w:eastAsia="ko-KR"/>
              </w:rPr>
            </w:pPr>
            <w:r w:rsidRPr="00897F3B">
              <w:t>2</w:t>
            </w:r>
            <w:r w:rsidR="00650473">
              <w:t>,</w:t>
            </w:r>
            <w:r w:rsidRPr="00897F3B">
              <w:t>837</w:t>
            </w:r>
            <w:r w:rsidR="00650473">
              <w:t>,</w:t>
            </w:r>
            <w:r w:rsidRPr="00897F3B">
              <w:t>904</w:t>
            </w:r>
            <w:r w:rsidR="00650473">
              <w:t>,</w:t>
            </w:r>
            <w:r w:rsidRPr="00897F3B">
              <w:t>262</w:t>
            </w:r>
          </w:p>
        </w:tc>
        <w:tc>
          <w:tcPr>
            <w:tcW w:w="1864" w:type="dxa"/>
            <w:vAlign w:val="bottom"/>
          </w:tcPr>
          <w:p w14:paraId="4529F0A3" w14:textId="7A6DD4C1" w:rsidR="00322891" w:rsidRPr="003C222B" w:rsidRDefault="00322891" w:rsidP="002C3C9F">
            <w:pPr>
              <w:widowControl w:val="0"/>
              <w:spacing w:before="120"/>
              <w:ind w:left="57" w:right="-85"/>
              <w:jc w:val="right"/>
              <w:rPr>
                <w:rFonts w:eastAsia="Batang" w:cs="Arial"/>
                <w:lang w:eastAsia="ko-KR"/>
              </w:rPr>
            </w:pPr>
            <w:r w:rsidRPr="00897F3B">
              <w:t xml:space="preserve">- </w:t>
            </w:r>
          </w:p>
        </w:tc>
      </w:tr>
      <w:tr w:rsidR="00322891" w:rsidRPr="002B2206" w14:paraId="34FCEBDB" w14:textId="77777777" w:rsidTr="002C3C9F">
        <w:trPr>
          <w:trHeight w:val="20"/>
        </w:trPr>
        <w:tc>
          <w:tcPr>
            <w:tcW w:w="4410" w:type="dxa"/>
            <w:vAlign w:val="bottom"/>
          </w:tcPr>
          <w:p w14:paraId="606A7961" w14:textId="60B077F9" w:rsidR="00322891" w:rsidRPr="002B2206" w:rsidRDefault="00322891" w:rsidP="00322891">
            <w:pPr>
              <w:widowControl w:val="0"/>
              <w:ind w:left="-115" w:firstLine="12"/>
              <w:jc w:val="left"/>
              <w:rPr>
                <w:rFonts w:cs="Arial"/>
              </w:rPr>
            </w:pPr>
            <w:r w:rsidRPr="009B1717">
              <w:rPr>
                <w:rFonts w:cs="Arial"/>
              </w:rPr>
              <w:t>CIT paid during the year</w:t>
            </w:r>
          </w:p>
        </w:tc>
        <w:tc>
          <w:tcPr>
            <w:tcW w:w="1890" w:type="dxa"/>
            <w:vAlign w:val="bottom"/>
          </w:tcPr>
          <w:p w14:paraId="6FBF5740" w14:textId="0D25BC7E" w:rsidR="00322891" w:rsidRPr="002B2206" w:rsidRDefault="00322891" w:rsidP="002C3C9F">
            <w:pPr>
              <w:widowControl w:val="0"/>
              <w:pBdr>
                <w:bottom w:val="single" w:sz="4" w:space="0" w:color="auto"/>
              </w:pBdr>
              <w:ind w:left="57" w:right="-85"/>
              <w:jc w:val="right"/>
              <w:rPr>
                <w:rFonts w:eastAsia="Batang" w:cs="Arial"/>
                <w:bCs/>
                <w:lang w:eastAsia="ko-KR"/>
              </w:rPr>
            </w:pPr>
            <w:r w:rsidRPr="00897F3B">
              <w:t xml:space="preserve"> (9</w:t>
            </w:r>
            <w:r w:rsidR="00650473">
              <w:t>,</w:t>
            </w:r>
            <w:r w:rsidRPr="00897F3B">
              <w:t>562</w:t>
            </w:r>
            <w:r w:rsidR="00650473">
              <w:t>,</w:t>
            </w:r>
            <w:r w:rsidRPr="00897F3B">
              <w:t>167</w:t>
            </w:r>
            <w:r w:rsidR="00650473">
              <w:t>,</w:t>
            </w:r>
            <w:r w:rsidRPr="00897F3B">
              <w:t>251)</w:t>
            </w:r>
          </w:p>
        </w:tc>
        <w:tc>
          <w:tcPr>
            <w:tcW w:w="1864" w:type="dxa"/>
            <w:vAlign w:val="bottom"/>
          </w:tcPr>
          <w:p w14:paraId="1A832A5D" w14:textId="2038DBEF" w:rsidR="00322891" w:rsidRPr="002B2206" w:rsidRDefault="00322891" w:rsidP="002C3C9F">
            <w:pPr>
              <w:widowControl w:val="0"/>
              <w:pBdr>
                <w:bottom w:val="single" w:sz="4" w:space="0" w:color="auto"/>
              </w:pBdr>
              <w:ind w:left="57" w:right="-85"/>
              <w:jc w:val="right"/>
              <w:rPr>
                <w:rFonts w:eastAsia="Batang" w:cs="Arial"/>
                <w:bCs/>
                <w:lang w:eastAsia="ko-KR"/>
              </w:rPr>
            </w:pPr>
            <w:r w:rsidRPr="00897F3B">
              <w:t>(10</w:t>
            </w:r>
            <w:r w:rsidR="00650473">
              <w:t>,</w:t>
            </w:r>
            <w:r w:rsidRPr="00897F3B">
              <w:t>251</w:t>
            </w:r>
            <w:r w:rsidR="00650473">
              <w:t>,</w:t>
            </w:r>
            <w:r w:rsidRPr="00897F3B">
              <w:t>687</w:t>
            </w:r>
            <w:r w:rsidR="00650473">
              <w:t>,</w:t>
            </w:r>
            <w:r w:rsidRPr="00897F3B">
              <w:t xml:space="preserve">581) </w:t>
            </w:r>
          </w:p>
        </w:tc>
      </w:tr>
      <w:tr w:rsidR="00322891" w:rsidRPr="002B2206" w14:paraId="7C3377DE" w14:textId="77777777" w:rsidTr="002C3C9F">
        <w:trPr>
          <w:trHeight w:val="20"/>
        </w:trPr>
        <w:tc>
          <w:tcPr>
            <w:tcW w:w="4410" w:type="dxa"/>
            <w:vAlign w:val="bottom"/>
          </w:tcPr>
          <w:p w14:paraId="65F101A1" w14:textId="59EDC8F4" w:rsidR="00322891" w:rsidRPr="002B2206" w:rsidRDefault="00322891" w:rsidP="00322891">
            <w:pPr>
              <w:widowControl w:val="0"/>
              <w:spacing w:before="120"/>
              <w:ind w:left="-115" w:firstLine="12"/>
              <w:rPr>
                <w:rFonts w:cs="Arial"/>
                <w:b/>
              </w:rPr>
            </w:pPr>
            <w:r w:rsidRPr="00A5729C">
              <w:rPr>
                <w:rFonts w:cs="Arial"/>
                <w:b/>
              </w:rPr>
              <w:t>CIT payables at the end of the year</w:t>
            </w:r>
          </w:p>
        </w:tc>
        <w:tc>
          <w:tcPr>
            <w:tcW w:w="1890" w:type="dxa"/>
            <w:vAlign w:val="bottom"/>
          </w:tcPr>
          <w:p w14:paraId="69D86BDB" w14:textId="30148EB0" w:rsidR="00322891" w:rsidRPr="00CE5D27" w:rsidRDefault="00322891" w:rsidP="002C3C9F">
            <w:pPr>
              <w:widowControl w:val="0"/>
              <w:pBdr>
                <w:bottom w:val="double" w:sz="4" w:space="0" w:color="auto"/>
              </w:pBdr>
              <w:spacing w:before="120"/>
              <w:ind w:left="57" w:right="-85"/>
              <w:jc w:val="right"/>
              <w:rPr>
                <w:rFonts w:eastAsia="Batang" w:cs="Arial"/>
                <w:b/>
                <w:bCs/>
                <w:lang w:eastAsia="ko-KR"/>
              </w:rPr>
            </w:pPr>
            <w:r w:rsidRPr="00CE5D27">
              <w:rPr>
                <w:b/>
                <w:bCs/>
              </w:rPr>
              <w:t>304</w:t>
            </w:r>
            <w:r w:rsidR="00650473" w:rsidRPr="00CE5D27">
              <w:rPr>
                <w:b/>
                <w:bCs/>
              </w:rPr>
              <w:t>,</w:t>
            </w:r>
            <w:r w:rsidRPr="00CE5D27">
              <w:rPr>
                <w:b/>
                <w:bCs/>
              </w:rPr>
              <w:t>264</w:t>
            </w:r>
            <w:r w:rsidR="00650473" w:rsidRPr="00CE5D27">
              <w:rPr>
                <w:b/>
                <w:bCs/>
              </w:rPr>
              <w:t>,</w:t>
            </w:r>
            <w:r w:rsidRPr="00CE5D27">
              <w:rPr>
                <w:b/>
                <w:bCs/>
              </w:rPr>
              <w:t>644</w:t>
            </w:r>
          </w:p>
        </w:tc>
        <w:tc>
          <w:tcPr>
            <w:tcW w:w="1864" w:type="dxa"/>
            <w:vAlign w:val="bottom"/>
          </w:tcPr>
          <w:p w14:paraId="2EAE9FC1" w14:textId="72F1F4EC" w:rsidR="00322891" w:rsidRPr="00CE5D27" w:rsidRDefault="00322891" w:rsidP="002C3C9F">
            <w:pPr>
              <w:widowControl w:val="0"/>
              <w:pBdr>
                <w:bottom w:val="double" w:sz="4" w:space="0" w:color="auto"/>
              </w:pBdr>
              <w:spacing w:before="120"/>
              <w:ind w:left="57" w:right="-85"/>
              <w:jc w:val="right"/>
              <w:rPr>
                <w:rFonts w:cs="Arial"/>
                <w:b/>
                <w:bCs/>
              </w:rPr>
            </w:pPr>
            <w:r w:rsidRPr="00CE5D27">
              <w:rPr>
                <w:b/>
                <w:bCs/>
              </w:rPr>
              <w:t>2</w:t>
            </w:r>
            <w:r w:rsidR="00650473" w:rsidRPr="00CE5D27">
              <w:rPr>
                <w:b/>
                <w:bCs/>
              </w:rPr>
              <w:t>,</w:t>
            </w:r>
            <w:r w:rsidRPr="00CE5D27">
              <w:rPr>
                <w:b/>
                <w:bCs/>
              </w:rPr>
              <w:t>837</w:t>
            </w:r>
            <w:r w:rsidR="00650473" w:rsidRPr="00CE5D27">
              <w:rPr>
                <w:b/>
                <w:bCs/>
              </w:rPr>
              <w:t>,</w:t>
            </w:r>
            <w:r w:rsidRPr="00CE5D27">
              <w:rPr>
                <w:b/>
                <w:bCs/>
              </w:rPr>
              <w:t>904</w:t>
            </w:r>
            <w:r w:rsidR="00650473" w:rsidRPr="00CE5D27">
              <w:rPr>
                <w:b/>
                <w:bCs/>
              </w:rPr>
              <w:t>,</w:t>
            </w:r>
            <w:r w:rsidRPr="00CE5D27">
              <w:rPr>
                <w:b/>
                <w:bCs/>
              </w:rPr>
              <w:t xml:space="preserve">262 </w:t>
            </w:r>
          </w:p>
        </w:tc>
      </w:tr>
    </w:tbl>
    <w:p w14:paraId="58408398" w14:textId="77777777" w:rsidR="00463707" w:rsidRPr="00DD35DB" w:rsidRDefault="00463707" w:rsidP="00463707">
      <w:pPr>
        <w:pStyle w:val="BodyTextIndent"/>
        <w:ind w:left="720"/>
        <w:rPr>
          <w:rFonts w:ascii="Arial" w:hAnsi="Arial" w:cs="Arial"/>
        </w:rPr>
      </w:pPr>
    </w:p>
    <w:p w14:paraId="3E05525C" w14:textId="748260B4" w:rsidR="00463707" w:rsidRPr="00DD35DB" w:rsidRDefault="00463707" w:rsidP="00463707">
      <w:pPr>
        <w:pStyle w:val="StyleHeading2h2BSubBoldBoldItalicLeft0Hanging"/>
        <w:rPr>
          <w:rFonts w:cs="Arial"/>
        </w:rPr>
      </w:pPr>
      <w:r w:rsidRPr="00DD35DB">
        <w:rPr>
          <w:rFonts w:cs="Arial"/>
        </w:rPr>
        <w:t>2</w:t>
      </w:r>
      <w:r w:rsidR="00BA5256">
        <w:rPr>
          <w:rFonts w:cs="Arial"/>
        </w:rPr>
        <w:t>5</w:t>
      </w:r>
      <w:r w:rsidRPr="00DD35DB">
        <w:rPr>
          <w:rFonts w:cs="Arial"/>
        </w:rPr>
        <w:t>.2</w:t>
      </w:r>
      <w:r w:rsidRPr="00DD35DB">
        <w:rPr>
          <w:rFonts w:cs="Arial"/>
        </w:rPr>
        <w:tab/>
      </w:r>
      <w:r w:rsidR="00753990" w:rsidRPr="00753990">
        <w:rPr>
          <w:rFonts w:cs="Arial"/>
        </w:rPr>
        <w:t>Tax losses carried forward</w:t>
      </w:r>
      <w:r w:rsidR="00753990" w:rsidRPr="00753990" w:rsidDel="00753990">
        <w:rPr>
          <w:rFonts w:cs="Arial"/>
        </w:rPr>
        <w:t xml:space="preserve"> </w:t>
      </w:r>
    </w:p>
    <w:p w14:paraId="6D355BBA" w14:textId="77777777" w:rsidR="00463707" w:rsidRPr="00DD35DB" w:rsidRDefault="00463707" w:rsidP="00463707">
      <w:pPr>
        <w:pStyle w:val="NoSpacing"/>
        <w:rPr>
          <w:rFonts w:cs="Arial"/>
        </w:rPr>
      </w:pPr>
    </w:p>
    <w:p w14:paraId="330CD346" w14:textId="0A4B51EE" w:rsidR="00463707" w:rsidRPr="00DD35DB" w:rsidRDefault="005309F8" w:rsidP="00463707">
      <w:pPr>
        <w:pStyle w:val="NoSpacing"/>
        <w:rPr>
          <w:rFonts w:cs="Arial"/>
        </w:rPr>
      </w:pPr>
      <w:r w:rsidRPr="005309F8">
        <w:rPr>
          <w:rFonts w:cs="Arial"/>
        </w:rPr>
        <w:t xml:space="preserve">The Company is entitled to carry tax loss forward to offset against taxable income arising within five years </w:t>
      </w:r>
      <w:proofErr w:type="gramStart"/>
      <w:r w:rsidRPr="005309F8">
        <w:rPr>
          <w:rFonts w:cs="Arial"/>
        </w:rPr>
        <w:t>subsequent to</w:t>
      </w:r>
      <w:proofErr w:type="gramEnd"/>
      <w:r w:rsidRPr="005309F8">
        <w:rPr>
          <w:rFonts w:cs="Arial"/>
        </w:rPr>
        <w:t xml:space="preserve"> the year in which the loss was incurred.</w:t>
      </w:r>
      <w:r w:rsidR="00463707" w:rsidRPr="00DD35DB">
        <w:rPr>
          <w:rFonts w:cs="Arial"/>
        </w:rPr>
        <w:t xml:space="preserve"> </w:t>
      </w:r>
    </w:p>
    <w:p w14:paraId="0E120311" w14:textId="77777777" w:rsidR="00463707" w:rsidRPr="00DD35DB" w:rsidRDefault="00463707" w:rsidP="00463707">
      <w:pPr>
        <w:pStyle w:val="NoSpacing"/>
        <w:rPr>
          <w:rFonts w:cs="Arial"/>
        </w:rPr>
      </w:pPr>
    </w:p>
    <w:p w14:paraId="640C6676" w14:textId="1D30A9FA" w:rsidR="00463707" w:rsidRPr="00DD35DB" w:rsidRDefault="00003626" w:rsidP="00463707">
      <w:pPr>
        <w:pStyle w:val="NoSpacing"/>
        <w:rPr>
          <w:rFonts w:cs="Arial"/>
        </w:rPr>
      </w:pPr>
      <w:r w:rsidRPr="00003626">
        <w:rPr>
          <w:rFonts w:cs="Arial"/>
        </w:rPr>
        <w:t>Details of losses carried forward are as follows:</w:t>
      </w:r>
    </w:p>
    <w:p w14:paraId="4AC39B0D" w14:textId="77777777" w:rsidR="00463707" w:rsidRPr="00DD35DB" w:rsidRDefault="00463707" w:rsidP="00463707">
      <w:pPr>
        <w:pStyle w:val="NoSpacing"/>
        <w:rPr>
          <w:rFonts w:cs="Arial"/>
        </w:rPr>
      </w:pPr>
    </w:p>
    <w:tbl>
      <w:tblPr>
        <w:tblW w:w="8100" w:type="dxa"/>
        <w:tblInd w:w="720" w:type="dxa"/>
        <w:tblLayout w:type="fixed"/>
        <w:tblLook w:val="04A0" w:firstRow="1" w:lastRow="0" w:firstColumn="1" w:lastColumn="0" w:noHBand="0" w:noVBand="1"/>
      </w:tblPr>
      <w:tblGrid>
        <w:gridCol w:w="666"/>
        <w:gridCol w:w="896"/>
        <w:gridCol w:w="1678"/>
        <w:gridCol w:w="1800"/>
        <w:gridCol w:w="1620"/>
        <w:gridCol w:w="1440"/>
      </w:tblGrid>
      <w:tr w:rsidR="00F109A5" w:rsidRPr="00DD35DB" w14:paraId="7F14D528" w14:textId="2675C255" w:rsidTr="00254501">
        <w:trPr>
          <w:trHeight w:val="20"/>
        </w:trPr>
        <w:tc>
          <w:tcPr>
            <w:tcW w:w="666" w:type="dxa"/>
            <w:vAlign w:val="bottom"/>
            <w:hideMark/>
          </w:tcPr>
          <w:p w14:paraId="65A87FA5" w14:textId="41D10204" w:rsidR="00F109A5" w:rsidRPr="00DD35DB" w:rsidRDefault="001F42A7" w:rsidP="000A1EE5">
            <w:pPr>
              <w:pBdr>
                <w:bottom w:val="single" w:sz="4" w:space="0" w:color="auto"/>
              </w:pBdr>
              <w:ind w:left="-115"/>
              <w:jc w:val="left"/>
              <w:rPr>
                <w:rFonts w:cs="Arial"/>
                <w:i/>
                <w:lang w:eastAsia="ko-KR"/>
              </w:rPr>
            </w:pPr>
            <w:r w:rsidRPr="001F42A7">
              <w:rPr>
                <w:rFonts w:cs="Arial"/>
                <w:i/>
                <w:lang w:eastAsia="ko-KR"/>
              </w:rPr>
              <w:t>Accou</w:t>
            </w:r>
            <w:r w:rsidR="00727196">
              <w:rPr>
                <w:rFonts w:cs="Arial"/>
                <w:i/>
                <w:lang w:eastAsia="ko-KR"/>
              </w:rPr>
              <w:t>n</w:t>
            </w:r>
            <w:r w:rsidRPr="001F42A7">
              <w:rPr>
                <w:rFonts w:cs="Arial"/>
                <w:i/>
                <w:lang w:eastAsia="ko-KR"/>
              </w:rPr>
              <w:t>ting period</w:t>
            </w:r>
          </w:p>
        </w:tc>
        <w:tc>
          <w:tcPr>
            <w:tcW w:w="896" w:type="dxa"/>
            <w:vAlign w:val="bottom"/>
          </w:tcPr>
          <w:p w14:paraId="0C35C0E6" w14:textId="6824E5F2" w:rsidR="00F109A5" w:rsidRPr="00DD35DB" w:rsidRDefault="00604462" w:rsidP="000A1EE5">
            <w:pPr>
              <w:pBdr>
                <w:bottom w:val="single" w:sz="4" w:space="0" w:color="auto"/>
              </w:pBdr>
              <w:ind w:left="-115"/>
              <w:jc w:val="left"/>
              <w:rPr>
                <w:rFonts w:cs="Arial"/>
                <w:i/>
                <w:iCs/>
              </w:rPr>
            </w:pPr>
            <w:r w:rsidRPr="00604462">
              <w:rPr>
                <w:rFonts w:cs="Arial"/>
                <w:i/>
                <w:iCs/>
              </w:rPr>
              <w:t>Can be utilized up to</w:t>
            </w:r>
          </w:p>
        </w:tc>
        <w:tc>
          <w:tcPr>
            <w:tcW w:w="1678" w:type="dxa"/>
            <w:vAlign w:val="bottom"/>
            <w:hideMark/>
          </w:tcPr>
          <w:p w14:paraId="024C8F26" w14:textId="10ED413E" w:rsidR="00F109A5" w:rsidRPr="00DD35DB" w:rsidRDefault="00AC74B0" w:rsidP="00254501">
            <w:pPr>
              <w:ind w:right="-85"/>
              <w:jc w:val="right"/>
              <w:rPr>
                <w:rFonts w:cs="Arial"/>
                <w:i/>
                <w:iCs/>
              </w:rPr>
            </w:pPr>
            <w:r w:rsidRPr="00AC74B0">
              <w:rPr>
                <w:rFonts w:cs="Arial"/>
                <w:i/>
              </w:rPr>
              <w:t>Taxable loss</w:t>
            </w:r>
            <w:r w:rsidR="00F109A5">
              <w:rPr>
                <w:rFonts w:cs="Arial"/>
                <w:i/>
              </w:rPr>
              <w:t xml:space="preserve"> (*)</w:t>
            </w:r>
          </w:p>
          <w:p w14:paraId="4E1C58E1" w14:textId="77777777" w:rsidR="00F109A5" w:rsidRPr="00DD35DB" w:rsidRDefault="00F109A5" w:rsidP="00254501">
            <w:pPr>
              <w:pBdr>
                <w:bottom w:val="single" w:sz="4" w:space="0" w:color="auto"/>
              </w:pBdr>
              <w:ind w:right="-85"/>
              <w:jc w:val="right"/>
              <w:rPr>
                <w:rFonts w:cs="Arial"/>
                <w:i/>
              </w:rPr>
            </w:pPr>
            <w:r w:rsidRPr="00DD35DB">
              <w:rPr>
                <w:rFonts w:cs="Arial"/>
                <w:i/>
                <w:iCs/>
              </w:rPr>
              <w:t>VND</w:t>
            </w:r>
          </w:p>
        </w:tc>
        <w:tc>
          <w:tcPr>
            <w:tcW w:w="1800" w:type="dxa"/>
            <w:vAlign w:val="bottom"/>
            <w:hideMark/>
          </w:tcPr>
          <w:p w14:paraId="308A92CC" w14:textId="001264B5" w:rsidR="00F109A5" w:rsidRPr="00DD35DB" w:rsidRDefault="00545ADB" w:rsidP="000A1EE5">
            <w:pPr>
              <w:ind w:left="57" w:right="-85"/>
              <w:jc w:val="right"/>
              <w:rPr>
                <w:rFonts w:cs="Arial"/>
                <w:i/>
                <w:iCs/>
              </w:rPr>
            </w:pPr>
            <w:r w:rsidRPr="00545ADB">
              <w:rPr>
                <w:rFonts w:cs="Arial"/>
                <w:i/>
              </w:rPr>
              <w:t>Loss utilized as at the end of the year</w:t>
            </w:r>
          </w:p>
          <w:p w14:paraId="4F2E6B88" w14:textId="77777777" w:rsidR="00F109A5" w:rsidRPr="00DD35DB" w:rsidRDefault="00F109A5" w:rsidP="000A1EE5">
            <w:pPr>
              <w:pBdr>
                <w:bottom w:val="single" w:sz="4" w:space="0" w:color="auto"/>
              </w:pBdr>
              <w:ind w:left="57" w:right="-85"/>
              <w:jc w:val="right"/>
              <w:rPr>
                <w:rFonts w:cs="Arial"/>
                <w:i/>
              </w:rPr>
            </w:pPr>
            <w:r w:rsidRPr="00DD35DB">
              <w:rPr>
                <w:rFonts w:cs="Arial"/>
                <w:i/>
                <w:iCs/>
              </w:rPr>
              <w:t>VND</w:t>
            </w:r>
          </w:p>
        </w:tc>
        <w:tc>
          <w:tcPr>
            <w:tcW w:w="1620" w:type="dxa"/>
            <w:vAlign w:val="bottom"/>
            <w:hideMark/>
          </w:tcPr>
          <w:p w14:paraId="42E02EED" w14:textId="6CFC299D" w:rsidR="00F109A5" w:rsidRPr="00DD35DB" w:rsidRDefault="00E01045" w:rsidP="000A1EE5">
            <w:pPr>
              <w:ind w:left="57" w:right="-85"/>
              <w:jc w:val="right"/>
              <w:rPr>
                <w:rFonts w:cs="Arial"/>
                <w:i/>
                <w:iCs/>
              </w:rPr>
            </w:pPr>
            <w:r>
              <w:rPr>
                <w:rFonts w:cs="Arial"/>
                <w:i/>
              </w:rPr>
              <w:t xml:space="preserve">Loss carried forward in </w:t>
            </w:r>
            <w:proofErr w:type="spellStart"/>
            <w:r>
              <w:rPr>
                <w:rFonts w:cs="Arial"/>
                <w:i/>
              </w:rPr>
              <w:t>th</w:t>
            </w:r>
            <w:proofErr w:type="spellEnd"/>
            <w:r>
              <w:rPr>
                <w:rFonts w:cs="Arial"/>
                <w:i/>
              </w:rPr>
              <w:t xml:space="preserve"> year</w:t>
            </w:r>
          </w:p>
          <w:p w14:paraId="2D7510DE" w14:textId="77777777" w:rsidR="00F109A5" w:rsidRPr="00DD35DB" w:rsidRDefault="00F109A5" w:rsidP="000A1EE5">
            <w:pPr>
              <w:pBdr>
                <w:bottom w:val="single" w:sz="4" w:space="0" w:color="auto"/>
              </w:pBdr>
              <w:ind w:left="57" w:right="-85"/>
              <w:jc w:val="right"/>
              <w:rPr>
                <w:rFonts w:cs="Arial"/>
                <w:i/>
              </w:rPr>
            </w:pPr>
            <w:r w:rsidRPr="00DD35DB">
              <w:rPr>
                <w:rFonts w:cs="Arial"/>
                <w:i/>
                <w:iCs/>
              </w:rPr>
              <w:t>VND</w:t>
            </w:r>
          </w:p>
        </w:tc>
        <w:tc>
          <w:tcPr>
            <w:tcW w:w="1440" w:type="dxa"/>
          </w:tcPr>
          <w:p w14:paraId="0633365E" w14:textId="368C5326" w:rsidR="0009639F" w:rsidRPr="00DD35DB" w:rsidRDefault="008915C9" w:rsidP="00B35DC0">
            <w:pPr>
              <w:pBdr>
                <w:bottom w:val="single" w:sz="4" w:space="1" w:color="auto"/>
              </w:pBdr>
              <w:ind w:left="57" w:right="-85"/>
              <w:jc w:val="right"/>
              <w:rPr>
                <w:rFonts w:cs="Arial"/>
                <w:i/>
                <w:iCs/>
              </w:rPr>
            </w:pPr>
            <w:r w:rsidRPr="008915C9">
              <w:rPr>
                <w:rFonts w:cs="Arial"/>
                <w:i/>
              </w:rPr>
              <w:t>Loss allowed to carry forward as at the end of the year</w:t>
            </w:r>
          </w:p>
          <w:p w14:paraId="0EACFDC4" w14:textId="75B96FB7" w:rsidR="00F109A5" w:rsidRPr="00DD35DB" w:rsidRDefault="0009639F" w:rsidP="00B35DC0">
            <w:pPr>
              <w:pBdr>
                <w:bottom w:val="single" w:sz="4" w:space="1" w:color="auto"/>
              </w:pBdr>
              <w:ind w:left="57" w:right="-85"/>
              <w:jc w:val="right"/>
              <w:rPr>
                <w:rFonts w:cs="Arial"/>
                <w:i/>
              </w:rPr>
            </w:pPr>
            <w:r w:rsidRPr="00DD35DB">
              <w:rPr>
                <w:rFonts w:cs="Arial"/>
                <w:i/>
                <w:iCs/>
              </w:rPr>
              <w:t>VND</w:t>
            </w:r>
          </w:p>
        </w:tc>
      </w:tr>
      <w:tr w:rsidR="00F109A5" w:rsidRPr="00DD35DB" w14:paraId="4809E159" w14:textId="79DB0BE4" w:rsidTr="00254501">
        <w:trPr>
          <w:trHeight w:val="20"/>
        </w:trPr>
        <w:tc>
          <w:tcPr>
            <w:tcW w:w="666" w:type="dxa"/>
            <w:noWrap/>
            <w:vAlign w:val="bottom"/>
          </w:tcPr>
          <w:p w14:paraId="620EC296" w14:textId="267D9953" w:rsidR="00F109A5" w:rsidRPr="00EC0619" w:rsidRDefault="00F109A5" w:rsidP="00EC0619">
            <w:pPr>
              <w:spacing w:before="120"/>
              <w:ind w:left="-115" w:right="-86"/>
              <w:rPr>
                <w:rFonts w:cs="Arial"/>
              </w:rPr>
            </w:pPr>
            <w:r w:rsidRPr="00074A90">
              <w:rPr>
                <w:rFonts w:cs="Arial"/>
              </w:rPr>
              <w:t>2014</w:t>
            </w:r>
          </w:p>
        </w:tc>
        <w:tc>
          <w:tcPr>
            <w:tcW w:w="896" w:type="dxa"/>
            <w:vAlign w:val="bottom"/>
          </w:tcPr>
          <w:p w14:paraId="6B4BD4B3" w14:textId="3B6FCB96" w:rsidR="00F109A5" w:rsidRPr="00EC0619" w:rsidRDefault="00F109A5" w:rsidP="00EC0619">
            <w:pPr>
              <w:spacing w:before="120"/>
              <w:ind w:left="-115"/>
              <w:rPr>
                <w:rFonts w:cs="Arial"/>
              </w:rPr>
            </w:pPr>
            <w:r w:rsidRPr="00074A90">
              <w:rPr>
                <w:rFonts w:cs="Arial"/>
              </w:rPr>
              <w:t>2019</w:t>
            </w:r>
          </w:p>
        </w:tc>
        <w:tc>
          <w:tcPr>
            <w:tcW w:w="1678" w:type="dxa"/>
            <w:noWrap/>
            <w:vAlign w:val="bottom"/>
          </w:tcPr>
          <w:p w14:paraId="572BB98F" w14:textId="37FB9304" w:rsidR="00F109A5" w:rsidRDefault="00702B82" w:rsidP="00254501">
            <w:pPr>
              <w:spacing w:before="120"/>
              <w:ind w:right="-85"/>
              <w:jc w:val="right"/>
              <w:rPr>
                <w:rFonts w:cs="Arial"/>
              </w:rPr>
            </w:pPr>
            <w:r>
              <w:rPr>
                <w:rFonts w:cs="Arial"/>
              </w:rPr>
              <w:t>(975,188,949)</w:t>
            </w:r>
          </w:p>
        </w:tc>
        <w:tc>
          <w:tcPr>
            <w:tcW w:w="1800" w:type="dxa"/>
            <w:vAlign w:val="bottom"/>
          </w:tcPr>
          <w:p w14:paraId="437A7765" w14:textId="598DFAE1" w:rsidR="00F109A5" w:rsidRDefault="00702B82" w:rsidP="00EC0619">
            <w:pPr>
              <w:spacing w:before="120"/>
              <w:ind w:left="57" w:right="-85"/>
              <w:jc w:val="right"/>
              <w:rPr>
                <w:rFonts w:cs="Arial"/>
                <w:color w:val="000000"/>
              </w:rPr>
            </w:pPr>
            <w:r>
              <w:rPr>
                <w:rFonts w:cs="Arial"/>
                <w:color w:val="000000"/>
              </w:rPr>
              <w:t>(975,188,949)</w:t>
            </w:r>
          </w:p>
        </w:tc>
        <w:tc>
          <w:tcPr>
            <w:tcW w:w="1620" w:type="dxa"/>
            <w:noWrap/>
            <w:vAlign w:val="bottom"/>
          </w:tcPr>
          <w:p w14:paraId="4C432C5E" w14:textId="36DE7E2D" w:rsidR="00F109A5" w:rsidRDefault="00702B82" w:rsidP="00EC0619">
            <w:pPr>
              <w:spacing w:before="120"/>
              <w:ind w:left="57" w:right="-85"/>
              <w:jc w:val="right"/>
              <w:rPr>
                <w:rFonts w:cs="Arial"/>
              </w:rPr>
            </w:pPr>
            <w:r>
              <w:rPr>
                <w:rFonts w:cs="Arial"/>
              </w:rPr>
              <w:t>-</w:t>
            </w:r>
          </w:p>
        </w:tc>
        <w:tc>
          <w:tcPr>
            <w:tcW w:w="1440" w:type="dxa"/>
          </w:tcPr>
          <w:p w14:paraId="6364248F" w14:textId="109B6888" w:rsidR="00F109A5" w:rsidRDefault="00702B82" w:rsidP="00EC0619">
            <w:pPr>
              <w:spacing w:before="120"/>
              <w:ind w:left="57" w:right="-85"/>
              <w:jc w:val="right"/>
              <w:rPr>
                <w:rFonts w:cs="Arial"/>
              </w:rPr>
            </w:pPr>
            <w:r>
              <w:rPr>
                <w:rFonts w:cs="Arial"/>
              </w:rPr>
              <w:t>-</w:t>
            </w:r>
          </w:p>
        </w:tc>
      </w:tr>
      <w:tr w:rsidR="00F109A5" w:rsidRPr="00DD35DB" w14:paraId="39C4AAAD" w14:textId="785A42BC" w:rsidTr="00254501">
        <w:trPr>
          <w:trHeight w:val="20"/>
        </w:trPr>
        <w:tc>
          <w:tcPr>
            <w:tcW w:w="666" w:type="dxa"/>
            <w:noWrap/>
            <w:vAlign w:val="bottom"/>
          </w:tcPr>
          <w:p w14:paraId="62F9CFFE" w14:textId="4AE20971" w:rsidR="00F109A5" w:rsidRPr="00EC0619" w:rsidRDefault="00F109A5" w:rsidP="00074A90">
            <w:pPr>
              <w:ind w:left="-115" w:right="-86"/>
              <w:rPr>
                <w:rFonts w:cs="Arial"/>
              </w:rPr>
            </w:pPr>
            <w:r w:rsidRPr="00074A90">
              <w:rPr>
                <w:rFonts w:cs="Arial"/>
              </w:rPr>
              <w:t>2015</w:t>
            </w:r>
          </w:p>
        </w:tc>
        <w:tc>
          <w:tcPr>
            <w:tcW w:w="896" w:type="dxa"/>
            <w:vAlign w:val="bottom"/>
          </w:tcPr>
          <w:p w14:paraId="24AD28F4" w14:textId="5C91069F" w:rsidR="00F109A5" w:rsidRPr="00EC0619" w:rsidRDefault="00F109A5" w:rsidP="00074A90">
            <w:pPr>
              <w:ind w:left="-115"/>
              <w:rPr>
                <w:rFonts w:cs="Arial"/>
              </w:rPr>
            </w:pPr>
            <w:r w:rsidRPr="00074A90">
              <w:rPr>
                <w:rFonts w:cs="Arial"/>
              </w:rPr>
              <w:t>2020</w:t>
            </w:r>
          </w:p>
        </w:tc>
        <w:tc>
          <w:tcPr>
            <w:tcW w:w="1678" w:type="dxa"/>
            <w:noWrap/>
            <w:vAlign w:val="bottom"/>
          </w:tcPr>
          <w:p w14:paraId="2208DEC7" w14:textId="6732EEBB" w:rsidR="00F109A5" w:rsidRDefault="00702B82" w:rsidP="00254501">
            <w:pPr>
              <w:ind w:right="-85"/>
              <w:jc w:val="right"/>
              <w:rPr>
                <w:rFonts w:cs="Arial"/>
              </w:rPr>
            </w:pPr>
            <w:r>
              <w:rPr>
                <w:rFonts w:cs="Arial"/>
              </w:rPr>
              <w:t>(3,020,437,733)</w:t>
            </w:r>
          </w:p>
        </w:tc>
        <w:tc>
          <w:tcPr>
            <w:tcW w:w="1800" w:type="dxa"/>
            <w:vAlign w:val="bottom"/>
          </w:tcPr>
          <w:p w14:paraId="49572C5E" w14:textId="72F4DF21" w:rsidR="00F109A5" w:rsidRDefault="00702B82" w:rsidP="00074A90">
            <w:pPr>
              <w:ind w:left="57" w:right="-85"/>
              <w:jc w:val="right"/>
              <w:rPr>
                <w:rFonts w:cs="Arial"/>
                <w:color w:val="000000"/>
              </w:rPr>
            </w:pPr>
            <w:r>
              <w:rPr>
                <w:rFonts w:cs="Arial"/>
                <w:color w:val="000000"/>
              </w:rPr>
              <w:t>(3,020,437,733)</w:t>
            </w:r>
          </w:p>
        </w:tc>
        <w:tc>
          <w:tcPr>
            <w:tcW w:w="1620" w:type="dxa"/>
            <w:noWrap/>
            <w:vAlign w:val="bottom"/>
          </w:tcPr>
          <w:p w14:paraId="304DF534" w14:textId="3720EF6C" w:rsidR="00F109A5" w:rsidRDefault="00702B82" w:rsidP="00074A90">
            <w:pPr>
              <w:ind w:left="57" w:right="-85"/>
              <w:jc w:val="right"/>
              <w:rPr>
                <w:rFonts w:cs="Arial"/>
              </w:rPr>
            </w:pPr>
            <w:r>
              <w:rPr>
                <w:rFonts w:cs="Arial"/>
              </w:rPr>
              <w:t>-</w:t>
            </w:r>
          </w:p>
        </w:tc>
        <w:tc>
          <w:tcPr>
            <w:tcW w:w="1440" w:type="dxa"/>
          </w:tcPr>
          <w:p w14:paraId="39BF0DB3" w14:textId="058DD496" w:rsidR="00F109A5" w:rsidRDefault="00702B82" w:rsidP="00074A90">
            <w:pPr>
              <w:ind w:left="57" w:right="-85"/>
              <w:jc w:val="right"/>
              <w:rPr>
                <w:rFonts w:cs="Arial"/>
              </w:rPr>
            </w:pPr>
            <w:r>
              <w:rPr>
                <w:rFonts w:cs="Arial"/>
              </w:rPr>
              <w:t>-</w:t>
            </w:r>
          </w:p>
        </w:tc>
      </w:tr>
      <w:tr w:rsidR="00F109A5" w:rsidRPr="00DD35DB" w14:paraId="71B9A6F1" w14:textId="44D14922" w:rsidTr="00254501">
        <w:trPr>
          <w:trHeight w:val="20"/>
        </w:trPr>
        <w:tc>
          <w:tcPr>
            <w:tcW w:w="666" w:type="dxa"/>
            <w:noWrap/>
            <w:vAlign w:val="bottom"/>
          </w:tcPr>
          <w:p w14:paraId="27EFFC31" w14:textId="42B7E20B" w:rsidR="00F109A5" w:rsidRPr="00EC0619" w:rsidRDefault="00F109A5" w:rsidP="00074A90">
            <w:pPr>
              <w:ind w:left="-115" w:right="-86"/>
              <w:rPr>
                <w:rFonts w:cs="Arial"/>
              </w:rPr>
            </w:pPr>
            <w:r w:rsidRPr="00074A90">
              <w:rPr>
                <w:rFonts w:cs="Arial"/>
              </w:rPr>
              <w:t>2016</w:t>
            </w:r>
          </w:p>
        </w:tc>
        <w:tc>
          <w:tcPr>
            <w:tcW w:w="896" w:type="dxa"/>
            <w:vAlign w:val="bottom"/>
          </w:tcPr>
          <w:p w14:paraId="3CAAAE48" w14:textId="2367A97F" w:rsidR="00F109A5" w:rsidRPr="00EC0619" w:rsidRDefault="00F109A5" w:rsidP="00074A90">
            <w:pPr>
              <w:ind w:left="-115"/>
              <w:rPr>
                <w:rFonts w:cs="Arial"/>
              </w:rPr>
            </w:pPr>
            <w:r w:rsidRPr="00074A90">
              <w:rPr>
                <w:rFonts w:cs="Arial"/>
              </w:rPr>
              <w:t>2021</w:t>
            </w:r>
          </w:p>
        </w:tc>
        <w:tc>
          <w:tcPr>
            <w:tcW w:w="1678" w:type="dxa"/>
            <w:noWrap/>
            <w:vAlign w:val="bottom"/>
          </w:tcPr>
          <w:p w14:paraId="7AECC8C2" w14:textId="57E34B65" w:rsidR="00F109A5" w:rsidRDefault="00702B82" w:rsidP="00254501">
            <w:pPr>
              <w:ind w:right="-85"/>
              <w:jc w:val="right"/>
              <w:rPr>
                <w:rFonts w:cs="Arial"/>
              </w:rPr>
            </w:pPr>
            <w:r>
              <w:rPr>
                <w:rFonts w:cs="Arial"/>
              </w:rPr>
              <w:t>(7,563,335,270)</w:t>
            </w:r>
          </w:p>
        </w:tc>
        <w:tc>
          <w:tcPr>
            <w:tcW w:w="1800" w:type="dxa"/>
            <w:vAlign w:val="bottom"/>
          </w:tcPr>
          <w:p w14:paraId="68DEBB0D" w14:textId="36BFEAC1" w:rsidR="00F109A5" w:rsidRDefault="00702B82" w:rsidP="00074A90">
            <w:pPr>
              <w:ind w:left="57" w:right="-85"/>
              <w:jc w:val="right"/>
              <w:rPr>
                <w:rFonts w:cs="Arial"/>
                <w:color w:val="000000"/>
              </w:rPr>
            </w:pPr>
            <w:r>
              <w:rPr>
                <w:rFonts w:cs="Arial"/>
                <w:color w:val="000000"/>
              </w:rPr>
              <w:t>(7,563,335,270)</w:t>
            </w:r>
          </w:p>
        </w:tc>
        <w:tc>
          <w:tcPr>
            <w:tcW w:w="1620" w:type="dxa"/>
            <w:noWrap/>
            <w:vAlign w:val="bottom"/>
          </w:tcPr>
          <w:p w14:paraId="43BAD63C" w14:textId="7B9DBC7C" w:rsidR="00F109A5" w:rsidRDefault="00702B82" w:rsidP="00074A90">
            <w:pPr>
              <w:ind w:left="57" w:right="-85"/>
              <w:jc w:val="right"/>
              <w:rPr>
                <w:rFonts w:cs="Arial"/>
              </w:rPr>
            </w:pPr>
            <w:r>
              <w:rPr>
                <w:rFonts w:cs="Arial"/>
              </w:rPr>
              <w:t>-</w:t>
            </w:r>
          </w:p>
        </w:tc>
        <w:tc>
          <w:tcPr>
            <w:tcW w:w="1440" w:type="dxa"/>
          </w:tcPr>
          <w:p w14:paraId="2BEF85E1" w14:textId="6D54E119" w:rsidR="00F109A5" w:rsidRDefault="00702B82" w:rsidP="00074A90">
            <w:pPr>
              <w:ind w:left="57" w:right="-85"/>
              <w:jc w:val="right"/>
              <w:rPr>
                <w:rFonts w:cs="Arial"/>
              </w:rPr>
            </w:pPr>
            <w:r>
              <w:rPr>
                <w:rFonts w:cs="Arial"/>
              </w:rPr>
              <w:t>-</w:t>
            </w:r>
          </w:p>
        </w:tc>
      </w:tr>
      <w:tr w:rsidR="00F109A5" w:rsidRPr="00DD35DB" w14:paraId="182F2E40" w14:textId="56C93F4C" w:rsidTr="00254501">
        <w:trPr>
          <w:trHeight w:val="20"/>
        </w:trPr>
        <w:tc>
          <w:tcPr>
            <w:tcW w:w="666" w:type="dxa"/>
            <w:noWrap/>
            <w:vAlign w:val="bottom"/>
          </w:tcPr>
          <w:p w14:paraId="5D426ECB" w14:textId="6497EB26" w:rsidR="00F109A5" w:rsidRPr="00EC0619" w:rsidRDefault="00F109A5" w:rsidP="00074A90">
            <w:pPr>
              <w:ind w:left="-115" w:right="-86"/>
              <w:rPr>
                <w:rFonts w:cs="Arial"/>
              </w:rPr>
            </w:pPr>
            <w:r w:rsidRPr="00074A90">
              <w:rPr>
                <w:rFonts w:cs="Arial"/>
              </w:rPr>
              <w:t>2017</w:t>
            </w:r>
          </w:p>
        </w:tc>
        <w:tc>
          <w:tcPr>
            <w:tcW w:w="896" w:type="dxa"/>
            <w:vAlign w:val="bottom"/>
          </w:tcPr>
          <w:p w14:paraId="58A146F9" w14:textId="332501DF" w:rsidR="00F109A5" w:rsidRPr="00EC0619" w:rsidRDefault="00F109A5" w:rsidP="00074A90">
            <w:pPr>
              <w:ind w:left="-115"/>
              <w:rPr>
                <w:rFonts w:cs="Arial"/>
              </w:rPr>
            </w:pPr>
            <w:r w:rsidRPr="00074A90">
              <w:rPr>
                <w:rFonts w:cs="Arial"/>
              </w:rPr>
              <w:t>2022</w:t>
            </w:r>
          </w:p>
        </w:tc>
        <w:tc>
          <w:tcPr>
            <w:tcW w:w="1678" w:type="dxa"/>
            <w:noWrap/>
            <w:vAlign w:val="bottom"/>
          </w:tcPr>
          <w:p w14:paraId="3E2CA782" w14:textId="1765E83E" w:rsidR="00F109A5" w:rsidRPr="00DD35DB" w:rsidRDefault="00702B82" w:rsidP="00254501">
            <w:pPr>
              <w:ind w:right="-85"/>
              <w:jc w:val="right"/>
              <w:rPr>
                <w:rFonts w:cs="Arial"/>
                <w:highlight w:val="yellow"/>
              </w:rPr>
            </w:pPr>
            <w:r>
              <w:rPr>
                <w:rFonts w:cs="Arial"/>
              </w:rPr>
              <w:t>(15,338,349,727)</w:t>
            </w:r>
          </w:p>
        </w:tc>
        <w:tc>
          <w:tcPr>
            <w:tcW w:w="1800" w:type="dxa"/>
            <w:vAlign w:val="bottom"/>
          </w:tcPr>
          <w:p w14:paraId="5222F307" w14:textId="6038C168" w:rsidR="00F109A5" w:rsidRPr="00DD35DB" w:rsidRDefault="00702B82" w:rsidP="00074A90">
            <w:pPr>
              <w:ind w:left="57" w:right="-85"/>
              <w:jc w:val="right"/>
              <w:rPr>
                <w:rFonts w:cs="Arial"/>
                <w:highlight w:val="yellow"/>
              </w:rPr>
            </w:pPr>
            <w:r>
              <w:rPr>
                <w:rFonts w:cs="Arial"/>
              </w:rPr>
              <w:t>(15,338,349,727)</w:t>
            </w:r>
          </w:p>
        </w:tc>
        <w:tc>
          <w:tcPr>
            <w:tcW w:w="1620" w:type="dxa"/>
            <w:noWrap/>
            <w:vAlign w:val="bottom"/>
          </w:tcPr>
          <w:p w14:paraId="21D2345A" w14:textId="7C60AAF6" w:rsidR="00F109A5" w:rsidRPr="00DD35DB" w:rsidRDefault="00702B82" w:rsidP="00074A90">
            <w:pPr>
              <w:ind w:left="57" w:right="-85"/>
              <w:jc w:val="right"/>
              <w:rPr>
                <w:rFonts w:cs="Arial"/>
                <w:highlight w:val="yellow"/>
              </w:rPr>
            </w:pPr>
            <w:r>
              <w:rPr>
                <w:rFonts w:cs="Arial"/>
              </w:rPr>
              <w:t>-</w:t>
            </w:r>
          </w:p>
        </w:tc>
        <w:tc>
          <w:tcPr>
            <w:tcW w:w="1440" w:type="dxa"/>
          </w:tcPr>
          <w:p w14:paraId="018E3907" w14:textId="238BAD0F" w:rsidR="00F109A5" w:rsidRDefault="00702B82" w:rsidP="00074A90">
            <w:pPr>
              <w:ind w:left="57" w:right="-85"/>
              <w:jc w:val="right"/>
              <w:rPr>
                <w:rFonts w:cs="Arial"/>
              </w:rPr>
            </w:pPr>
            <w:r>
              <w:rPr>
                <w:rFonts w:cs="Arial"/>
              </w:rPr>
              <w:t>-</w:t>
            </w:r>
          </w:p>
        </w:tc>
      </w:tr>
      <w:tr w:rsidR="00F109A5" w:rsidRPr="00DD35DB" w14:paraId="23E0F64C" w14:textId="43DD83D1" w:rsidTr="00254501">
        <w:trPr>
          <w:trHeight w:val="20"/>
        </w:trPr>
        <w:tc>
          <w:tcPr>
            <w:tcW w:w="666" w:type="dxa"/>
            <w:noWrap/>
            <w:vAlign w:val="bottom"/>
            <w:hideMark/>
          </w:tcPr>
          <w:p w14:paraId="650E00A6" w14:textId="2DC5A586" w:rsidR="00F109A5" w:rsidRPr="00EC0619" w:rsidRDefault="00F109A5" w:rsidP="00EC0619">
            <w:pPr>
              <w:ind w:left="-115"/>
              <w:jc w:val="left"/>
              <w:rPr>
                <w:rFonts w:cs="Arial"/>
              </w:rPr>
            </w:pPr>
            <w:r w:rsidRPr="00074A90">
              <w:rPr>
                <w:rFonts w:cs="Arial"/>
              </w:rPr>
              <w:t>2018</w:t>
            </w:r>
          </w:p>
        </w:tc>
        <w:tc>
          <w:tcPr>
            <w:tcW w:w="896" w:type="dxa"/>
            <w:vAlign w:val="bottom"/>
          </w:tcPr>
          <w:p w14:paraId="653BD15F" w14:textId="126BD389" w:rsidR="00F109A5" w:rsidRPr="00EC0619" w:rsidRDefault="00F109A5" w:rsidP="00EC0619">
            <w:pPr>
              <w:ind w:left="-115"/>
              <w:rPr>
                <w:rFonts w:cs="Arial"/>
              </w:rPr>
            </w:pPr>
            <w:r w:rsidRPr="00074A90">
              <w:rPr>
                <w:rFonts w:cs="Arial"/>
              </w:rPr>
              <w:t>2023</w:t>
            </w:r>
          </w:p>
        </w:tc>
        <w:tc>
          <w:tcPr>
            <w:tcW w:w="1678" w:type="dxa"/>
            <w:noWrap/>
            <w:vAlign w:val="bottom"/>
          </w:tcPr>
          <w:p w14:paraId="42DC0706" w14:textId="47BCA8B2" w:rsidR="00F109A5" w:rsidRPr="00DD35DB" w:rsidRDefault="00702B82" w:rsidP="00254501">
            <w:pPr>
              <w:pBdr>
                <w:bottom w:val="single" w:sz="4" w:space="0" w:color="auto"/>
              </w:pBdr>
              <w:ind w:right="-85"/>
              <w:jc w:val="right"/>
              <w:rPr>
                <w:rFonts w:cs="Arial"/>
                <w:szCs w:val="18"/>
                <w:highlight w:val="yellow"/>
              </w:rPr>
            </w:pPr>
            <w:r>
              <w:rPr>
                <w:rFonts w:cs="Arial"/>
                <w:szCs w:val="18"/>
              </w:rPr>
              <w:t>(8,162,549,631)</w:t>
            </w:r>
          </w:p>
        </w:tc>
        <w:tc>
          <w:tcPr>
            <w:tcW w:w="1800" w:type="dxa"/>
            <w:vAlign w:val="bottom"/>
          </w:tcPr>
          <w:p w14:paraId="0E063F09" w14:textId="63AF858B" w:rsidR="00F109A5" w:rsidRPr="00DD35DB" w:rsidRDefault="00702B82" w:rsidP="00EC0619">
            <w:pPr>
              <w:pBdr>
                <w:bottom w:val="single" w:sz="4" w:space="0" w:color="auto"/>
              </w:pBdr>
              <w:ind w:left="57" w:right="-85"/>
              <w:jc w:val="right"/>
              <w:rPr>
                <w:rFonts w:cs="Arial"/>
                <w:szCs w:val="18"/>
                <w:highlight w:val="yellow"/>
              </w:rPr>
            </w:pPr>
            <w:r w:rsidRPr="00390F4A">
              <w:rPr>
                <w:rFonts w:cs="Arial"/>
                <w:szCs w:val="18"/>
              </w:rPr>
              <w:t>(1</w:t>
            </w:r>
            <w:r>
              <w:rPr>
                <w:rFonts w:cs="Arial"/>
                <w:szCs w:val="18"/>
              </w:rPr>
              <w:t>,</w:t>
            </w:r>
            <w:r w:rsidRPr="00390F4A">
              <w:rPr>
                <w:rFonts w:cs="Arial"/>
                <w:szCs w:val="18"/>
              </w:rPr>
              <w:t>926</w:t>
            </w:r>
            <w:r>
              <w:rPr>
                <w:rFonts w:cs="Arial"/>
                <w:szCs w:val="18"/>
              </w:rPr>
              <w:t>,</w:t>
            </w:r>
            <w:r w:rsidRPr="00390F4A">
              <w:rPr>
                <w:rFonts w:cs="Arial"/>
                <w:szCs w:val="18"/>
              </w:rPr>
              <w:t>748</w:t>
            </w:r>
            <w:r>
              <w:rPr>
                <w:rFonts w:cs="Arial"/>
                <w:szCs w:val="18"/>
              </w:rPr>
              <w:t>,</w:t>
            </w:r>
            <w:r w:rsidRPr="00390F4A">
              <w:rPr>
                <w:rFonts w:cs="Arial"/>
                <w:szCs w:val="18"/>
              </w:rPr>
              <w:t>283)</w:t>
            </w:r>
          </w:p>
        </w:tc>
        <w:tc>
          <w:tcPr>
            <w:tcW w:w="1620" w:type="dxa"/>
            <w:noWrap/>
            <w:vAlign w:val="bottom"/>
          </w:tcPr>
          <w:p w14:paraId="20ACE52F" w14:textId="33209489" w:rsidR="00F109A5" w:rsidRPr="00DD35DB" w:rsidRDefault="00702B82" w:rsidP="00EC0619">
            <w:pPr>
              <w:pBdr>
                <w:bottom w:val="single" w:sz="4" w:space="0" w:color="auto"/>
              </w:pBdr>
              <w:ind w:left="57" w:right="-85"/>
              <w:jc w:val="right"/>
              <w:rPr>
                <w:rFonts w:cs="Arial"/>
                <w:szCs w:val="18"/>
                <w:highlight w:val="yellow"/>
              </w:rPr>
            </w:pPr>
            <w:r w:rsidRPr="005C4A6B">
              <w:rPr>
                <w:rFonts w:cs="Arial"/>
                <w:szCs w:val="18"/>
              </w:rPr>
              <w:t>(6</w:t>
            </w:r>
            <w:r>
              <w:rPr>
                <w:rFonts w:cs="Arial"/>
                <w:szCs w:val="18"/>
              </w:rPr>
              <w:t>,</w:t>
            </w:r>
            <w:r w:rsidRPr="005C4A6B">
              <w:rPr>
                <w:rFonts w:cs="Arial"/>
                <w:szCs w:val="18"/>
              </w:rPr>
              <w:t>235</w:t>
            </w:r>
            <w:r>
              <w:rPr>
                <w:rFonts w:cs="Arial"/>
                <w:szCs w:val="18"/>
              </w:rPr>
              <w:t>,</w:t>
            </w:r>
            <w:r w:rsidRPr="005C4A6B">
              <w:rPr>
                <w:rFonts w:cs="Arial"/>
                <w:szCs w:val="18"/>
              </w:rPr>
              <w:t>801</w:t>
            </w:r>
            <w:r>
              <w:rPr>
                <w:rFonts w:cs="Arial"/>
                <w:szCs w:val="18"/>
              </w:rPr>
              <w:t>,</w:t>
            </w:r>
            <w:r w:rsidRPr="005C4A6B">
              <w:rPr>
                <w:rFonts w:cs="Arial"/>
                <w:szCs w:val="18"/>
              </w:rPr>
              <w:t>348)</w:t>
            </w:r>
          </w:p>
        </w:tc>
        <w:tc>
          <w:tcPr>
            <w:tcW w:w="1440" w:type="dxa"/>
          </w:tcPr>
          <w:p w14:paraId="2416CED5" w14:textId="03EF0F36" w:rsidR="00F109A5" w:rsidRDefault="00702B82" w:rsidP="00EC0619">
            <w:pPr>
              <w:pBdr>
                <w:bottom w:val="single" w:sz="4" w:space="0" w:color="auto"/>
              </w:pBdr>
              <w:ind w:left="57" w:right="-85"/>
              <w:jc w:val="right"/>
              <w:rPr>
                <w:rFonts w:cs="Arial"/>
                <w:szCs w:val="18"/>
              </w:rPr>
            </w:pPr>
            <w:r>
              <w:rPr>
                <w:rFonts w:cs="Arial"/>
                <w:szCs w:val="18"/>
              </w:rPr>
              <w:t>-</w:t>
            </w:r>
          </w:p>
        </w:tc>
      </w:tr>
      <w:tr w:rsidR="00F109A5" w:rsidRPr="00DD35DB" w14:paraId="04FC6ACA" w14:textId="1D529A13" w:rsidTr="00254501">
        <w:trPr>
          <w:trHeight w:val="20"/>
        </w:trPr>
        <w:tc>
          <w:tcPr>
            <w:tcW w:w="666" w:type="dxa"/>
            <w:noWrap/>
            <w:vAlign w:val="bottom"/>
          </w:tcPr>
          <w:p w14:paraId="08557A42" w14:textId="77777777" w:rsidR="00F109A5" w:rsidRPr="00DD35DB" w:rsidRDefault="00F109A5" w:rsidP="000A1EE5">
            <w:pPr>
              <w:spacing w:before="120"/>
              <w:ind w:left="-115"/>
              <w:jc w:val="left"/>
              <w:rPr>
                <w:rFonts w:cs="Arial"/>
              </w:rPr>
            </w:pPr>
          </w:p>
        </w:tc>
        <w:tc>
          <w:tcPr>
            <w:tcW w:w="896" w:type="dxa"/>
            <w:vAlign w:val="bottom"/>
          </w:tcPr>
          <w:p w14:paraId="523FF5BD" w14:textId="77777777" w:rsidR="00F109A5" w:rsidRPr="00DD35DB" w:rsidRDefault="00F109A5" w:rsidP="000A1EE5">
            <w:pPr>
              <w:spacing w:before="120"/>
              <w:ind w:left="-115"/>
              <w:rPr>
                <w:rFonts w:cs="Arial"/>
                <w:b/>
                <w:bCs/>
              </w:rPr>
            </w:pPr>
          </w:p>
        </w:tc>
        <w:tc>
          <w:tcPr>
            <w:tcW w:w="1678" w:type="dxa"/>
            <w:noWrap/>
            <w:vAlign w:val="bottom"/>
          </w:tcPr>
          <w:p w14:paraId="7AC3439A" w14:textId="17DD4F11" w:rsidR="00F109A5" w:rsidRPr="00DD35DB" w:rsidRDefault="00702B82" w:rsidP="00254501">
            <w:pPr>
              <w:pBdr>
                <w:bottom w:val="double" w:sz="4" w:space="0" w:color="auto"/>
              </w:pBdr>
              <w:spacing w:before="120"/>
              <w:ind w:right="-85"/>
              <w:jc w:val="right"/>
              <w:rPr>
                <w:rFonts w:cs="Arial"/>
                <w:b/>
                <w:highlight w:val="yellow"/>
              </w:rPr>
            </w:pPr>
            <w:r>
              <w:rPr>
                <w:rFonts w:cs="Arial"/>
                <w:b/>
              </w:rPr>
              <w:t>(35,059,861,310)</w:t>
            </w:r>
          </w:p>
        </w:tc>
        <w:tc>
          <w:tcPr>
            <w:tcW w:w="1800" w:type="dxa"/>
            <w:vAlign w:val="bottom"/>
          </w:tcPr>
          <w:p w14:paraId="30055306" w14:textId="1219A71B" w:rsidR="00F109A5" w:rsidRPr="00DD35DB" w:rsidRDefault="00702B82" w:rsidP="000A1EE5">
            <w:pPr>
              <w:pBdr>
                <w:bottom w:val="double" w:sz="4" w:space="0" w:color="auto"/>
              </w:pBdr>
              <w:spacing w:before="120"/>
              <w:ind w:left="57" w:right="-85"/>
              <w:jc w:val="right"/>
              <w:rPr>
                <w:rFonts w:cs="Arial"/>
                <w:b/>
                <w:highlight w:val="yellow"/>
              </w:rPr>
            </w:pPr>
            <w:bookmarkStart w:id="1" w:name="OLE_LINK2"/>
            <w:r w:rsidRPr="006B1CD2">
              <w:rPr>
                <w:rFonts w:cs="Arial"/>
                <w:b/>
              </w:rPr>
              <w:t>(28</w:t>
            </w:r>
            <w:r>
              <w:rPr>
                <w:rFonts w:cs="Arial"/>
                <w:b/>
              </w:rPr>
              <w:t>,</w:t>
            </w:r>
            <w:r w:rsidRPr="006B1CD2">
              <w:rPr>
                <w:rFonts w:cs="Arial"/>
                <w:b/>
              </w:rPr>
              <w:t>824</w:t>
            </w:r>
            <w:r>
              <w:rPr>
                <w:rFonts w:cs="Arial"/>
                <w:b/>
              </w:rPr>
              <w:t>,</w:t>
            </w:r>
            <w:r w:rsidRPr="006B1CD2">
              <w:rPr>
                <w:rFonts w:cs="Arial"/>
                <w:b/>
              </w:rPr>
              <w:t>059</w:t>
            </w:r>
            <w:r>
              <w:rPr>
                <w:rFonts w:cs="Arial"/>
                <w:b/>
              </w:rPr>
              <w:t>,</w:t>
            </w:r>
            <w:r w:rsidRPr="006B1CD2">
              <w:rPr>
                <w:rFonts w:cs="Arial"/>
                <w:b/>
              </w:rPr>
              <w:t>962)</w:t>
            </w:r>
            <w:bookmarkEnd w:id="1"/>
          </w:p>
        </w:tc>
        <w:tc>
          <w:tcPr>
            <w:tcW w:w="1620" w:type="dxa"/>
            <w:noWrap/>
            <w:vAlign w:val="bottom"/>
          </w:tcPr>
          <w:p w14:paraId="574ECC31" w14:textId="7E8F4BF4" w:rsidR="00F109A5" w:rsidRPr="00DD35DB" w:rsidRDefault="00702B82" w:rsidP="000A1EE5">
            <w:pPr>
              <w:pBdr>
                <w:bottom w:val="double" w:sz="4" w:space="0" w:color="auto"/>
              </w:pBdr>
              <w:spacing w:before="120"/>
              <w:ind w:left="57" w:right="-85"/>
              <w:jc w:val="right"/>
              <w:rPr>
                <w:rFonts w:cs="Arial"/>
                <w:b/>
                <w:highlight w:val="yellow"/>
              </w:rPr>
            </w:pPr>
            <w:r w:rsidRPr="008635B5">
              <w:rPr>
                <w:rFonts w:cs="Arial"/>
                <w:b/>
              </w:rPr>
              <w:t>(6</w:t>
            </w:r>
            <w:r>
              <w:rPr>
                <w:rFonts w:cs="Arial"/>
                <w:b/>
              </w:rPr>
              <w:t>,</w:t>
            </w:r>
            <w:r w:rsidRPr="008635B5">
              <w:rPr>
                <w:rFonts w:cs="Arial"/>
                <w:b/>
              </w:rPr>
              <w:t>235</w:t>
            </w:r>
            <w:r>
              <w:rPr>
                <w:rFonts w:cs="Arial"/>
                <w:b/>
              </w:rPr>
              <w:t>,</w:t>
            </w:r>
            <w:r w:rsidRPr="008635B5">
              <w:rPr>
                <w:rFonts w:cs="Arial"/>
                <w:b/>
              </w:rPr>
              <w:t>801</w:t>
            </w:r>
            <w:r>
              <w:rPr>
                <w:rFonts w:cs="Arial"/>
                <w:b/>
              </w:rPr>
              <w:t>,</w:t>
            </w:r>
            <w:r w:rsidRPr="008635B5">
              <w:rPr>
                <w:rFonts w:cs="Arial"/>
                <w:b/>
              </w:rPr>
              <w:t>348)</w:t>
            </w:r>
          </w:p>
        </w:tc>
        <w:tc>
          <w:tcPr>
            <w:tcW w:w="1440" w:type="dxa"/>
          </w:tcPr>
          <w:p w14:paraId="04ED9F33" w14:textId="5A61BEAF" w:rsidR="00F109A5" w:rsidRDefault="00702B82" w:rsidP="000A1EE5">
            <w:pPr>
              <w:pBdr>
                <w:bottom w:val="double" w:sz="4" w:space="0" w:color="auto"/>
              </w:pBdr>
              <w:spacing w:before="120"/>
              <w:ind w:left="57" w:right="-85"/>
              <w:jc w:val="right"/>
              <w:rPr>
                <w:rFonts w:cs="Arial"/>
                <w:b/>
              </w:rPr>
            </w:pPr>
            <w:r>
              <w:rPr>
                <w:rFonts w:cs="Arial"/>
                <w:b/>
              </w:rPr>
              <w:t>-</w:t>
            </w:r>
          </w:p>
        </w:tc>
      </w:tr>
    </w:tbl>
    <w:p w14:paraId="62998BF1" w14:textId="77777777" w:rsidR="00463707" w:rsidRPr="00DD35DB" w:rsidRDefault="00463707" w:rsidP="00463707">
      <w:pPr>
        <w:pStyle w:val="BodyTextIndent"/>
        <w:ind w:left="720"/>
        <w:rPr>
          <w:rFonts w:ascii="Arial" w:hAnsi="Arial" w:cs="Arial"/>
        </w:rPr>
      </w:pPr>
    </w:p>
    <w:p w14:paraId="379A7E1C" w14:textId="2B49184B" w:rsidR="00463707" w:rsidRPr="0046301C" w:rsidRDefault="00463707" w:rsidP="002A0BFD">
      <w:pPr>
        <w:pStyle w:val="StyleBodyTextIndentArial"/>
      </w:pPr>
      <w:r w:rsidRPr="00DD35DB">
        <w:t>(*)</w:t>
      </w:r>
      <w:r w:rsidRPr="00DD35DB">
        <w:tab/>
      </w:r>
      <w:r w:rsidR="006655E1">
        <w:t xml:space="preserve"> </w:t>
      </w:r>
      <w:r w:rsidR="004B51C8" w:rsidRPr="004B51C8">
        <w:t>Tax loss as per tax finalization</w:t>
      </w:r>
      <w:r w:rsidR="004B51C8" w:rsidRPr="004B51C8" w:rsidDel="004B51C8">
        <w:t xml:space="preserve"> </w:t>
      </w:r>
    </w:p>
    <w:p w14:paraId="646F7523" w14:textId="77777777" w:rsidR="00367D98" w:rsidRDefault="00367D98" w:rsidP="00367D98">
      <w:pPr>
        <w:pStyle w:val="NoSpacing"/>
        <w:sectPr w:rsidR="00367D98" w:rsidSect="00F5257E">
          <w:pgSz w:w="11909" w:h="16834" w:code="9"/>
          <w:pgMar w:top="1440" w:right="1440" w:bottom="864" w:left="1584" w:header="720" w:footer="576" w:gutter="0"/>
          <w:cols w:space="720"/>
          <w:docGrid w:linePitch="272"/>
        </w:sectPr>
      </w:pPr>
    </w:p>
    <w:p w14:paraId="40097B74" w14:textId="12EF4F77" w:rsidR="00367D98" w:rsidRPr="002A0B87" w:rsidRDefault="008A46B7" w:rsidP="00367D98">
      <w:pPr>
        <w:pStyle w:val="ListParagraph"/>
        <w:overflowPunct/>
        <w:autoSpaceDE/>
        <w:autoSpaceDN/>
        <w:adjustRightInd/>
        <w:ind w:hanging="720"/>
        <w:textAlignment w:val="auto"/>
        <w:rPr>
          <w:rFonts w:cs="Arial"/>
          <w:bCs/>
          <w:lang w:val="en-US"/>
        </w:rPr>
      </w:pPr>
      <w:r>
        <w:rPr>
          <w:rFonts w:cs="Arial"/>
          <w:b/>
          <w:lang w:val="en-US"/>
        </w:rPr>
        <w:lastRenderedPageBreak/>
        <w:t>25</w:t>
      </w:r>
      <w:r w:rsidR="00367D98" w:rsidRPr="002A0B87">
        <w:rPr>
          <w:rFonts w:cs="Arial"/>
          <w:b/>
          <w:lang w:val="vi-VN"/>
        </w:rPr>
        <w:t>.</w:t>
      </w:r>
      <w:r w:rsidR="00367D98" w:rsidRPr="002A0B87">
        <w:rPr>
          <w:rFonts w:cs="Arial"/>
          <w:b/>
          <w:lang w:val="vi-VN"/>
        </w:rPr>
        <w:tab/>
      </w:r>
      <w:r w:rsidR="00721A74" w:rsidRPr="00721A74">
        <w:rPr>
          <w:rFonts w:cs="Arial"/>
          <w:b/>
          <w:lang w:val="vi-VN"/>
        </w:rPr>
        <w:t xml:space="preserve">CORPORATE INCOME TAX (“CIT”) </w:t>
      </w:r>
      <w:r w:rsidR="00721A74" w:rsidRPr="00FA28E4">
        <w:rPr>
          <w:rFonts w:cs="Arial"/>
          <w:bCs/>
          <w:lang w:val="vi-VN"/>
        </w:rPr>
        <w:t>(continued)</w:t>
      </w:r>
    </w:p>
    <w:p w14:paraId="46D1DC25" w14:textId="77777777" w:rsidR="00367D98" w:rsidRPr="002A0B87" w:rsidRDefault="00367D98" w:rsidP="00367D98">
      <w:pPr>
        <w:pStyle w:val="NoSpacing"/>
      </w:pPr>
    </w:p>
    <w:p w14:paraId="21BCE988" w14:textId="01C83890" w:rsidR="00D348C4" w:rsidRPr="002A0B87" w:rsidRDefault="008A46B7" w:rsidP="00760439">
      <w:pPr>
        <w:pStyle w:val="Heading2"/>
      </w:pPr>
      <w:r>
        <w:t>25</w:t>
      </w:r>
      <w:r w:rsidR="00D348C4" w:rsidRPr="002A0B87">
        <w:t>.</w:t>
      </w:r>
      <w:r>
        <w:t>3</w:t>
      </w:r>
      <w:r w:rsidR="00D348C4" w:rsidRPr="002A0B87">
        <w:tab/>
      </w:r>
      <w:r w:rsidR="008B40DD" w:rsidRPr="008B40DD">
        <w:t>Deferred corporate income tax (“CIT”)</w:t>
      </w:r>
    </w:p>
    <w:p w14:paraId="6757D9E0" w14:textId="77777777" w:rsidR="00D348C4" w:rsidRPr="002A0B87" w:rsidRDefault="00D348C4" w:rsidP="00760439">
      <w:pPr>
        <w:pStyle w:val="NoSpacing"/>
      </w:pPr>
    </w:p>
    <w:tbl>
      <w:tblPr>
        <w:tblW w:w="4600" w:type="pct"/>
        <w:tblInd w:w="720" w:type="dxa"/>
        <w:tblLayout w:type="fixed"/>
        <w:tblLook w:val="01E0" w:firstRow="1" w:lastRow="1" w:firstColumn="1" w:lastColumn="1" w:noHBand="0" w:noVBand="0"/>
      </w:tblPr>
      <w:tblGrid>
        <w:gridCol w:w="4772"/>
        <w:gridCol w:w="1701"/>
        <w:gridCol w:w="1701"/>
      </w:tblGrid>
      <w:tr w:rsidR="00D348C4" w:rsidRPr="002A0B87" w14:paraId="00725146" w14:textId="77777777" w:rsidTr="00C2052C">
        <w:trPr>
          <w:trHeight w:val="20"/>
          <w:tblHeader/>
        </w:trPr>
        <w:tc>
          <w:tcPr>
            <w:tcW w:w="4772" w:type="dxa"/>
            <w:vAlign w:val="bottom"/>
          </w:tcPr>
          <w:p w14:paraId="304E4D8D" w14:textId="77777777" w:rsidR="00D348C4" w:rsidRPr="002A0B87" w:rsidRDefault="00D348C4" w:rsidP="00AC6DCE">
            <w:pPr>
              <w:widowControl w:val="0"/>
              <w:overflowPunct/>
              <w:autoSpaceDE/>
              <w:autoSpaceDN/>
              <w:adjustRightInd/>
              <w:ind w:left="-115"/>
              <w:textAlignment w:val="auto"/>
              <w:rPr>
                <w:rFonts w:eastAsia="Batang" w:cs="Arial"/>
                <w:i/>
                <w:lang w:val="es-ES"/>
              </w:rPr>
            </w:pPr>
          </w:p>
        </w:tc>
        <w:tc>
          <w:tcPr>
            <w:tcW w:w="1701" w:type="dxa"/>
            <w:vAlign w:val="bottom"/>
            <w:hideMark/>
          </w:tcPr>
          <w:p w14:paraId="4701F8A2" w14:textId="792EA5DB" w:rsidR="00D348C4" w:rsidRPr="002A0B87" w:rsidRDefault="00692DEB" w:rsidP="00254501">
            <w:pPr>
              <w:widowControl w:val="0"/>
              <w:pBdr>
                <w:bottom w:val="single" w:sz="4" w:space="0" w:color="auto"/>
              </w:pBdr>
              <w:ind w:left="57" w:right="-85"/>
              <w:jc w:val="right"/>
              <w:rPr>
                <w:rFonts w:eastAsia="Batang" w:cs="Arial"/>
                <w:bCs/>
                <w:i/>
              </w:rPr>
            </w:pPr>
            <w:r w:rsidRPr="00692DEB">
              <w:rPr>
                <w:rFonts w:eastAsia="Batang" w:cs="Arial"/>
                <w:bCs/>
                <w:i/>
              </w:rPr>
              <w:t>Current year</w:t>
            </w:r>
          </w:p>
          <w:p w14:paraId="31AC3399" w14:textId="77777777" w:rsidR="00D348C4" w:rsidRPr="002A0B87" w:rsidRDefault="00D348C4" w:rsidP="00254501">
            <w:pPr>
              <w:widowControl w:val="0"/>
              <w:pBdr>
                <w:bottom w:val="single" w:sz="4" w:space="0" w:color="auto"/>
              </w:pBdr>
              <w:ind w:left="57" w:right="-85"/>
              <w:jc w:val="right"/>
              <w:rPr>
                <w:rFonts w:cs="Arial"/>
                <w:bCs/>
                <w:i/>
              </w:rPr>
            </w:pPr>
            <w:r w:rsidRPr="002A0B87">
              <w:rPr>
                <w:rFonts w:eastAsia="Batang" w:cs="Arial"/>
                <w:i/>
                <w:iCs/>
              </w:rPr>
              <w:t>VND</w:t>
            </w:r>
          </w:p>
        </w:tc>
        <w:tc>
          <w:tcPr>
            <w:tcW w:w="1701" w:type="dxa"/>
            <w:vAlign w:val="bottom"/>
            <w:hideMark/>
          </w:tcPr>
          <w:p w14:paraId="364438C5" w14:textId="0D0994B0" w:rsidR="00D348C4" w:rsidRPr="002A0B87" w:rsidRDefault="003E73C2" w:rsidP="00254501">
            <w:pPr>
              <w:widowControl w:val="0"/>
              <w:pBdr>
                <w:bottom w:val="single" w:sz="4" w:space="0" w:color="auto"/>
              </w:pBdr>
              <w:ind w:left="57" w:right="-85"/>
              <w:jc w:val="right"/>
              <w:rPr>
                <w:rFonts w:eastAsia="Batang" w:cs="Arial"/>
                <w:bCs/>
                <w:i/>
              </w:rPr>
            </w:pPr>
            <w:r w:rsidRPr="003E73C2">
              <w:rPr>
                <w:rFonts w:eastAsia="Batang" w:cs="Arial"/>
                <w:bCs/>
                <w:i/>
              </w:rPr>
              <w:t>Previous year</w:t>
            </w:r>
          </w:p>
          <w:p w14:paraId="72429C47" w14:textId="77777777" w:rsidR="00D348C4" w:rsidRPr="002A0B87" w:rsidRDefault="00D348C4" w:rsidP="00254501">
            <w:pPr>
              <w:widowControl w:val="0"/>
              <w:pBdr>
                <w:bottom w:val="single" w:sz="4" w:space="0" w:color="auto"/>
              </w:pBdr>
              <w:ind w:left="57" w:right="-85"/>
              <w:jc w:val="right"/>
              <w:rPr>
                <w:rFonts w:cs="Arial"/>
                <w:bCs/>
                <w:i/>
              </w:rPr>
            </w:pPr>
            <w:r w:rsidRPr="002A0B87">
              <w:rPr>
                <w:rFonts w:eastAsia="Batang" w:cs="Arial"/>
                <w:i/>
                <w:iCs/>
              </w:rPr>
              <w:t xml:space="preserve">VND </w:t>
            </w:r>
          </w:p>
        </w:tc>
      </w:tr>
      <w:tr w:rsidR="00C2052C" w:rsidRPr="002A0B87" w14:paraId="559D505E" w14:textId="77777777" w:rsidTr="00C2052C">
        <w:trPr>
          <w:trHeight w:val="20"/>
        </w:trPr>
        <w:tc>
          <w:tcPr>
            <w:tcW w:w="4772" w:type="dxa"/>
            <w:vAlign w:val="center"/>
          </w:tcPr>
          <w:p w14:paraId="3CA4991C" w14:textId="7FB051C3" w:rsidR="00C2052C" w:rsidRPr="002A0B87" w:rsidRDefault="00C2052C" w:rsidP="00C2052C">
            <w:pPr>
              <w:widowControl w:val="0"/>
              <w:spacing w:before="120"/>
              <w:ind w:left="-115" w:firstLine="12"/>
              <w:rPr>
                <w:rFonts w:cs="Arial"/>
                <w:b/>
              </w:rPr>
            </w:pPr>
            <w:r w:rsidRPr="00F32902">
              <w:rPr>
                <w:rFonts w:cs="Arial"/>
                <w:b/>
              </w:rPr>
              <w:t>Net deferred CIT – opening balance</w:t>
            </w:r>
          </w:p>
        </w:tc>
        <w:tc>
          <w:tcPr>
            <w:tcW w:w="1701" w:type="dxa"/>
          </w:tcPr>
          <w:p w14:paraId="1192A73C" w14:textId="2DFCF80C" w:rsidR="00C2052C" w:rsidRPr="00C2052C" w:rsidRDefault="00C2052C" w:rsidP="00C2052C">
            <w:pPr>
              <w:widowControl w:val="0"/>
              <w:spacing w:before="120"/>
              <w:ind w:left="57" w:right="-85"/>
              <w:jc w:val="right"/>
              <w:rPr>
                <w:rFonts w:eastAsia="Batang" w:cs="Arial"/>
                <w:b/>
                <w:bCs/>
                <w:lang w:eastAsia="ko-KR"/>
              </w:rPr>
            </w:pPr>
            <w:r w:rsidRPr="00C2052C">
              <w:rPr>
                <w:b/>
                <w:bCs/>
              </w:rPr>
              <w:t xml:space="preserve">448,897,360 </w:t>
            </w:r>
          </w:p>
        </w:tc>
        <w:tc>
          <w:tcPr>
            <w:tcW w:w="1701" w:type="dxa"/>
          </w:tcPr>
          <w:p w14:paraId="4226627E" w14:textId="7FAFEBB7" w:rsidR="00C2052C" w:rsidRPr="00C2052C" w:rsidRDefault="00C2052C" w:rsidP="00C2052C">
            <w:pPr>
              <w:widowControl w:val="0"/>
              <w:spacing w:before="120"/>
              <w:ind w:left="57" w:right="-85"/>
              <w:jc w:val="right"/>
              <w:rPr>
                <w:rFonts w:eastAsia="Batang" w:cs="Arial"/>
                <w:b/>
                <w:bCs/>
                <w:lang w:eastAsia="ko-KR"/>
              </w:rPr>
            </w:pPr>
            <w:r w:rsidRPr="00C2052C">
              <w:rPr>
                <w:b/>
                <w:bCs/>
              </w:rPr>
              <w:t xml:space="preserve">748,162,267 </w:t>
            </w:r>
          </w:p>
        </w:tc>
      </w:tr>
      <w:tr w:rsidR="00C2052C" w:rsidRPr="002A0B87" w14:paraId="3D5E7B0C" w14:textId="77777777" w:rsidTr="00C2052C">
        <w:trPr>
          <w:trHeight w:val="20"/>
        </w:trPr>
        <w:tc>
          <w:tcPr>
            <w:tcW w:w="4772" w:type="dxa"/>
            <w:vAlign w:val="bottom"/>
          </w:tcPr>
          <w:p w14:paraId="0F2102C3" w14:textId="376FE402" w:rsidR="00C2052C" w:rsidRPr="003C222B" w:rsidRDefault="00C2052C" w:rsidP="00C2052C">
            <w:pPr>
              <w:widowControl w:val="0"/>
              <w:spacing w:before="120"/>
              <w:ind w:left="-115" w:firstLine="12"/>
              <w:rPr>
                <w:rFonts w:cs="Arial"/>
              </w:rPr>
            </w:pPr>
            <w:r w:rsidRPr="00BB05A2">
              <w:rPr>
                <w:rFonts w:cs="Arial"/>
              </w:rPr>
              <w:t>Temporary taxable difference</w:t>
            </w:r>
          </w:p>
        </w:tc>
        <w:tc>
          <w:tcPr>
            <w:tcW w:w="1701" w:type="dxa"/>
          </w:tcPr>
          <w:p w14:paraId="0073B9CD" w14:textId="77777777" w:rsidR="00C2052C" w:rsidRPr="003C222B" w:rsidRDefault="00C2052C" w:rsidP="00C2052C">
            <w:pPr>
              <w:widowControl w:val="0"/>
              <w:spacing w:before="120"/>
              <w:ind w:left="57" w:right="-85"/>
              <w:jc w:val="right"/>
              <w:rPr>
                <w:rFonts w:eastAsia="Batang" w:cs="Arial"/>
                <w:lang w:eastAsia="ko-KR"/>
              </w:rPr>
            </w:pPr>
          </w:p>
        </w:tc>
        <w:tc>
          <w:tcPr>
            <w:tcW w:w="1701" w:type="dxa"/>
          </w:tcPr>
          <w:p w14:paraId="72ABA178" w14:textId="77777777" w:rsidR="00C2052C" w:rsidRPr="003C222B" w:rsidRDefault="00C2052C" w:rsidP="00C2052C">
            <w:pPr>
              <w:widowControl w:val="0"/>
              <w:spacing w:before="120"/>
              <w:ind w:left="57" w:right="-85"/>
              <w:jc w:val="right"/>
              <w:rPr>
                <w:rFonts w:eastAsia="Batang" w:cs="Arial"/>
                <w:lang w:eastAsia="ko-KR"/>
              </w:rPr>
            </w:pPr>
          </w:p>
        </w:tc>
      </w:tr>
      <w:tr w:rsidR="00C2052C" w:rsidRPr="002A0B87" w14:paraId="3B043BC7" w14:textId="77777777" w:rsidTr="00C2052C">
        <w:trPr>
          <w:trHeight w:val="20"/>
        </w:trPr>
        <w:tc>
          <w:tcPr>
            <w:tcW w:w="4772" w:type="dxa"/>
            <w:vAlign w:val="bottom"/>
          </w:tcPr>
          <w:p w14:paraId="18BEEF77" w14:textId="5A8AFD09" w:rsidR="00C2052C" w:rsidRPr="002A0B87" w:rsidRDefault="00C2052C" w:rsidP="00C2052C">
            <w:pPr>
              <w:widowControl w:val="0"/>
              <w:ind w:left="245" w:right="-86" w:hanging="360"/>
              <w:rPr>
                <w:rFonts w:cs="Arial"/>
                <w:i/>
              </w:rPr>
            </w:pPr>
            <w:r>
              <w:rPr>
                <w:rFonts w:cs="Arial"/>
                <w:i/>
              </w:rPr>
              <w:t>-</w:t>
            </w:r>
            <w:r>
              <w:rPr>
                <w:rFonts w:cs="Arial"/>
                <w:i/>
              </w:rPr>
              <w:tab/>
            </w:r>
            <w:r w:rsidRPr="00A07264">
              <w:rPr>
                <w:rFonts w:cs="Arial"/>
                <w:i/>
              </w:rPr>
              <w:t>Provision expenses</w:t>
            </w:r>
          </w:p>
        </w:tc>
        <w:tc>
          <w:tcPr>
            <w:tcW w:w="1701" w:type="dxa"/>
          </w:tcPr>
          <w:p w14:paraId="6FF57541" w14:textId="655F4929" w:rsidR="00C2052C" w:rsidRPr="003C222B" w:rsidRDefault="00C2052C" w:rsidP="00C2052C">
            <w:pPr>
              <w:widowControl w:val="0"/>
              <w:ind w:left="57" w:right="-85"/>
              <w:jc w:val="right"/>
              <w:rPr>
                <w:rFonts w:cs="Arial"/>
                <w:i/>
              </w:rPr>
            </w:pPr>
            <w:r w:rsidRPr="004D217C">
              <w:t>(2</w:t>
            </w:r>
            <w:r>
              <w:t>,</w:t>
            </w:r>
            <w:r w:rsidRPr="004D217C">
              <w:t>244</w:t>
            </w:r>
            <w:r>
              <w:t>,</w:t>
            </w:r>
            <w:r w:rsidRPr="004D217C">
              <w:t>486</w:t>
            </w:r>
            <w:r>
              <w:t>,</w:t>
            </w:r>
            <w:r w:rsidRPr="004D217C">
              <w:t>801)</w:t>
            </w:r>
          </w:p>
        </w:tc>
        <w:tc>
          <w:tcPr>
            <w:tcW w:w="1701" w:type="dxa"/>
          </w:tcPr>
          <w:p w14:paraId="36A03454" w14:textId="113A24C7" w:rsidR="00C2052C" w:rsidRPr="003C222B" w:rsidRDefault="00C2052C" w:rsidP="00C2052C">
            <w:pPr>
              <w:widowControl w:val="0"/>
              <w:ind w:left="57" w:right="-85"/>
              <w:jc w:val="right"/>
              <w:rPr>
                <w:rFonts w:cs="Arial"/>
                <w:i/>
              </w:rPr>
            </w:pPr>
            <w:r w:rsidRPr="004D217C">
              <w:t>(1</w:t>
            </w:r>
            <w:r>
              <w:t>,</w:t>
            </w:r>
            <w:r w:rsidRPr="004D217C">
              <w:t>496</w:t>
            </w:r>
            <w:r>
              <w:t>,</w:t>
            </w:r>
            <w:r w:rsidRPr="004D217C">
              <w:t>324</w:t>
            </w:r>
            <w:r>
              <w:t>,</w:t>
            </w:r>
            <w:r w:rsidRPr="004D217C">
              <w:t>534)</w:t>
            </w:r>
          </w:p>
        </w:tc>
      </w:tr>
      <w:tr w:rsidR="00C2052C" w:rsidRPr="002A0B87" w14:paraId="4D7A038D" w14:textId="77777777" w:rsidTr="00C2052C">
        <w:trPr>
          <w:trHeight w:val="20"/>
        </w:trPr>
        <w:tc>
          <w:tcPr>
            <w:tcW w:w="4772" w:type="dxa"/>
            <w:vAlign w:val="bottom"/>
          </w:tcPr>
          <w:p w14:paraId="511AAB08" w14:textId="66322C96" w:rsidR="00C2052C" w:rsidRPr="002A0B87" w:rsidRDefault="00C2052C" w:rsidP="00C2052C">
            <w:pPr>
              <w:widowControl w:val="0"/>
              <w:ind w:left="-115" w:firstLine="12"/>
              <w:rPr>
                <w:rFonts w:cs="Arial"/>
              </w:rPr>
            </w:pPr>
            <w:r w:rsidRPr="000A610A">
              <w:rPr>
                <w:rFonts w:cs="Arial"/>
              </w:rPr>
              <w:t>Deferred corporate income tax rate</w:t>
            </w:r>
          </w:p>
        </w:tc>
        <w:tc>
          <w:tcPr>
            <w:tcW w:w="1701" w:type="dxa"/>
          </w:tcPr>
          <w:p w14:paraId="07203BB5" w14:textId="437DFB4C" w:rsidR="00C2052C" w:rsidRPr="003C222B" w:rsidRDefault="00C2052C" w:rsidP="00C2052C">
            <w:pPr>
              <w:widowControl w:val="0"/>
              <w:pBdr>
                <w:bottom w:val="single" w:sz="4" w:space="0" w:color="auto"/>
              </w:pBdr>
              <w:ind w:left="57" w:right="-85"/>
              <w:jc w:val="right"/>
              <w:rPr>
                <w:rFonts w:eastAsia="Batang" w:cs="Arial"/>
                <w:lang w:eastAsia="ko-KR"/>
              </w:rPr>
            </w:pPr>
            <w:r w:rsidRPr="004D217C">
              <w:t>20%</w:t>
            </w:r>
          </w:p>
        </w:tc>
        <w:tc>
          <w:tcPr>
            <w:tcW w:w="1701" w:type="dxa"/>
          </w:tcPr>
          <w:p w14:paraId="7A9F5482" w14:textId="501F55DD" w:rsidR="00C2052C" w:rsidRPr="003C222B" w:rsidRDefault="00C2052C" w:rsidP="00C2052C">
            <w:pPr>
              <w:widowControl w:val="0"/>
              <w:pBdr>
                <w:bottom w:val="single" w:sz="4" w:space="0" w:color="auto"/>
              </w:pBdr>
              <w:ind w:left="57" w:right="-85"/>
              <w:jc w:val="right"/>
              <w:rPr>
                <w:rFonts w:eastAsia="Batang" w:cs="Arial"/>
                <w:lang w:eastAsia="ko-KR"/>
              </w:rPr>
            </w:pPr>
            <w:r w:rsidRPr="004D217C">
              <w:t>20%</w:t>
            </w:r>
          </w:p>
        </w:tc>
      </w:tr>
      <w:tr w:rsidR="00C2052C" w:rsidRPr="002A0B87" w14:paraId="5E99FF34" w14:textId="77777777" w:rsidTr="00C2052C">
        <w:trPr>
          <w:trHeight w:val="20"/>
        </w:trPr>
        <w:tc>
          <w:tcPr>
            <w:tcW w:w="4772" w:type="dxa"/>
            <w:vAlign w:val="bottom"/>
            <w:hideMark/>
          </w:tcPr>
          <w:p w14:paraId="5CE709AB" w14:textId="5286C733" w:rsidR="00C2052C" w:rsidRPr="003C222B" w:rsidRDefault="00C2052C" w:rsidP="00C2052C">
            <w:pPr>
              <w:widowControl w:val="0"/>
              <w:spacing w:before="120"/>
              <w:ind w:left="-115" w:firstLine="12"/>
              <w:rPr>
                <w:rFonts w:cs="Arial"/>
              </w:rPr>
            </w:pPr>
            <w:r w:rsidRPr="008B31F5">
              <w:rPr>
                <w:rFonts w:cs="Arial"/>
              </w:rPr>
              <w:t>Deferred CIT expenses</w:t>
            </w:r>
          </w:p>
        </w:tc>
        <w:tc>
          <w:tcPr>
            <w:tcW w:w="1701" w:type="dxa"/>
          </w:tcPr>
          <w:p w14:paraId="266ACFF9" w14:textId="3A51B75C" w:rsidR="00C2052C" w:rsidRPr="003C222B" w:rsidRDefault="00C2052C" w:rsidP="00C2052C">
            <w:pPr>
              <w:widowControl w:val="0"/>
              <w:pBdr>
                <w:bottom w:val="single" w:sz="4" w:space="0" w:color="auto"/>
              </w:pBdr>
              <w:spacing w:before="120"/>
              <w:ind w:left="57" w:right="-85"/>
              <w:jc w:val="right"/>
              <w:rPr>
                <w:rFonts w:eastAsia="Batang" w:cs="Arial"/>
                <w:lang w:eastAsia="ko-KR"/>
              </w:rPr>
            </w:pPr>
            <w:r w:rsidRPr="004D217C">
              <w:t>(448</w:t>
            </w:r>
            <w:r>
              <w:t>,</w:t>
            </w:r>
            <w:r w:rsidRPr="004D217C">
              <w:t>897</w:t>
            </w:r>
            <w:r>
              <w:t>,</w:t>
            </w:r>
            <w:r w:rsidRPr="004D217C">
              <w:t>360)</w:t>
            </w:r>
          </w:p>
        </w:tc>
        <w:tc>
          <w:tcPr>
            <w:tcW w:w="1701" w:type="dxa"/>
          </w:tcPr>
          <w:p w14:paraId="6AB937AE" w14:textId="397CBA10" w:rsidR="00C2052C" w:rsidRPr="003C222B" w:rsidRDefault="00C2052C" w:rsidP="00C2052C">
            <w:pPr>
              <w:widowControl w:val="0"/>
              <w:pBdr>
                <w:bottom w:val="single" w:sz="4" w:space="0" w:color="auto"/>
              </w:pBdr>
              <w:spacing w:before="120"/>
              <w:ind w:left="57" w:right="-85"/>
              <w:jc w:val="right"/>
              <w:rPr>
                <w:rFonts w:eastAsia="Batang" w:cs="Arial"/>
                <w:lang w:eastAsia="ko-KR"/>
              </w:rPr>
            </w:pPr>
            <w:r w:rsidRPr="004D217C">
              <w:t>(299</w:t>
            </w:r>
            <w:r>
              <w:t>,</w:t>
            </w:r>
            <w:r w:rsidRPr="004D217C">
              <w:t>264</w:t>
            </w:r>
            <w:r>
              <w:t>,</w:t>
            </w:r>
            <w:r w:rsidRPr="004D217C">
              <w:t>907)</w:t>
            </w:r>
          </w:p>
        </w:tc>
      </w:tr>
      <w:tr w:rsidR="00C2052C" w:rsidRPr="002A0B87" w14:paraId="089BF156" w14:textId="77777777" w:rsidTr="00C2052C">
        <w:trPr>
          <w:trHeight w:val="20"/>
        </w:trPr>
        <w:tc>
          <w:tcPr>
            <w:tcW w:w="4772" w:type="dxa"/>
            <w:vAlign w:val="bottom"/>
          </w:tcPr>
          <w:p w14:paraId="54E0446F" w14:textId="4EB86943" w:rsidR="00C2052C" w:rsidRPr="002A0B87" w:rsidRDefault="00C2052C" w:rsidP="00C2052C">
            <w:pPr>
              <w:widowControl w:val="0"/>
              <w:spacing w:before="120"/>
              <w:ind w:left="-115" w:firstLine="12"/>
              <w:rPr>
                <w:rFonts w:cs="Arial"/>
                <w:b/>
              </w:rPr>
            </w:pPr>
            <w:r w:rsidRPr="002005BD">
              <w:rPr>
                <w:rFonts w:cs="Arial"/>
                <w:b/>
              </w:rPr>
              <w:t>Net deferred CIT – ending balance</w:t>
            </w:r>
          </w:p>
        </w:tc>
        <w:tc>
          <w:tcPr>
            <w:tcW w:w="1701" w:type="dxa"/>
          </w:tcPr>
          <w:p w14:paraId="3AAE284C" w14:textId="0D85B74D" w:rsidR="00C2052C" w:rsidRPr="00C2052C" w:rsidRDefault="00C2052C" w:rsidP="00C2052C">
            <w:pPr>
              <w:widowControl w:val="0"/>
              <w:pBdr>
                <w:bottom w:val="double" w:sz="4" w:space="0" w:color="auto"/>
              </w:pBdr>
              <w:spacing w:before="120"/>
              <w:ind w:left="57" w:right="-85"/>
              <w:jc w:val="right"/>
              <w:rPr>
                <w:rFonts w:eastAsia="Batang" w:cs="Arial"/>
                <w:b/>
                <w:bCs/>
                <w:lang w:eastAsia="ko-KR"/>
              </w:rPr>
            </w:pPr>
            <w:r w:rsidRPr="00C2052C">
              <w:rPr>
                <w:b/>
                <w:bCs/>
              </w:rPr>
              <w:t xml:space="preserve">- </w:t>
            </w:r>
          </w:p>
        </w:tc>
        <w:tc>
          <w:tcPr>
            <w:tcW w:w="1701" w:type="dxa"/>
          </w:tcPr>
          <w:p w14:paraId="464CBA82" w14:textId="46D9DDC7" w:rsidR="00C2052C" w:rsidRPr="00C2052C" w:rsidRDefault="00C2052C" w:rsidP="00C2052C">
            <w:pPr>
              <w:widowControl w:val="0"/>
              <w:pBdr>
                <w:bottom w:val="double" w:sz="4" w:space="0" w:color="auto"/>
              </w:pBdr>
              <w:spacing w:before="120"/>
              <w:ind w:left="57" w:right="-85"/>
              <w:jc w:val="right"/>
              <w:rPr>
                <w:rFonts w:cs="Arial"/>
                <w:b/>
                <w:bCs/>
              </w:rPr>
            </w:pPr>
            <w:r w:rsidRPr="00C2052C">
              <w:rPr>
                <w:b/>
                <w:bCs/>
              </w:rPr>
              <w:t xml:space="preserve">448,897,360 </w:t>
            </w:r>
          </w:p>
        </w:tc>
      </w:tr>
    </w:tbl>
    <w:p w14:paraId="3E563A61" w14:textId="77777777" w:rsidR="00B07F47" w:rsidRDefault="00B07F47" w:rsidP="00DD7720">
      <w:pPr>
        <w:pStyle w:val="BodyTextIndent"/>
        <w:ind w:left="720"/>
        <w:rPr>
          <w:rFonts w:ascii="Arial" w:hAnsi="Arial" w:cs="Arial"/>
        </w:rPr>
      </w:pPr>
    </w:p>
    <w:p w14:paraId="6C939931" w14:textId="77777777" w:rsidR="00EC0619" w:rsidRDefault="00EC0619" w:rsidP="00DD7720">
      <w:pPr>
        <w:pStyle w:val="BodyTextIndent"/>
        <w:ind w:left="720"/>
        <w:rPr>
          <w:rFonts w:ascii="Arial" w:hAnsi="Arial" w:cs="Arial"/>
        </w:rPr>
      </w:pPr>
    </w:p>
    <w:p w14:paraId="5569112C" w14:textId="0BF783DB" w:rsidR="00B37945" w:rsidRPr="002A0B87" w:rsidRDefault="00C925BA" w:rsidP="00B37945">
      <w:pPr>
        <w:pStyle w:val="ListParagraph"/>
        <w:overflowPunct/>
        <w:autoSpaceDE/>
        <w:autoSpaceDN/>
        <w:adjustRightInd/>
        <w:ind w:hanging="720"/>
        <w:textAlignment w:val="auto"/>
        <w:outlineLvl w:val="0"/>
        <w:rPr>
          <w:rFonts w:cs="Arial"/>
          <w:b/>
          <w:lang w:val="vi-VN"/>
        </w:rPr>
      </w:pPr>
      <w:r>
        <w:rPr>
          <w:rFonts w:cs="Arial"/>
          <w:b/>
          <w:lang w:val="en-US"/>
        </w:rPr>
        <w:t>26</w:t>
      </w:r>
      <w:r w:rsidR="00B37945" w:rsidRPr="002A0B87">
        <w:rPr>
          <w:rFonts w:cs="Arial"/>
          <w:b/>
          <w:lang w:val="vi-VN"/>
        </w:rPr>
        <w:t>.</w:t>
      </w:r>
      <w:r w:rsidR="00B37945" w:rsidRPr="002A0B87">
        <w:rPr>
          <w:rFonts w:cs="Arial"/>
          <w:b/>
          <w:lang w:val="vi-VN"/>
        </w:rPr>
        <w:tab/>
      </w:r>
      <w:r w:rsidR="00987C37" w:rsidRPr="00987C37">
        <w:rPr>
          <w:rFonts w:cs="Arial"/>
          <w:b/>
          <w:lang w:val="vi-VN"/>
        </w:rPr>
        <w:t>TRANSACTIONS WITH RELATED PARTIES</w:t>
      </w:r>
      <w:r w:rsidR="00987C37" w:rsidRPr="00987C37" w:rsidDel="00987C37">
        <w:rPr>
          <w:rFonts w:cs="Arial"/>
          <w:b/>
          <w:lang w:val="vi-VN"/>
        </w:rPr>
        <w:t xml:space="preserve"> </w:t>
      </w:r>
    </w:p>
    <w:p w14:paraId="501E7F44" w14:textId="77777777" w:rsidR="00B37945" w:rsidRPr="002A0B87" w:rsidRDefault="00B37945" w:rsidP="00760439">
      <w:pPr>
        <w:pStyle w:val="NoSpacing"/>
      </w:pPr>
    </w:p>
    <w:p w14:paraId="3FD06237" w14:textId="78C721DE" w:rsidR="000606B7" w:rsidRPr="002A0B87" w:rsidRDefault="00874182" w:rsidP="00760439">
      <w:pPr>
        <w:pStyle w:val="NoSpacing"/>
      </w:pPr>
      <w:r w:rsidRPr="00874182">
        <w:t>List of related parties and relationships with the Company is as follows:</w:t>
      </w:r>
    </w:p>
    <w:p w14:paraId="3854B6EA" w14:textId="77777777" w:rsidR="000606B7" w:rsidRPr="002A0B87" w:rsidRDefault="000606B7" w:rsidP="00760439">
      <w:pPr>
        <w:pStyle w:val="NoSpacing"/>
      </w:pPr>
    </w:p>
    <w:tbl>
      <w:tblPr>
        <w:tblW w:w="8168" w:type="dxa"/>
        <w:tblInd w:w="720" w:type="dxa"/>
        <w:tblLayout w:type="fixed"/>
        <w:tblLook w:val="0000" w:firstRow="0" w:lastRow="0" w:firstColumn="0" w:lastColumn="0" w:noHBand="0" w:noVBand="0"/>
      </w:tblPr>
      <w:tblGrid>
        <w:gridCol w:w="4768"/>
        <w:gridCol w:w="3400"/>
      </w:tblGrid>
      <w:tr w:rsidR="000606B7" w:rsidRPr="002A0B87" w14:paraId="631C127D" w14:textId="77777777" w:rsidTr="00254501">
        <w:tc>
          <w:tcPr>
            <w:tcW w:w="4768" w:type="dxa"/>
            <w:shd w:val="clear" w:color="auto" w:fill="auto"/>
            <w:vAlign w:val="bottom"/>
          </w:tcPr>
          <w:p w14:paraId="24FA0E2B" w14:textId="0A6B3EB5" w:rsidR="000606B7" w:rsidRPr="002A0B87" w:rsidRDefault="00223265" w:rsidP="00557104">
            <w:pPr>
              <w:pBdr>
                <w:bottom w:val="single" w:sz="4" w:space="0" w:color="auto"/>
              </w:pBdr>
              <w:overflowPunct/>
              <w:autoSpaceDE/>
              <w:autoSpaceDN/>
              <w:adjustRightInd/>
              <w:spacing w:before="120"/>
              <w:ind w:left="-115"/>
              <w:textAlignment w:val="auto"/>
              <w:rPr>
                <w:rFonts w:cs="Arial"/>
                <w:iCs/>
                <w:lang w:val="vi-VN"/>
              </w:rPr>
            </w:pPr>
            <w:r w:rsidRPr="00223265">
              <w:rPr>
                <w:rFonts w:cs="Arial"/>
                <w:i/>
                <w:iCs/>
                <w:lang w:val="vi-VN"/>
              </w:rPr>
              <w:t>Related parties</w:t>
            </w:r>
          </w:p>
        </w:tc>
        <w:tc>
          <w:tcPr>
            <w:tcW w:w="3400" w:type="dxa"/>
            <w:shd w:val="clear" w:color="auto" w:fill="auto"/>
            <w:vAlign w:val="bottom"/>
          </w:tcPr>
          <w:p w14:paraId="27FE5553" w14:textId="4F515F60" w:rsidR="000606B7" w:rsidRPr="002A0B87" w:rsidRDefault="00DD4C8A" w:rsidP="00557104">
            <w:pPr>
              <w:pBdr>
                <w:bottom w:val="single" w:sz="4" w:space="0" w:color="auto"/>
              </w:pBdr>
              <w:overflowPunct/>
              <w:autoSpaceDE/>
              <w:autoSpaceDN/>
              <w:adjustRightInd/>
              <w:spacing w:before="120"/>
              <w:textAlignment w:val="auto"/>
              <w:rPr>
                <w:rFonts w:cs="Arial"/>
                <w:lang w:val="vi-VN"/>
              </w:rPr>
            </w:pPr>
            <w:r w:rsidRPr="00DD4C8A">
              <w:rPr>
                <w:rFonts w:cs="Arial"/>
                <w:i/>
                <w:lang w:val="vi-VN"/>
              </w:rPr>
              <w:t>Relationships</w:t>
            </w:r>
          </w:p>
        </w:tc>
      </w:tr>
      <w:tr w:rsidR="000606B7" w:rsidRPr="002A0B87" w14:paraId="68301041" w14:textId="77777777" w:rsidTr="00254501">
        <w:tc>
          <w:tcPr>
            <w:tcW w:w="4768" w:type="dxa"/>
            <w:shd w:val="clear" w:color="auto" w:fill="auto"/>
          </w:tcPr>
          <w:p w14:paraId="46FE2E3C" w14:textId="1C670659" w:rsidR="000606B7" w:rsidRPr="00074A90" w:rsidRDefault="002818F4" w:rsidP="00C96294">
            <w:pPr>
              <w:overflowPunct/>
              <w:autoSpaceDE/>
              <w:autoSpaceDN/>
              <w:adjustRightInd/>
              <w:spacing w:before="120"/>
              <w:ind w:left="-115" w:right="-108"/>
              <w:textAlignment w:val="auto"/>
              <w:rPr>
                <w:rFonts w:cs="Arial"/>
                <w:iCs/>
              </w:rPr>
            </w:pPr>
            <w:r w:rsidRPr="002818F4">
              <w:rPr>
                <w:rFonts w:cs="Arial"/>
                <w:iCs/>
              </w:rPr>
              <w:t>NH</w:t>
            </w:r>
            <w:r w:rsidR="005C6E84">
              <w:rPr>
                <w:rFonts w:cs="Arial"/>
                <w:iCs/>
              </w:rPr>
              <w:t xml:space="preserve"> Investment &amp; Securities Co., Ltd</w:t>
            </w:r>
          </w:p>
        </w:tc>
        <w:tc>
          <w:tcPr>
            <w:tcW w:w="3400" w:type="dxa"/>
            <w:shd w:val="clear" w:color="auto" w:fill="auto"/>
          </w:tcPr>
          <w:p w14:paraId="2040920F" w14:textId="7FC4B37F" w:rsidR="000606B7" w:rsidRPr="002A0B87" w:rsidRDefault="002D43D7" w:rsidP="00C96294">
            <w:pPr>
              <w:overflowPunct/>
              <w:autoSpaceDE/>
              <w:autoSpaceDN/>
              <w:adjustRightInd/>
              <w:spacing w:before="120"/>
              <w:textAlignment w:val="auto"/>
              <w:rPr>
                <w:rFonts w:cs="Arial"/>
              </w:rPr>
            </w:pPr>
            <w:r w:rsidRPr="002D43D7">
              <w:rPr>
                <w:rFonts w:cs="Arial"/>
              </w:rPr>
              <w:t>Parent company</w:t>
            </w:r>
          </w:p>
        </w:tc>
      </w:tr>
      <w:tr w:rsidR="00C96294" w:rsidRPr="002A0B87" w14:paraId="3B99C6F2" w14:textId="77777777" w:rsidTr="00254501">
        <w:tc>
          <w:tcPr>
            <w:tcW w:w="4768" w:type="dxa"/>
            <w:shd w:val="clear" w:color="auto" w:fill="auto"/>
          </w:tcPr>
          <w:p w14:paraId="51BEE598" w14:textId="3827163C" w:rsidR="00C96294" w:rsidRPr="002818F4" w:rsidRDefault="0044254F" w:rsidP="00C96294">
            <w:pPr>
              <w:overflowPunct/>
              <w:autoSpaceDE/>
              <w:autoSpaceDN/>
              <w:adjustRightInd/>
              <w:ind w:left="-115" w:right="-108"/>
              <w:textAlignment w:val="auto"/>
              <w:rPr>
                <w:rFonts w:cs="Arial"/>
                <w:iCs/>
              </w:rPr>
            </w:pPr>
            <w:proofErr w:type="spellStart"/>
            <w:r w:rsidRPr="0044254F">
              <w:rPr>
                <w:rFonts w:cs="Arial"/>
                <w:iCs/>
              </w:rPr>
              <w:t>Nonghyup</w:t>
            </w:r>
            <w:proofErr w:type="spellEnd"/>
            <w:r w:rsidRPr="0044254F">
              <w:rPr>
                <w:rFonts w:cs="Arial"/>
                <w:iCs/>
              </w:rPr>
              <w:t xml:space="preserve"> Bank</w:t>
            </w:r>
          </w:p>
        </w:tc>
        <w:tc>
          <w:tcPr>
            <w:tcW w:w="3400" w:type="dxa"/>
            <w:shd w:val="clear" w:color="auto" w:fill="auto"/>
          </w:tcPr>
          <w:p w14:paraId="237ADDC0" w14:textId="090CC0FF" w:rsidR="00C96294" w:rsidRDefault="00E01045" w:rsidP="00C96294">
            <w:pPr>
              <w:overflowPunct/>
              <w:autoSpaceDE/>
              <w:autoSpaceDN/>
              <w:adjustRightInd/>
              <w:textAlignment w:val="auto"/>
              <w:rPr>
                <w:rFonts w:cs="Arial"/>
              </w:rPr>
            </w:pPr>
            <w:r>
              <w:rPr>
                <w:rFonts w:cs="Arial"/>
              </w:rPr>
              <w:t>Affiliate</w:t>
            </w:r>
          </w:p>
        </w:tc>
      </w:tr>
    </w:tbl>
    <w:p w14:paraId="35065AFA" w14:textId="5FBC1428" w:rsidR="00551B9C" w:rsidRPr="002A0B87" w:rsidRDefault="00005629" w:rsidP="00760439">
      <w:pPr>
        <w:pStyle w:val="NoSpacing"/>
      </w:pPr>
      <w:r w:rsidRPr="002A0B87">
        <w:rPr>
          <w:b/>
        </w:rPr>
        <w:tab/>
      </w:r>
    </w:p>
    <w:p w14:paraId="575EBAEA" w14:textId="77777777" w:rsidR="00802B72" w:rsidRPr="002A0B87" w:rsidRDefault="00802B72" w:rsidP="00802B72">
      <w:pPr>
        <w:pStyle w:val="NoSpacing"/>
      </w:pPr>
      <w:r w:rsidRPr="00E63D2D">
        <w:t>Significant transactions with related parties of the Company during the year ended 31 December 2021 and 31 December 2020 are as follows:</w:t>
      </w:r>
    </w:p>
    <w:p w14:paraId="68357940" w14:textId="77777777" w:rsidR="00802B72" w:rsidRPr="002A0B87" w:rsidRDefault="00802B72" w:rsidP="00802B72">
      <w:pPr>
        <w:pStyle w:val="NoSpacing"/>
      </w:pPr>
    </w:p>
    <w:tbl>
      <w:tblPr>
        <w:tblW w:w="8164" w:type="dxa"/>
        <w:tblInd w:w="720" w:type="dxa"/>
        <w:tblLayout w:type="fixed"/>
        <w:tblLook w:val="04A0" w:firstRow="1" w:lastRow="0" w:firstColumn="1" w:lastColumn="0" w:noHBand="0" w:noVBand="1"/>
      </w:tblPr>
      <w:tblGrid>
        <w:gridCol w:w="1980"/>
        <w:gridCol w:w="2466"/>
        <w:gridCol w:w="1859"/>
        <w:gridCol w:w="1859"/>
      </w:tblGrid>
      <w:tr w:rsidR="00802B72" w:rsidRPr="002A0B87" w14:paraId="588035B4" w14:textId="77777777" w:rsidTr="001952EF">
        <w:trPr>
          <w:trHeight w:val="80"/>
          <w:tblHeader/>
        </w:trPr>
        <w:tc>
          <w:tcPr>
            <w:tcW w:w="1980" w:type="dxa"/>
            <w:noWrap/>
            <w:vAlign w:val="bottom"/>
            <w:hideMark/>
          </w:tcPr>
          <w:p w14:paraId="667968B6" w14:textId="77777777" w:rsidR="00802B72" w:rsidRPr="00074A90" w:rsidRDefault="00802B72" w:rsidP="001952EF">
            <w:pPr>
              <w:pBdr>
                <w:bottom w:val="single" w:sz="4" w:space="0" w:color="auto"/>
              </w:pBdr>
              <w:overflowPunct/>
              <w:autoSpaceDE/>
              <w:autoSpaceDN/>
              <w:adjustRightInd/>
              <w:ind w:left="-115"/>
              <w:textAlignment w:val="auto"/>
              <w:rPr>
                <w:rFonts w:eastAsia="Batang" w:cs="Arial"/>
                <w:i/>
                <w:color w:val="000000"/>
                <w:lang w:eastAsia="ko-KR"/>
              </w:rPr>
            </w:pPr>
            <w:r w:rsidRPr="001206FF">
              <w:rPr>
                <w:rFonts w:eastAsia="Batang" w:cs="Arial"/>
                <w:i/>
                <w:color w:val="000000"/>
                <w:spacing w:val="-2"/>
                <w:lang w:eastAsia="ko-KR"/>
              </w:rPr>
              <w:t>Related parties</w:t>
            </w:r>
          </w:p>
        </w:tc>
        <w:tc>
          <w:tcPr>
            <w:tcW w:w="2466" w:type="dxa"/>
            <w:noWrap/>
            <w:vAlign w:val="bottom"/>
            <w:hideMark/>
          </w:tcPr>
          <w:p w14:paraId="5AB2ED80" w14:textId="77777777" w:rsidR="00802B72" w:rsidRPr="00074A90" w:rsidRDefault="00802B72" w:rsidP="001952EF">
            <w:pPr>
              <w:pBdr>
                <w:bottom w:val="single" w:sz="4" w:space="0" w:color="auto"/>
              </w:pBdr>
              <w:overflowPunct/>
              <w:autoSpaceDE/>
              <w:autoSpaceDN/>
              <w:adjustRightInd/>
              <w:textAlignment w:val="auto"/>
              <w:rPr>
                <w:rFonts w:eastAsia="Batang" w:cs="Arial"/>
                <w:i/>
                <w:color w:val="000000"/>
                <w:lang w:eastAsia="ko-KR"/>
              </w:rPr>
            </w:pPr>
            <w:r w:rsidRPr="000F29BA">
              <w:rPr>
                <w:rFonts w:eastAsia="Batang" w:cs="Arial"/>
                <w:i/>
                <w:color w:val="000000"/>
                <w:lang w:eastAsia="ko-KR"/>
              </w:rPr>
              <w:t>Description</w:t>
            </w:r>
          </w:p>
        </w:tc>
        <w:tc>
          <w:tcPr>
            <w:tcW w:w="1859" w:type="dxa"/>
            <w:vAlign w:val="bottom"/>
          </w:tcPr>
          <w:p w14:paraId="1D4E2A1C" w14:textId="77777777" w:rsidR="00802B72" w:rsidRPr="00443830" w:rsidRDefault="00802B72" w:rsidP="001952EF">
            <w:pPr>
              <w:widowControl w:val="0"/>
              <w:pBdr>
                <w:bottom w:val="single" w:sz="4" w:space="0" w:color="auto"/>
              </w:pBdr>
              <w:ind w:right="-85"/>
              <w:jc w:val="right"/>
              <w:rPr>
                <w:rFonts w:eastAsia="Batang" w:cs="Arial"/>
                <w:bCs/>
                <w:i/>
              </w:rPr>
            </w:pPr>
            <w:r w:rsidRPr="00443830">
              <w:rPr>
                <w:rFonts w:eastAsia="Batang" w:cs="Arial"/>
                <w:bCs/>
                <w:i/>
              </w:rPr>
              <w:t>Current year</w:t>
            </w:r>
          </w:p>
          <w:p w14:paraId="5AB22925" w14:textId="77777777" w:rsidR="00802B72" w:rsidRPr="00074A90" w:rsidRDefault="00802B72" w:rsidP="001952EF">
            <w:pPr>
              <w:widowControl w:val="0"/>
              <w:pBdr>
                <w:bottom w:val="single" w:sz="4" w:space="0" w:color="auto"/>
              </w:pBdr>
              <w:ind w:right="-85"/>
              <w:jc w:val="right"/>
              <w:rPr>
                <w:rFonts w:eastAsia="Batang" w:cs="Arial"/>
                <w:i/>
                <w:iCs/>
              </w:rPr>
            </w:pPr>
            <w:r w:rsidRPr="00443830">
              <w:rPr>
                <w:rFonts w:eastAsia="Batang" w:cs="Arial"/>
                <w:bCs/>
                <w:i/>
              </w:rPr>
              <w:t>Income/(Expenses)</w:t>
            </w:r>
          </w:p>
          <w:p w14:paraId="7FE15A63" w14:textId="77777777" w:rsidR="00802B72" w:rsidRPr="00074A90" w:rsidRDefault="00802B72" w:rsidP="001952EF">
            <w:pPr>
              <w:widowControl w:val="0"/>
              <w:pBdr>
                <w:bottom w:val="single" w:sz="4" w:space="0" w:color="auto"/>
              </w:pBdr>
              <w:ind w:right="-85"/>
              <w:jc w:val="right"/>
              <w:rPr>
                <w:rFonts w:eastAsia="Batang" w:cs="Arial"/>
                <w:i/>
                <w:color w:val="000000"/>
                <w:lang w:eastAsia="ko-KR"/>
              </w:rPr>
            </w:pPr>
            <w:r w:rsidRPr="00074A90">
              <w:rPr>
                <w:rFonts w:eastAsia="Batang" w:cs="Arial"/>
                <w:i/>
                <w:iCs/>
              </w:rPr>
              <w:t>VND</w:t>
            </w:r>
          </w:p>
        </w:tc>
        <w:tc>
          <w:tcPr>
            <w:tcW w:w="1859" w:type="dxa"/>
            <w:noWrap/>
            <w:vAlign w:val="bottom"/>
            <w:hideMark/>
          </w:tcPr>
          <w:p w14:paraId="03558207" w14:textId="77777777" w:rsidR="00802B72" w:rsidRPr="00A83677" w:rsidRDefault="00802B72" w:rsidP="001952EF">
            <w:pPr>
              <w:widowControl w:val="0"/>
              <w:pBdr>
                <w:bottom w:val="single" w:sz="4" w:space="0" w:color="auto"/>
              </w:pBdr>
              <w:ind w:right="-85"/>
              <w:jc w:val="right"/>
              <w:rPr>
                <w:rFonts w:eastAsia="Batang" w:cs="Arial"/>
                <w:bCs/>
                <w:i/>
              </w:rPr>
            </w:pPr>
            <w:r w:rsidRPr="00A83677">
              <w:rPr>
                <w:rFonts w:eastAsia="Batang" w:cs="Arial"/>
                <w:bCs/>
                <w:i/>
              </w:rPr>
              <w:t>Previous year</w:t>
            </w:r>
          </w:p>
          <w:p w14:paraId="0269F5FA" w14:textId="77777777" w:rsidR="00802B72" w:rsidRPr="00074A90" w:rsidRDefault="00802B72" w:rsidP="001952EF">
            <w:pPr>
              <w:widowControl w:val="0"/>
              <w:pBdr>
                <w:bottom w:val="single" w:sz="4" w:space="0" w:color="auto"/>
              </w:pBdr>
              <w:ind w:right="-85"/>
              <w:jc w:val="right"/>
              <w:rPr>
                <w:rFonts w:eastAsia="Batang" w:cs="Arial"/>
                <w:i/>
                <w:iCs/>
              </w:rPr>
            </w:pPr>
            <w:r w:rsidRPr="00A83677">
              <w:rPr>
                <w:rFonts w:eastAsia="Batang" w:cs="Arial"/>
                <w:bCs/>
                <w:i/>
              </w:rPr>
              <w:t>Income/(Expenses)</w:t>
            </w:r>
          </w:p>
          <w:p w14:paraId="360E2A79" w14:textId="77777777" w:rsidR="00802B72" w:rsidRPr="00074A90" w:rsidRDefault="00802B72" w:rsidP="001952EF">
            <w:pPr>
              <w:widowControl w:val="0"/>
              <w:pBdr>
                <w:bottom w:val="single" w:sz="4" w:space="0" w:color="auto"/>
              </w:pBdr>
              <w:ind w:right="-85"/>
              <w:jc w:val="right"/>
              <w:rPr>
                <w:rFonts w:eastAsia="Batang" w:cs="Arial"/>
                <w:i/>
                <w:color w:val="000000"/>
                <w:lang w:eastAsia="ko-KR"/>
              </w:rPr>
            </w:pPr>
            <w:r w:rsidRPr="00074A90">
              <w:rPr>
                <w:rFonts w:eastAsia="Batang" w:cs="Arial"/>
                <w:i/>
                <w:iCs/>
              </w:rPr>
              <w:t xml:space="preserve">VND </w:t>
            </w:r>
          </w:p>
        </w:tc>
      </w:tr>
      <w:tr w:rsidR="00A8333F" w:rsidRPr="002A0B87" w14:paraId="2DDD0740" w14:textId="77777777" w:rsidTr="00A8333F">
        <w:trPr>
          <w:trHeight w:val="20"/>
        </w:trPr>
        <w:tc>
          <w:tcPr>
            <w:tcW w:w="1980" w:type="dxa"/>
            <w:noWrap/>
            <w:hideMark/>
          </w:tcPr>
          <w:p w14:paraId="499931C0" w14:textId="77777777" w:rsidR="00A8333F" w:rsidRPr="00074A90" w:rsidRDefault="00A8333F" w:rsidP="00A8333F">
            <w:pPr>
              <w:overflowPunct/>
              <w:autoSpaceDE/>
              <w:autoSpaceDN/>
              <w:adjustRightInd/>
              <w:spacing w:before="120"/>
              <w:ind w:left="-115"/>
              <w:jc w:val="left"/>
              <w:textAlignment w:val="auto"/>
              <w:rPr>
                <w:rFonts w:eastAsia="Batang" w:cs="Arial"/>
                <w:color w:val="000000"/>
                <w:lang w:eastAsia="ko-KR"/>
              </w:rPr>
            </w:pPr>
            <w:r w:rsidRPr="008A5B65">
              <w:rPr>
                <w:rFonts w:eastAsia="Batang" w:cs="Arial"/>
                <w:color w:val="000000"/>
                <w:lang w:eastAsia="ko-KR"/>
              </w:rPr>
              <w:t>NH Investment &amp; Securities Co., Ltd</w:t>
            </w:r>
          </w:p>
        </w:tc>
        <w:tc>
          <w:tcPr>
            <w:tcW w:w="2466" w:type="dxa"/>
            <w:noWrap/>
            <w:hideMark/>
          </w:tcPr>
          <w:p w14:paraId="15167A27" w14:textId="77777777" w:rsidR="00A8333F" w:rsidRPr="00074A90" w:rsidRDefault="00A8333F" w:rsidP="00A8333F">
            <w:pPr>
              <w:overflowPunct/>
              <w:autoSpaceDE/>
              <w:autoSpaceDN/>
              <w:adjustRightInd/>
              <w:spacing w:before="120"/>
              <w:jc w:val="left"/>
              <w:textAlignment w:val="auto"/>
              <w:rPr>
                <w:rFonts w:eastAsia="Batang" w:cs="Arial"/>
                <w:color w:val="000000"/>
                <w:lang w:eastAsia="ko-KR"/>
              </w:rPr>
            </w:pPr>
            <w:r w:rsidRPr="001F27B5">
              <w:rPr>
                <w:rFonts w:cs="Arial"/>
              </w:rPr>
              <w:t>Revenue from brokerage services</w:t>
            </w:r>
          </w:p>
        </w:tc>
        <w:tc>
          <w:tcPr>
            <w:tcW w:w="1859" w:type="dxa"/>
            <w:vAlign w:val="bottom"/>
          </w:tcPr>
          <w:p w14:paraId="1A58F71F" w14:textId="4A1A2B06" w:rsidR="00A8333F" w:rsidRPr="00074A90" w:rsidRDefault="00A8333F" w:rsidP="00A8333F">
            <w:pPr>
              <w:overflowPunct/>
              <w:autoSpaceDE/>
              <w:autoSpaceDN/>
              <w:adjustRightInd/>
              <w:spacing w:before="120"/>
              <w:ind w:right="-86"/>
              <w:jc w:val="right"/>
              <w:textAlignment w:val="auto"/>
              <w:rPr>
                <w:rFonts w:eastAsia="Batang" w:cs="Arial"/>
                <w:color w:val="000000"/>
                <w:highlight w:val="yellow"/>
                <w:lang w:eastAsia="ko-KR"/>
              </w:rPr>
            </w:pPr>
            <w:r w:rsidRPr="006A4955">
              <w:t>473</w:t>
            </w:r>
            <w:r w:rsidR="001E277D">
              <w:t>,</w:t>
            </w:r>
            <w:r w:rsidRPr="006A4955">
              <w:t>013</w:t>
            </w:r>
            <w:r w:rsidR="001E277D">
              <w:t>,</w:t>
            </w:r>
            <w:r w:rsidRPr="006A4955">
              <w:t>683</w:t>
            </w:r>
          </w:p>
        </w:tc>
        <w:tc>
          <w:tcPr>
            <w:tcW w:w="1859" w:type="dxa"/>
            <w:noWrap/>
            <w:vAlign w:val="bottom"/>
          </w:tcPr>
          <w:p w14:paraId="620D28A4" w14:textId="2E0EB7F7" w:rsidR="00A8333F" w:rsidRPr="00074A90" w:rsidRDefault="00A8333F" w:rsidP="00A8333F">
            <w:pPr>
              <w:overflowPunct/>
              <w:autoSpaceDE/>
              <w:autoSpaceDN/>
              <w:adjustRightInd/>
              <w:spacing w:before="120"/>
              <w:ind w:right="-86"/>
              <w:jc w:val="right"/>
              <w:textAlignment w:val="auto"/>
              <w:rPr>
                <w:rFonts w:eastAsia="Batang" w:cs="Arial"/>
                <w:color w:val="000000"/>
                <w:highlight w:val="yellow"/>
                <w:lang w:eastAsia="ko-KR"/>
              </w:rPr>
            </w:pPr>
            <w:r w:rsidRPr="006A4955">
              <w:t>1</w:t>
            </w:r>
            <w:r w:rsidR="001E277D">
              <w:t>,</w:t>
            </w:r>
            <w:r w:rsidRPr="006A4955">
              <w:t>699</w:t>
            </w:r>
            <w:r w:rsidR="001E277D">
              <w:t>,</w:t>
            </w:r>
            <w:r w:rsidRPr="006A4955">
              <w:t>945</w:t>
            </w:r>
            <w:r w:rsidR="001E277D">
              <w:t>,</w:t>
            </w:r>
            <w:r w:rsidRPr="006A4955">
              <w:t>773</w:t>
            </w:r>
          </w:p>
        </w:tc>
      </w:tr>
      <w:tr w:rsidR="00A8333F" w:rsidRPr="002A0B87" w14:paraId="5FF1F0CB" w14:textId="77777777" w:rsidTr="00A8333F">
        <w:trPr>
          <w:trHeight w:val="20"/>
        </w:trPr>
        <w:tc>
          <w:tcPr>
            <w:tcW w:w="1980" w:type="dxa"/>
            <w:noWrap/>
          </w:tcPr>
          <w:p w14:paraId="136BFCC4" w14:textId="77777777" w:rsidR="00A8333F" w:rsidRPr="008A5B65" w:rsidRDefault="00A8333F" w:rsidP="00A8333F">
            <w:pPr>
              <w:overflowPunct/>
              <w:autoSpaceDE/>
              <w:autoSpaceDN/>
              <w:adjustRightInd/>
              <w:spacing w:before="120"/>
              <w:ind w:left="-115" w:right="-86"/>
              <w:textAlignment w:val="auto"/>
              <w:rPr>
                <w:rFonts w:eastAsia="Batang" w:cs="Arial"/>
                <w:color w:val="000000"/>
                <w:lang w:eastAsia="ko-KR"/>
              </w:rPr>
            </w:pPr>
            <w:proofErr w:type="spellStart"/>
            <w:r w:rsidRPr="00B77A3A">
              <w:rPr>
                <w:rFonts w:eastAsia="Batang" w:cs="Arial"/>
                <w:color w:val="000000"/>
                <w:lang w:eastAsia="ko-KR"/>
              </w:rPr>
              <w:t>Nonghyup</w:t>
            </w:r>
            <w:proofErr w:type="spellEnd"/>
            <w:r w:rsidRPr="00B77A3A">
              <w:rPr>
                <w:rFonts w:eastAsia="Batang" w:cs="Arial"/>
                <w:color w:val="000000"/>
                <w:lang w:eastAsia="ko-KR"/>
              </w:rPr>
              <w:t xml:space="preserve"> Bank</w:t>
            </w:r>
          </w:p>
        </w:tc>
        <w:tc>
          <w:tcPr>
            <w:tcW w:w="2466" w:type="dxa"/>
            <w:noWrap/>
          </w:tcPr>
          <w:p w14:paraId="30CCAEDD" w14:textId="77777777" w:rsidR="00A8333F" w:rsidRDefault="00A8333F" w:rsidP="00A8333F">
            <w:pPr>
              <w:overflowPunct/>
              <w:autoSpaceDE/>
              <w:autoSpaceDN/>
              <w:adjustRightInd/>
              <w:spacing w:before="120"/>
              <w:jc w:val="left"/>
              <w:textAlignment w:val="auto"/>
              <w:rPr>
                <w:rFonts w:cs="Arial"/>
              </w:rPr>
            </w:pPr>
            <w:r w:rsidRPr="008B0DF0">
              <w:rPr>
                <w:rFonts w:cs="Arial"/>
              </w:rPr>
              <w:t>Interest expenses</w:t>
            </w:r>
          </w:p>
        </w:tc>
        <w:tc>
          <w:tcPr>
            <w:tcW w:w="1859" w:type="dxa"/>
            <w:vAlign w:val="bottom"/>
          </w:tcPr>
          <w:p w14:paraId="375D2EF3" w14:textId="54ED3B57" w:rsidR="00A8333F" w:rsidRPr="004B5933" w:rsidRDefault="00A8333F" w:rsidP="00A8333F">
            <w:pPr>
              <w:overflowPunct/>
              <w:autoSpaceDE/>
              <w:autoSpaceDN/>
              <w:adjustRightInd/>
              <w:spacing w:before="120"/>
              <w:ind w:right="-86"/>
              <w:jc w:val="right"/>
              <w:textAlignment w:val="auto"/>
              <w:rPr>
                <w:rFonts w:eastAsia="Batang" w:cs="Arial"/>
                <w:color w:val="000000"/>
                <w:lang w:eastAsia="ko-KR"/>
              </w:rPr>
            </w:pPr>
            <w:r w:rsidRPr="006A4955">
              <w:t xml:space="preserve"> (15</w:t>
            </w:r>
            <w:r w:rsidR="001E277D">
              <w:t>,</w:t>
            </w:r>
            <w:r w:rsidRPr="006A4955">
              <w:t>507</w:t>
            </w:r>
            <w:r w:rsidR="001E277D">
              <w:t>,</w:t>
            </w:r>
            <w:r w:rsidRPr="006A4955">
              <w:t>950</w:t>
            </w:r>
            <w:r w:rsidR="001E277D">
              <w:t>,</w:t>
            </w:r>
            <w:r w:rsidRPr="006A4955">
              <w:t>406)</w:t>
            </w:r>
          </w:p>
        </w:tc>
        <w:tc>
          <w:tcPr>
            <w:tcW w:w="1859" w:type="dxa"/>
            <w:noWrap/>
            <w:vAlign w:val="bottom"/>
          </w:tcPr>
          <w:p w14:paraId="0CDEF1E1" w14:textId="37F9CE43" w:rsidR="00A8333F" w:rsidRPr="004B5933" w:rsidRDefault="00A8333F" w:rsidP="00A8333F">
            <w:pPr>
              <w:overflowPunct/>
              <w:autoSpaceDE/>
              <w:autoSpaceDN/>
              <w:adjustRightInd/>
              <w:spacing w:before="120"/>
              <w:ind w:right="-86"/>
              <w:jc w:val="right"/>
              <w:textAlignment w:val="auto"/>
              <w:rPr>
                <w:rFonts w:eastAsia="Batang" w:cs="Arial"/>
                <w:color w:val="000000"/>
                <w:lang w:eastAsia="ko-KR"/>
              </w:rPr>
            </w:pPr>
            <w:r w:rsidRPr="006A4955">
              <w:t>(12</w:t>
            </w:r>
            <w:r w:rsidR="001E277D">
              <w:t>,</w:t>
            </w:r>
            <w:r w:rsidRPr="006A4955">
              <w:t>553</w:t>
            </w:r>
            <w:r w:rsidR="001E277D">
              <w:t>,</w:t>
            </w:r>
            <w:r w:rsidRPr="006A4955">
              <w:t>115</w:t>
            </w:r>
            <w:r w:rsidR="001E277D">
              <w:t>,</w:t>
            </w:r>
            <w:r w:rsidRPr="006A4955">
              <w:t xml:space="preserve">985) </w:t>
            </w:r>
          </w:p>
        </w:tc>
      </w:tr>
      <w:tr w:rsidR="00A8333F" w:rsidRPr="002A0B87" w14:paraId="14FAD2D1" w14:textId="77777777" w:rsidTr="00A8333F">
        <w:trPr>
          <w:trHeight w:val="20"/>
        </w:trPr>
        <w:tc>
          <w:tcPr>
            <w:tcW w:w="1980" w:type="dxa"/>
            <w:noWrap/>
          </w:tcPr>
          <w:p w14:paraId="4B1EF3BC" w14:textId="4B9428FD" w:rsidR="00A8333F" w:rsidRPr="00B77A3A" w:rsidRDefault="00A8333F" w:rsidP="00A8333F">
            <w:pPr>
              <w:overflowPunct/>
              <w:autoSpaceDE/>
              <w:autoSpaceDN/>
              <w:adjustRightInd/>
              <w:spacing w:before="120"/>
              <w:ind w:left="-115" w:right="-86"/>
              <w:textAlignment w:val="auto"/>
              <w:rPr>
                <w:rFonts w:eastAsia="Batang" w:cs="Arial"/>
                <w:color w:val="000000"/>
                <w:lang w:eastAsia="ko-KR"/>
              </w:rPr>
            </w:pPr>
            <w:proofErr w:type="spellStart"/>
            <w:r>
              <w:rPr>
                <w:rFonts w:eastAsia="Batang" w:cs="Arial"/>
                <w:color w:val="000000"/>
                <w:lang w:eastAsia="ko-KR"/>
              </w:rPr>
              <w:t>Nonghyup</w:t>
            </w:r>
            <w:proofErr w:type="spellEnd"/>
            <w:r>
              <w:rPr>
                <w:rFonts w:eastAsia="Batang" w:cs="Arial"/>
                <w:color w:val="000000"/>
                <w:lang w:eastAsia="ko-KR"/>
              </w:rPr>
              <w:t xml:space="preserve"> Bank – Hanoi Branch</w:t>
            </w:r>
          </w:p>
        </w:tc>
        <w:tc>
          <w:tcPr>
            <w:tcW w:w="2466" w:type="dxa"/>
            <w:noWrap/>
          </w:tcPr>
          <w:p w14:paraId="7D794065" w14:textId="1C4C30BA" w:rsidR="00A8333F" w:rsidRPr="008B0DF0" w:rsidRDefault="00A8333F" w:rsidP="00A8333F">
            <w:pPr>
              <w:overflowPunct/>
              <w:autoSpaceDE/>
              <w:autoSpaceDN/>
              <w:adjustRightInd/>
              <w:spacing w:before="120"/>
              <w:jc w:val="left"/>
              <w:textAlignment w:val="auto"/>
              <w:rPr>
                <w:rFonts w:cs="Arial"/>
              </w:rPr>
            </w:pPr>
            <w:r>
              <w:rPr>
                <w:rFonts w:cs="Arial"/>
              </w:rPr>
              <w:t>Interest expenses</w:t>
            </w:r>
          </w:p>
        </w:tc>
        <w:tc>
          <w:tcPr>
            <w:tcW w:w="1859" w:type="dxa"/>
            <w:vAlign w:val="bottom"/>
          </w:tcPr>
          <w:p w14:paraId="2FA85F60" w14:textId="6A3F4724" w:rsidR="00A8333F" w:rsidRPr="002D48D7" w:rsidRDefault="00A8333F" w:rsidP="00A8333F">
            <w:pPr>
              <w:overflowPunct/>
              <w:autoSpaceDE/>
              <w:autoSpaceDN/>
              <w:adjustRightInd/>
              <w:spacing w:before="120"/>
              <w:ind w:right="-86"/>
              <w:jc w:val="right"/>
              <w:textAlignment w:val="auto"/>
              <w:rPr>
                <w:rFonts w:eastAsia="Batang" w:cs="Arial"/>
                <w:color w:val="000000"/>
                <w:lang w:eastAsia="ko-KR"/>
              </w:rPr>
            </w:pPr>
            <w:r w:rsidRPr="006A4955">
              <w:t xml:space="preserve"> (893</w:t>
            </w:r>
            <w:r w:rsidR="001E277D">
              <w:t>,</w:t>
            </w:r>
            <w:r w:rsidRPr="006A4955">
              <w:t>260</w:t>
            </w:r>
            <w:r w:rsidR="001E277D">
              <w:t>,</w:t>
            </w:r>
            <w:r w:rsidRPr="006A4955">
              <w:t>274)</w:t>
            </w:r>
          </w:p>
        </w:tc>
        <w:tc>
          <w:tcPr>
            <w:tcW w:w="1859" w:type="dxa"/>
            <w:noWrap/>
            <w:vAlign w:val="bottom"/>
          </w:tcPr>
          <w:p w14:paraId="695FA2F0" w14:textId="58DD020B" w:rsidR="00A8333F" w:rsidRPr="00ED7816" w:rsidRDefault="00A8333F" w:rsidP="00A8333F">
            <w:pPr>
              <w:overflowPunct/>
              <w:autoSpaceDE/>
              <w:autoSpaceDN/>
              <w:adjustRightInd/>
              <w:spacing w:before="120"/>
              <w:ind w:right="-86"/>
              <w:jc w:val="right"/>
              <w:textAlignment w:val="auto"/>
              <w:rPr>
                <w:rFonts w:eastAsia="Batang" w:cs="Arial"/>
                <w:color w:val="000000"/>
                <w:lang w:eastAsia="ko-KR"/>
              </w:rPr>
            </w:pPr>
            <w:r w:rsidRPr="006A4955">
              <w:t>-</w:t>
            </w:r>
          </w:p>
        </w:tc>
      </w:tr>
    </w:tbl>
    <w:p w14:paraId="7F075542" w14:textId="77777777" w:rsidR="00802B72" w:rsidRDefault="00802B72" w:rsidP="001E05DA">
      <w:pPr>
        <w:pStyle w:val="NoSpacing"/>
        <w:rPr>
          <w:bCs/>
        </w:rPr>
      </w:pPr>
    </w:p>
    <w:p w14:paraId="6DDF17E1" w14:textId="0A958FEF" w:rsidR="003A310B" w:rsidRDefault="003A310B">
      <w:pPr>
        <w:overflowPunct/>
        <w:autoSpaceDE/>
        <w:autoSpaceDN/>
        <w:adjustRightInd/>
        <w:jc w:val="left"/>
        <w:textAlignment w:val="auto"/>
      </w:pPr>
      <w:r>
        <w:br w:type="page"/>
      </w:r>
    </w:p>
    <w:p w14:paraId="752270DD" w14:textId="77777777" w:rsidR="00DA4181" w:rsidRDefault="00DA4181" w:rsidP="003A310B">
      <w:pPr>
        <w:pStyle w:val="ListParagraph"/>
        <w:overflowPunct/>
        <w:autoSpaceDE/>
        <w:autoSpaceDN/>
        <w:adjustRightInd/>
        <w:ind w:hanging="720"/>
        <w:textAlignment w:val="auto"/>
        <w:outlineLvl w:val="0"/>
        <w:rPr>
          <w:rFonts w:cs="Arial"/>
          <w:b/>
          <w:lang w:val="en-US"/>
        </w:rPr>
        <w:sectPr w:rsidR="00DA4181" w:rsidSect="008064F8">
          <w:pgSz w:w="11909" w:h="16834" w:code="9"/>
          <w:pgMar w:top="1440" w:right="1440" w:bottom="864" w:left="1584" w:header="720" w:footer="576" w:gutter="0"/>
          <w:cols w:space="720"/>
          <w:docGrid w:linePitch="272"/>
        </w:sectPr>
      </w:pPr>
    </w:p>
    <w:p w14:paraId="392CE168" w14:textId="2434BC4C" w:rsidR="003A310B" w:rsidRPr="003A310B" w:rsidRDefault="003A310B" w:rsidP="003A310B">
      <w:pPr>
        <w:pStyle w:val="ListParagraph"/>
        <w:overflowPunct/>
        <w:autoSpaceDE/>
        <w:autoSpaceDN/>
        <w:adjustRightInd/>
        <w:ind w:hanging="720"/>
        <w:textAlignment w:val="auto"/>
        <w:outlineLvl w:val="0"/>
        <w:rPr>
          <w:rFonts w:cs="Arial"/>
          <w:b/>
          <w:lang w:val="en-US"/>
        </w:rPr>
      </w:pPr>
      <w:r>
        <w:rPr>
          <w:rFonts w:cs="Arial"/>
          <w:b/>
          <w:lang w:val="en-US"/>
        </w:rPr>
        <w:lastRenderedPageBreak/>
        <w:t>26</w:t>
      </w:r>
      <w:r w:rsidRPr="002A0B87">
        <w:rPr>
          <w:rFonts w:cs="Arial"/>
          <w:b/>
          <w:lang w:val="vi-VN"/>
        </w:rPr>
        <w:t>.</w:t>
      </w:r>
      <w:r w:rsidRPr="002A0B87">
        <w:rPr>
          <w:rFonts w:cs="Arial"/>
          <w:b/>
          <w:lang w:val="vi-VN"/>
        </w:rPr>
        <w:tab/>
      </w:r>
      <w:r w:rsidRPr="00987C37">
        <w:rPr>
          <w:rFonts w:cs="Arial"/>
          <w:b/>
          <w:lang w:val="vi-VN"/>
        </w:rPr>
        <w:t>TRANSACTIONS WITH RELATED PARTIES</w:t>
      </w:r>
      <w:r w:rsidRPr="00987C37" w:rsidDel="00987C37">
        <w:rPr>
          <w:rFonts w:cs="Arial"/>
          <w:b/>
          <w:lang w:val="vi-VN"/>
        </w:rPr>
        <w:t xml:space="preserve"> </w:t>
      </w:r>
      <w:r w:rsidRPr="003A310B">
        <w:rPr>
          <w:rFonts w:cs="Arial"/>
          <w:bCs/>
          <w:i/>
          <w:iCs/>
          <w:lang w:val="en-US"/>
        </w:rPr>
        <w:t>(continued)</w:t>
      </w:r>
    </w:p>
    <w:p w14:paraId="26BF8BFB" w14:textId="77777777" w:rsidR="00802B72" w:rsidRPr="00802B72" w:rsidRDefault="00802B72" w:rsidP="00802B72"/>
    <w:p w14:paraId="3FE6C243" w14:textId="109A0039" w:rsidR="001E05DA" w:rsidRPr="002A0B87" w:rsidRDefault="001035C1" w:rsidP="001E05DA">
      <w:pPr>
        <w:pStyle w:val="NoSpacing"/>
        <w:rPr>
          <w:bCs/>
        </w:rPr>
      </w:pPr>
      <w:r w:rsidRPr="001035C1">
        <w:rPr>
          <w:bCs/>
        </w:rPr>
        <w:t>Significant balances with related parties of the Company at the beginning and the end of the year are as follows:</w:t>
      </w:r>
    </w:p>
    <w:p w14:paraId="1FF44225" w14:textId="77777777" w:rsidR="001E05DA" w:rsidRPr="002A0B87" w:rsidRDefault="001E05DA" w:rsidP="00191DF5">
      <w:pPr>
        <w:pStyle w:val="NoSpacing"/>
        <w:ind w:left="0"/>
      </w:pPr>
    </w:p>
    <w:p w14:paraId="5C221AD3" w14:textId="77777777" w:rsidR="001D1417" w:rsidRPr="002A0B87" w:rsidRDefault="001D1417" w:rsidP="001D1417">
      <w:pPr>
        <w:pStyle w:val="NoSpacing"/>
      </w:pPr>
    </w:p>
    <w:tbl>
      <w:tblPr>
        <w:tblW w:w="13268" w:type="dxa"/>
        <w:tblInd w:w="720" w:type="dxa"/>
        <w:tblLayout w:type="fixed"/>
        <w:tblLook w:val="0000" w:firstRow="0" w:lastRow="0" w:firstColumn="0" w:lastColumn="0" w:noHBand="0" w:noVBand="0"/>
      </w:tblPr>
      <w:tblGrid>
        <w:gridCol w:w="2012"/>
        <w:gridCol w:w="2471"/>
        <w:gridCol w:w="1922"/>
        <w:gridCol w:w="2196"/>
        <w:gridCol w:w="2379"/>
        <w:gridCol w:w="2288"/>
      </w:tblGrid>
      <w:tr w:rsidR="00FE5C6E" w:rsidRPr="00EC06B0" w14:paraId="46266495" w14:textId="77777777" w:rsidTr="0069049A">
        <w:tc>
          <w:tcPr>
            <w:tcW w:w="2012" w:type="dxa"/>
            <w:vAlign w:val="bottom"/>
          </w:tcPr>
          <w:p w14:paraId="7CED7932" w14:textId="77777777" w:rsidR="00FE5C6E" w:rsidRPr="00EC06B0" w:rsidRDefault="00FE5C6E" w:rsidP="0069049A">
            <w:pPr>
              <w:ind w:left="-108" w:right="-86"/>
              <w:rPr>
                <w:i/>
                <w:lang w:val="vi-VN"/>
              </w:rPr>
            </w:pPr>
          </w:p>
        </w:tc>
        <w:tc>
          <w:tcPr>
            <w:tcW w:w="2471" w:type="dxa"/>
            <w:vAlign w:val="bottom"/>
          </w:tcPr>
          <w:p w14:paraId="3D4F5E03" w14:textId="77777777" w:rsidR="00FE5C6E" w:rsidRPr="00EC06B0" w:rsidRDefault="00FE5C6E" w:rsidP="0069049A">
            <w:pPr>
              <w:ind w:right="-86"/>
              <w:rPr>
                <w:i/>
                <w:lang w:val="vi-VN"/>
              </w:rPr>
            </w:pPr>
          </w:p>
        </w:tc>
        <w:tc>
          <w:tcPr>
            <w:tcW w:w="8785" w:type="dxa"/>
            <w:gridSpan w:val="4"/>
          </w:tcPr>
          <w:p w14:paraId="28D673D4" w14:textId="3662A2FC" w:rsidR="00FE5C6E" w:rsidRDefault="00912D95" w:rsidP="0069049A">
            <w:pPr>
              <w:ind w:right="-86"/>
              <w:jc w:val="center"/>
              <w:rPr>
                <w:i/>
              </w:rPr>
            </w:pPr>
            <w:r>
              <w:rPr>
                <w:i/>
              </w:rPr>
              <w:t>Receivables</w:t>
            </w:r>
            <w:r w:rsidR="00FE5C6E">
              <w:rPr>
                <w:i/>
              </w:rPr>
              <w:t>/(</w:t>
            </w:r>
            <w:r>
              <w:rPr>
                <w:i/>
              </w:rPr>
              <w:t>Payables</w:t>
            </w:r>
            <w:r w:rsidR="00FE5C6E">
              <w:rPr>
                <w:i/>
              </w:rPr>
              <w:t>)</w:t>
            </w:r>
          </w:p>
        </w:tc>
      </w:tr>
      <w:tr w:rsidR="00FE5C6E" w:rsidRPr="00EC06B0" w14:paraId="715B30B3" w14:textId="77777777" w:rsidTr="0069049A">
        <w:tc>
          <w:tcPr>
            <w:tcW w:w="2012" w:type="dxa"/>
            <w:vAlign w:val="bottom"/>
          </w:tcPr>
          <w:p w14:paraId="49ED766E" w14:textId="549BB261" w:rsidR="00FE5C6E" w:rsidRPr="00912D95" w:rsidRDefault="00912D95" w:rsidP="0069049A">
            <w:pPr>
              <w:pBdr>
                <w:bottom w:val="single" w:sz="4" w:space="1" w:color="auto"/>
              </w:pBdr>
              <w:ind w:left="-108" w:right="-86"/>
              <w:rPr>
                <w:i/>
                <w:u w:val="single"/>
              </w:rPr>
            </w:pPr>
            <w:r>
              <w:rPr>
                <w:i/>
              </w:rPr>
              <w:t>Related parties</w:t>
            </w:r>
          </w:p>
        </w:tc>
        <w:tc>
          <w:tcPr>
            <w:tcW w:w="2471" w:type="dxa"/>
            <w:vAlign w:val="bottom"/>
          </w:tcPr>
          <w:p w14:paraId="35E52CAF" w14:textId="77777777" w:rsidR="00FE5C6E" w:rsidRPr="00EC06B0" w:rsidRDefault="00FE5C6E" w:rsidP="0069049A">
            <w:pPr>
              <w:pBdr>
                <w:bottom w:val="single" w:sz="4" w:space="1" w:color="auto"/>
              </w:pBdr>
              <w:ind w:right="-86"/>
              <w:rPr>
                <w:i/>
                <w:u w:val="single"/>
                <w:lang w:val="vi-VN"/>
              </w:rPr>
            </w:pPr>
            <w:r w:rsidRPr="00EC06B0">
              <w:rPr>
                <w:i/>
                <w:lang w:val="vi-VN"/>
              </w:rPr>
              <w:t>Nội dung nghiệp vụ</w:t>
            </w:r>
          </w:p>
        </w:tc>
        <w:tc>
          <w:tcPr>
            <w:tcW w:w="1922" w:type="dxa"/>
            <w:vAlign w:val="bottom"/>
          </w:tcPr>
          <w:p w14:paraId="33EFFD6E" w14:textId="05FADCAB" w:rsidR="00FE5C6E" w:rsidRDefault="00F11305" w:rsidP="0069049A">
            <w:pPr>
              <w:pBdr>
                <w:bottom w:val="single" w:sz="4" w:space="1" w:color="auto"/>
              </w:pBdr>
              <w:ind w:right="-86"/>
              <w:jc w:val="right"/>
              <w:rPr>
                <w:i/>
              </w:rPr>
            </w:pPr>
            <w:r>
              <w:rPr>
                <w:i/>
              </w:rPr>
              <w:t>Opening Balance</w:t>
            </w:r>
          </w:p>
          <w:p w14:paraId="18DA4638" w14:textId="77777777" w:rsidR="00FE5C6E" w:rsidRPr="001F7624" w:rsidRDefault="00FE5C6E" w:rsidP="0069049A">
            <w:pPr>
              <w:pBdr>
                <w:bottom w:val="single" w:sz="4" w:space="1" w:color="auto"/>
              </w:pBdr>
              <w:ind w:right="-86"/>
              <w:jc w:val="right"/>
              <w:rPr>
                <w:i/>
                <w:u w:val="single"/>
              </w:rPr>
            </w:pPr>
            <w:r>
              <w:rPr>
                <w:i/>
              </w:rPr>
              <w:t>VND</w:t>
            </w:r>
          </w:p>
        </w:tc>
        <w:tc>
          <w:tcPr>
            <w:tcW w:w="2196" w:type="dxa"/>
          </w:tcPr>
          <w:p w14:paraId="08C4A358" w14:textId="5EC6F81D" w:rsidR="00FE5C6E" w:rsidRDefault="00F11305" w:rsidP="0069049A">
            <w:pPr>
              <w:pBdr>
                <w:bottom w:val="single" w:sz="4" w:space="1" w:color="auto"/>
              </w:pBdr>
              <w:ind w:right="-86"/>
              <w:jc w:val="right"/>
              <w:rPr>
                <w:i/>
              </w:rPr>
            </w:pPr>
            <w:r>
              <w:rPr>
                <w:i/>
              </w:rPr>
              <w:t>Increase</w:t>
            </w:r>
          </w:p>
          <w:p w14:paraId="7ABB2801" w14:textId="77777777" w:rsidR="00FE5C6E" w:rsidRDefault="00FE5C6E" w:rsidP="0069049A">
            <w:pPr>
              <w:pBdr>
                <w:bottom w:val="single" w:sz="4" w:space="1" w:color="auto"/>
              </w:pBdr>
              <w:ind w:right="-86"/>
              <w:jc w:val="right"/>
              <w:rPr>
                <w:i/>
              </w:rPr>
            </w:pPr>
            <w:r>
              <w:rPr>
                <w:i/>
              </w:rPr>
              <w:t>VND</w:t>
            </w:r>
          </w:p>
        </w:tc>
        <w:tc>
          <w:tcPr>
            <w:tcW w:w="2379" w:type="dxa"/>
          </w:tcPr>
          <w:p w14:paraId="78FAA1AD" w14:textId="188F0C7C" w:rsidR="00FE5C6E" w:rsidRDefault="00F11305" w:rsidP="0069049A">
            <w:pPr>
              <w:pBdr>
                <w:bottom w:val="single" w:sz="4" w:space="1" w:color="auto"/>
              </w:pBdr>
              <w:ind w:right="-86"/>
              <w:jc w:val="right"/>
              <w:rPr>
                <w:i/>
              </w:rPr>
            </w:pPr>
            <w:r>
              <w:rPr>
                <w:i/>
              </w:rPr>
              <w:t>Decrease</w:t>
            </w:r>
          </w:p>
          <w:p w14:paraId="421958AB" w14:textId="77777777" w:rsidR="00FE5C6E" w:rsidRDefault="00FE5C6E" w:rsidP="0069049A">
            <w:pPr>
              <w:pBdr>
                <w:bottom w:val="single" w:sz="4" w:space="1" w:color="auto"/>
              </w:pBdr>
              <w:ind w:right="-86"/>
              <w:jc w:val="right"/>
              <w:rPr>
                <w:i/>
              </w:rPr>
            </w:pPr>
            <w:r>
              <w:rPr>
                <w:i/>
              </w:rPr>
              <w:t>VND</w:t>
            </w:r>
          </w:p>
        </w:tc>
        <w:tc>
          <w:tcPr>
            <w:tcW w:w="2288" w:type="dxa"/>
            <w:vAlign w:val="bottom"/>
          </w:tcPr>
          <w:p w14:paraId="616B6479" w14:textId="02E73142" w:rsidR="00FE5C6E" w:rsidRDefault="00F11305" w:rsidP="0069049A">
            <w:pPr>
              <w:pBdr>
                <w:bottom w:val="single" w:sz="4" w:space="1" w:color="auto"/>
              </w:pBdr>
              <w:ind w:right="-86"/>
              <w:jc w:val="right"/>
              <w:rPr>
                <w:i/>
              </w:rPr>
            </w:pPr>
            <w:r>
              <w:rPr>
                <w:i/>
              </w:rPr>
              <w:t>Closing Balance</w:t>
            </w:r>
          </w:p>
          <w:p w14:paraId="6FFA5351" w14:textId="77777777" w:rsidR="00FE5C6E" w:rsidRPr="001F7624" w:rsidRDefault="00FE5C6E" w:rsidP="0069049A">
            <w:pPr>
              <w:pBdr>
                <w:bottom w:val="single" w:sz="4" w:space="1" w:color="auto"/>
              </w:pBdr>
              <w:ind w:right="-86"/>
              <w:jc w:val="right"/>
              <w:rPr>
                <w:i/>
              </w:rPr>
            </w:pPr>
            <w:r>
              <w:rPr>
                <w:i/>
              </w:rPr>
              <w:t>VND</w:t>
            </w:r>
          </w:p>
        </w:tc>
      </w:tr>
      <w:tr w:rsidR="00FE5C6E" w:rsidRPr="00EC06B0" w14:paraId="3C404748" w14:textId="77777777" w:rsidTr="0069049A">
        <w:tc>
          <w:tcPr>
            <w:tcW w:w="2012" w:type="dxa"/>
          </w:tcPr>
          <w:p w14:paraId="526840FB" w14:textId="77777777" w:rsidR="00FE5C6E" w:rsidRPr="0026637B" w:rsidRDefault="00FE5C6E" w:rsidP="0069049A">
            <w:pPr>
              <w:ind w:left="-108" w:right="-86"/>
              <w:rPr>
                <w:bCs/>
                <w:sz w:val="12"/>
                <w:szCs w:val="12"/>
                <w:lang w:val="vi-VN"/>
              </w:rPr>
            </w:pPr>
          </w:p>
        </w:tc>
        <w:tc>
          <w:tcPr>
            <w:tcW w:w="2471" w:type="dxa"/>
          </w:tcPr>
          <w:p w14:paraId="0491C410" w14:textId="77777777" w:rsidR="00FE5C6E" w:rsidRPr="0026637B" w:rsidRDefault="00FE5C6E" w:rsidP="0069049A">
            <w:pPr>
              <w:ind w:right="-86"/>
              <w:rPr>
                <w:bCs/>
                <w:sz w:val="12"/>
                <w:szCs w:val="12"/>
                <w:lang w:val="vi-VN"/>
              </w:rPr>
            </w:pPr>
          </w:p>
        </w:tc>
        <w:tc>
          <w:tcPr>
            <w:tcW w:w="1922" w:type="dxa"/>
          </w:tcPr>
          <w:p w14:paraId="671B5C59" w14:textId="77777777" w:rsidR="00FE5C6E" w:rsidRPr="0026637B" w:rsidRDefault="00FE5C6E" w:rsidP="0069049A">
            <w:pPr>
              <w:ind w:right="-86"/>
              <w:jc w:val="right"/>
              <w:rPr>
                <w:bCs/>
                <w:sz w:val="12"/>
                <w:szCs w:val="12"/>
                <w:lang w:val="vi-VN"/>
              </w:rPr>
            </w:pPr>
          </w:p>
        </w:tc>
        <w:tc>
          <w:tcPr>
            <w:tcW w:w="2196" w:type="dxa"/>
          </w:tcPr>
          <w:p w14:paraId="1FB2A790" w14:textId="77777777" w:rsidR="00FE5C6E" w:rsidRPr="0026637B" w:rsidRDefault="00FE5C6E" w:rsidP="0069049A">
            <w:pPr>
              <w:ind w:right="-86"/>
              <w:jc w:val="right"/>
              <w:rPr>
                <w:bCs/>
                <w:sz w:val="12"/>
                <w:szCs w:val="12"/>
                <w:lang w:val="vi-VN"/>
              </w:rPr>
            </w:pPr>
          </w:p>
        </w:tc>
        <w:tc>
          <w:tcPr>
            <w:tcW w:w="2379" w:type="dxa"/>
          </w:tcPr>
          <w:p w14:paraId="23D30200" w14:textId="77777777" w:rsidR="00FE5C6E" w:rsidRPr="0026637B" w:rsidRDefault="00FE5C6E" w:rsidP="0069049A">
            <w:pPr>
              <w:ind w:right="-86"/>
              <w:jc w:val="right"/>
              <w:rPr>
                <w:bCs/>
                <w:sz w:val="12"/>
                <w:szCs w:val="12"/>
                <w:lang w:val="vi-VN"/>
              </w:rPr>
            </w:pPr>
          </w:p>
        </w:tc>
        <w:tc>
          <w:tcPr>
            <w:tcW w:w="2288" w:type="dxa"/>
          </w:tcPr>
          <w:p w14:paraId="710086CD" w14:textId="77777777" w:rsidR="00FE5C6E" w:rsidRPr="0026637B" w:rsidRDefault="00FE5C6E" w:rsidP="0069049A">
            <w:pPr>
              <w:ind w:right="-86"/>
              <w:jc w:val="right"/>
              <w:rPr>
                <w:bCs/>
                <w:sz w:val="12"/>
                <w:szCs w:val="12"/>
                <w:lang w:val="vi-VN"/>
              </w:rPr>
            </w:pPr>
          </w:p>
        </w:tc>
      </w:tr>
      <w:tr w:rsidR="00FE5C6E" w:rsidRPr="00EC06B0" w14:paraId="5BBFF5D1" w14:textId="77777777" w:rsidTr="007E3D7C">
        <w:tc>
          <w:tcPr>
            <w:tcW w:w="2012" w:type="dxa"/>
          </w:tcPr>
          <w:p w14:paraId="08FB62B6" w14:textId="77777777" w:rsidR="00FE5C6E" w:rsidRPr="000320AE" w:rsidRDefault="00FE5C6E" w:rsidP="0069049A">
            <w:pPr>
              <w:ind w:left="-108" w:right="-86"/>
              <w:rPr>
                <w:bCs/>
                <w:sz w:val="12"/>
                <w:szCs w:val="12"/>
                <w:lang w:val="vi-VN"/>
              </w:rPr>
            </w:pPr>
            <w:r w:rsidRPr="00074A90">
              <w:rPr>
                <w:rFonts w:eastAsia="Batang" w:cs="Arial"/>
                <w:color w:val="000000"/>
                <w:lang w:eastAsia="ko-KR"/>
              </w:rPr>
              <w:t>NH Investment &amp; Securities Co., Ltd</w:t>
            </w:r>
          </w:p>
        </w:tc>
        <w:tc>
          <w:tcPr>
            <w:tcW w:w="2471" w:type="dxa"/>
          </w:tcPr>
          <w:p w14:paraId="2F069385" w14:textId="5071F9C0" w:rsidR="00FE5C6E" w:rsidRPr="000320AE" w:rsidRDefault="00912D95" w:rsidP="0069049A">
            <w:pPr>
              <w:ind w:right="-86"/>
              <w:rPr>
                <w:bCs/>
                <w:sz w:val="12"/>
                <w:szCs w:val="12"/>
                <w:lang w:val="vi-VN"/>
              </w:rPr>
            </w:pPr>
            <w:r w:rsidRPr="005A3C14">
              <w:rPr>
                <w:rFonts w:cs="Arial"/>
              </w:rPr>
              <w:t>Receivables from services provided by the Company</w:t>
            </w:r>
          </w:p>
        </w:tc>
        <w:tc>
          <w:tcPr>
            <w:tcW w:w="1922" w:type="dxa"/>
            <w:vAlign w:val="bottom"/>
          </w:tcPr>
          <w:p w14:paraId="2A562006" w14:textId="36E78F98" w:rsidR="00FE5C6E" w:rsidRPr="000320AE" w:rsidRDefault="00FE5C6E" w:rsidP="007E3D7C">
            <w:pPr>
              <w:ind w:right="-86"/>
              <w:jc w:val="right"/>
              <w:rPr>
                <w:bCs/>
                <w:sz w:val="12"/>
                <w:szCs w:val="12"/>
                <w:lang w:val="vi-VN"/>
              </w:rPr>
            </w:pPr>
            <w:r w:rsidRPr="003F56D5">
              <w:rPr>
                <w:rFonts w:eastAsia="Batang" w:cs="Arial"/>
                <w:color w:val="000000"/>
                <w:lang w:eastAsia="ko-KR"/>
              </w:rPr>
              <w:t>584</w:t>
            </w:r>
            <w:r w:rsidR="00191DF5">
              <w:rPr>
                <w:rFonts w:eastAsia="Batang" w:cs="Arial"/>
                <w:color w:val="000000"/>
                <w:lang w:eastAsia="ko-KR"/>
              </w:rPr>
              <w:t>,</w:t>
            </w:r>
            <w:r w:rsidRPr="003F56D5">
              <w:rPr>
                <w:rFonts w:eastAsia="Batang" w:cs="Arial"/>
                <w:color w:val="000000"/>
                <w:lang w:eastAsia="ko-KR"/>
              </w:rPr>
              <w:t>338</w:t>
            </w:r>
          </w:p>
        </w:tc>
        <w:tc>
          <w:tcPr>
            <w:tcW w:w="2196" w:type="dxa"/>
            <w:shd w:val="clear" w:color="auto" w:fill="auto"/>
            <w:vAlign w:val="bottom"/>
          </w:tcPr>
          <w:p w14:paraId="45173D54" w14:textId="27D9F2EB" w:rsidR="00FE5C6E" w:rsidRPr="00EC06B0" w:rsidRDefault="00FE5C6E" w:rsidP="007E3D7C">
            <w:pPr>
              <w:ind w:right="-86"/>
              <w:jc w:val="right"/>
              <w:rPr>
                <w:bCs/>
              </w:rPr>
            </w:pPr>
            <w:r>
              <w:rPr>
                <w:bCs/>
              </w:rPr>
              <w:t>179</w:t>
            </w:r>
            <w:r w:rsidR="00191DF5">
              <w:rPr>
                <w:bCs/>
              </w:rPr>
              <w:t>,</w:t>
            </w:r>
            <w:r>
              <w:rPr>
                <w:bCs/>
              </w:rPr>
              <w:t>625</w:t>
            </w:r>
            <w:r w:rsidR="00191DF5">
              <w:rPr>
                <w:bCs/>
              </w:rPr>
              <w:t>,</w:t>
            </w:r>
            <w:r>
              <w:rPr>
                <w:bCs/>
              </w:rPr>
              <w:t>963</w:t>
            </w:r>
          </w:p>
        </w:tc>
        <w:tc>
          <w:tcPr>
            <w:tcW w:w="2379" w:type="dxa"/>
            <w:shd w:val="clear" w:color="auto" w:fill="auto"/>
            <w:vAlign w:val="bottom"/>
          </w:tcPr>
          <w:p w14:paraId="27988D5E" w14:textId="6867A0DA" w:rsidR="00FE5C6E" w:rsidRPr="00EC06B0" w:rsidRDefault="00FE5C6E" w:rsidP="007E3D7C">
            <w:pPr>
              <w:ind w:right="-86"/>
              <w:jc w:val="right"/>
              <w:rPr>
                <w:bCs/>
              </w:rPr>
            </w:pPr>
            <w:r>
              <w:rPr>
                <w:bCs/>
              </w:rPr>
              <w:t>(179</w:t>
            </w:r>
            <w:r w:rsidR="00191DF5">
              <w:rPr>
                <w:bCs/>
              </w:rPr>
              <w:t>,</w:t>
            </w:r>
            <w:r>
              <w:rPr>
                <w:bCs/>
              </w:rPr>
              <w:t>999</w:t>
            </w:r>
            <w:r w:rsidR="00191DF5">
              <w:rPr>
                <w:bCs/>
              </w:rPr>
              <w:t>,</w:t>
            </w:r>
            <w:r>
              <w:rPr>
                <w:bCs/>
              </w:rPr>
              <w:t>762)</w:t>
            </w:r>
          </w:p>
        </w:tc>
        <w:tc>
          <w:tcPr>
            <w:tcW w:w="2288" w:type="dxa"/>
            <w:vAlign w:val="bottom"/>
          </w:tcPr>
          <w:p w14:paraId="22741E6D" w14:textId="1819CD33" w:rsidR="00FE5C6E" w:rsidRPr="000320AE" w:rsidRDefault="00FE5C6E" w:rsidP="007E3D7C">
            <w:pPr>
              <w:ind w:right="-86"/>
              <w:jc w:val="right"/>
              <w:rPr>
                <w:bCs/>
                <w:sz w:val="12"/>
                <w:szCs w:val="12"/>
                <w:lang w:val="vi-VN"/>
              </w:rPr>
            </w:pPr>
            <w:r>
              <w:rPr>
                <w:rFonts w:eastAsia="Batang" w:cs="Arial"/>
                <w:color w:val="000000"/>
                <w:lang w:eastAsia="ko-KR"/>
              </w:rPr>
              <w:t>210</w:t>
            </w:r>
            <w:r w:rsidR="00191DF5">
              <w:rPr>
                <w:rFonts w:eastAsia="Batang" w:cs="Arial"/>
                <w:color w:val="000000"/>
                <w:lang w:eastAsia="ko-KR"/>
              </w:rPr>
              <w:t>,</w:t>
            </w:r>
            <w:r>
              <w:rPr>
                <w:rFonts w:eastAsia="Batang" w:cs="Arial"/>
                <w:color w:val="000000"/>
                <w:lang w:eastAsia="ko-KR"/>
              </w:rPr>
              <w:t>539</w:t>
            </w:r>
          </w:p>
        </w:tc>
      </w:tr>
      <w:tr w:rsidR="00FE5C6E" w:rsidRPr="00EC06B0" w14:paraId="1A19496A" w14:textId="77777777" w:rsidTr="007E3D7C">
        <w:tc>
          <w:tcPr>
            <w:tcW w:w="2012" w:type="dxa"/>
          </w:tcPr>
          <w:p w14:paraId="6E4631EF" w14:textId="77777777" w:rsidR="00FE5C6E" w:rsidRPr="0026637B" w:rsidRDefault="00FE5C6E" w:rsidP="0069049A">
            <w:pPr>
              <w:ind w:left="-86" w:right="-86"/>
              <w:rPr>
                <w:sz w:val="12"/>
                <w:szCs w:val="12"/>
                <w:lang w:val="vi-VN"/>
              </w:rPr>
            </w:pPr>
          </w:p>
        </w:tc>
        <w:tc>
          <w:tcPr>
            <w:tcW w:w="2471" w:type="dxa"/>
          </w:tcPr>
          <w:p w14:paraId="15F683F4" w14:textId="77777777" w:rsidR="00FE5C6E" w:rsidRPr="0026637B" w:rsidRDefault="00FE5C6E" w:rsidP="0069049A">
            <w:pPr>
              <w:ind w:right="-86"/>
              <w:rPr>
                <w:bCs/>
                <w:sz w:val="12"/>
                <w:szCs w:val="12"/>
                <w:lang w:val="vi-VN"/>
              </w:rPr>
            </w:pPr>
          </w:p>
        </w:tc>
        <w:tc>
          <w:tcPr>
            <w:tcW w:w="1922" w:type="dxa"/>
            <w:shd w:val="clear" w:color="auto" w:fill="auto"/>
            <w:vAlign w:val="bottom"/>
          </w:tcPr>
          <w:p w14:paraId="2D30F14C" w14:textId="77777777" w:rsidR="00FE5C6E" w:rsidRPr="0026637B" w:rsidRDefault="00FE5C6E" w:rsidP="007E3D7C">
            <w:pPr>
              <w:ind w:right="-86"/>
              <w:jc w:val="right"/>
              <w:rPr>
                <w:bCs/>
                <w:sz w:val="12"/>
                <w:szCs w:val="12"/>
                <w:lang w:val="vi-VN"/>
              </w:rPr>
            </w:pPr>
          </w:p>
        </w:tc>
        <w:tc>
          <w:tcPr>
            <w:tcW w:w="2196" w:type="dxa"/>
            <w:vAlign w:val="bottom"/>
          </w:tcPr>
          <w:p w14:paraId="49A5B94A" w14:textId="77777777" w:rsidR="00FE5C6E" w:rsidRPr="0026637B" w:rsidRDefault="00FE5C6E" w:rsidP="007E3D7C">
            <w:pPr>
              <w:ind w:right="-86"/>
              <w:jc w:val="right"/>
              <w:rPr>
                <w:bCs/>
                <w:sz w:val="12"/>
                <w:szCs w:val="12"/>
                <w:lang w:val="vi-VN"/>
              </w:rPr>
            </w:pPr>
          </w:p>
        </w:tc>
        <w:tc>
          <w:tcPr>
            <w:tcW w:w="2379" w:type="dxa"/>
            <w:vAlign w:val="bottom"/>
          </w:tcPr>
          <w:p w14:paraId="75C22D10" w14:textId="77777777" w:rsidR="00FE5C6E" w:rsidRPr="0026637B" w:rsidRDefault="00FE5C6E" w:rsidP="007E3D7C">
            <w:pPr>
              <w:ind w:right="-86"/>
              <w:jc w:val="right"/>
              <w:rPr>
                <w:bCs/>
                <w:sz w:val="12"/>
                <w:szCs w:val="12"/>
                <w:lang w:val="vi-VN"/>
              </w:rPr>
            </w:pPr>
          </w:p>
        </w:tc>
        <w:tc>
          <w:tcPr>
            <w:tcW w:w="2288" w:type="dxa"/>
            <w:shd w:val="clear" w:color="auto" w:fill="auto"/>
            <w:vAlign w:val="bottom"/>
          </w:tcPr>
          <w:p w14:paraId="3547AF35" w14:textId="77777777" w:rsidR="00FE5C6E" w:rsidRPr="0026637B" w:rsidRDefault="00FE5C6E" w:rsidP="007E3D7C">
            <w:pPr>
              <w:ind w:right="-86"/>
              <w:jc w:val="right"/>
              <w:rPr>
                <w:bCs/>
                <w:sz w:val="12"/>
                <w:szCs w:val="12"/>
                <w:lang w:val="vi-VN"/>
              </w:rPr>
            </w:pPr>
          </w:p>
        </w:tc>
      </w:tr>
      <w:tr w:rsidR="00FE5C6E" w:rsidRPr="00EC06B0" w14:paraId="4927DE99" w14:textId="77777777" w:rsidTr="007E3D7C">
        <w:tc>
          <w:tcPr>
            <w:tcW w:w="2012" w:type="dxa"/>
            <w:vMerge w:val="restart"/>
          </w:tcPr>
          <w:p w14:paraId="57223415" w14:textId="300D60F4" w:rsidR="00FE5C6E" w:rsidRPr="00EC06B0" w:rsidRDefault="00FE5C6E" w:rsidP="0069049A">
            <w:pPr>
              <w:ind w:left="-108" w:right="-86"/>
              <w:rPr>
                <w:lang w:val="vi-VN"/>
              </w:rPr>
            </w:pPr>
            <w:proofErr w:type="spellStart"/>
            <w:r>
              <w:rPr>
                <w:rFonts w:eastAsia="Batang" w:cs="Arial"/>
                <w:color w:val="000000"/>
                <w:lang w:eastAsia="ko-KR"/>
              </w:rPr>
              <w:t>Nonghyup</w:t>
            </w:r>
            <w:proofErr w:type="spellEnd"/>
            <w:r w:rsidR="00912D95">
              <w:rPr>
                <w:rFonts w:eastAsia="Batang" w:cs="Arial"/>
                <w:color w:val="000000"/>
                <w:lang w:eastAsia="ko-KR"/>
              </w:rPr>
              <w:t xml:space="preserve"> Bank</w:t>
            </w:r>
          </w:p>
        </w:tc>
        <w:tc>
          <w:tcPr>
            <w:tcW w:w="2471" w:type="dxa"/>
          </w:tcPr>
          <w:p w14:paraId="5634FBE5" w14:textId="6F539DDE" w:rsidR="00FE5C6E" w:rsidRPr="00EC06B0" w:rsidRDefault="00912D95" w:rsidP="0069049A">
            <w:pPr>
              <w:ind w:right="-86"/>
              <w:rPr>
                <w:bCs/>
                <w:lang w:val="vi-VN"/>
              </w:rPr>
            </w:pPr>
            <w:r w:rsidRPr="00633724">
              <w:rPr>
                <w:rFonts w:cs="Arial"/>
              </w:rPr>
              <w:t>Short-term borrowings</w:t>
            </w:r>
          </w:p>
        </w:tc>
        <w:tc>
          <w:tcPr>
            <w:tcW w:w="1922" w:type="dxa"/>
            <w:shd w:val="clear" w:color="auto" w:fill="auto"/>
            <w:vAlign w:val="bottom"/>
          </w:tcPr>
          <w:p w14:paraId="49B05A1B" w14:textId="3B607F74" w:rsidR="00FE5C6E" w:rsidRPr="00EC06B0" w:rsidRDefault="00FE5C6E" w:rsidP="007E3D7C">
            <w:pPr>
              <w:ind w:right="-86"/>
              <w:jc w:val="right"/>
              <w:rPr>
                <w:bCs/>
                <w:lang w:val="vi-VN"/>
              </w:rPr>
            </w:pPr>
            <w:r w:rsidRPr="003F56D5">
              <w:rPr>
                <w:rFonts w:eastAsia="Batang" w:cs="Arial"/>
                <w:color w:val="000000"/>
                <w:lang w:eastAsia="ko-KR"/>
              </w:rPr>
              <w:t>(689</w:t>
            </w:r>
            <w:r w:rsidR="00191DF5">
              <w:rPr>
                <w:rFonts w:eastAsia="Batang" w:cs="Arial"/>
                <w:color w:val="000000"/>
                <w:lang w:eastAsia="ko-KR"/>
              </w:rPr>
              <w:t>,</w:t>
            </w:r>
            <w:r w:rsidRPr="003F56D5">
              <w:rPr>
                <w:rFonts w:eastAsia="Batang" w:cs="Arial"/>
                <w:color w:val="000000"/>
                <w:lang w:eastAsia="ko-KR"/>
              </w:rPr>
              <w:t>400</w:t>
            </w:r>
            <w:r w:rsidR="00191DF5">
              <w:rPr>
                <w:rFonts w:eastAsia="Batang" w:cs="Arial"/>
                <w:color w:val="000000"/>
                <w:lang w:eastAsia="ko-KR"/>
              </w:rPr>
              <w:t>,</w:t>
            </w:r>
            <w:r w:rsidRPr="003F56D5">
              <w:rPr>
                <w:rFonts w:eastAsia="Batang" w:cs="Arial"/>
                <w:color w:val="000000"/>
                <w:lang w:eastAsia="ko-KR"/>
              </w:rPr>
              <w:t>000</w:t>
            </w:r>
            <w:r w:rsidR="00191DF5">
              <w:rPr>
                <w:rFonts w:eastAsia="Batang" w:cs="Arial"/>
                <w:color w:val="000000"/>
                <w:lang w:eastAsia="ko-KR"/>
              </w:rPr>
              <w:t>,</w:t>
            </w:r>
            <w:r w:rsidRPr="003F56D5">
              <w:rPr>
                <w:rFonts w:eastAsia="Batang" w:cs="Arial"/>
                <w:color w:val="000000"/>
                <w:lang w:eastAsia="ko-KR"/>
              </w:rPr>
              <w:t>000)</w:t>
            </w:r>
          </w:p>
        </w:tc>
        <w:tc>
          <w:tcPr>
            <w:tcW w:w="2196" w:type="dxa"/>
            <w:vAlign w:val="bottom"/>
          </w:tcPr>
          <w:p w14:paraId="0D7D9674" w14:textId="0C42A5AD" w:rsidR="00FE5C6E" w:rsidRPr="00051997" w:rsidRDefault="00FE5C6E" w:rsidP="007E3D7C">
            <w:pPr>
              <w:ind w:right="-86"/>
              <w:jc w:val="right"/>
              <w:rPr>
                <w:bCs/>
              </w:rPr>
            </w:pPr>
            <w:r>
              <w:rPr>
                <w:bCs/>
              </w:rPr>
              <w:t>689</w:t>
            </w:r>
            <w:r w:rsidR="00191DF5">
              <w:rPr>
                <w:bCs/>
              </w:rPr>
              <w:t>,</w:t>
            </w:r>
            <w:r>
              <w:rPr>
                <w:bCs/>
              </w:rPr>
              <w:t>400</w:t>
            </w:r>
            <w:r w:rsidR="00191DF5">
              <w:rPr>
                <w:bCs/>
              </w:rPr>
              <w:t>,</w:t>
            </w:r>
            <w:r>
              <w:rPr>
                <w:bCs/>
              </w:rPr>
              <w:t>000</w:t>
            </w:r>
            <w:r w:rsidR="00191DF5">
              <w:rPr>
                <w:bCs/>
              </w:rPr>
              <w:t>,</w:t>
            </w:r>
            <w:r>
              <w:rPr>
                <w:bCs/>
              </w:rPr>
              <w:t>000</w:t>
            </w:r>
          </w:p>
        </w:tc>
        <w:tc>
          <w:tcPr>
            <w:tcW w:w="2379" w:type="dxa"/>
            <w:vAlign w:val="bottom"/>
          </w:tcPr>
          <w:p w14:paraId="26018F0C" w14:textId="16C832A1" w:rsidR="00FE5C6E" w:rsidRPr="00212201" w:rsidRDefault="00FE5C6E" w:rsidP="007E3D7C">
            <w:pPr>
              <w:ind w:right="-86"/>
              <w:jc w:val="right"/>
              <w:rPr>
                <w:bCs/>
              </w:rPr>
            </w:pPr>
            <w:r w:rsidRPr="003F56D5">
              <w:rPr>
                <w:rFonts w:eastAsia="Batang" w:cs="Arial"/>
                <w:color w:val="000000"/>
                <w:lang w:eastAsia="ko-KR"/>
              </w:rPr>
              <w:t>(</w:t>
            </w:r>
            <w:r>
              <w:rPr>
                <w:rFonts w:eastAsia="Batang" w:cs="Arial"/>
                <w:color w:val="000000"/>
                <w:lang w:eastAsia="ko-KR"/>
              </w:rPr>
              <w:t>700</w:t>
            </w:r>
            <w:r w:rsidR="00191DF5">
              <w:rPr>
                <w:rFonts w:eastAsia="Batang" w:cs="Arial"/>
                <w:color w:val="000000"/>
                <w:lang w:eastAsia="ko-KR"/>
              </w:rPr>
              <w:t>,</w:t>
            </w:r>
            <w:r>
              <w:rPr>
                <w:rFonts w:eastAsia="Batang" w:cs="Arial"/>
                <w:color w:val="000000"/>
                <w:lang w:eastAsia="ko-KR"/>
              </w:rPr>
              <w:t>500</w:t>
            </w:r>
            <w:r w:rsidR="00191DF5">
              <w:rPr>
                <w:rFonts w:eastAsia="Batang" w:cs="Arial"/>
                <w:color w:val="000000"/>
                <w:lang w:eastAsia="ko-KR"/>
              </w:rPr>
              <w:t>,</w:t>
            </w:r>
            <w:r>
              <w:rPr>
                <w:rFonts w:eastAsia="Batang" w:cs="Arial"/>
                <w:color w:val="000000"/>
                <w:lang w:eastAsia="ko-KR"/>
              </w:rPr>
              <w:t>000</w:t>
            </w:r>
            <w:r w:rsidR="00191DF5">
              <w:rPr>
                <w:rFonts w:eastAsia="Batang" w:cs="Arial"/>
                <w:color w:val="000000"/>
                <w:lang w:eastAsia="ko-KR"/>
              </w:rPr>
              <w:t>,</w:t>
            </w:r>
            <w:r>
              <w:rPr>
                <w:rFonts w:eastAsia="Batang" w:cs="Arial"/>
                <w:color w:val="000000"/>
                <w:lang w:eastAsia="ko-KR"/>
              </w:rPr>
              <w:t>000</w:t>
            </w:r>
            <w:r w:rsidRPr="003F56D5">
              <w:rPr>
                <w:rFonts w:eastAsia="Batang" w:cs="Arial"/>
                <w:color w:val="000000"/>
                <w:lang w:eastAsia="ko-KR"/>
              </w:rPr>
              <w:t>)</w:t>
            </w:r>
          </w:p>
        </w:tc>
        <w:tc>
          <w:tcPr>
            <w:tcW w:w="2288" w:type="dxa"/>
            <w:shd w:val="clear" w:color="auto" w:fill="auto"/>
            <w:vAlign w:val="bottom"/>
          </w:tcPr>
          <w:p w14:paraId="24D98DF6" w14:textId="2A51D22F" w:rsidR="00FE5C6E" w:rsidRPr="00EC06B0" w:rsidRDefault="00FE5C6E" w:rsidP="007E3D7C">
            <w:pPr>
              <w:ind w:right="-86"/>
              <w:jc w:val="right"/>
              <w:rPr>
                <w:bCs/>
                <w:lang w:val="vi-VN"/>
              </w:rPr>
            </w:pPr>
            <w:r w:rsidRPr="003F56D5">
              <w:rPr>
                <w:rFonts w:eastAsia="Batang" w:cs="Arial"/>
                <w:color w:val="000000"/>
                <w:lang w:eastAsia="ko-KR"/>
              </w:rPr>
              <w:t>(</w:t>
            </w:r>
            <w:r>
              <w:rPr>
                <w:rFonts w:eastAsia="Batang" w:cs="Arial"/>
                <w:color w:val="000000"/>
                <w:lang w:eastAsia="ko-KR"/>
              </w:rPr>
              <w:t>700</w:t>
            </w:r>
            <w:r w:rsidR="00191DF5">
              <w:rPr>
                <w:rFonts w:eastAsia="Batang" w:cs="Arial"/>
                <w:color w:val="000000"/>
                <w:lang w:eastAsia="ko-KR"/>
              </w:rPr>
              <w:t>,</w:t>
            </w:r>
            <w:r>
              <w:rPr>
                <w:rFonts w:eastAsia="Batang" w:cs="Arial"/>
                <w:color w:val="000000"/>
                <w:lang w:eastAsia="ko-KR"/>
              </w:rPr>
              <w:t>500</w:t>
            </w:r>
            <w:r w:rsidR="00191DF5">
              <w:rPr>
                <w:rFonts w:eastAsia="Batang" w:cs="Arial"/>
                <w:color w:val="000000"/>
                <w:lang w:eastAsia="ko-KR"/>
              </w:rPr>
              <w:t>,</w:t>
            </w:r>
            <w:r>
              <w:rPr>
                <w:rFonts w:eastAsia="Batang" w:cs="Arial"/>
                <w:color w:val="000000"/>
                <w:lang w:eastAsia="ko-KR"/>
              </w:rPr>
              <w:t>000</w:t>
            </w:r>
            <w:r w:rsidR="00191DF5">
              <w:rPr>
                <w:rFonts w:eastAsia="Batang" w:cs="Arial"/>
                <w:color w:val="000000"/>
                <w:lang w:eastAsia="ko-KR"/>
              </w:rPr>
              <w:t>,</w:t>
            </w:r>
            <w:r>
              <w:rPr>
                <w:rFonts w:eastAsia="Batang" w:cs="Arial"/>
                <w:color w:val="000000"/>
                <w:lang w:eastAsia="ko-KR"/>
              </w:rPr>
              <w:t>000</w:t>
            </w:r>
            <w:r w:rsidRPr="003F56D5">
              <w:rPr>
                <w:rFonts w:eastAsia="Batang" w:cs="Arial"/>
                <w:color w:val="000000"/>
                <w:lang w:eastAsia="ko-KR"/>
              </w:rPr>
              <w:t>)</w:t>
            </w:r>
          </w:p>
        </w:tc>
      </w:tr>
      <w:tr w:rsidR="00FE5C6E" w:rsidRPr="00EC06B0" w14:paraId="5D765FB2" w14:textId="77777777" w:rsidTr="007E3D7C">
        <w:tc>
          <w:tcPr>
            <w:tcW w:w="2012" w:type="dxa"/>
            <w:vMerge/>
          </w:tcPr>
          <w:p w14:paraId="19937152" w14:textId="77777777" w:rsidR="00FE5C6E" w:rsidRPr="00EC06B0" w:rsidRDefault="00FE5C6E" w:rsidP="0069049A">
            <w:pPr>
              <w:ind w:left="-108" w:right="-86"/>
              <w:rPr>
                <w:lang w:val="vi-VN"/>
              </w:rPr>
            </w:pPr>
          </w:p>
        </w:tc>
        <w:tc>
          <w:tcPr>
            <w:tcW w:w="2471" w:type="dxa"/>
          </w:tcPr>
          <w:p w14:paraId="486F132E" w14:textId="007D0307" w:rsidR="00FE5C6E" w:rsidRPr="00EC06B0" w:rsidRDefault="00912D95" w:rsidP="0069049A">
            <w:pPr>
              <w:ind w:right="-86"/>
              <w:rPr>
                <w:lang w:val="vi-VN"/>
              </w:rPr>
            </w:pPr>
            <w:r w:rsidRPr="001660DB">
              <w:rPr>
                <w:rFonts w:cs="Arial"/>
              </w:rPr>
              <w:t>Accrued interest expenses</w:t>
            </w:r>
          </w:p>
        </w:tc>
        <w:tc>
          <w:tcPr>
            <w:tcW w:w="1922" w:type="dxa"/>
            <w:shd w:val="clear" w:color="auto" w:fill="auto"/>
            <w:vAlign w:val="bottom"/>
          </w:tcPr>
          <w:p w14:paraId="683FB4FC" w14:textId="7B0E3941" w:rsidR="00FE5C6E" w:rsidRPr="006E64D0" w:rsidRDefault="00FE5C6E" w:rsidP="007E3D7C">
            <w:pPr>
              <w:ind w:right="-86"/>
              <w:jc w:val="right"/>
              <w:rPr>
                <w:bCs/>
              </w:rPr>
            </w:pPr>
            <w:r w:rsidRPr="003F56D5">
              <w:rPr>
                <w:rFonts w:eastAsia="Batang" w:cs="Arial"/>
                <w:color w:val="000000"/>
                <w:lang w:eastAsia="ko-KR"/>
              </w:rPr>
              <w:t>(</w:t>
            </w:r>
            <w:r>
              <w:rPr>
                <w:rFonts w:eastAsia="Batang" w:cs="Arial"/>
                <w:color w:val="000000"/>
                <w:lang w:eastAsia="ko-KR"/>
              </w:rPr>
              <w:t>3</w:t>
            </w:r>
            <w:r w:rsidR="00191DF5">
              <w:rPr>
                <w:rFonts w:eastAsia="Batang" w:cs="Arial"/>
                <w:color w:val="000000"/>
                <w:lang w:eastAsia="ko-KR"/>
              </w:rPr>
              <w:t>,</w:t>
            </w:r>
            <w:r>
              <w:rPr>
                <w:rFonts w:eastAsia="Batang" w:cs="Arial"/>
                <w:color w:val="000000"/>
                <w:lang w:eastAsia="ko-KR"/>
              </w:rPr>
              <w:t>505</w:t>
            </w:r>
            <w:r w:rsidR="00191DF5">
              <w:rPr>
                <w:rFonts w:eastAsia="Batang" w:cs="Arial"/>
                <w:color w:val="000000"/>
                <w:lang w:eastAsia="ko-KR"/>
              </w:rPr>
              <w:t>,</w:t>
            </w:r>
            <w:r>
              <w:rPr>
                <w:rFonts w:eastAsia="Batang" w:cs="Arial"/>
                <w:color w:val="000000"/>
                <w:lang w:eastAsia="ko-KR"/>
              </w:rPr>
              <w:t>551</w:t>
            </w:r>
            <w:r w:rsidR="00191DF5">
              <w:rPr>
                <w:rFonts w:eastAsia="Batang" w:cs="Arial"/>
                <w:color w:val="000000"/>
                <w:lang w:eastAsia="ko-KR"/>
              </w:rPr>
              <w:t>,</w:t>
            </w:r>
            <w:r>
              <w:rPr>
                <w:rFonts w:eastAsia="Batang" w:cs="Arial"/>
                <w:color w:val="000000"/>
                <w:lang w:eastAsia="ko-KR"/>
              </w:rPr>
              <w:t>781</w:t>
            </w:r>
            <w:r w:rsidRPr="003F56D5">
              <w:rPr>
                <w:rFonts w:eastAsia="Batang" w:cs="Arial"/>
                <w:color w:val="000000"/>
                <w:lang w:eastAsia="ko-KR"/>
              </w:rPr>
              <w:t>)</w:t>
            </w:r>
          </w:p>
        </w:tc>
        <w:tc>
          <w:tcPr>
            <w:tcW w:w="2196" w:type="dxa"/>
            <w:vAlign w:val="bottom"/>
          </w:tcPr>
          <w:p w14:paraId="6F0F0940" w14:textId="335AABBD" w:rsidR="00FE5C6E" w:rsidRDefault="00FE5C6E" w:rsidP="007E3D7C">
            <w:pPr>
              <w:ind w:right="-86"/>
              <w:jc w:val="right"/>
              <w:rPr>
                <w:bCs/>
              </w:rPr>
            </w:pPr>
            <w:r>
              <w:rPr>
                <w:bCs/>
              </w:rPr>
              <w:t>27</w:t>
            </w:r>
            <w:r w:rsidR="00191DF5">
              <w:rPr>
                <w:bCs/>
              </w:rPr>
              <w:t>,</w:t>
            </w:r>
            <w:r>
              <w:rPr>
                <w:bCs/>
              </w:rPr>
              <w:t>712</w:t>
            </w:r>
            <w:r w:rsidR="00191DF5">
              <w:rPr>
                <w:bCs/>
              </w:rPr>
              <w:t>,</w:t>
            </w:r>
            <w:r>
              <w:rPr>
                <w:bCs/>
              </w:rPr>
              <w:t>107</w:t>
            </w:r>
            <w:r w:rsidR="00191DF5">
              <w:rPr>
                <w:bCs/>
              </w:rPr>
              <w:t>,</w:t>
            </w:r>
            <w:r>
              <w:rPr>
                <w:bCs/>
              </w:rPr>
              <w:t>945</w:t>
            </w:r>
          </w:p>
        </w:tc>
        <w:tc>
          <w:tcPr>
            <w:tcW w:w="2379" w:type="dxa"/>
            <w:vAlign w:val="bottom"/>
          </w:tcPr>
          <w:p w14:paraId="2EE2D70F" w14:textId="200FF828" w:rsidR="00FE5C6E" w:rsidRDefault="00FE5C6E" w:rsidP="007E3D7C">
            <w:pPr>
              <w:ind w:right="-86"/>
              <w:jc w:val="right"/>
              <w:rPr>
                <w:bCs/>
              </w:rPr>
            </w:pPr>
            <w:r>
              <w:rPr>
                <w:bCs/>
              </w:rPr>
              <w:t>(31</w:t>
            </w:r>
            <w:r w:rsidR="00191DF5">
              <w:rPr>
                <w:bCs/>
              </w:rPr>
              <w:t>,</w:t>
            </w:r>
            <w:r>
              <w:rPr>
                <w:bCs/>
              </w:rPr>
              <w:t>274</w:t>
            </w:r>
            <w:r w:rsidR="00191DF5">
              <w:rPr>
                <w:bCs/>
              </w:rPr>
              <w:t>,</w:t>
            </w:r>
            <w:r>
              <w:rPr>
                <w:bCs/>
              </w:rPr>
              <w:t>889</w:t>
            </w:r>
            <w:r w:rsidR="00191DF5">
              <w:rPr>
                <w:bCs/>
              </w:rPr>
              <w:t>,</w:t>
            </w:r>
            <w:r>
              <w:rPr>
                <w:bCs/>
              </w:rPr>
              <w:t>041)</w:t>
            </w:r>
          </w:p>
        </w:tc>
        <w:tc>
          <w:tcPr>
            <w:tcW w:w="2288" w:type="dxa"/>
            <w:shd w:val="clear" w:color="auto" w:fill="auto"/>
            <w:vAlign w:val="bottom"/>
          </w:tcPr>
          <w:p w14:paraId="4F612933" w14:textId="6C6E084C" w:rsidR="00FE5C6E" w:rsidRPr="006E64D0" w:rsidRDefault="00FE5C6E" w:rsidP="007E3D7C">
            <w:pPr>
              <w:ind w:right="-86"/>
              <w:jc w:val="right"/>
              <w:rPr>
                <w:bCs/>
              </w:rPr>
            </w:pPr>
            <w:r w:rsidRPr="003F56D5">
              <w:rPr>
                <w:rFonts w:eastAsia="Batang" w:cs="Arial"/>
                <w:color w:val="000000"/>
                <w:lang w:eastAsia="ko-KR"/>
              </w:rPr>
              <w:t>(</w:t>
            </w:r>
            <w:r>
              <w:rPr>
                <w:rFonts w:eastAsia="Batang" w:cs="Arial"/>
                <w:color w:val="000000"/>
                <w:lang w:eastAsia="ko-KR"/>
              </w:rPr>
              <w:t>7</w:t>
            </w:r>
            <w:r w:rsidR="00191DF5">
              <w:rPr>
                <w:rFonts w:eastAsia="Batang" w:cs="Arial"/>
                <w:color w:val="000000"/>
                <w:lang w:eastAsia="ko-KR"/>
              </w:rPr>
              <w:t>,</w:t>
            </w:r>
            <w:r>
              <w:rPr>
                <w:rFonts w:eastAsia="Batang" w:cs="Arial"/>
                <w:color w:val="000000"/>
                <w:lang w:eastAsia="ko-KR"/>
              </w:rPr>
              <w:t>068</w:t>
            </w:r>
            <w:r w:rsidR="00191DF5">
              <w:rPr>
                <w:rFonts w:eastAsia="Batang" w:cs="Arial"/>
                <w:color w:val="000000"/>
                <w:lang w:eastAsia="ko-KR"/>
              </w:rPr>
              <w:t>,</w:t>
            </w:r>
            <w:r>
              <w:rPr>
                <w:rFonts w:eastAsia="Batang" w:cs="Arial"/>
                <w:color w:val="000000"/>
                <w:lang w:eastAsia="ko-KR"/>
              </w:rPr>
              <w:t>332</w:t>
            </w:r>
            <w:r w:rsidR="00191DF5">
              <w:rPr>
                <w:rFonts w:eastAsia="Batang" w:cs="Arial"/>
                <w:color w:val="000000"/>
                <w:lang w:eastAsia="ko-KR"/>
              </w:rPr>
              <w:t>,</w:t>
            </w:r>
            <w:r>
              <w:rPr>
                <w:rFonts w:eastAsia="Batang" w:cs="Arial"/>
                <w:color w:val="000000"/>
                <w:lang w:eastAsia="ko-KR"/>
              </w:rPr>
              <w:t>877</w:t>
            </w:r>
            <w:r w:rsidRPr="003F56D5">
              <w:rPr>
                <w:rFonts w:eastAsia="Batang" w:cs="Arial"/>
                <w:color w:val="000000"/>
                <w:lang w:eastAsia="ko-KR"/>
              </w:rPr>
              <w:t>)</w:t>
            </w:r>
          </w:p>
        </w:tc>
      </w:tr>
      <w:tr w:rsidR="00912D95" w:rsidRPr="00EC06B0" w14:paraId="6F9C8D16" w14:textId="77777777" w:rsidTr="007E3D7C">
        <w:tc>
          <w:tcPr>
            <w:tcW w:w="2012" w:type="dxa"/>
            <w:vMerge w:val="restart"/>
          </w:tcPr>
          <w:p w14:paraId="21420529" w14:textId="45FA284E" w:rsidR="00912D95" w:rsidRPr="00051997" w:rsidRDefault="00912D95" w:rsidP="00912D95">
            <w:pPr>
              <w:ind w:left="-108" w:right="-86"/>
            </w:pPr>
            <w:proofErr w:type="spellStart"/>
            <w:r>
              <w:t>Nonghyup</w:t>
            </w:r>
            <w:proofErr w:type="spellEnd"/>
            <w:r>
              <w:t xml:space="preserve"> Bank </w:t>
            </w:r>
            <w:r>
              <w:t xml:space="preserve">– </w:t>
            </w:r>
            <w:r>
              <w:t>Hanoi Branch</w:t>
            </w:r>
          </w:p>
        </w:tc>
        <w:tc>
          <w:tcPr>
            <w:tcW w:w="2471" w:type="dxa"/>
          </w:tcPr>
          <w:p w14:paraId="7CCCB308" w14:textId="45437438" w:rsidR="00912D95" w:rsidRDefault="00912D95" w:rsidP="00912D95">
            <w:pPr>
              <w:ind w:right="-86"/>
              <w:rPr>
                <w:rFonts w:cs="Arial"/>
              </w:rPr>
            </w:pPr>
            <w:r w:rsidRPr="00633724">
              <w:rPr>
                <w:rFonts w:cs="Arial"/>
              </w:rPr>
              <w:t>Short-term borrowings</w:t>
            </w:r>
          </w:p>
        </w:tc>
        <w:tc>
          <w:tcPr>
            <w:tcW w:w="1922" w:type="dxa"/>
            <w:shd w:val="clear" w:color="auto" w:fill="auto"/>
            <w:vAlign w:val="bottom"/>
          </w:tcPr>
          <w:p w14:paraId="53FD4280" w14:textId="77777777" w:rsidR="00912D95" w:rsidRDefault="00912D95" w:rsidP="007E3D7C">
            <w:pPr>
              <w:ind w:right="-86"/>
              <w:jc w:val="right"/>
              <w:rPr>
                <w:rFonts w:eastAsia="Batang" w:cs="Arial"/>
                <w:color w:val="000000"/>
                <w:lang w:eastAsia="ko-KR"/>
              </w:rPr>
            </w:pPr>
            <w:r>
              <w:rPr>
                <w:rFonts w:eastAsia="Batang" w:cs="Arial"/>
                <w:color w:val="000000"/>
                <w:lang w:eastAsia="ko-KR"/>
              </w:rPr>
              <w:t>-</w:t>
            </w:r>
          </w:p>
        </w:tc>
        <w:tc>
          <w:tcPr>
            <w:tcW w:w="2196" w:type="dxa"/>
            <w:vAlign w:val="bottom"/>
          </w:tcPr>
          <w:p w14:paraId="35ED076F" w14:textId="77777777" w:rsidR="00912D95" w:rsidRPr="002D48D7" w:rsidRDefault="00912D95" w:rsidP="007E3D7C">
            <w:pPr>
              <w:ind w:right="-86"/>
              <w:jc w:val="right"/>
              <w:rPr>
                <w:rFonts w:eastAsia="Batang" w:cs="Arial"/>
                <w:color w:val="000000"/>
                <w:lang w:eastAsia="ko-KR"/>
              </w:rPr>
            </w:pPr>
            <w:r>
              <w:rPr>
                <w:rFonts w:eastAsia="Batang" w:cs="Arial"/>
                <w:color w:val="000000"/>
                <w:lang w:eastAsia="ko-KR"/>
              </w:rPr>
              <w:t>-</w:t>
            </w:r>
          </w:p>
        </w:tc>
        <w:tc>
          <w:tcPr>
            <w:tcW w:w="2379" w:type="dxa"/>
            <w:vAlign w:val="bottom"/>
          </w:tcPr>
          <w:p w14:paraId="61430C7B" w14:textId="5DD30B1C" w:rsidR="00912D95" w:rsidRPr="00BC02CA" w:rsidRDefault="00912D95" w:rsidP="007E3D7C">
            <w:pPr>
              <w:ind w:right="-86"/>
              <w:jc w:val="right"/>
              <w:rPr>
                <w:bCs/>
              </w:rPr>
            </w:pPr>
            <w:r>
              <w:rPr>
                <w:rFonts w:eastAsia="Batang" w:cs="Arial"/>
                <w:color w:val="000000"/>
                <w:lang w:eastAsia="ko-KR"/>
              </w:rPr>
              <w:t>(110</w:t>
            </w:r>
            <w:r w:rsidR="00191DF5">
              <w:rPr>
                <w:rFonts w:eastAsia="Batang" w:cs="Arial"/>
                <w:color w:val="000000"/>
                <w:lang w:eastAsia="ko-KR"/>
              </w:rPr>
              <w:t>,</w:t>
            </w:r>
            <w:r>
              <w:rPr>
                <w:rFonts w:eastAsia="Batang" w:cs="Arial"/>
                <w:color w:val="000000"/>
                <w:lang w:eastAsia="ko-KR"/>
              </w:rPr>
              <w:t>000</w:t>
            </w:r>
            <w:r w:rsidR="00191DF5">
              <w:rPr>
                <w:rFonts w:eastAsia="Batang" w:cs="Arial"/>
                <w:color w:val="000000"/>
                <w:lang w:eastAsia="ko-KR"/>
              </w:rPr>
              <w:t>,</w:t>
            </w:r>
            <w:r>
              <w:rPr>
                <w:rFonts w:eastAsia="Batang" w:cs="Arial"/>
                <w:color w:val="000000"/>
                <w:lang w:eastAsia="ko-KR"/>
              </w:rPr>
              <w:t>000</w:t>
            </w:r>
            <w:r w:rsidR="00191DF5">
              <w:rPr>
                <w:rFonts w:eastAsia="Batang" w:cs="Arial"/>
                <w:color w:val="000000"/>
                <w:lang w:eastAsia="ko-KR"/>
              </w:rPr>
              <w:t>,</w:t>
            </w:r>
            <w:r>
              <w:rPr>
                <w:rFonts w:eastAsia="Batang" w:cs="Arial"/>
                <w:color w:val="000000"/>
                <w:lang w:eastAsia="ko-KR"/>
              </w:rPr>
              <w:t>000)</w:t>
            </w:r>
          </w:p>
        </w:tc>
        <w:tc>
          <w:tcPr>
            <w:tcW w:w="2288" w:type="dxa"/>
            <w:shd w:val="clear" w:color="auto" w:fill="auto"/>
            <w:vAlign w:val="bottom"/>
          </w:tcPr>
          <w:p w14:paraId="6442BEBF" w14:textId="30FBCE57" w:rsidR="00912D95" w:rsidRPr="003F56D5" w:rsidRDefault="00912D95" w:rsidP="007E3D7C">
            <w:pPr>
              <w:ind w:right="-86"/>
              <w:jc w:val="right"/>
              <w:rPr>
                <w:rFonts w:eastAsia="Batang" w:cs="Arial"/>
                <w:color w:val="000000"/>
                <w:lang w:eastAsia="ko-KR"/>
              </w:rPr>
            </w:pPr>
            <w:r>
              <w:rPr>
                <w:rFonts w:eastAsia="Batang" w:cs="Arial"/>
                <w:color w:val="000000"/>
                <w:lang w:eastAsia="ko-KR"/>
              </w:rPr>
              <w:t>(110</w:t>
            </w:r>
            <w:r w:rsidR="00191DF5">
              <w:rPr>
                <w:rFonts w:eastAsia="Batang" w:cs="Arial"/>
                <w:color w:val="000000"/>
                <w:lang w:eastAsia="ko-KR"/>
              </w:rPr>
              <w:t>,</w:t>
            </w:r>
            <w:r>
              <w:rPr>
                <w:rFonts w:eastAsia="Batang" w:cs="Arial"/>
                <w:color w:val="000000"/>
                <w:lang w:eastAsia="ko-KR"/>
              </w:rPr>
              <w:t>000</w:t>
            </w:r>
            <w:r w:rsidR="00191DF5">
              <w:rPr>
                <w:rFonts w:eastAsia="Batang" w:cs="Arial"/>
                <w:color w:val="000000"/>
                <w:lang w:eastAsia="ko-KR"/>
              </w:rPr>
              <w:t>,</w:t>
            </w:r>
            <w:r>
              <w:rPr>
                <w:rFonts w:eastAsia="Batang" w:cs="Arial"/>
                <w:color w:val="000000"/>
                <w:lang w:eastAsia="ko-KR"/>
              </w:rPr>
              <w:t>000</w:t>
            </w:r>
            <w:r w:rsidR="00191DF5">
              <w:rPr>
                <w:rFonts w:eastAsia="Batang" w:cs="Arial"/>
                <w:color w:val="000000"/>
                <w:lang w:eastAsia="ko-KR"/>
              </w:rPr>
              <w:t>,</w:t>
            </w:r>
            <w:r>
              <w:rPr>
                <w:rFonts w:eastAsia="Batang" w:cs="Arial"/>
                <w:color w:val="000000"/>
                <w:lang w:eastAsia="ko-KR"/>
              </w:rPr>
              <w:t>000)</w:t>
            </w:r>
          </w:p>
        </w:tc>
      </w:tr>
      <w:tr w:rsidR="00912D95" w:rsidRPr="00EC06B0" w14:paraId="3AC3BCD8" w14:textId="77777777" w:rsidTr="007E3D7C">
        <w:tc>
          <w:tcPr>
            <w:tcW w:w="2012" w:type="dxa"/>
            <w:vMerge/>
          </w:tcPr>
          <w:p w14:paraId="63DD6DD1" w14:textId="77777777" w:rsidR="00912D95" w:rsidRPr="00EC06B0" w:rsidRDefault="00912D95" w:rsidP="00912D95">
            <w:pPr>
              <w:ind w:left="-108" w:right="-86"/>
              <w:rPr>
                <w:lang w:val="vi-VN"/>
              </w:rPr>
            </w:pPr>
          </w:p>
        </w:tc>
        <w:tc>
          <w:tcPr>
            <w:tcW w:w="2471" w:type="dxa"/>
          </w:tcPr>
          <w:p w14:paraId="40CAC943" w14:textId="522F470A" w:rsidR="00912D95" w:rsidRDefault="00912D95" w:rsidP="00912D95">
            <w:pPr>
              <w:ind w:right="-86"/>
              <w:rPr>
                <w:rFonts w:cs="Arial"/>
              </w:rPr>
            </w:pPr>
            <w:r w:rsidRPr="001660DB">
              <w:rPr>
                <w:rFonts w:cs="Arial"/>
              </w:rPr>
              <w:t>Accrued interest expenses</w:t>
            </w:r>
          </w:p>
        </w:tc>
        <w:tc>
          <w:tcPr>
            <w:tcW w:w="1922" w:type="dxa"/>
            <w:shd w:val="clear" w:color="auto" w:fill="auto"/>
            <w:vAlign w:val="bottom"/>
          </w:tcPr>
          <w:p w14:paraId="3E97DD1E" w14:textId="77777777" w:rsidR="00912D95" w:rsidRDefault="00912D95" w:rsidP="007E3D7C">
            <w:pPr>
              <w:ind w:right="-86"/>
              <w:jc w:val="right"/>
              <w:rPr>
                <w:rFonts w:eastAsia="Batang" w:cs="Arial"/>
                <w:color w:val="000000"/>
                <w:lang w:eastAsia="ko-KR"/>
              </w:rPr>
            </w:pPr>
            <w:r>
              <w:rPr>
                <w:rFonts w:eastAsia="Batang" w:cs="Arial"/>
                <w:color w:val="000000"/>
                <w:lang w:eastAsia="ko-KR"/>
              </w:rPr>
              <w:t>-</w:t>
            </w:r>
          </w:p>
        </w:tc>
        <w:tc>
          <w:tcPr>
            <w:tcW w:w="2196" w:type="dxa"/>
            <w:vAlign w:val="bottom"/>
          </w:tcPr>
          <w:p w14:paraId="630A9034" w14:textId="21F74DAB" w:rsidR="00912D95" w:rsidRPr="002D48D7" w:rsidRDefault="00912D95" w:rsidP="007E3D7C">
            <w:pPr>
              <w:ind w:right="-86"/>
              <w:jc w:val="right"/>
              <w:rPr>
                <w:rFonts w:eastAsia="Batang" w:cs="Arial"/>
                <w:color w:val="000000"/>
                <w:lang w:eastAsia="ko-KR"/>
              </w:rPr>
            </w:pPr>
            <w:r>
              <w:rPr>
                <w:rFonts w:eastAsia="Batang" w:cs="Arial"/>
                <w:color w:val="000000"/>
                <w:lang w:eastAsia="ko-KR"/>
              </w:rPr>
              <w:t>183</w:t>
            </w:r>
            <w:r w:rsidR="00191DF5">
              <w:rPr>
                <w:rFonts w:eastAsia="Batang" w:cs="Arial"/>
                <w:color w:val="000000"/>
                <w:lang w:eastAsia="ko-KR"/>
              </w:rPr>
              <w:t>,</w:t>
            </w:r>
            <w:r>
              <w:rPr>
                <w:rFonts w:eastAsia="Batang" w:cs="Arial"/>
                <w:color w:val="000000"/>
                <w:lang w:eastAsia="ko-KR"/>
              </w:rPr>
              <w:t>232</w:t>
            </w:r>
            <w:r w:rsidR="00191DF5">
              <w:rPr>
                <w:rFonts w:eastAsia="Batang" w:cs="Arial"/>
                <w:color w:val="000000"/>
                <w:lang w:eastAsia="ko-KR"/>
              </w:rPr>
              <w:t>,</w:t>
            </w:r>
            <w:r>
              <w:rPr>
                <w:rFonts w:eastAsia="Batang" w:cs="Arial"/>
                <w:color w:val="000000"/>
                <w:lang w:eastAsia="ko-KR"/>
              </w:rPr>
              <w:t>877</w:t>
            </w:r>
          </w:p>
        </w:tc>
        <w:tc>
          <w:tcPr>
            <w:tcW w:w="2379" w:type="dxa"/>
            <w:vAlign w:val="bottom"/>
          </w:tcPr>
          <w:p w14:paraId="274AFF99" w14:textId="084806AF" w:rsidR="00912D95" w:rsidRPr="00BC02CA" w:rsidRDefault="00912D95" w:rsidP="007E3D7C">
            <w:pPr>
              <w:ind w:right="-86"/>
              <w:jc w:val="right"/>
              <w:rPr>
                <w:bCs/>
              </w:rPr>
            </w:pPr>
            <w:r>
              <w:rPr>
                <w:bCs/>
              </w:rPr>
              <w:t>(893</w:t>
            </w:r>
            <w:r w:rsidR="00191DF5">
              <w:rPr>
                <w:bCs/>
              </w:rPr>
              <w:t>,</w:t>
            </w:r>
            <w:r>
              <w:rPr>
                <w:bCs/>
              </w:rPr>
              <w:t>260</w:t>
            </w:r>
            <w:r w:rsidR="00191DF5">
              <w:rPr>
                <w:bCs/>
              </w:rPr>
              <w:t>,</w:t>
            </w:r>
            <w:r>
              <w:rPr>
                <w:bCs/>
              </w:rPr>
              <w:t>274)</w:t>
            </w:r>
          </w:p>
        </w:tc>
        <w:tc>
          <w:tcPr>
            <w:tcW w:w="2288" w:type="dxa"/>
            <w:shd w:val="clear" w:color="auto" w:fill="auto"/>
            <w:vAlign w:val="bottom"/>
          </w:tcPr>
          <w:p w14:paraId="033C48DB" w14:textId="30C6E945" w:rsidR="00912D95" w:rsidRPr="003F56D5" w:rsidRDefault="00912D95" w:rsidP="007E3D7C">
            <w:pPr>
              <w:ind w:right="-86"/>
              <w:jc w:val="right"/>
              <w:rPr>
                <w:rFonts w:eastAsia="Batang" w:cs="Arial"/>
                <w:color w:val="000000"/>
                <w:lang w:eastAsia="ko-KR"/>
              </w:rPr>
            </w:pPr>
            <w:r>
              <w:rPr>
                <w:rFonts w:eastAsia="Batang" w:cs="Arial"/>
                <w:color w:val="000000"/>
                <w:lang w:eastAsia="ko-KR"/>
              </w:rPr>
              <w:t>(710</w:t>
            </w:r>
            <w:r w:rsidR="00191DF5">
              <w:rPr>
                <w:rFonts w:eastAsia="Batang" w:cs="Arial"/>
                <w:color w:val="000000"/>
                <w:lang w:eastAsia="ko-KR"/>
              </w:rPr>
              <w:t>,</w:t>
            </w:r>
            <w:r>
              <w:rPr>
                <w:rFonts w:eastAsia="Batang" w:cs="Arial"/>
                <w:color w:val="000000"/>
                <w:lang w:eastAsia="ko-KR"/>
              </w:rPr>
              <w:t>027</w:t>
            </w:r>
            <w:r w:rsidR="00191DF5">
              <w:rPr>
                <w:rFonts w:eastAsia="Batang" w:cs="Arial"/>
                <w:color w:val="000000"/>
                <w:lang w:eastAsia="ko-KR"/>
              </w:rPr>
              <w:t>,</w:t>
            </w:r>
            <w:r>
              <w:rPr>
                <w:rFonts w:eastAsia="Batang" w:cs="Arial"/>
                <w:color w:val="000000"/>
                <w:lang w:eastAsia="ko-KR"/>
              </w:rPr>
              <w:t>397)</w:t>
            </w:r>
          </w:p>
        </w:tc>
      </w:tr>
    </w:tbl>
    <w:p w14:paraId="4C914AC0" w14:textId="77777777" w:rsidR="00FE5C6E" w:rsidRDefault="00FE5C6E" w:rsidP="001D1417">
      <w:pPr>
        <w:pStyle w:val="NoSpacing"/>
        <w:rPr>
          <w:b/>
          <w:bCs/>
          <w:i/>
          <w:iCs/>
        </w:rPr>
      </w:pPr>
    </w:p>
    <w:p w14:paraId="236BEED7" w14:textId="17846131" w:rsidR="001D1417" w:rsidRPr="002A0B87" w:rsidRDefault="00D9734F" w:rsidP="001D1417">
      <w:pPr>
        <w:pStyle w:val="NoSpacing"/>
        <w:rPr>
          <w:b/>
          <w:bCs/>
          <w:i/>
          <w:iCs/>
        </w:rPr>
      </w:pPr>
      <w:r w:rsidRPr="00D9734F">
        <w:rPr>
          <w:b/>
          <w:bCs/>
          <w:i/>
          <w:iCs/>
        </w:rPr>
        <w:t>Transactions with other related parties</w:t>
      </w:r>
      <w:r w:rsidRPr="00D9734F" w:rsidDel="00D9734F">
        <w:rPr>
          <w:b/>
          <w:bCs/>
          <w:i/>
          <w:iCs/>
        </w:rPr>
        <w:t xml:space="preserve"> </w:t>
      </w:r>
    </w:p>
    <w:p w14:paraId="7EB66DF1" w14:textId="77777777" w:rsidR="001D1417" w:rsidRPr="002A0B87" w:rsidRDefault="001D1417" w:rsidP="001D1417">
      <w:pPr>
        <w:pStyle w:val="NoSpacing"/>
      </w:pPr>
    </w:p>
    <w:tbl>
      <w:tblPr>
        <w:tblW w:w="8164" w:type="dxa"/>
        <w:tblInd w:w="720" w:type="dxa"/>
        <w:tblLayout w:type="fixed"/>
        <w:tblLook w:val="04A0" w:firstRow="1" w:lastRow="0" w:firstColumn="1" w:lastColumn="0" w:noHBand="0" w:noVBand="1"/>
      </w:tblPr>
      <w:tblGrid>
        <w:gridCol w:w="4474"/>
        <w:gridCol w:w="1804"/>
        <w:gridCol w:w="1886"/>
      </w:tblGrid>
      <w:tr w:rsidR="001D1417" w:rsidRPr="00085BE7" w14:paraId="27D897CD" w14:textId="77777777" w:rsidTr="00254501">
        <w:trPr>
          <w:trHeight w:val="80"/>
          <w:tblHeader/>
        </w:trPr>
        <w:tc>
          <w:tcPr>
            <w:tcW w:w="4474" w:type="dxa"/>
            <w:shd w:val="clear" w:color="auto" w:fill="auto"/>
            <w:noWrap/>
            <w:vAlign w:val="bottom"/>
          </w:tcPr>
          <w:p w14:paraId="55FB1CD6" w14:textId="77777777" w:rsidR="001D1417" w:rsidRPr="003C222B" w:rsidRDefault="001D1417" w:rsidP="00C62C36">
            <w:pPr>
              <w:overflowPunct/>
              <w:autoSpaceDE/>
              <w:autoSpaceDN/>
              <w:adjustRightInd/>
              <w:ind w:left="-115"/>
              <w:textAlignment w:val="auto"/>
              <w:rPr>
                <w:rFonts w:eastAsia="Batang" w:cs="Arial"/>
                <w:i/>
                <w:color w:val="000000"/>
                <w:szCs w:val="24"/>
                <w:highlight w:val="yellow"/>
                <w:lang w:eastAsia="ko-KR"/>
              </w:rPr>
            </w:pPr>
          </w:p>
        </w:tc>
        <w:tc>
          <w:tcPr>
            <w:tcW w:w="1804" w:type="dxa"/>
            <w:vAlign w:val="bottom"/>
          </w:tcPr>
          <w:p w14:paraId="1D8E261F" w14:textId="0012A9FF" w:rsidR="001D1417" w:rsidRPr="00085BE7" w:rsidRDefault="00E37D97" w:rsidP="00061DE5">
            <w:pPr>
              <w:widowControl w:val="0"/>
              <w:pBdr>
                <w:bottom w:val="single" w:sz="4" w:space="0" w:color="auto"/>
              </w:pBdr>
              <w:ind w:left="57" w:right="-85"/>
              <w:jc w:val="right"/>
              <w:rPr>
                <w:rFonts w:eastAsia="Batang" w:cs="Arial"/>
                <w:i/>
                <w:iCs/>
              </w:rPr>
            </w:pPr>
            <w:r w:rsidRPr="00E37D97">
              <w:rPr>
                <w:rFonts w:eastAsia="Batang" w:cs="Arial"/>
                <w:bCs/>
                <w:i/>
              </w:rPr>
              <w:t>Current year</w:t>
            </w:r>
          </w:p>
          <w:p w14:paraId="715927B5" w14:textId="77777777" w:rsidR="001D1417" w:rsidRPr="00085BE7" w:rsidRDefault="001D1417" w:rsidP="00061DE5">
            <w:pPr>
              <w:widowControl w:val="0"/>
              <w:pBdr>
                <w:bottom w:val="single" w:sz="4" w:space="0" w:color="auto"/>
              </w:pBdr>
              <w:ind w:left="57" w:right="-85"/>
              <w:jc w:val="right"/>
              <w:rPr>
                <w:rFonts w:eastAsia="Batang" w:cs="Arial"/>
                <w:i/>
                <w:color w:val="000000"/>
                <w:szCs w:val="24"/>
                <w:lang w:eastAsia="ko-KR"/>
              </w:rPr>
            </w:pPr>
            <w:r w:rsidRPr="00085BE7">
              <w:rPr>
                <w:rFonts w:eastAsia="Batang" w:cs="Arial"/>
                <w:i/>
                <w:iCs/>
              </w:rPr>
              <w:t>VND</w:t>
            </w:r>
          </w:p>
        </w:tc>
        <w:tc>
          <w:tcPr>
            <w:tcW w:w="1886" w:type="dxa"/>
            <w:noWrap/>
            <w:vAlign w:val="bottom"/>
            <w:hideMark/>
          </w:tcPr>
          <w:p w14:paraId="045550A8" w14:textId="1F6ED3FE" w:rsidR="001D1417" w:rsidRPr="00085BE7" w:rsidRDefault="004A0C62" w:rsidP="00061DE5">
            <w:pPr>
              <w:widowControl w:val="0"/>
              <w:pBdr>
                <w:bottom w:val="single" w:sz="4" w:space="0" w:color="auto"/>
              </w:pBdr>
              <w:ind w:left="57" w:right="-85"/>
              <w:jc w:val="right"/>
              <w:rPr>
                <w:rFonts w:eastAsia="Batang" w:cs="Arial"/>
                <w:i/>
                <w:iCs/>
              </w:rPr>
            </w:pPr>
            <w:r w:rsidRPr="004A0C62">
              <w:rPr>
                <w:rFonts w:eastAsia="Batang" w:cs="Arial"/>
                <w:bCs/>
                <w:i/>
              </w:rPr>
              <w:t>Previous year</w:t>
            </w:r>
          </w:p>
          <w:p w14:paraId="5803E0EC" w14:textId="77777777" w:rsidR="001D1417" w:rsidRPr="00085BE7" w:rsidRDefault="001D1417" w:rsidP="00061DE5">
            <w:pPr>
              <w:widowControl w:val="0"/>
              <w:pBdr>
                <w:bottom w:val="single" w:sz="4" w:space="0" w:color="auto"/>
              </w:pBdr>
              <w:ind w:left="57" w:right="-85"/>
              <w:jc w:val="right"/>
              <w:rPr>
                <w:rFonts w:eastAsia="Batang" w:cs="Arial"/>
                <w:i/>
                <w:color w:val="000000"/>
                <w:szCs w:val="24"/>
                <w:lang w:eastAsia="ko-KR"/>
              </w:rPr>
            </w:pPr>
            <w:r w:rsidRPr="00085BE7">
              <w:rPr>
                <w:rFonts w:eastAsia="Batang" w:cs="Arial"/>
                <w:i/>
                <w:iCs/>
              </w:rPr>
              <w:t xml:space="preserve">VND </w:t>
            </w:r>
          </w:p>
        </w:tc>
      </w:tr>
      <w:tr w:rsidR="007E3D7C" w:rsidRPr="00085BE7" w14:paraId="4FC26390" w14:textId="77777777" w:rsidTr="007E3D7C">
        <w:trPr>
          <w:trHeight w:val="20"/>
        </w:trPr>
        <w:tc>
          <w:tcPr>
            <w:tcW w:w="4474" w:type="dxa"/>
            <w:noWrap/>
            <w:vAlign w:val="bottom"/>
          </w:tcPr>
          <w:p w14:paraId="32EFE518" w14:textId="77701EB4" w:rsidR="007E3D7C" w:rsidRPr="00EB564B" w:rsidRDefault="007E3D7C" w:rsidP="007E3D7C">
            <w:pPr>
              <w:overflowPunct/>
              <w:autoSpaceDE/>
              <w:autoSpaceDN/>
              <w:adjustRightInd/>
              <w:spacing w:before="120"/>
              <w:ind w:left="-113" w:right="-85"/>
              <w:jc w:val="left"/>
              <w:textAlignment w:val="auto"/>
              <w:rPr>
                <w:rFonts w:cs="Arial"/>
              </w:rPr>
            </w:pPr>
            <w:r w:rsidRPr="00254501">
              <w:rPr>
                <w:rFonts w:cs="Arial"/>
                <w:spacing w:val="-4"/>
              </w:rPr>
              <w:t>Remuneration of members of the Members’ Council,</w:t>
            </w:r>
            <w:r w:rsidRPr="00CB1261">
              <w:rPr>
                <w:rFonts w:cs="Arial"/>
              </w:rPr>
              <w:t xml:space="preserve"> Board of Supervision and Management</w:t>
            </w:r>
          </w:p>
        </w:tc>
        <w:tc>
          <w:tcPr>
            <w:tcW w:w="1804" w:type="dxa"/>
            <w:vAlign w:val="bottom"/>
          </w:tcPr>
          <w:p w14:paraId="3834AB80" w14:textId="47F6CBC2" w:rsidR="007E3D7C" w:rsidRPr="00EB564B" w:rsidRDefault="007E3D7C" w:rsidP="007E3D7C">
            <w:pPr>
              <w:pBdr>
                <w:bottom w:val="double" w:sz="4" w:space="0" w:color="auto"/>
              </w:pBdr>
              <w:overflowPunct/>
              <w:autoSpaceDE/>
              <w:autoSpaceDN/>
              <w:adjustRightInd/>
              <w:spacing w:before="120"/>
              <w:ind w:left="58" w:right="-86"/>
              <w:jc w:val="right"/>
              <w:textAlignment w:val="auto"/>
              <w:rPr>
                <w:rFonts w:eastAsia="Batang" w:cs="Arial"/>
                <w:color w:val="000000"/>
                <w:szCs w:val="24"/>
                <w:lang w:eastAsia="ko-KR"/>
              </w:rPr>
            </w:pPr>
            <w:r w:rsidRPr="00991664">
              <w:t>18</w:t>
            </w:r>
            <w:r>
              <w:t>,</w:t>
            </w:r>
            <w:r w:rsidRPr="00991664">
              <w:t>306</w:t>
            </w:r>
            <w:r>
              <w:t>,</w:t>
            </w:r>
            <w:r w:rsidRPr="00991664">
              <w:t>894</w:t>
            </w:r>
            <w:r>
              <w:t>,</w:t>
            </w:r>
            <w:r w:rsidRPr="00991664">
              <w:t>879</w:t>
            </w:r>
          </w:p>
        </w:tc>
        <w:tc>
          <w:tcPr>
            <w:tcW w:w="1886" w:type="dxa"/>
            <w:noWrap/>
            <w:vAlign w:val="bottom"/>
          </w:tcPr>
          <w:p w14:paraId="57A428E9" w14:textId="682D1648" w:rsidR="007E3D7C" w:rsidRPr="00EB564B" w:rsidRDefault="007E3D7C" w:rsidP="007E3D7C">
            <w:pPr>
              <w:pBdr>
                <w:bottom w:val="double" w:sz="4" w:space="0" w:color="auto"/>
              </w:pBdr>
              <w:overflowPunct/>
              <w:autoSpaceDE/>
              <w:autoSpaceDN/>
              <w:adjustRightInd/>
              <w:spacing w:before="120"/>
              <w:ind w:left="58" w:right="-86"/>
              <w:jc w:val="right"/>
              <w:textAlignment w:val="auto"/>
              <w:rPr>
                <w:rFonts w:eastAsia="Batang" w:cs="Arial"/>
                <w:color w:val="000000"/>
                <w:szCs w:val="24"/>
                <w:lang w:eastAsia="ko-KR"/>
              </w:rPr>
            </w:pPr>
            <w:r w:rsidRPr="00991664">
              <w:t>13</w:t>
            </w:r>
            <w:r>
              <w:t>,</w:t>
            </w:r>
            <w:r w:rsidRPr="00991664">
              <w:t>893</w:t>
            </w:r>
            <w:r>
              <w:t>,</w:t>
            </w:r>
            <w:r w:rsidRPr="00991664">
              <w:t>547</w:t>
            </w:r>
            <w:r>
              <w:t>,</w:t>
            </w:r>
            <w:r w:rsidRPr="00991664">
              <w:t>109</w:t>
            </w:r>
          </w:p>
        </w:tc>
      </w:tr>
    </w:tbl>
    <w:p w14:paraId="4550C306" w14:textId="77777777" w:rsidR="00DA4181" w:rsidRDefault="00DA4181" w:rsidP="00DA4181">
      <w:pPr>
        <w:pStyle w:val="NoSpacing"/>
        <w:ind w:left="0"/>
        <w:sectPr w:rsidR="00DA4181" w:rsidSect="00DA4181">
          <w:pgSz w:w="16834" w:h="11909" w:orient="landscape" w:code="9"/>
          <w:pgMar w:top="1584" w:right="1440" w:bottom="1440" w:left="864" w:header="720" w:footer="576" w:gutter="0"/>
          <w:cols w:space="720"/>
          <w:docGrid w:linePitch="272"/>
        </w:sectPr>
      </w:pPr>
    </w:p>
    <w:p w14:paraId="09B366A3" w14:textId="77777777" w:rsidR="00E92393" w:rsidRDefault="00E92393" w:rsidP="00DA4181">
      <w:pPr>
        <w:pStyle w:val="NoSpacing"/>
        <w:ind w:left="0"/>
      </w:pPr>
    </w:p>
    <w:p w14:paraId="1C0EFFB0" w14:textId="206CB24C" w:rsidR="00AC53A3" w:rsidRPr="002A0B87" w:rsidRDefault="00074A90" w:rsidP="00A1553D">
      <w:pPr>
        <w:pStyle w:val="Heading1"/>
      </w:pPr>
      <w:r>
        <w:t>27</w:t>
      </w:r>
      <w:r w:rsidR="00AC53A3" w:rsidRPr="002A0B87">
        <w:rPr>
          <w:lang w:val="vi-VN"/>
        </w:rPr>
        <w:t>.</w:t>
      </w:r>
      <w:r w:rsidR="00AC53A3" w:rsidRPr="002A0B87">
        <w:rPr>
          <w:lang w:val="vi-VN"/>
        </w:rPr>
        <w:tab/>
      </w:r>
      <w:r w:rsidR="00646670" w:rsidRPr="00646670">
        <w:rPr>
          <w:lang w:val="vi-VN"/>
        </w:rPr>
        <w:t>OPERATING LEASES COMMITMENTS</w:t>
      </w:r>
      <w:r w:rsidR="00646670" w:rsidRPr="00646670" w:rsidDel="00646670">
        <w:rPr>
          <w:lang w:val="vi-VN"/>
        </w:rPr>
        <w:t xml:space="preserve"> </w:t>
      </w:r>
    </w:p>
    <w:p w14:paraId="5339C673" w14:textId="77777777" w:rsidR="00A1553D" w:rsidRPr="00B00C7A" w:rsidRDefault="00A1553D" w:rsidP="00A1553D">
      <w:pPr>
        <w:overflowPunct/>
        <w:ind w:left="720"/>
        <w:textAlignment w:val="auto"/>
        <w:rPr>
          <w:rFonts w:cs="Arial"/>
          <w:bCs/>
          <w:color w:val="000000" w:themeColor="text1"/>
        </w:rPr>
      </w:pPr>
    </w:p>
    <w:tbl>
      <w:tblPr>
        <w:tblW w:w="8164" w:type="dxa"/>
        <w:tblInd w:w="720" w:type="dxa"/>
        <w:tblLayout w:type="fixed"/>
        <w:tblLook w:val="01E0" w:firstRow="1" w:lastRow="1" w:firstColumn="1" w:lastColumn="1" w:noHBand="0" w:noVBand="0"/>
      </w:tblPr>
      <w:tblGrid>
        <w:gridCol w:w="4667"/>
        <w:gridCol w:w="1723"/>
        <w:gridCol w:w="1774"/>
      </w:tblGrid>
      <w:tr w:rsidR="00A1553D" w:rsidRPr="00B00C7A" w14:paraId="013D4986" w14:textId="77777777" w:rsidTr="00254501">
        <w:trPr>
          <w:trHeight w:val="20"/>
          <w:tblHeader/>
        </w:trPr>
        <w:tc>
          <w:tcPr>
            <w:tcW w:w="4667" w:type="dxa"/>
            <w:vAlign w:val="bottom"/>
          </w:tcPr>
          <w:p w14:paraId="6A7F1C0A" w14:textId="77777777" w:rsidR="00A1553D" w:rsidRPr="00B00C7A" w:rsidRDefault="00A1553D" w:rsidP="000A1EE5">
            <w:pPr>
              <w:widowControl w:val="0"/>
              <w:overflowPunct/>
              <w:autoSpaceDE/>
              <w:autoSpaceDN/>
              <w:adjustRightInd/>
              <w:ind w:left="-115"/>
              <w:textAlignment w:val="auto"/>
              <w:rPr>
                <w:rFonts w:eastAsia="Batang" w:cs="Arial"/>
                <w:i/>
                <w:color w:val="000000" w:themeColor="text1"/>
                <w:lang w:val="es-ES"/>
              </w:rPr>
            </w:pPr>
          </w:p>
        </w:tc>
        <w:tc>
          <w:tcPr>
            <w:tcW w:w="1723" w:type="dxa"/>
            <w:vAlign w:val="bottom"/>
            <w:hideMark/>
          </w:tcPr>
          <w:p w14:paraId="2963ABE9" w14:textId="6F7AD902" w:rsidR="00A1553D" w:rsidRPr="00B00C7A" w:rsidRDefault="008F3A4D" w:rsidP="000A1EE5">
            <w:pPr>
              <w:widowControl w:val="0"/>
              <w:pBdr>
                <w:bottom w:val="single" w:sz="4" w:space="0" w:color="auto"/>
              </w:pBdr>
              <w:overflowPunct/>
              <w:autoSpaceDE/>
              <w:autoSpaceDN/>
              <w:adjustRightInd/>
              <w:ind w:left="57" w:right="-85"/>
              <w:jc w:val="right"/>
              <w:textAlignment w:val="auto"/>
              <w:rPr>
                <w:rFonts w:eastAsia="Batang" w:cs="Arial"/>
                <w:bCs/>
                <w:i/>
                <w:color w:val="000000" w:themeColor="text1"/>
              </w:rPr>
            </w:pPr>
            <w:r w:rsidRPr="008F3A4D">
              <w:rPr>
                <w:rFonts w:eastAsia="Batang" w:cs="Arial"/>
                <w:bCs/>
                <w:i/>
                <w:color w:val="000000" w:themeColor="text1"/>
              </w:rPr>
              <w:t>Ending balance</w:t>
            </w:r>
          </w:p>
          <w:p w14:paraId="6FC6E248" w14:textId="77777777" w:rsidR="00A1553D" w:rsidRPr="00B00C7A" w:rsidRDefault="00A1553D" w:rsidP="000A1EE5">
            <w:pPr>
              <w:widowControl w:val="0"/>
              <w:pBdr>
                <w:bottom w:val="single" w:sz="4" w:space="0" w:color="auto"/>
              </w:pBdr>
              <w:ind w:left="57" w:right="-85"/>
              <w:jc w:val="right"/>
              <w:rPr>
                <w:rFonts w:cs="Arial"/>
                <w:bCs/>
                <w:i/>
                <w:color w:val="000000" w:themeColor="text1"/>
              </w:rPr>
            </w:pPr>
            <w:r w:rsidRPr="00B00C7A">
              <w:rPr>
                <w:rFonts w:eastAsia="Batang" w:cs="Arial"/>
                <w:i/>
                <w:iCs/>
                <w:color w:val="000000" w:themeColor="text1"/>
              </w:rPr>
              <w:t>VND</w:t>
            </w:r>
          </w:p>
        </w:tc>
        <w:tc>
          <w:tcPr>
            <w:tcW w:w="1774" w:type="dxa"/>
            <w:vAlign w:val="bottom"/>
            <w:hideMark/>
          </w:tcPr>
          <w:p w14:paraId="3BE3DFCA" w14:textId="4F7CE54B" w:rsidR="00A1553D" w:rsidRPr="00B00C7A" w:rsidRDefault="00CC2D9B" w:rsidP="000A1EE5">
            <w:pPr>
              <w:widowControl w:val="0"/>
              <w:pBdr>
                <w:bottom w:val="single" w:sz="4" w:space="0" w:color="auto"/>
              </w:pBdr>
              <w:overflowPunct/>
              <w:autoSpaceDE/>
              <w:autoSpaceDN/>
              <w:adjustRightInd/>
              <w:ind w:left="57" w:right="-85"/>
              <w:jc w:val="right"/>
              <w:textAlignment w:val="auto"/>
              <w:rPr>
                <w:rFonts w:eastAsia="Batang" w:cs="Arial"/>
                <w:bCs/>
                <w:i/>
                <w:color w:val="000000" w:themeColor="text1"/>
              </w:rPr>
            </w:pPr>
            <w:r w:rsidRPr="00CC2D9B">
              <w:rPr>
                <w:rFonts w:eastAsia="Batang" w:cs="Arial"/>
                <w:bCs/>
                <w:i/>
                <w:color w:val="000000" w:themeColor="text1"/>
              </w:rPr>
              <w:t>Opening balance</w:t>
            </w:r>
          </w:p>
          <w:p w14:paraId="300D1722" w14:textId="77777777" w:rsidR="00A1553D" w:rsidRPr="00B00C7A" w:rsidRDefault="00A1553D" w:rsidP="000A1EE5">
            <w:pPr>
              <w:widowControl w:val="0"/>
              <w:pBdr>
                <w:bottom w:val="single" w:sz="4" w:space="0" w:color="auto"/>
              </w:pBdr>
              <w:ind w:left="57" w:right="-85"/>
              <w:jc w:val="right"/>
              <w:rPr>
                <w:rFonts w:cs="Arial"/>
                <w:bCs/>
                <w:i/>
                <w:color w:val="000000" w:themeColor="text1"/>
              </w:rPr>
            </w:pPr>
            <w:r w:rsidRPr="00B00C7A">
              <w:rPr>
                <w:rFonts w:eastAsia="Batang" w:cs="Arial"/>
                <w:i/>
                <w:iCs/>
                <w:color w:val="000000" w:themeColor="text1"/>
              </w:rPr>
              <w:t xml:space="preserve">VND </w:t>
            </w:r>
          </w:p>
        </w:tc>
      </w:tr>
      <w:tr w:rsidR="00D65BFF" w:rsidRPr="00B00C7A" w14:paraId="60FF0DC5" w14:textId="77777777" w:rsidTr="007B1C8E">
        <w:trPr>
          <w:trHeight w:val="20"/>
        </w:trPr>
        <w:tc>
          <w:tcPr>
            <w:tcW w:w="4667" w:type="dxa"/>
            <w:vAlign w:val="bottom"/>
            <w:hideMark/>
          </w:tcPr>
          <w:p w14:paraId="273A48D0" w14:textId="0575417F" w:rsidR="00D65BFF" w:rsidRPr="00B00C7A" w:rsidRDefault="00D65BFF" w:rsidP="00D65BFF">
            <w:pPr>
              <w:widowControl w:val="0"/>
              <w:spacing w:before="120"/>
              <w:ind w:left="-115"/>
              <w:rPr>
                <w:rFonts w:cs="Arial"/>
                <w:color w:val="000000" w:themeColor="text1"/>
              </w:rPr>
            </w:pPr>
            <w:r w:rsidRPr="00FE29CA">
              <w:rPr>
                <w:rFonts w:cs="Arial"/>
                <w:color w:val="000000" w:themeColor="text1"/>
              </w:rPr>
              <w:t>Within one year</w:t>
            </w:r>
          </w:p>
        </w:tc>
        <w:tc>
          <w:tcPr>
            <w:tcW w:w="1723" w:type="dxa"/>
            <w:shd w:val="clear" w:color="auto" w:fill="auto"/>
          </w:tcPr>
          <w:p w14:paraId="020810B6" w14:textId="0D99F170" w:rsidR="00D65BFF" w:rsidRPr="00B00C7A" w:rsidRDefault="00D65BFF" w:rsidP="00D65BFF">
            <w:pPr>
              <w:widowControl w:val="0"/>
              <w:spacing w:before="120"/>
              <w:ind w:left="57" w:right="-85"/>
              <w:jc w:val="right"/>
              <w:rPr>
                <w:rFonts w:eastAsia="Batang" w:cs="Arial"/>
                <w:color w:val="000000" w:themeColor="text1"/>
                <w:highlight w:val="yellow"/>
                <w:lang w:eastAsia="ko-KR"/>
              </w:rPr>
            </w:pPr>
            <w:r w:rsidRPr="0088173B">
              <w:t>8</w:t>
            </w:r>
            <w:r>
              <w:t>,</w:t>
            </w:r>
            <w:r w:rsidRPr="0088173B">
              <w:t>608</w:t>
            </w:r>
            <w:r>
              <w:t>,</w:t>
            </w:r>
            <w:r w:rsidRPr="0088173B">
              <w:t>753</w:t>
            </w:r>
            <w:r>
              <w:t>,</w:t>
            </w:r>
            <w:r w:rsidRPr="0088173B">
              <w:t>200</w:t>
            </w:r>
          </w:p>
        </w:tc>
        <w:tc>
          <w:tcPr>
            <w:tcW w:w="1774" w:type="dxa"/>
            <w:vAlign w:val="bottom"/>
          </w:tcPr>
          <w:p w14:paraId="0A75B720" w14:textId="3DFEBB20" w:rsidR="00D65BFF" w:rsidRPr="00A1553D" w:rsidRDefault="00D65BFF" w:rsidP="00D65BFF">
            <w:pPr>
              <w:widowControl w:val="0"/>
              <w:spacing w:before="120"/>
              <w:ind w:left="57" w:right="-85"/>
              <w:jc w:val="right"/>
              <w:rPr>
                <w:rFonts w:eastAsia="Batang" w:cs="Arial"/>
                <w:color w:val="000000" w:themeColor="text1"/>
                <w:highlight w:val="yellow"/>
                <w:lang w:eastAsia="ko-KR"/>
              </w:rPr>
            </w:pPr>
            <w:r w:rsidRPr="00083186">
              <w:rPr>
                <w:rFonts w:cs="Arial"/>
                <w:color w:val="000000"/>
              </w:rPr>
              <w:t>6</w:t>
            </w:r>
            <w:r>
              <w:rPr>
                <w:rFonts w:cs="Arial"/>
                <w:color w:val="000000"/>
              </w:rPr>
              <w:t>,</w:t>
            </w:r>
            <w:r w:rsidRPr="00083186">
              <w:rPr>
                <w:rFonts w:cs="Arial"/>
                <w:color w:val="000000"/>
              </w:rPr>
              <w:t>346</w:t>
            </w:r>
            <w:r>
              <w:rPr>
                <w:rFonts w:cs="Arial"/>
                <w:color w:val="000000"/>
              </w:rPr>
              <w:t>,</w:t>
            </w:r>
            <w:r w:rsidRPr="00083186">
              <w:rPr>
                <w:rFonts w:cs="Arial"/>
                <w:color w:val="000000"/>
              </w:rPr>
              <w:t>446</w:t>
            </w:r>
            <w:r>
              <w:rPr>
                <w:rFonts w:cs="Arial"/>
                <w:color w:val="000000"/>
              </w:rPr>
              <w:t>,</w:t>
            </w:r>
            <w:r w:rsidRPr="00083186">
              <w:rPr>
                <w:rFonts w:cs="Arial"/>
                <w:color w:val="000000"/>
              </w:rPr>
              <w:t>600</w:t>
            </w:r>
          </w:p>
        </w:tc>
      </w:tr>
      <w:tr w:rsidR="00D65BFF" w:rsidRPr="00B00C7A" w14:paraId="252F3BE6" w14:textId="77777777" w:rsidTr="007B1C8E">
        <w:trPr>
          <w:trHeight w:val="20"/>
        </w:trPr>
        <w:tc>
          <w:tcPr>
            <w:tcW w:w="4667" w:type="dxa"/>
            <w:vAlign w:val="bottom"/>
            <w:hideMark/>
          </w:tcPr>
          <w:p w14:paraId="33C02E2A" w14:textId="480B4759" w:rsidR="00D65BFF" w:rsidRPr="00B00C7A" w:rsidRDefault="00D65BFF" w:rsidP="00D65BFF">
            <w:pPr>
              <w:widowControl w:val="0"/>
              <w:ind w:left="-115"/>
              <w:rPr>
                <w:rFonts w:cs="Arial"/>
                <w:i/>
                <w:color w:val="000000" w:themeColor="text1"/>
              </w:rPr>
            </w:pPr>
            <w:r w:rsidRPr="00CA20C2">
              <w:rPr>
                <w:rFonts w:cs="Arial"/>
                <w:color w:val="000000" w:themeColor="text1"/>
              </w:rPr>
              <w:t>From one to five years</w:t>
            </w:r>
          </w:p>
        </w:tc>
        <w:tc>
          <w:tcPr>
            <w:tcW w:w="1723" w:type="dxa"/>
            <w:shd w:val="clear" w:color="auto" w:fill="auto"/>
          </w:tcPr>
          <w:p w14:paraId="6EB7CDE8" w14:textId="7D9DBF8F" w:rsidR="00D65BFF" w:rsidRPr="00B00C7A" w:rsidRDefault="00D65BFF" w:rsidP="00D65BFF">
            <w:pPr>
              <w:widowControl w:val="0"/>
              <w:pBdr>
                <w:bottom w:val="single" w:sz="4" w:space="0" w:color="auto"/>
              </w:pBdr>
              <w:ind w:left="57" w:right="-85"/>
              <w:jc w:val="right"/>
              <w:rPr>
                <w:rFonts w:eastAsia="Batang" w:cs="Arial"/>
                <w:color w:val="000000" w:themeColor="text1"/>
                <w:highlight w:val="yellow"/>
                <w:lang w:eastAsia="ko-KR"/>
              </w:rPr>
            </w:pPr>
            <w:r w:rsidRPr="0088173B">
              <w:t>10</w:t>
            </w:r>
            <w:r>
              <w:t>,</w:t>
            </w:r>
            <w:r w:rsidRPr="0088173B">
              <w:t>208</w:t>
            </w:r>
            <w:r>
              <w:t>,</w:t>
            </w:r>
            <w:r w:rsidRPr="0088173B">
              <w:t>012</w:t>
            </w:r>
            <w:r>
              <w:t>,</w:t>
            </w:r>
            <w:r w:rsidRPr="0088173B">
              <w:t>000</w:t>
            </w:r>
          </w:p>
        </w:tc>
        <w:tc>
          <w:tcPr>
            <w:tcW w:w="1774" w:type="dxa"/>
            <w:vAlign w:val="bottom"/>
          </w:tcPr>
          <w:p w14:paraId="1C633685" w14:textId="522B92E9" w:rsidR="00D65BFF" w:rsidRPr="00A1553D" w:rsidRDefault="00D65BFF" w:rsidP="00D65BFF">
            <w:pPr>
              <w:widowControl w:val="0"/>
              <w:pBdr>
                <w:bottom w:val="single" w:sz="4" w:space="0" w:color="auto"/>
              </w:pBdr>
              <w:ind w:left="57" w:right="-85"/>
              <w:jc w:val="right"/>
              <w:rPr>
                <w:rFonts w:eastAsia="Batang" w:cs="Arial"/>
                <w:color w:val="000000" w:themeColor="text1"/>
                <w:highlight w:val="yellow"/>
                <w:lang w:eastAsia="ko-KR"/>
              </w:rPr>
            </w:pPr>
            <w:r w:rsidRPr="00083186">
              <w:rPr>
                <w:rFonts w:cs="Arial"/>
                <w:color w:val="000000"/>
              </w:rPr>
              <w:t>8</w:t>
            </w:r>
            <w:r>
              <w:rPr>
                <w:rFonts w:cs="Arial"/>
                <w:color w:val="000000"/>
              </w:rPr>
              <w:t>,</w:t>
            </w:r>
            <w:r w:rsidRPr="00083186">
              <w:rPr>
                <w:rFonts w:cs="Arial"/>
                <w:color w:val="000000"/>
              </w:rPr>
              <w:t>972</w:t>
            </w:r>
            <w:r>
              <w:rPr>
                <w:rFonts w:cs="Arial"/>
                <w:color w:val="000000"/>
              </w:rPr>
              <w:t>,</w:t>
            </w:r>
            <w:r w:rsidRPr="00083186">
              <w:rPr>
                <w:rFonts w:cs="Arial"/>
                <w:color w:val="000000"/>
              </w:rPr>
              <w:t>889</w:t>
            </w:r>
            <w:r>
              <w:rPr>
                <w:rFonts w:cs="Arial"/>
                <w:color w:val="000000"/>
              </w:rPr>
              <w:t>,</w:t>
            </w:r>
            <w:r w:rsidRPr="00083186">
              <w:rPr>
                <w:rFonts w:cs="Arial"/>
                <w:color w:val="000000"/>
              </w:rPr>
              <w:t>000</w:t>
            </w:r>
          </w:p>
        </w:tc>
      </w:tr>
      <w:tr w:rsidR="00D65BFF" w:rsidRPr="00B00C7A" w14:paraId="0CC6513E" w14:textId="77777777" w:rsidTr="007B1C8E">
        <w:trPr>
          <w:trHeight w:val="20"/>
        </w:trPr>
        <w:tc>
          <w:tcPr>
            <w:tcW w:w="4667" w:type="dxa"/>
            <w:vAlign w:val="bottom"/>
          </w:tcPr>
          <w:p w14:paraId="2019A725" w14:textId="77777777" w:rsidR="00D65BFF" w:rsidRPr="00B00C7A" w:rsidRDefault="00D65BFF" w:rsidP="00D65BFF">
            <w:pPr>
              <w:widowControl w:val="0"/>
              <w:spacing w:before="120"/>
              <w:ind w:left="-115"/>
              <w:rPr>
                <w:rFonts w:cs="Arial"/>
                <w:b/>
                <w:color w:val="000000" w:themeColor="text1"/>
              </w:rPr>
            </w:pPr>
          </w:p>
        </w:tc>
        <w:tc>
          <w:tcPr>
            <w:tcW w:w="1723" w:type="dxa"/>
            <w:shd w:val="clear" w:color="auto" w:fill="auto"/>
          </w:tcPr>
          <w:p w14:paraId="132DFFF3" w14:textId="23B01284" w:rsidR="00D65BFF" w:rsidRPr="00D65BFF" w:rsidRDefault="00D65BFF" w:rsidP="00D65BFF">
            <w:pPr>
              <w:widowControl w:val="0"/>
              <w:pBdr>
                <w:bottom w:val="double" w:sz="4" w:space="0" w:color="auto"/>
              </w:pBdr>
              <w:spacing w:before="120"/>
              <w:ind w:left="57" w:right="-85"/>
              <w:jc w:val="right"/>
              <w:rPr>
                <w:rFonts w:eastAsia="Batang" w:cs="Arial"/>
                <w:b/>
                <w:bCs/>
                <w:color w:val="000000" w:themeColor="text1"/>
                <w:highlight w:val="yellow"/>
                <w:lang w:eastAsia="ko-KR"/>
              </w:rPr>
            </w:pPr>
            <w:r w:rsidRPr="00D65BFF">
              <w:rPr>
                <w:b/>
                <w:bCs/>
              </w:rPr>
              <w:t>18</w:t>
            </w:r>
            <w:r>
              <w:rPr>
                <w:b/>
                <w:bCs/>
              </w:rPr>
              <w:t>,</w:t>
            </w:r>
            <w:r w:rsidRPr="00D65BFF">
              <w:rPr>
                <w:b/>
                <w:bCs/>
              </w:rPr>
              <w:t>816</w:t>
            </w:r>
            <w:r>
              <w:rPr>
                <w:b/>
                <w:bCs/>
              </w:rPr>
              <w:t>,</w:t>
            </w:r>
            <w:r w:rsidRPr="00D65BFF">
              <w:rPr>
                <w:b/>
                <w:bCs/>
              </w:rPr>
              <w:t>765</w:t>
            </w:r>
            <w:r>
              <w:rPr>
                <w:b/>
                <w:bCs/>
              </w:rPr>
              <w:t>,</w:t>
            </w:r>
            <w:r w:rsidRPr="00D65BFF">
              <w:rPr>
                <w:b/>
                <w:bCs/>
              </w:rPr>
              <w:t>200</w:t>
            </w:r>
          </w:p>
        </w:tc>
        <w:tc>
          <w:tcPr>
            <w:tcW w:w="1774" w:type="dxa"/>
            <w:vAlign w:val="bottom"/>
          </w:tcPr>
          <w:p w14:paraId="66C0C805" w14:textId="2AD4683F" w:rsidR="00D65BFF" w:rsidRPr="00A1553D" w:rsidRDefault="00D65BFF" w:rsidP="00D65BFF">
            <w:pPr>
              <w:widowControl w:val="0"/>
              <w:pBdr>
                <w:bottom w:val="double" w:sz="4" w:space="0" w:color="auto"/>
              </w:pBdr>
              <w:spacing w:before="120"/>
              <w:ind w:left="57" w:right="-85"/>
              <w:jc w:val="right"/>
              <w:rPr>
                <w:rFonts w:cs="Arial"/>
                <w:b/>
                <w:bCs/>
                <w:color w:val="000000" w:themeColor="text1"/>
                <w:highlight w:val="yellow"/>
              </w:rPr>
            </w:pPr>
            <w:r w:rsidRPr="003C222B">
              <w:rPr>
                <w:rFonts w:cs="Arial"/>
                <w:b/>
                <w:bCs/>
                <w:color w:val="000000"/>
              </w:rPr>
              <w:t>15</w:t>
            </w:r>
            <w:r>
              <w:rPr>
                <w:rFonts w:cs="Arial"/>
                <w:b/>
                <w:bCs/>
                <w:color w:val="000000"/>
              </w:rPr>
              <w:t>,</w:t>
            </w:r>
            <w:r w:rsidRPr="003C222B">
              <w:rPr>
                <w:rFonts w:cs="Arial"/>
                <w:b/>
                <w:bCs/>
                <w:color w:val="000000"/>
              </w:rPr>
              <w:t>319</w:t>
            </w:r>
            <w:r>
              <w:rPr>
                <w:rFonts w:cs="Arial"/>
                <w:b/>
                <w:bCs/>
                <w:color w:val="000000"/>
              </w:rPr>
              <w:t>,</w:t>
            </w:r>
            <w:r w:rsidRPr="003C222B">
              <w:rPr>
                <w:rFonts w:cs="Arial"/>
                <w:b/>
                <w:bCs/>
                <w:color w:val="000000"/>
              </w:rPr>
              <w:t>335</w:t>
            </w:r>
            <w:r>
              <w:rPr>
                <w:rFonts w:cs="Arial"/>
                <w:b/>
                <w:bCs/>
                <w:color w:val="000000"/>
              </w:rPr>
              <w:t>,</w:t>
            </w:r>
            <w:r w:rsidRPr="003C222B">
              <w:rPr>
                <w:rFonts w:cs="Arial"/>
                <w:b/>
                <w:bCs/>
                <w:color w:val="000000"/>
              </w:rPr>
              <w:t>600</w:t>
            </w:r>
          </w:p>
        </w:tc>
      </w:tr>
    </w:tbl>
    <w:p w14:paraId="3A45F906" w14:textId="7440E876" w:rsidR="009E0953" w:rsidRPr="002A0B87" w:rsidRDefault="009E0953" w:rsidP="00760439">
      <w:pPr>
        <w:pStyle w:val="NoSpacing"/>
      </w:pPr>
    </w:p>
    <w:p w14:paraId="7922E36F" w14:textId="77777777" w:rsidR="00D15147" w:rsidRPr="002A0B87" w:rsidRDefault="00D15147" w:rsidP="00760439">
      <w:pPr>
        <w:pStyle w:val="NoSpacing"/>
      </w:pPr>
    </w:p>
    <w:p w14:paraId="0F6BFA6E" w14:textId="105BEAEB" w:rsidR="0085475F" w:rsidRPr="002A0B87" w:rsidRDefault="00B04148" w:rsidP="00760439">
      <w:pPr>
        <w:pStyle w:val="Heading1"/>
      </w:pPr>
      <w:r>
        <w:t>28</w:t>
      </w:r>
      <w:r w:rsidR="0085475F" w:rsidRPr="002A0B87">
        <w:rPr>
          <w:lang w:val="vi-VN"/>
        </w:rPr>
        <w:t>.</w:t>
      </w:r>
      <w:r w:rsidR="0085475F" w:rsidRPr="002A0B87">
        <w:rPr>
          <w:lang w:val="vi-VN"/>
        </w:rPr>
        <w:tab/>
      </w:r>
      <w:r w:rsidR="00D76ACB" w:rsidRPr="00D76ACB">
        <w:rPr>
          <w:lang w:val="vi-VN"/>
        </w:rPr>
        <w:t>PURPOSES AND POLICIES OF FINANCIAL RISK MANAGEMENT</w:t>
      </w:r>
      <w:r w:rsidR="00D76ACB" w:rsidRPr="00D76ACB" w:rsidDel="00D76ACB">
        <w:rPr>
          <w:lang w:val="vi-VN"/>
        </w:rPr>
        <w:t xml:space="preserve"> </w:t>
      </w:r>
    </w:p>
    <w:p w14:paraId="3C72FC91" w14:textId="77777777" w:rsidR="0085475F" w:rsidRPr="002A0B87" w:rsidRDefault="0085475F" w:rsidP="00760439">
      <w:pPr>
        <w:pStyle w:val="NoSpacing"/>
      </w:pPr>
    </w:p>
    <w:p w14:paraId="047985F0" w14:textId="023DFAC2" w:rsidR="007560E1" w:rsidRPr="002A0B87" w:rsidRDefault="00566330" w:rsidP="00760439">
      <w:pPr>
        <w:pStyle w:val="NoSpacing"/>
      </w:pPr>
      <w:r w:rsidRPr="00566330">
        <w:t>The Company’s financial liabilities comprise mostly loans and borrowings, payables to suppliers and other payables. The main purpose of these financial liabilities is to finance the Company’s operations. The Company has loans, trade and other receivables, cash and short-term deposits that arise directly from its operations.</w:t>
      </w:r>
      <w:r w:rsidR="007560E1" w:rsidRPr="002A0B87">
        <w:t xml:space="preserve"> </w:t>
      </w:r>
    </w:p>
    <w:p w14:paraId="4514075A" w14:textId="77777777" w:rsidR="007560E1" w:rsidRPr="002A0B87" w:rsidRDefault="007560E1" w:rsidP="00760439">
      <w:pPr>
        <w:pStyle w:val="NoSpacing"/>
      </w:pPr>
    </w:p>
    <w:p w14:paraId="2C6AE642" w14:textId="2430DFBB" w:rsidR="007560E1" w:rsidRPr="002A0B87" w:rsidRDefault="00B41E09" w:rsidP="00760439">
      <w:pPr>
        <w:pStyle w:val="NoSpacing"/>
      </w:pPr>
      <w:r w:rsidRPr="00B41E09">
        <w:t>The Company is exposed to market risk, credit risk and liquidity risk.</w:t>
      </w:r>
    </w:p>
    <w:p w14:paraId="1C102E4C" w14:textId="77777777" w:rsidR="007560E1" w:rsidRPr="002A0B87" w:rsidRDefault="007560E1" w:rsidP="00760439">
      <w:pPr>
        <w:pStyle w:val="NoSpacing"/>
      </w:pPr>
    </w:p>
    <w:p w14:paraId="33CCD58E" w14:textId="4B0B2148" w:rsidR="007560E1" w:rsidRPr="002A0B87" w:rsidRDefault="00CF3AF7" w:rsidP="00760439">
      <w:pPr>
        <w:pStyle w:val="NoSpacing"/>
      </w:pPr>
      <w:r w:rsidRPr="00CF3AF7">
        <w:t>Risk management is integral to the whole business of the Company. The Company has a system of controls in place to maintain an acceptable balance between the cost arising from risks and the cost of managing the risks. Management continually monitors the Company's risk management process to ensure that an appropriate balance between risk and control is achieved.</w:t>
      </w:r>
    </w:p>
    <w:p w14:paraId="5429680D" w14:textId="77777777" w:rsidR="007560E1" w:rsidRPr="002A0B87" w:rsidRDefault="007560E1" w:rsidP="00760439">
      <w:pPr>
        <w:pStyle w:val="NoSpacing"/>
      </w:pPr>
    </w:p>
    <w:p w14:paraId="53898ECB" w14:textId="0DEA259B" w:rsidR="007560E1" w:rsidRPr="002A0B87" w:rsidRDefault="00F6451A" w:rsidP="00760439">
      <w:pPr>
        <w:pStyle w:val="NoSpacing"/>
      </w:pPr>
      <w:r w:rsidRPr="00F6451A">
        <w:t>Management reviews and agrees policies for monitoring each of these risks which are summarized below:</w:t>
      </w:r>
    </w:p>
    <w:p w14:paraId="70C6F511" w14:textId="77777777" w:rsidR="000B07DB" w:rsidRDefault="000B07DB" w:rsidP="00760439">
      <w:pPr>
        <w:pStyle w:val="NoSpacing"/>
      </w:pPr>
    </w:p>
    <w:p w14:paraId="1BB470FC" w14:textId="6AB156D7" w:rsidR="00386C5C" w:rsidRPr="002A0B87" w:rsidRDefault="00386C5C" w:rsidP="00386C5C">
      <w:pPr>
        <w:pStyle w:val="Heading2"/>
      </w:pPr>
      <w:r>
        <w:t>28</w:t>
      </w:r>
      <w:r w:rsidRPr="002A0B87">
        <w:t>.1</w:t>
      </w:r>
      <w:r w:rsidRPr="002A0B87">
        <w:tab/>
      </w:r>
      <w:r w:rsidR="00A04C49" w:rsidRPr="00A04C49">
        <w:t>Market risk</w:t>
      </w:r>
      <w:r w:rsidR="00A04C49" w:rsidRPr="00A04C49" w:rsidDel="00A04C49">
        <w:t xml:space="preserve"> </w:t>
      </w:r>
    </w:p>
    <w:p w14:paraId="745F24EC" w14:textId="77777777" w:rsidR="00386C5C" w:rsidRPr="002A0B87" w:rsidRDefault="00386C5C" w:rsidP="00386C5C">
      <w:pPr>
        <w:pStyle w:val="NoSpacing"/>
      </w:pPr>
    </w:p>
    <w:p w14:paraId="0118667A" w14:textId="39F3EC72" w:rsidR="00386C5C" w:rsidRPr="002A0B87" w:rsidRDefault="00F04AD1" w:rsidP="00386C5C">
      <w:pPr>
        <w:pStyle w:val="NoSpacing"/>
      </w:pPr>
      <w:r w:rsidRPr="00F04AD1">
        <w:t xml:space="preserve">Market risk is the risk that the fair value of future cash flows of a financial instrument will fluctuate because of changes in market prices. There are four types of market risk: interest rate risk, currency risk, commodity price risk and other price risk, such as equity price risk. Financial instruments affected by market risk include loans and borrowings, </w:t>
      </w:r>
      <w:proofErr w:type="gramStart"/>
      <w:r w:rsidRPr="00F04AD1">
        <w:t>deposits</w:t>
      </w:r>
      <w:proofErr w:type="gramEnd"/>
      <w:r w:rsidRPr="00F04AD1">
        <w:t xml:space="preserve"> and investments.</w:t>
      </w:r>
    </w:p>
    <w:p w14:paraId="202009CC" w14:textId="77777777" w:rsidR="00386C5C" w:rsidRPr="002A0B87" w:rsidRDefault="00386C5C" w:rsidP="00386C5C">
      <w:pPr>
        <w:pStyle w:val="NoSpacing"/>
      </w:pPr>
    </w:p>
    <w:p w14:paraId="0824A8C9" w14:textId="428CB332" w:rsidR="00386C5C" w:rsidRPr="002A0B87" w:rsidRDefault="009D454C" w:rsidP="00386C5C">
      <w:pPr>
        <w:pStyle w:val="NoSpacing"/>
        <w:rPr>
          <w:i/>
        </w:rPr>
      </w:pPr>
      <w:r w:rsidRPr="009D454C">
        <w:rPr>
          <w:i/>
        </w:rPr>
        <w:t>Interest rate risk</w:t>
      </w:r>
      <w:r w:rsidRPr="009D454C" w:rsidDel="009D454C">
        <w:rPr>
          <w:i/>
        </w:rPr>
        <w:t xml:space="preserve"> </w:t>
      </w:r>
    </w:p>
    <w:p w14:paraId="016BE58D" w14:textId="77777777" w:rsidR="00386C5C" w:rsidRPr="002A0B87" w:rsidRDefault="00386C5C" w:rsidP="00386C5C">
      <w:pPr>
        <w:pStyle w:val="NoSpacing"/>
      </w:pPr>
      <w:r w:rsidRPr="002A0B87">
        <w:tab/>
      </w:r>
    </w:p>
    <w:p w14:paraId="235208BC" w14:textId="5DC2AB51" w:rsidR="00386C5C" w:rsidRPr="002A0B87" w:rsidRDefault="00BE4763" w:rsidP="00386C5C">
      <w:pPr>
        <w:pStyle w:val="NoSpacing"/>
      </w:pPr>
      <w:r w:rsidRPr="00BE4763">
        <w:t xml:space="preserve">Interest rate risk is the risk that the fair value or future cash flows of a financial instrument will fluctuate because of changes in market interest rates. The Company’s exposure to market risk due to changes in interest rate relates primarily to cash and short-term deposits, held-to-maturity </w:t>
      </w:r>
      <w:proofErr w:type="gramStart"/>
      <w:r w:rsidRPr="00BE4763">
        <w:t>investments</w:t>
      </w:r>
      <w:proofErr w:type="gramEnd"/>
      <w:r w:rsidRPr="00BE4763">
        <w:t xml:space="preserve"> and loans. Financial liabilities have fixed interest rates.</w:t>
      </w:r>
    </w:p>
    <w:p w14:paraId="1D25E077" w14:textId="77777777" w:rsidR="00386C5C" w:rsidRPr="002A0B87" w:rsidRDefault="00386C5C" w:rsidP="00386C5C">
      <w:pPr>
        <w:pStyle w:val="NoSpacing"/>
      </w:pPr>
    </w:p>
    <w:p w14:paraId="5120F97D" w14:textId="7CAC603C" w:rsidR="00386C5C" w:rsidRPr="002A0B87" w:rsidRDefault="00680B41" w:rsidP="00386C5C">
      <w:pPr>
        <w:pStyle w:val="NoSpacing"/>
      </w:pPr>
      <w:r w:rsidRPr="00680B41">
        <w:t>The Company manages interest rate risk by looking at the competitive structure of the market to identify a proper interest rate policy which is favorable for its purposes within its risk management limits. No analysis on interest sensitivity is performed since the Company’s exposure to risk of changes in interest rate is insignificant.</w:t>
      </w:r>
    </w:p>
    <w:p w14:paraId="79101C74" w14:textId="77777777" w:rsidR="00386C5C" w:rsidRPr="002A0B87" w:rsidRDefault="00386C5C" w:rsidP="00386C5C">
      <w:pPr>
        <w:pStyle w:val="NoSpacing"/>
      </w:pPr>
    </w:p>
    <w:p w14:paraId="7A208B7E" w14:textId="2E5F3D69" w:rsidR="00386C5C" w:rsidRPr="002A0B87" w:rsidRDefault="00ED344D" w:rsidP="00386C5C">
      <w:pPr>
        <w:pStyle w:val="NoSpacing"/>
      </w:pPr>
      <w:r w:rsidRPr="00ED344D">
        <w:rPr>
          <w:i/>
        </w:rPr>
        <w:t>Foreign exchange risk</w:t>
      </w:r>
      <w:r w:rsidRPr="00ED344D" w:rsidDel="00ED344D">
        <w:rPr>
          <w:i/>
        </w:rPr>
        <w:t xml:space="preserve"> </w:t>
      </w:r>
    </w:p>
    <w:p w14:paraId="4D945CA1" w14:textId="77777777" w:rsidR="00386C5C" w:rsidRPr="002A0B87" w:rsidRDefault="00386C5C" w:rsidP="00386C5C">
      <w:pPr>
        <w:pStyle w:val="NoSpacing"/>
      </w:pPr>
    </w:p>
    <w:p w14:paraId="4FB27011" w14:textId="2715C42F" w:rsidR="00386C5C" w:rsidRPr="002A0B87" w:rsidRDefault="00241862" w:rsidP="00386C5C">
      <w:pPr>
        <w:pStyle w:val="NoSpacing"/>
      </w:pPr>
      <w:r w:rsidRPr="00241862">
        <w:t>Foreign currency risk is the risk that the fair value or future cash flows of a financial instrument will fluctuate because of changes in foreign exchange rates. The Company’s exposure to the risk of changes in foreign exchange rates relates primarily to the Company’s operating activities (in which revenue or expense is denominated in a different currency from the Company’s accounting currency).</w:t>
      </w:r>
      <w:r w:rsidR="00386C5C" w:rsidRPr="002A0B87">
        <w:t xml:space="preserve"> </w:t>
      </w:r>
    </w:p>
    <w:p w14:paraId="0B822561" w14:textId="77777777" w:rsidR="00386C5C" w:rsidRPr="002A0B87" w:rsidRDefault="00386C5C" w:rsidP="00386C5C">
      <w:pPr>
        <w:pStyle w:val="NoSpacing"/>
      </w:pPr>
    </w:p>
    <w:p w14:paraId="1AE0AE9E" w14:textId="60DC13E6" w:rsidR="00386C5C" w:rsidRDefault="00B831F9" w:rsidP="00386C5C">
      <w:pPr>
        <w:overflowPunct/>
        <w:ind w:left="720"/>
        <w:textAlignment w:val="auto"/>
      </w:pPr>
      <w:r w:rsidRPr="00B831F9">
        <w:rPr>
          <w:rFonts w:cs="Arial"/>
          <w:bCs/>
        </w:rPr>
        <w:t>The Company manages foreign exchange risk by hedging against transactions that are expected to take place in the future.</w:t>
      </w:r>
    </w:p>
    <w:p w14:paraId="566A21D6" w14:textId="77777777" w:rsidR="00B04148" w:rsidRDefault="00B04148" w:rsidP="00B04148">
      <w:pPr>
        <w:pStyle w:val="NoSpacing"/>
        <w:sectPr w:rsidR="00B04148" w:rsidSect="007560E1">
          <w:pgSz w:w="11909" w:h="16834" w:code="9"/>
          <w:pgMar w:top="1440" w:right="1440" w:bottom="862" w:left="1582" w:header="720" w:footer="578" w:gutter="0"/>
          <w:cols w:space="720"/>
        </w:sectPr>
      </w:pPr>
    </w:p>
    <w:p w14:paraId="3E47BC2C" w14:textId="34C570A2" w:rsidR="00B04148" w:rsidRPr="002A0B87" w:rsidRDefault="00B04148" w:rsidP="00B04148">
      <w:pPr>
        <w:ind w:left="720" w:hanging="720"/>
        <w:rPr>
          <w:rFonts w:cs="Arial"/>
          <w:bCs/>
        </w:rPr>
      </w:pPr>
      <w:r>
        <w:rPr>
          <w:rFonts w:cs="Arial"/>
          <w:b/>
          <w:bCs/>
        </w:rPr>
        <w:lastRenderedPageBreak/>
        <w:t>28</w:t>
      </w:r>
      <w:r w:rsidRPr="002A0B87">
        <w:rPr>
          <w:rFonts w:cs="Arial"/>
          <w:b/>
          <w:bCs/>
        </w:rPr>
        <w:t>.</w:t>
      </w:r>
      <w:r w:rsidRPr="002A0B87">
        <w:rPr>
          <w:rFonts w:cs="Arial"/>
          <w:b/>
          <w:bCs/>
        </w:rPr>
        <w:tab/>
      </w:r>
      <w:r w:rsidR="000B0699" w:rsidRPr="000B0699">
        <w:rPr>
          <w:rFonts w:cs="Arial"/>
          <w:b/>
          <w:bCs/>
        </w:rPr>
        <w:t xml:space="preserve">PURPOSES AND POLICIES OF FINANCIAL RISK MANAGEMENT </w:t>
      </w:r>
      <w:r w:rsidR="000B0699" w:rsidRPr="00FA28E4">
        <w:rPr>
          <w:rFonts w:cs="Arial"/>
        </w:rPr>
        <w:t>(continued)</w:t>
      </w:r>
    </w:p>
    <w:p w14:paraId="79D1AA25" w14:textId="77777777" w:rsidR="007560E1" w:rsidRPr="002A0B87" w:rsidRDefault="007560E1" w:rsidP="00760439">
      <w:pPr>
        <w:pStyle w:val="NoSpacing"/>
      </w:pPr>
    </w:p>
    <w:p w14:paraId="651DA102" w14:textId="3A6CC6C1" w:rsidR="007560E1" w:rsidRPr="002A0B87" w:rsidRDefault="001D70A0" w:rsidP="00760439">
      <w:pPr>
        <w:pStyle w:val="Heading2"/>
      </w:pPr>
      <w:r>
        <w:t>28</w:t>
      </w:r>
      <w:r w:rsidR="004A3D3F" w:rsidRPr="002A0B87">
        <w:t>.2</w:t>
      </w:r>
      <w:r w:rsidR="004A3D3F" w:rsidRPr="002A0B87">
        <w:tab/>
      </w:r>
      <w:r w:rsidR="00914DB7" w:rsidRPr="00914DB7">
        <w:t>Equity price risk</w:t>
      </w:r>
      <w:r w:rsidR="00914DB7" w:rsidRPr="00914DB7" w:rsidDel="00914DB7">
        <w:t xml:space="preserve"> </w:t>
      </w:r>
    </w:p>
    <w:p w14:paraId="7253B3E8" w14:textId="77777777" w:rsidR="00024891" w:rsidRPr="002A0B87" w:rsidRDefault="00024891" w:rsidP="00760439">
      <w:pPr>
        <w:pStyle w:val="NoSpacing"/>
      </w:pPr>
    </w:p>
    <w:p w14:paraId="498D76BB" w14:textId="1C7AD878" w:rsidR="007560E1" w:rsidRPr="002A0B87" w:rsidRDefault="00974936" w:rsidP="00760439">
      <w:pPr>
        <w:pStyle w:val="NoSpacing"/>
      </w:pPr>
      <w:r w:rsidRPr="00974936">
        <w:t>Listed and non-listed securities which are held by the Company are affected by market risk arising from the uncertainty of future value of invested securities. The Company manages equity price risk by establishing investment limits. The Company’s Operational Management Division considers and approves decisions on investment in securities.</w:t>
      </w:r>
    </w:p>
    <w:p w14:paraId="5310BB00" w14:textId="77777777" w:rsidR="007560E1" w:rsidRPr="002A0B87" w:rsidRDefault="007560E1" w:rsidP="00760439">
      <w:pPr>
        <w:pStyle w:val="NoSpacing"/>
      </w:pPr>
    </w:p>
    <w:p w14:paraId="3F54CF5E" w14:textId="31B0053E" w:rsidR="000F65AE" w:rsidRPr="002A0B87" w:rsidRDefault="00600D2E" w:rsidP="00760439">
      <w:pPr>
        <w:pStyle w:val="NoSpacing"/>
      </w:pPr>
      <w:r w:rsidRPr="00600D2E">
        <w:t xml:space="preserve">At the date of the financial statements, the fair value of the investments in listed shares </w:t>
      </w:r>
      <w:r w:rsidR="00165C6D">
        <w:t>and</w:t>
      </w:r>
      <w:r w:rsidR="005D2F40">
        <w:t xml:space="preserve"> non-listed shares but registered for trading on </w:t>
      </w:r>
      <w:proofErr w:type="spellStart"/>
      <w:r w:rsidR="005D2F40">
        <w:t>UPCoM</w:t>
      </w:r>
      <w:proofErr w:type="spellEnd"/>
      <w:r w:rsidR="005D2F40">
        <w:t xml:space="preserve"> </w:t>
      </w:r>
      <w:r w:rsidRPr="00600D2E">
        <w:t xml:space="preserve">of the Company </w:t>
      </w:r>
      <w:r w:rsidR="005D2F40" w:rsidRPr="00600D2E">
        <w:t>w</w:t>
      </w:r>
      <w:r w:rsidR="005D2F40">
        <w:t>ere</w:t>
      </w:r>
      <w:r w:rsidR="005D2F40" w:rsidRPr="00600D2E">
        <w:t xml:space="preserve"> </w:t>
      </w:r>
      <w:r w:rsidRPr="00600D2E">
        <w:t xml:space="preserve">VND </w:t>
      </w:r>
      <w:r w:rsidR="000053F4">
        <w:t>301,045,250</w:t>
      </w:r>
      <w:r w:rsidRPr="00600D2E">
        <w:t xml:space="preserve"> (as </w:t>
      </w:r>
      <w:proofErr w:type="gramStart"/>
      <w:r w:rsidRPr="00600D2E">
        <w:t>at</w:t>
      </w:r>
      <w:proofErr w:type="gramEnd"/>
      <w:r w:rsidRPr="00600D2E">
        <w:t xml:space="preserve"> 31 December 2020: VND 822,392,030). The 10% increase (or decrease) in market index would possibly result in a corresponding increase (or decrease) in revenue from investment of the Company, depending on its magnitude and length as well as the Company’s ownership position of securities which have significant influence on market index.</w:t>
      </w:r>
      <w:r w:rsidR="000F65AE" w:rsidRPr="002A0B87" w:rsidDel="000F65AE">
        <w:t xml:space="preserve"> </w:t>
      </w:r>
    </w:p>
    <w:p w14:paraId="739CA25B" w14:textId="77777777" w:rsidR="008F16DF" w:rsidRPr="002A0B87" w:rsidRDefault="008F16DF" w:rsidP="00760439">
      <w:pPr>
        <w:pStyle w:val="NoSpacing"/>
      </w:pPr>
    </w:p>
    <w:p w14:paraId="41EE08F7" w14:textId="5A591A64" w:rsidR="007560E1" w:rsidRPr="002A0B87" w:rsidRDefault="001D70A0" w:rsidP="00760439">
      <w:pPr>
        <w:pStyle w:val="Heading2"/>
      </w:pPr>
      <w:r>
        <w:t>28</w:t>
      </w:r>
      <w:r w:rsidR="00412CCD" w:rsidRPr="002A0B87">
        <w:t>.3</w:t>
      </w:r>
      <w:r w:rsidR="00412CCD" w:rsidRPr="002A0B87">
        <w:tab/>
      </w:r>
      <w:r w:rsidR="00C92B96" w:rsidRPr="00C92B96">
        <w:t>Credit risk</w:t>
      </w:r>
      <w:r w:rsidR="00C92B96" w:rsidRPr="00C92B96" w:rsidDel="00C92B96">
        <w:t xml:space="preserve"> </w:t>
      </w:r>
    </w:p>
    <w:p w14:paraId="63DAC6C4" w14:textId="77777777" w:rsidR="007560E1" w:rsidRPr="002A0B87" w:rsidRDefault="007560E1" w:rsidP="00760439">
      <w:pPr>
        <w:pStyle w:val="NoSpacing"/>
      </w:pPr>
    </w:p>
    <w:p w14:paraId="5B0841A4" w14:textId="5DC0854D" w:rsidR="007560E1" w:rsidRPr="002A0B87" w:rsidRDefault="00B64320" w:rsidP="00760439">
      <w:pPr>
        <w:pStyle w:val="NoSpacing"/>
      </w:pPr>
      <w:r w:rsidRPr="00B64320">
        <w:t>Credit risk is the risk that a counterparty would not meet its obligations under a financial instrument or customer contract, leading to a financial loss. The Company is exposed to credit risk from its operating activities (primarily for loans and receivables) and from its financing activities, including deposits with banks.</w:t>
      </w:r>
    </w:p>
    <w:p w14:paraId="16D5065B" w14:textId="77777777" w:rsidR="00386C5C" w:rsidRPr="002A0B87" w:rsidRDefault="00386C5C" w:rsidP="00386C5C">
      <w:pPr>
        <w:pStyle w:val="NoSpacing"/>
      </w:pPr>
    </w:p>
    <w:p w14:paraId="0561A116" w14:textId="3E6D83E1" w:rsidR="00386C5C" w:rsidRPr="002A0B87" w:rsidRDefault="00A86E11" w:rsidP="00386C5C">
      <w:pPr>
        <w:pStyle w:val="NoSpacing"/>
        <w:rPr>
          <w:i/>
        </w:rPr>
      </w:pPr>
      <w:r w:rsidRPr="00A86E11">
        <w:rPr>
          <w:i/>
        </w:rPr>
        <w:t>Receivables</w:t>
      </w:r>
      <w:r w:rsidRPr="00A86E11" w:rsidDel="00A86E11">
        <w:rPr>
          <w:i/>
        </w:rPr>
        <w:t xml:space="preserve"> </w:t>
      </w:r>
    </w:p>
    <w:p w14:paraId="0D6D7C2C" w14:textId="77777777" w:rsidR="00386C5C" w:rsidRPr="002A0B87" w:rsidRDefault="00386C5C" w:rsidP="00386C5C">
      <w:pPr>
        <w:pStyle w:val="NoSpacing"/>
      </w:pPr>
    </w:p>
    <w:p w14:paraId="3C4159C9" w14:textId="67D344ED" w:rsidR="00386C5C" w:rsidRPr="002A0B87" w:rsidRDefault="005820C5" w:rsidP="00386C5C">
      <w:pPr>
        <w:pStyle w:val="NoSpacing"/>
      </w:pPr>
      <w:r w:rsidRPr="005820C5">
        <w:t>Customer credit risk is managed by the Company based on its established policies, procedures and controls relating to customer credit risk management.</w:t>
      </w:r>
    </w:p>
    <w:p w14:paraId="321E3788" w14:textId="77777777" w:rsidR="00386C5C" w:rsidRPr="002A0B87" w:rsidRDefault="00386C5C" w:rsidP="00386C5C">
      <w:pPr>
        <w:pStyle w:val="NoSpacing"/>
        <w:rPr>
          <w:sz w:val="18"/>
        </w:rPr>
      </w:pPr>
    </w:p>
    <w:p w14:paraId="4C452922" w14:textId="0E24A13D" w:rsidR="00386C5C" w:rsidRPr="002A0B87" w:rsidRDefault="006A5A9C" w:rsidP="00386C5C">
      <w:pPr>
        <w:pStyle w:val="NoSpacing"/>
      </w:pPr>
      <w:r w:rsidRPr="006A5A9C">
        <w:t xml:space="preserve">Outstanding customer receivables are regularly monitored. Customer credit quality’s impairment is analyzed at each reporting date on an individual basis for major clients. The Company closely monitors outstanding receivables and operates a credit control unit to mitigate credit risk. </w:t>
      </w:r>
      <w:proofErr w:type="gramStart"/>
      <w:r w:rsidRPr="006A5A9C">
        <w:t>Due to the fact that</w:t>
      </w:r>
      <w:proofErr w:type="gramEnd"/>
      <w:r w:rsidRPr="006A5A9C">
        <w:t xml:space="preserve"> the Company’s receivables relate to a large number of diversified customers and corresponding collateral assets, there is no significant concentration of credit risk.</w:t>
      </w:r>
    </w:p>
    <w:p w14:paraId="1447D732" w14:textId="77777777" w:rsidR="00386C5C" w:rsidRPr="002A0B87" w:rsidRDefault="00386C5C" w:rsidP="00386C5C">
      <w:pPr>
        <w:pStyle w:val="NoSpacing"/>
        <w:rPr>
          <w:sz w:val="18"/>
        </w:rPr>
      </w:pPr>
    </w:p>
    <w:p w14:paraId="2317447A" w14:textId="5A8132A2" w:rsidR="00386C5C" w:rsidRPr="002A0B87" w:rsidRDefault="003D7549" w:rsidP="00386C5C">
      <w:pPr>
        <w:pStyle w:val="NoSpacing"/>
      </w:pPr>
      <w:r w:rsidRPr="003D7549">
        <w:rPr>
          <w:i/>
        </w:rPr>
        <w:t>Deposits at banks</w:t>
      </w:r>
      <w:r w:rsidRPr="003D7549" w:rsidDel="003D7549">
        <w:rPr>
          <w:i/>
        </w:rPr>
        <w:t xml:space="preserve"> </w:t>
      </w:r>
    </w:p>
    <w:p w14:paraId="4EAAAF59" w14:textId="77777777" w:rsidR="00386C5C" w:rsidRPr="002A0B87" w:rsidRDefault="00386C5C" w:rsidP="00386C5C">
      <w:pPr>
        <w:pStyle w:val="NoSpacing"/>
      </w:pPr>
    </w:p>
    <w:p w14:paraId="0515B790" w14:textId="5A4FF605" w:rsidR="00386C5C" w:rsidRPr="002A0B87" w:rsidRDefault="000132DE" w:rsidP="00386C5C">
      <w:pPr>
        <w:pStyle w:val="NoSpacing"/>
      </w:pPr>
      <w:r w:rsidRPr="000132DE">
        <w:t>The Company's bank balances are mainly maintained with high credit rating banks in Vietnam. Credit risk from balances with banks is managed by the Company’s accounting department in accordance with the Company’s policy. The Company evaluates the concentration of credit risk in respect to bank deposits as low.</w:t>
      </w:r>
    </w:p>
    <w:p w14:paraId="2D2FB4B4" w14:textId="77777777" w:rsidR="00386C5C" w:rsidRPr="002A0B87" w:rsidRDefault="00386C5C" w:rsidP="00386C5C">
      <w:pPr>
        <w:pStyle w:val="NoSpacing"/>
      </w:pPr>
    </w:p>
    <w:p w14:paraId="1A34295F" w14:textId="352DB7BD" w:rsidR="00386C5C" w:rsidRPr="002A0B87" w:rsidRDefault="00FF2FCC" w:rsidP="00386C5C">
      <w:pPr>
        <w:pStyle w:val="NoSpacing"/>
        <w:rPr>
          <w:i/>
        </w:rPr>
      </w:pPr>
      <w:r w:rsidRPr="00FF2FCC">
        <w:rPr>
          <w:i/>
        </w:rPr>
        <w:t>Margin lending and advances to customers</w:t>
      </w:r>
      <w:r w:rsidRPr="00FF2FCC" w:rsidDel="00FF2FCC">
        <w:rPr>
          <w:i/>
        </w:rPr>
        <w:t xml:space="preserve"> </w:t>
      </w:r>
    </w:p>
    <w:p w14:paraId="5E23DC07" w14:textId="77777777" w:rsidR="00386C5C" w:rsidRPr="002A0B87" w:rsidRDefault="00386C5C" w:rsidP="00386C5C">
      <w:pPr>
        <w:pStyle w:val="NoSpacing"/>
      </w:pPr>
    </w:p>
    <w:p w14:paraId="20BCF36D" w14:textId="4B8BEDD3" w:rsidR="00386C5C" w:rsidRPr="002A0B87" w:rsidRDefault="001B1830" w:rsidP="00386C5C">
      <w:pPr>
        <w:pStyle w:val="NoSpacing"/>
      </w:pPr>
      <w:r w:rsidRPr="001B1830">
        <w:t xml:space="preserve">The Company manages its credit risks via the use of internal control policies, </w:t>
      </w:r>
      <w:proofErr w:type="gramStart"/>
      <w:r w:rsidRPr="001B1830">
        <w:t>processes</w:t>
      </w:r>
      <w:proofErr w:type="gramEnd"/>
      <w:r w:rsidRPr="001B1830">
        <w:t xml:space="preserve"> and procedures relevant to margin lending and advances to customers. The Company only allows margin lending for permitted securities which are in accordance with regulations for margin lending and which are rated using the Company’s quality assessment principles for securities. Credit limit is controlled </w:t>
      </w:r>
      <w:proofErr w:type="gramStart"/>
      <w:r w:rsidRPr="001B1830">
        <w:t>on the basis of</w:t>
      </w:r>
      <w:proofErr w:type="gramEnd"/>
      <w:r w:rsidRPr="001B1830">
        <w:t xml:space="preserve"> collaterals, credit worthiness of customers and other indicators on control limits.</w:t>
      </w:r>
    </w:p>
    <w:p w14:paraId="66CB14C1" w14:textId="7BACBF3D" w:rsidR="007560E1" w:rsidRDefault="007560E1" w:rsidP="00760439">
      <w:pPr>
        <w:pStyle w:val="NoSpacing"/>
      </w:pPr>
    </w:p>
    <w:p w14:paraId="25F4C4E8" w14:textId="77777777" w:rsidR="006D222F" w:rsidRDefault="006D222F" w:rsidP="006D222F">
      <w:pPr>
        <w:pStyle w:val="NoSpacing"/>
        <w:sectPr w:rsidR="006D222F" w:rsidSect="007560E1">
          <w:pgSz w:w="11909" w:h="16834" w:code="9"/>
          <w:pgMar w:top="1440" w:right="1440" w:bottom="862" w:left="1582" w:header="720" w:footer="578" w:gutter="0"/>
          <w:cols w:space="720"/>
        </w:sectPr>
      </w:pPr>
    </w:p>
    <w:p w14:paraId="28BA8768" w14:textId="06661B04" w:rsidR="006D222F" w:rsidRPr="002A0B87" w:rsidRDefault="006D222F" w:rsidP="006D222F">
      <w:pPr>
        <w:ind w:left="720" w:hanging="720"/>
        <w:rPr>
          <w:rFonts w:cs="Arial"/>
          <w:bCs/>
        </w:rPr>
      </w:pPr>
      <w:r>
        <w:rPr>
          <w:rFonts w:cs="Arial"/>
          <w:b/>
          <w:bCs/>
        </w:rPr>
        <w:lastRenderedPageBreak/>
        <w:t>28</w:t>
      </w:r>
      <w:r w:rsidRPr="002A0B87">
        <w:rPr>
          <w:rFonts w:cs="Arial"/>
          <w:b/>
          <w:bCs/>
        </w:rPr>
        <w:t>.</w:t>
      </w:r>
      <w:r w:rsidRPr="002A0B87">
        <w:rPr>
          <w:rFonts w:cs="Arial"/>
          <w:b/>
          <w:bCs/>
        </w:rPr>
        <w:tab/>
      </w:r>
      <w:r w:rsidR="006C6EBA" w:rsidRPr="006C6EBA">
        <w:rPr>
          <w:rFonts w:cs="Arial"/>
          <w:b/>
          <w:bCs/>
        </w:rPr>
        <w:t xml:space="preserve">PURPOSES AND POLICIES OF FINANCIAL RISK MANAGEMENT </w:t>
      </w:r>
      <w:r w:rsidR="006C6EBA" w:rsidRPr="00FA28E4">
        <w:rPr>
          <w:rFonts w:cs="Arial"/>
        </w:rPr>
        <w:t>(continued)</w:t>
      </w:r>
    </w:p>
    <w:p w14:paraId="53633D00" w14:textId="77777777" w:rsidR="001D70A0" w:rsidRPr="002A0B87" w:rsidRDefault="001D70A0" w:rsidP="001D70A0">
      <w:pPr>
        <w:pStyle w:val="NoSpacing"/>
      </w:pPr>
    </w:p>
    <w:p w14:paraId="21281CEB" w14:textId="7824AB93" w:rsidR="001D70A0" w:rsidRPr="002A0B87" w:rsidRDefault="001D70A0" w:rsidP="001D70A0">
      <w:pPr>
        <w:ind w:left="720" w:hanging="720"/>
        <w:rPr>
          <w:rFonts w:cs="Arial"/>
        </w:rPr>
      </w:pPr>
      <w:r>
        <w:rPr>
          <w:rFonts w:cs="Arial"/>
          <w:b/>
          <w:i/>
        </w:rPr>
        <w:t>28</w:t>
      </w:r>
      <w:r w:rsidRPr="002A0B87">
        <w:rPr>
          <w:rFonts w:cs="Arial"/>
          <w:b/>
          <w:i/>
          <w:lang w:val="vi-VN"/>
        </w:rPr>
        <w:t>.</w:t>
      </w:r>
      <w:r w:rsidRPr="002A0B87">
        <w:rPr>
          <w:rFonts w:cs="Arial"/>
          <w:b/>
          <w:i/>
        </w:rPr>
        <w:t>3</w:t>
      </w:r>
      <w:r w:rsidRPr="002A0B87">
        <w:rPr>
          <w:rFonts w:cs="Arial"/>
          <w:b/>
          <w:i/>
          <w:lang w:val="vi-VN"/>
        </w:rPr>
        <w:tab/>
      </w:r>
      <w:r w:rsidR="0078116E" w:rsidRPr="0078116E">
        <w:rPr>
          <w:rFonts w:cs="Arial"/>
          <w:b/>
          <w:i/>
          <w:lang w:val="vi-VN"/>
        </w:rPr>
        <w:t xml:space="preserve">Credit risk </w:t>
      </w:r>
      <w:r w:rsidR="0078116E" w:rsidRPr="00FA28E4">
        <w:rPr>
          <w:rFonts w:cs="Arial"/>
          <w:bCs/>
          <w:iCs/>
          <w:lang w:val="vi-VN"/>
        </w:rPr>
        <w:t>(continued)</w:t>
      </w:r>
    </w:p>
    <w:p w14:paraId="312C7DC8" w14:textId="77777777" w:rsidR="00573E6D" w:rsidRDefault="00573E6D" w:rsidP="00412CCD">
      <w:pPr>
        <w:overflowPunct/>
        <w:ind w:left="720"/>
        <w:textAlignment w:val="auto"/>
        <w:rPr>
          <w:rFonts w:cs="Arial"/>
          <w:bCs/>
        </w:rPr>
      </w:pPr>
    </w:p>
    <w:p w14:paraId="5FB97F70" w14:textId="458B641E" w:rsidR="00557FF1" w:rsidRPr="002A0B87" w:rsidRDefault="002B1B78" w:rsidP="00760439">
      <w:pPr>
        <w:pStyle w:val="NoSpacing"/>
      </w:pPr>
      <w:r w:rsidRPr="002B1B78">
        <w:t>The Company's Management assesses that all financial assets are not overdue and not impaired because these financial assets are related to customers who are reputable and have payment capability as shown below:</w:t>
      </w:r>
    </w:p>
    <w:p w14:paraId="369F0D54" w14:textId="0ECF108F" w:rsidR="00EC6177" w:rsidRPr="002A0B87" w:rsidRDefault="00EC6177" w:rsidP="00760439">
      <w:pPr>
        <w:pStyle w:val="NoSpacing"/>
        <w:rPr>
          <w:lang w:val="vi-VN"/>
        </w:rPr>
      </w:pPr>
    </w:p>
    <w:tbl>
      <w:tblPr>
        <w:tblW w:w="8179" w:type="dxa"/>
        <w:tblInd w:w="720" w:type="dxa"/>
        <w:tblLayout w:type="fixed"/>
        <w:tblLook w:val="04A0" w:firstRow="1" w:lastRow="0" w:firstColumn="1" w:lastColumn="0" w:noHBand="0" w:noVBand="1"/>
      </w:tblPr>
      <w:tblGrid>
        <w:gridCol w:w="1710"/>
        <w:gridCol w:w="1710"/>
        <w:gridCol w:w="1519"/>
        <w:gridCol w:w="1541"/>
        <w:gridCol w:w="1699"/>
      </w:tblGrid>
      <w:tr w:rsidR="00EC6177" w:rsidRPr="002A0B87" w14:paraId="121F2E65" w14:textId="77777777" w:rsidTr="000A04DC">
        <w:trPr>
          <w:trHeight w:val="20"/>
        </w:trPr>
        <w:tc>
          <w:tcPr>
            <w:tcW w:w="1710" w:type="dxa"/>
            <w:vAlign w:val="bottom"/>
          </w:tcPr>
          <w:p w14:paraId="716C4924" w14:textId="428787D1" w:rsidR="00EC6177" w:rsidRPr="002A0B87" w:rsidRDefault="00EC6177" w:rsidP="008064F8">
            <w:pPr>
              <w:widowControl w:val="0"/>
              <w:spacing w:before="120"/>
              <w:ind w:left="-115" w:right="-86"/>
              <w:rPr>
                <w:rFonts w:cs="Arial"/>
                <w:i/>
                <w:sz w:val="18"/>
                <w:szCs w:val="18"/>
                <w:lang w:val="en-GB"/>
              </w:rPr>
            </w:pPr>
          </w:p>
        </w:tc>
        <w:tc>
          <w:tcPr>
            <w:tcW w:w="1710" w:type="dxa"/>
            <w:vAlign w:val="bottom"/>
            <w:hideMark/>
          </w:tcPr>
          <w:p w14:paraId="3CA1A0F0" w14:textId="2141D20D" w:rsidR="00573E6D" w:rsidRDefault="005D6D43" w:rsidP="003816EF">
            <w:pPr>
              <w:widowControl w:val="0"/>
              <w:pBdr>
                <w:bottom w:val="single" w:sz="4" w:space="0" w:color="auto"/>
              </w:pBdr>
              <w:ind w:left="58" w:right="-86"/>
              <w:jc w:val="right"/>
              <w:rPr>
                <w:rFonts w:cs="Arial"/>
                <w:i/>
                <w:sz w:val="18"/>
                <w:szCs w:val="18"/>
              </w:rPr>
            </w:pPr>
            <w:r w:rsidRPr="005D6D43">
              <w:rPr>
                <w:rFonts w:cs="Arial"/>
                <w:i/>
                <w:sz w:val="18"/>
                <w:szCs w:val="18"/>
              </w:rPr>
              <w:t>Neither overdue nor impaired</w:t>
            </w:r>
          </w:p>
          <w:p w14:paraId="623ECC88" w14:textId="33A42EBC" w:rsidR="00EC6177" w:rsidRPr="002A0B87" w:rsidRDefault="00EC6177" w:rsidP="003816EF">
            <w:pPr>
              <w:widowControl w:val="0"/>
              <w:pBdr>
                <w:bottom w:val="single" w:sz="4" w:space="0" w:color="auto"/>
              </w:pBdr>
              <w:ind w:left="58" w:right="-86"/>
              <w:jc w:val="right"/>
              <w:rPr>
                <w:rFonts w:cs="Arial"/>
                <w:i/>
                <w:sz w:val="18"/>
                <w:szCs w:val="18"/>
              </w:rPr>
            </w:pPr>
            <w:r w:rsidRPr="002A0B87">
              <w:rPr>
                <w:rFonts w:cs="Arial"/>
                <w:i/>
                <w:sz w:val="18"/>
                <w:szCs w:val="18"/>
              </w:rPr>
              <w:t>VND</w:t>
            </w:r>
          </w:p>
        </w:tc>
        <w:tc>
          <w:tcPr>
            <w:tcW w:w="1519" w:type="dxa"/>
            <w:vAlign w:val="bottom"/>
            <w:hideMark/>
          </w:tcPr>
          <w:p w14:paraId="0E14E191" w14:textId="02D05784" w:rsidR="00EC6177" w:rsidRPr="002A0B87" w:rsidRDefault="00694C14">
            <w:pPr>
              <w:widowControl w:val="0"/>
              <w:pBdr>
                <w:bottom w:val="single" w:sz="4" w:space="0" w:color="auto"/>
              </w:pBdr>
              <w:ind w:left="58" w:right="-86"/>
              <w:jc w:val="right"/>
              <w:rPr>
                <w:rFonts w:cs="Arial"/>
                <w:i/>
                <w:sz w:val="18"/>
                <w:szCs w:val="18"/>
              </w:rPr>
            </w:pPr>
            <w:r w:rsidRPr="00694C14">
              <w:rPr>
                <w:rFonts w:cs="Arial"/>
                <w:i/>
                <w:sz w:val="18"/>
                <w:szCs w:val="18"/>
              </w:rPr>
              <w:t>Overdue but not impaired</w:t>
            </w:r>
          </w:p>
          <w:p w14:paraId="1E397153" w14:textId="1B7C63FF" w:rsidR="00EC6177" w:rsidRPr="002A0B87" w:rsidRDefault="00EC6177">
            <w:pPr>
              <w:widowControl w:val="0"/>
              <w:pBdr>
                <w:bottom w:val="single" w:sz="4" w:space="0" w:color="auto"/>
              </w:pBdr>
              <w:ind w:left="58" w:right="-86"/>
              <w:jc w:val="right"/>
              <w:rPr>
                <w:rFonts w:cs="Arial"/>
                <w:i/>
                <w:sz w:val="18"/>
                <w:szCs w:val="18"/>
                <w:lang w:val="en-GB"/>
              </w:rPr>
            </w:pPr>
            <w:r w:rsidRPr="002A0B87">
              <w:rPr>
                <w:rFonts w:cs="Arial"/>
                <w:i/>
                <w:sz w:val="18"/>
                <w:szCs w:val="18"/>
              </w:rPr>
              <w:t>VND</w:t>
            </w:r>
          </w:p>
        </w:tc>
        <w:tc>
          <w:tcPr>
            <w:tcW w:w="1541" w:type="dxa"/>
            <w:vAlign w:val="bottom"/>
            <w:hideMark/>
          </w:tcPr>
          <w:p w14:paraId="20E4BF79" w14:textId="6746226F" w:rsidR="00E2742A" w:rsidRPr="002A0B87" w:rsidRDefault="00BA437E" w:rsidP="003816EF">
            <w:pPr>
              <w:widowControl w:val="0"/>
              <w:pBdr>
                <w:bottom w:val="single" w:sz="4" w:space="0" w:color="auto"/>
              </w:pBdr>
              <w:ind w:left="58" w:right="-86"/>
              <w:jc w:val="right"/>
              <w:rPr>
                <w:rFonts w:cs="Arial"/>
                <w:i/>
                <w:sz w:val="18"/>
                <w:szCs w:val="18"/>
              </w:rPr>
            </w:pPr>
            <w:r w:rsidRPr="00BA437E">
              <w:rPr>
                <w:rFonts w:cs="Arial"/>
                <w:i/>
                <w:sz w:val="18"/>
                <w:szCs w:val="18"/>
              </w:rPr>
              <w:t>Overdue and impaired</w:t>
            </w:r>
          </w:p>
          <w:p w14:paraId="1CBD308E" w14:textId="222566E1" w:rsidR="00EC6177" w:rsidRPr="002A0B87" w:rsidRDefault="00EC6177" w:rsidP="003816EF">
            <w:pPr>
              <w:widowControl w:val="0"/>
              <w:pBdr>
                <w:bottom w:val="single" w:sz="4" w:space="0" w:color="auto"/>
              </w:pBdr>
              <w:ind w:left="58" w:right="-86"/>
              <w:jc w:val="right"/>
              <w:rPr>
                <w:rFonts w:cs="Arial"/>
                <w:i/>
                <w:sz w:val="18"/>
                <w:szCs w:val="18"/>
              </w:rPr>
            </w:pPr>
            <w:r w:rsidRPr="002A0B87">
              <w:rPr>
                <w:rFonts w:cs="Arial"/>
                <w:i/>
                <w:sz w:val="18"/>
                <w:szCs w:val="18"/>
              </w:rPr>
              <w:t>VND</w:t>
            </w:r>
          </w:p>
        </w:tc>
        <w:tc>
          <w:tcPr>
            <w:tcW w:w="1699" w:type="dxa"/>
            <w:vAlign w:val="bottom"/>
            <w:hideMark/>
          </w:tcPr>
          <w:p w14:paraId="506243EC" w14:textId="1352B8CA" w:rsidR="00EC6177" w:rsidRPr="002A0B87" w:rsidRDefault="00187368">
            <w:pPr>
              <w:widowControl w:val="0"/>
              <w:pBdr>
                <w:bottom w:val="single" w:sz="4" w:space="0" w:color="auto"/>
              </w:pBdr>
              <w:ind w:left="58" w:right="-86"/>
              <w:jc w:val="right"/>
              <w:rPr>
                <w:rFonts w:cs="Arial"/>
                <w:i/>
                <w:sz w:val="18"/>
                <w:szCs w:val="18"/>
              </w:rPr>
            </w:pPr>
            <w:r w:rsidRPr="00187368">
              <w:rPr>
                <w:rFonts w:cs="Arial"/>
                <w:i/>
                <w:sz w:val="18"/>
                <w:szCs w:val="18"/>
              </w:rPr>
              <w:t>Total</w:t>
            </w:r>
          </w:p>
          <w:p w14:paraId="20FC824B" w14:textId="64D49EAE" w:rsidR="00EC6177" w:rsidRPr="002A0B87" w:rsidRDefault="00EC6177">
            <w:pPr>
              <w:widowControl w:val="0"/>
              <w:pBdr>
                <w:bottom w:val="single" w:sz="4" w:space="0" w:color="auto"/>
              </w:pBdr>
              <w:ind w:left="58" w:right="-86"/>
              <w:jc w:val="right"/>
              <w:rPr>
                <w:rFonts w:cs="Arial"/>
                <w:i/>
                <w:sz w:val="18"/>
                <w:szCs w:val="18"/>
              </w:rPr>
            </w:pPr>
            <w:r w:rsidRPr="002A0B87">
              <w:rPr>
                <w:rFonts w:cs="Arial"/>
                <w:i/>
                <w:sz w:val="18"/>
                <w:szCs w:val="18"/>
              </w:rPr>
              <w:t>VND</w:t>
            </w:r>
          </w:p>
        </w:tc>
      </w:tr>
      <w:tr w:rsidR="00990076" w:rsidRPr="002A0B87" w14:paraId="70AA4BE1" w14:textId="77777777" w:rsidTr="00ED6652">
        <w:trPr>
          <w:trHeight w:val="20"/>
        </w:trPr>
        <w:tc>
          <w:tcPr>
            <w:tcW w:w="1710" w:type="dxa"/>
            <w:vAlign w:val="bottom"/>
          </w:tcPr>
          <w:p w14:paraId="5143A68B" w14:textId="6787E8FC" w:rsidR="00990076" w:rsidRPr="002A0B87" w:rsidRDefault="00990076" w:rsidP="00990076">
            <w:pPr>
              <w:widowControl w:val="0"/>
              <w:spacing w:before="120"/>
              <w:ind w:left="-115" w:right="-86"/>
              <w:jc w:val="left"/>
              <w:rPr>
                <w:rFonts w:cs="Arial"/>
                <w:sz w:val="18"/>
                <w:szCs w:val="18"/>
              </w:rPr>
            </w:pPr>
            <w:r w:rsidRPr="005D5CCC">
              <w:rPr>
                <w:rFonts w:cs="Arial"/>
                <w:sz w:val="18"/>
                <w:szCs w:val="18"/>
              </w:rPr>
              <w:t>Cash and cash equivalents</w:t>
            </w:r>
          </w:p>
        </w:tc>
        <w:tc>
          <w:tcPr>
            <w:tcW w:w="1710" w:type="dxa"/>
          </w:tcPr>
          <w:p w14:paraId="2B58F1C6" w14:textId="292CE5E8" w:rsidR="00990076" w:rsidRPr="00792B2F" w:rsidRDefault="00990076" w:rsidP="00990076">
            <w:pPr>
              <w:widowControl w:val="0"/>
              <w:spacing w:before="120"/>
              <w:ind w:left="58" w:right="-86"/>
              <w:jc w:val="right"/>
              <w:rPr>
                <w:rFonts w:cs="Arial"/>
                <w:sz w:val="18"/>
                <w:szCs w:val="18"/>
                <w:highlight w:val="yellow"/>
                <w:lang w:val="en-GB"/>
              </w:rPr>
            </w:pPr>
            <w:r w:rsidRPr="00792B2F">
              <w:rPr>
                <w:sz w:val="18"/>
                <w:szCs w:val="18"/>
              </w:rPr>
              <w:t xml:space="preserve"> 2</w:t>
            </w:r>
            <w:r w:rsidR="00792B2F">
              <w:rPr>
                <w:sz w:val="18"/>
                <w:szCs w:val="18"/>
              </w:rPr>
              <w:t>,</w:t>
            </w:r>
            <w:r w:rsidRPr="00792B2F">
              <w:rPr>
                <w:sz w:val="18"/>
                <w:szCs w:val="18"/>
              </w:rPr>
              <w:t>929</w:t>
            </w:r>
            <w:r w:rsidR="00792B2F">
              <w:rPr>
                <w:sz w:val="18"/>
                <w:szCs w:val="18"/>
              </w:rPr>
              <w:t>,</w:t>
            </w:r>
            <w:r w:rsidRPr="00792B2F">
              <w:rPr>
                <w:sz w:val="18"/>
                <w:szCs w:val="18"/>
              </w:rPr>
              <w:t>537</w:t>
            </w:r>
            <w:r w:rsidR="00792B2F">
              <w:rPr>
                <w:sz w:val="18"/>
                <w:szCs w:val="18"/>
              </w:rPr>
              <w:t>,</w:t>
            </w:r>
            <w:r w:rsidRPr="00792B2F">
              <w:rPr>
                <w:sz w:val="18"/>
                <w:szCs w:val="18"/>
              </w:rPr>
              <w:t xml:space="preserve">893 </w:t>
            </w:r>
          </w:p>
        </w:tc>
        <w:tc>
          <w:tcPr>
            <w:tcW w:w="1519" w:type="dxa"/>
          </w:tcPr>
          <w:p w14:paraId="0E3FF327" w14:textId="3ECCFB59" w:rsidR="00990076" w:rsidRPr="00792B2F" w:rsidRDefault="00990076" w:rsidP="00990076">
            <w:pPr>
              <w:widowControl w:val="0"/>
              <w:spacing w:before="120"/>
              <w:ind w:left="58" w:right="-86"/>
              <w:jc w:val="right"/>
              <w:rPr>
                <w:rFonts w:eastAsia="Batang" w:cs="Arial"/>
                <w:color w:val="000000"/>
                <w:sz w:val="18"/>
                <w:szCs w:val="18"/>
                <w:highlight w:val="yellow"/>
                <w:lang w:eastAsia="ko-KR"/>
              </w:rPr>
            </w:pPr>
            <w:r w:rsidRPr="00792B2F">
              <w:rPr>
                <w:sz w:val="18"/>
                <w:szCs w:val="18"/>
              </w:rPr>
              <w:t xml:space="preserve">- </w:t>
            </w:r>
          </w:p>
        </w:tc>
        <w:tc>
          <w:tcPr>
            <w:tcW w:w="1541" w:type="dxa"/>
          </w:tcPr>
          <w:p w14:paraId="465FD7D0" w14:textId="419D79A5" w:rsidR="00990076" w:rsidRPr="00792B2F" w:rsidRDefault="00990076" w:rsidP="00990076">
            <w:pPr>
              <w:widowControl w:val="0"/>
              <w:spacing w:before="120"/>
              <w:ind w:left="58" w:right="-86"/>
              <w:jc w:val="right"/>
              <w:rPr>
                <w:rFonts w:cs="Arial"/>
                <w:sz w:val="18"/>
                <w:szCs w:val="18"/>
                <w:highlight w:val="yellow"/>
                <w:lang w:val="en-GB"/>
              </w:rPr>
            </w:pPr>
            <w:r w:rsidRPr="00792B2F">
              <w:rPr>
                <w:sz w:val="18"/>
                <w:szCs w:val="18"/>
              </w:rPr>
              <w:t xml:space="preserve">- </w:t>
            </w:r>
          </w:p>
        </w:tc>
        <w:tc>
          <w:tcPr>
            <w:tcW w:w="1699" w:type="dxa"/>
          </w:tcPr>
          <w:p w14:paraId="65E72CB0" w14:textId="2A767F3C" w:rsidR="00990076" w:rsidRPr="00792B2F" w:rsidRDefault="00990076" w:rsidP="00990076">
            <w:pPr>
              <w:widowControl w:val="0"/>
              <w:spacing w:before="120"/>
              <w:ind w:left="58" w:right="-86"/>
              <w:jc w:val="right"/>
              <w:rPr>
                <w:rFonts w:eastAsia="Batang" w:cs="Arial"/>
                <w:color w:val="000000"/>
                <w:sz w:val="18"/>
                <w:szCs w:val="18"/>
                <w:highlight w:val="yellow"/>
                <w:lang w:eastAsia="ko-KR"/>
              </w:rPr>
            </w:pPr>
            <w:r w:rsidRPr="00792B2F">
              <w:rPr>
                <w:sz w:val="18"/>
                <w:szCs w:val="18"/>
              </w:rPr>
              <w:t xml:space="preserve"> 2</w:t>
            </w:r>
            <w:r w:rsidR="00792B2F">
              <w:rPr>
                <w:sz w:val="18"/>
                <w:szCs w:val="18"/>
              </w:rPr>
              <w:t>,</w:t>
            </w:r>
            <w:r w:rsidRPr="00792B2F">
              <w:rPr>
                <w:sz w:val="18"/>
                <w:szCs w:val="18"/>
              </w:rPr>
              <w:t>929</w:t>
            </w:r>
            <w:r w:rsidR="00792B2F">
              <w:rPr>
                <w:sz w:val="18"/>
                <w:szCs w:val="18"/>
              </w:rPr>
              <w:t>,</w:t>
            </w:r>
            <w:r w:rsidRPr="00792B2F">
              <w:rPr>
                <w:sz w:val="18"/>
                <w:szCs w:val="18"/>
              </w:rPr>
              <w:t>537</w:t>
            </w:r>
            <w:r w:rsidR="00792B2F">
              <w:rPr>
                <w:sz w:val="18"/>
                <w:szCs w:val="18"/>
              </w:rPr>
              <w:t>,</w:t>
            </w:r>
            <w:r w:rsidRPr="00792B2F">
              <w:rPr>
                <w:sz w:val="18"/>
                <w:szCs w:val="18"/>
              </w:rPr>
              <w:t xml:space="preserve">893 </w:t>
            </w:r>
          </w:p>
        </w:tc>
      </w:tr>
      <w:tr w:rsidR="00990076" w:rsidRPr="002A0B87" w14:paraId="694EA6ED" w14:textId="77777777" w:rsidTr="00ED6652">
        <w:trPr>
          <w:trHeight w:val="20"/>
        </w:trPr>
        <w:tc>
          <w:tcPr>
            <w:tcW w:w="1710" w:type="dxa"/>
            <w:vAlign w:val="bottom"/>
          </w:tcPr>
          <w:p w14:paraId="0D726F02" w14:textId="553FB4B1" w:rsidR="00990076" w:rsidRPr="002A0B87" w:rsidRDefault="00990076" w:rsidP="00990076">
            <w:pPr>
              <w:widowControl w:val="0"/>
              <w:ind w:left="-115"/>
              <w:jc w:val="left"/>
              <w:rPr>
                <w:rFonts w:cs="Arial"/>
                <w:sz w:val="18"/>
                <w:szCs w:val="18"/>
              </w:rPr>
            </w:pPr>
            <w:r w:rsidRPr="005B1126">
              <w:rPr>
                <w:rFonts w:cs="Arial"/>
                <w:sz w:val="18"/>
                <w:szCs w:val="18"/>
              </w:rPr>
              <w:t>HTM investments</w:t>
            </w:r>
          </w:p>
        </w:tc>
        <w:tc>
          <w:tcPr>
            <w:tcW w:w="1710" w:type="dxa"/>
          </w:tcPr>
          <w:p w14:paraId="7A19597E" w14:textId="2CD6E39F" w:rsidR="00990076" w:rsidRPr="00792B2F" w:rsidRDefault="00990076" w:rsidP="00990076">
            <w:pPr>
              <w:widowControl w:val="0"/>
              <w:ind w:left="58" w:right="-86"/>
              <w:jc w:val="right"/>
              <w:rPr>
                <w:rFonts w:cs="Arial"/>
                <w:sz w:val="18"/>
                <w:szCs w:val="18"/>
                <w:lang w:val="en-GB"/>
              </w:rPr>
            </w:pPr>
            <w:r w:rsidRPr="00792B2F">
              <w:rPr>
                <w:sz w:val="18"/>
                <w:szCs w:val="18"/>
              </w:rPr>
              <w:t xml:space="preserve"> 2</w:t>
            </w:r>
            <w:r w:rsidR="00792B2F">
              <w:rPr>
                <w:sz w:val="18"/>
                <w:szCs w:val="18"/>
              </w:rPr>
              <w:t>,</w:t>
            </w:r>
            <w:r w:rsidRPr="00792B2F">
              <w:rPr>
                <w:sz w:val="18"/>
                <w:szCs w:val="18"/>
              </w:rPr>
              <w:t>216</w:t>
            </w:r>
            <w:r w:rsidR="00792B2F">
              <w:rPr>
                <w:sz w:val="18"/>
                <w:szCs w:val="18"/>
              </w:rPr>
              <w:t>,</w:t>
            </w:r>
            <w:r w:rsidRPr="00792B2F">
              <w:rPr>
                <w:sz w:val="18"/>
                <w:szCs w:val="18"/>
              </w:rPr>
              <w:t>820</w:t>
            </w:r>
            <w:r w:rsidR="00792B2F">
              <w:rPr>
                <w:sz w:val="18"/>
                <w:szCs w:val="18"/>
              </w:rPr>
              <w:t>,</w:t>
            </w:r>
            <w:r w:rsidRPr="00792B2F">
              <w:rPr>
                <w:sz w:val="18"/>
                <w:szCs w:val="18"/>
              </w:rPr>
              <w:t>000</w:t>
            </w:r>
            <w:r w:rsidR="00792B2F">
              <w:rPr>
                <w:sz w:val="18"/>
                <w:szCs w:val="18"/>
              </w:rPr>
              <w:t>,</w:t>
            </w:r>
            <w:r w:rsidRPr="00792B2F">
              <w:rPr>
                <w:sz w:val="18"/>
                <w:szCs w:val="18"/>
              </w:rPr>
              <w:t xml:space="preserve">000 </w:t>
            </w:r>
          </w:p>
        </w:tc>
        <w:tc>
          <w:tcPr>
            <w:tcW w:w="1519" w:type="dxa"/>
          </w:tcPr>
          <w:p w14:paraId="398B38B3" w14:textId="19A5DBB7" w:rsidR="00990076" w:rsidRPr="00792B2F" w:rsidRDefault="00990076" w:rsidP="00990076">
            <w:pPr>
              <w:widowControl w:val="0"/>
              <w:ind w:left="58" w:right="-86"/>
              <w:jc w:val="right"/>
              <w:rPr>
                <w:rFonts w:eastAsia="Batang" w:cs="Arial"/>
                <w:color w:val="000000"/>
                <w:sz w:val="18"/>
                <w:szCs w:val="18"/>
                <w:lang w:eastAsia="ko-KR"/>
              </w:rPr>
            </w:pPr>
            <w:r w:rsidRPr="00792B2F">
              <w:rPr>
                <w:sz w:val="18"/>
                <w:szCs w:val="18"/>
              </w:rPr>
              <w:t xml:space="preserve">- </w:t>
            </w:r>
          </w:p>
        </w:tc>
        <w:tc>
          <w:tcPr>
            <w:tcW w:w="1541" w:type="dxa"/>
          </w:tcPr>
          <w:p w14:paraId="2D0B03AB" w14:textId="68F0570B" w:rsidR="00990076" w:rsidRPr="00792B2F" w:rsidRDefault="00990076" w:rsidP="00990076">
            <w:pPr>
              <w:widowControl w:val="0"/>
              <w:ind w:left="58" w:right="-86"/>
              <w:jc w:val="right"/>
              <w:rPr>
                <w:rFonts w:cs="Arial"/>
                <w:sz w:val="18"/>
                <w:szCs w:val="18"/>
                <w:lang w:val="en-GB"/>
              </w:rPr>
            </w:pPr>
            <w:r w:rsidRPr="00792B2F">
              <w:rPr>
                <w:sz w:val="18"/>
                <w:szCs w:val="18"/>
              </w:rPr>
              <w:t xml:space="preserve">- </w:t>
            </w:r>
          </w:p>
        </w:tc>
        <w:tc>
          <w:tcPr>
            <w:tcW w:w="1699" w:type="dxa"/>
          </w:tcPr>
          <w:p w14:paraId="1A988C64" w14:textId="30CACCB0" w:rsidR="00990076" w:rsidRPr="00792B2F" w:rsidRDefault="00990076" w:rsidP="00990076">
            <w:pPr>
              <w:widowControl w:val="0"/>
              <w:ind w:left="58" w:right="-86"/>
              <w:jc w:val="right"/>
              <w:rPr>
                <w:rFonts w:eastAsia="Batang" w:cs="Arial"/>
                <w:color w:val="000000"/>
                <w:sz w:val="18"/>
                <w:szCs w:val="18"/>
                <w:lang w:eastAsia="ko-KR"/>
              </w:rPr>
            </w:pPr>
            <w:r w:rsidRPr="00792B2F">
              <w:rPr>
                <w:sz w:val="18"/>
                <w:szCs w:val="18"/>
              </w:rPr>
              <w:t xml:space="preserve"> 2</w:t>
            </w:r>
            <w:r w:rsidR="00792B2F">
              <w:rPr>
                <w:sz w:val="18"/>
                <w:szCs w:val="18"/>
              </w:rPr>
              <w:t>,</w:t>
            </w:r>
            <w:r w:rsidRPr="00792B2F">
              <w:rPr>
                <w:sz w:val="18"/>
                <w:szCs w:val="18"/>
              </w:rPr>
              <w:t>216</w:t>
            </w:r>
            <w:r w:rsidR="00792B2F">
              <w:rPr>
                <w:sz w:val="18"/>
                <w:szCs w:val="18"/>
              </w:rPr>
              <w:t>,</w:t>
            </w:r>
            <w:r w:rsidRPr="00792B2F">
              <w:rPr>
                <w:sz w:val="18"/>
                <w:szCs w:val="18"/>
              </w:rPr>
              <w:t>820</w:t>
            </w:r>
            <w:r w:rsidR="00792B2F">
              <w:rPr>
                <w:sz w:val="18"/>
                <w:szCs w:val="18"/>
              </w:rPr>
              <w:t>,</w:t>
            </w:r>
            <w:r w:rsidRPr="00792B2F">
              <w:rPr>
                <w:sz w:val="18"/>
                <w:szCs w:val="18"/>
              </w:rPr>
              <w:t>000</w:t>
            </w:r>
            <w:r w:rsidR="00792B2F">
              <w:rPr>
                <w:sz w:val="18"/>
                <w:szCs w:val="18"/>
              </w:rPr>
              <w:t>,</w:t>
            </w:r>
            <w:r w:rsidRPr="00792B2F">
              <w:rPr>
                <w:sz w:val="18"/>
                <w:szCs w:val="18"/>
              </w:rPr>
              <w:t xml:space="preserve">000 </w:t>
            </w:r>
          </w:p>
        </w:tc>
      </w:tr>
      <w:tr w:rsidR="00990076" w:rsidRPr="002A0B87" w14:paraId="58141D8F" w14:textId="77777777" w:rsidTr="00ED6652">
        <w:trPr>
          <w:trHeight w:val="20"/>
        </w:trPr>
        <w:tc>
          <w:tcPr>
            <w:tcW w:w="1710" w:type="dxa"/>
            <w:vAlign w:val="bottom"/>
          </w:tcPr>
          <w:p w14:paraId="502DDED0" w14:textId="3D48CBFA" w:rsidR="00990076" w:rsidRPr="002A0B87" w:rsidRDefault="00990076" w:rsidP="00990076">
            <w:pPr>
              <w:widowControl w:val="0"/>
              <w:ind w:left="-115" w:right="-86"/>
              <w:rPr>
                <w:rFonts w:cs="Arial"/>
                <w:sz w:val="18"/>
                <w:szCs w:val="18"/>
              </w:rPr>
            </w:pPr>
            <w:r w:rsidRPr="00933C32">
              <w:rPr>
                <w:rFonts w:cs="Arial"/>
                <w:sz w:val="18"/>
                <w:szCs w:val="18"/>
              </w:rPr>
              <w:t>Loans</w:t>
            </w:r>
          </w:p>
        </w:tc>
        <w:tc>
          <w:tcPr>
            <w:tcW w:w="1710" w:type="dxa"/>
          </w:tcPr>
          <w:p w14:paraId="0AC9B6F2" w14:textId="7CADB891" w:rsidR="00990076" w:rsidRPr="00792B2F" w:rsidRDefault="00990076" w:rsidP="00990076">
            <w:pPr>
              <w:widowControl w:val="0"/>
              <w:ind w:left="58" w:right="-86"/>
              <w:jc w:val="right"/>
              <w:rPr>
                <w:rFonts w:cs="Arial"/>
                <w:sz w:val="18"/>
                <w:szCs w:val="18"/>
                <w:highlight w:val="yellow"/>
                <w:lang w:val="en-GB"/>
              </w:rPr>
            </w:pPr>
            <w:r w:rsidRPr="00792B2F">
              <w:rPr>
                <w:sz w:val="18"/>
                <w:szCs w:val="18"/>
              </w:rPr>
              <w:t xml:space="preserve"> 852</w:t>
            </w:r>
            <w:r w:rsidR="00792B2F">
              <w:rPr>
                <w:sz w:val="18"/>
                <w:szCs w:val="18"/>
              </w:rPr>
              <w:t>,</w:t>
            </w:r>
            <w:r w:rsidRPr="00792B2F">
              <w:rPr>
                <w:sz w:val="18"/>
                <w:szCs w:val="18"/>
              </w:rPr>
              <w:t>526</w:t>
            </w:r>
            <w:r w:rsidR="00792B2F">
              <w:rPr>
                <w:sz w:val="18"/>
                <w:szCs w:val="18"/>
              </w:rPr>
              <w:t>,</w:t>
            </w:r>
            <w:r w:rsidRPr="00792B2F">
              <w:rPr>
                <w:sz w:val="18"/>
                <w:szCs w:val="18"/>
              </w:rPr>
              <w:t>530</w:t>
            </w:r>
            <w:r w:rsidR="00792B2F">
              <w:rPr>
                <w:sz w:val="18"/>
                <w:szCs w:val="18"/>
              </w:rPr>
              <w:t>,</w:t>
            </w:r>
            <w:r w:rsidRPr="00792B2F">
              <w:rPr>
                <w:sz w:val="18"/>
                <w:szCs w:val="18"/>
              </w:rPr>
              <w:t xml:space="preserve">599 </w:t>
            </w:r>
          </w:p>
        </w:tc>
        <w:tc>
          <w:tcPr>
            <w:tcW w:w="1519" w:type="dxa"/>
          </w:tcPr>
          <w:p w14:paraId="777C0C2C" w14:textId="2F4AFCF8" w:rsidR="00990076" w:rsidRPr="00792B2F" w:rsidRDefault="00990076" w:rsidP="00990076">
            <w:pPr>
              <w:widowControl w:val="0"/>
              <w:ind w:left="58" w:right="-86"/>
              <w:jc w:val="right"/>
              <w:rPr>
                <w:rFonts w:eastAsia="Batang" w:cs="Arial"/>
                <w:color w:val="000000"/>
                <w:sz w:val="18"/>
                <w:szCs w:val="18"/>
                <w:highlight w:val="yellow"/>
                <w:lang w:eastAsia="ko-KR"/>
              </w:rPr>
            </w:pPr>
            <w:r w:rsidRPr="00792B2F">
              <w:rPr>
                <w:sz w:val="18"/>
                <w:szCs w:val="18"/>
              </w:rPr>
              <w:t xml:space="preserve">- </w:t>
            </w:r>
          </w:p>
        </w:tc>
        <w:tc>
          <w:tcPr>
            <w:tcW w:w="1541" w:type="dxa"/>
          </w:tcPr>
          <w:p w14:paraId="6CEBDEE8" w14:textId="67865A5A" w:rsidR="00990076" w:rsidRPr="00792B2F" w:rsidRDefault="00990076" w:rsidP="00990076">
            <w:pPr>
              <w:widowControl w:val="0"/>
              <w:ind w:left="58" w:right="-86"/>
              <w:jc w:val="right"/>
              <w:rPr>
                <w:rFonts w:cs="Arial"/>
                <w:sz w:val="18"/>
                <w:szCs w:val="18"/>
                <w:highlight w:val="yellow"/>
                <w:lang w:val="en-GB"/>
              </w:rPr>
            </w:pPr>
            <w:r w:rsidRPr="00792B2F">
              <w:rPr>
                <w:sz w:val="18"/>
                <w:szCs w:val="18"/>
              </w:rPr>
              <w:t xml:space="preserve">- </w:t>
            </w:r>
          </w:p>
        </w:tc>
        <w:tc>
          <w:tcPr>
            <w:tcW w:w="1699" w:type="dxa"/>
          </w:tcPr>
          <w:p w14:paraId="2FD34BEA" w14:textId="4E4E8512" w:rsidR="00990076" w:rsidRPr="00792B2F" w:rsidRDefault="00990076" w:rsidP="00990076">
            <w:pPr>
              <w:widowControl w:val="0"/>
              <w:ind w:left="58" w:right="-86"/>
              <w:jc w:val="right"/>
              <w:rPr>
                <w:rFonts w:eastAsia="Batang" w:cs="Arial"/>
                <w:color w:val="000000"/>
                <w:sz w:val="18"/>
                <w:szCs w:val="18"/>
                <w:highlight w:val="yellow"/>
                <w:lang w:eastAsia="ko-KR"/>
              </w:rPr>
            </w:pPr>
            <w:r w:rsidRPr="00792B2F">
              <w:rPr>
                <w:sz w:val="18"/>
                <w:szCs w:val="18"/>
              </w:rPr>
              <w:t xml:space="preserve"> 852</w:t>
            </w:r>
            <w:r w:rsidR="00792B2F">
              <w:rPr>
                <w:sz w:val="18"/>
                <w:szCs w:val="18"/>
              </w:rPr>
              <w:t>,</w:t>
            </w:r>
            <w:r w:rsidRPr="00792B2F">
              <w:rPr>
                <w:sz w:val="18"/>
                <w:szCs w:val="18"/>
              </w:rPr>
              <w:t>526</w:t>
            </w:r>
            <w:r w:rsidR="00792B2F">
              <w:rPr>
                <w:sz w:val="18"/>
                <w:szCs w:val="18"/>
              </w:rPr>
              <w:t>,</w:t>
            </w:r>
            <w:r w:rsidRPr="00792B2F">
              <w:rPr>
                <w:sz w:val="18"/>
                <w:szCs w:val="18"/>
              </w:rPr>
              <w:t>530</w:t>
            </w:r>
            <w:r w:rsidR="00792B2F">
              <w:rPr>
                <w:sz w:val="18"/>
                <w:szCs w:val="18"/>
              </w:rPr>
              <w:t>,</w:t>
            </w:r>
            <w:r w:rsidRPr="00792B2F">
              <w:rPr>
                <w:sz w:val="18"/>
                <w:szCs w:val="18"/>
              </w:rPr>
              <w:t xml:space="preserve">599 </w:t>
            </w:r>
          </w:p>
        </w:tc>
      </w:tr>
      <w:tr w:rsidR="00990076" w:rsidRPr="002A0B87" w14:paraId="783D551A" w14:textId="77777777" w:rsidTr="00ED6652">
        <w:trPr>
          <w:trHeight w:val="20"/>
        </w:trPr>
        <w:tc>
          <w:tcPr>
            <w:tcW w:w="1710" w:type="dxa"/>
            <w:vAlign w:val="bottom"/>
          </w:tcPr>
          <w:p w14:paraId="16BED0B7" w14:textId="6D7F62F7" w:rsidR="00990076" w:rsidRPr="002A0B87" w:rsidRDefault="00990076" w:rsidP="00990076">
            <w:pPr>
              <w:widowControl w:val="0"/>
              <w:ind w:left="-115" w:right="-86"/>
              <w:rPr>
                <w:rFonts w:cs="Arial"/>
                <w:sz w:val="18"/>
                <w:szCs w:val="18"/>
              </w:rPr>
            </w:pPr>
            <w:r w:rsidRPr="00431BA1">
              <w:rPr>
                <w:rFonts w:cs="Arial"/>
                <w:sz w:val="18"/>
                <w:szCs w:val="18"/>
              </w:rPr>
              <w:t>Receivables</w:t>
            </w:r>
          </w:p>
        </w:tc>
        <w:tc>
          <w:tcPr>
            <w:tcW w:w="1710" w:type="dxa"/>
          </w:tcPr>
          <w:p w14:paraId="3159C72F" w14:textId="6E6EBE3F" w:rsidR="00990076" w:rsidRPr="00792B2F" w:rsidRDefault="00990076" w:rsidP="00990076">
            <w:pPr>
              <w:widowControl w:val="0"/>
              <w:ind w:left="58" w:right="-86"/>
              <w:jc w:val="right"/>
              <w:rPr>
                <w:rFonts w:cs="Arial"/>
                <w:sz w:val="18"/>
                <w:szCs w:val="18"/>
                <w:highlight w:val="yellow"/>
                <w:lang w:val="en-GB"/>
              </w:rPr>
            </w:pPr>
            <w:r w:rsidRPr="00792B2F">
              <w:rPr>
                <w:sz w:val="18"/>
                <w:szCs w:val="18"/>
              </w:rPr>
              <w:t xml:space="preserve"> 51</w:t>
            </w:r>
            <w:r w:rsidR="00792B2F">
              <w:rPr>
                <w:sz w:val="18"/>
                <w:szCs w:val="18"/>
              </w:rPr>
              <w:t>,</w:t>
            </w:r>
            <w:r w:rsidRPr="00792B2F">
              <w:rPr>
                <w:sz w:val="18"/>
                <w:szCs w:val="18"/>
              </w:rPr>
              <w:t>466</w:t>
            </w:r>
            <w:r w:rsidR="00792B2F">
              <w:rPr>
                <w:sz w:val="18"/>
                <w:szCs w:val="18"/>
              </w:rPr>
              <w:t>,</w:t>
            </w:r>
            <w:r w:rsidRPr="00792B2F">
              <w:rPr>
                <w:sz w:val="18"/>
                <w:szCs w:val="18"/>
              </w:rPr>
              <w:t>122</w:t>
            </w:r>
            <w:r w:rsidR="00792B2F">
              <w:rPr>
                <w:sz w:val="18"/>
                <w:szCs w:val="18"/>
              </w:rPr>
              <w:t>,</w:t>
            </w:r>
            <w:r w:rsidRPr="00792B2F">
              <w:rPr>
                <w:sz w:val="18"/>
                <w:szCs w:val="18"/>
              </w:rPr>
              <w:t xml:space="preserve">114 </w:t>
            </w:r>
          </w:p>
        </w:tc>
        <w:tc>
          <w:tcPr>
            <w:tcW w:w="1519" w:type="dxa"/>
          </w:tcPr>
          <w:p w14:paraId="5C3B3395" w14:textId="07C5C699" w:rsidR="00990076" w:rsidRPr="00792B2F" w:rsidRDefault="00990076" w:rsidP="00990076">
            <w:pPr>
              <w:widowControl w:val="0"/>
              <w:ind w:left="58" w:right="-86"/>
              <w:jc w:val="right"/>
              <w:rPr>
                <w:rFonts w:eastAsia="Batang" w:cs="Arial"/>
                <w:color w:val="000000"/>
                <w:sz w:val="18"/>
                <w:szCs w:val="18"/>
                <w:highlight w:val="yellow"/>
                <w:lang w:eastAsia="ko-KR"/>
              </w:rPr>
            </w:pPr>
            <w:r w:rsidRPr="00792B2F">
              <w:rPr>
                <w:sz w:val="18"/>
                <w:szCs w:val="18"/>
              </w:rPr>
              <w:t xml:space="preserve">- </w:t>
            </w:r>
          </w:p>
        </w:tc>
        <w:tc>
          <w:tcPr>
            <w:tcW w:w="1541" w:type="dxa"/>
          </w:tcPr>
          <w:p w14:paraId="6636CF57" w14:textId="1B5F6177" w:rsidR="00990076" w:rsidRPr="00792B2F" w:rsidRDefault="00990076" w:rsidP="00990076">
            <w:pPr>
              <w:widowControl w:val="0"/>
              <w:ind w:left="58" w:right="-86"/>
              <w:jc w:val="right"/>
              <w:rPr>
                <w:rFonts w:cs="Arial"/>
                <w:sz w:val="18"/>
                <w:szCs w:val="18"/>
                <w:highlight w:val="yellow"/>
                <w:lang w:val="en-GB"/>
              </w:rPr>
            </w:pPr>
            <w:r w:rsidRPr="00792B2F">
              <w:rPr>
                <w:sz w:val="18"/>
                <w:szCs w:val="18"/>
              </w:rPr>
              <w:t xml:space="preserve">- </w:t>
            </w:r>
          </w:p>
        </w:tc>
        <w:tc>
          <w:tcPr>
            <w:tcW w:w="1699" w:type="dxa"/>
          </w:tcPr>
          <w:p w14:paraId="5FBD323E" w14:textId="76F7F3E1" w:rsidR="00990076" w:rsidRPr="00792B2F" w:rsidRDefault="00990076" w:rsidP="00990076">
            <w:pPr>
              <w:widowControl w:val="0"/>
              <w:ind w:left="58" w:right="-86"/>
              <w:jc w:val="right"/>
              <w:rPr>
                <w:rFonts w:eastAsia="Batang" w:cs="Arial"/>
                <w:color w:val="000000"/>
                <w:sz w:val="18"/>
                <w:szCs w:val="18"/>
                <w:highlight w:val="yellow"/>
                <w:lang w:eastAsia="ko-KR"/>
              </w:rPr>
            </w:pPr>
            <w:r w:rsidRPr="00792B2F">
              <w:rPr>
                <w:sz w:val="18"/>
                <w:szCs w:val="18"/>
              </w:rPr>
              <w:t xml:space="preserve"> 51</w:t>
            </w:r>
            <w:r w:rsidR="00792B2F">
              <w:rPr>
                <w:sz w:val="18"/>
                <w:szCs w:val="18"/>
              </w:rPr>
              <w:t>,</w:t>
            </w:r>
            <w:r w:rsidRPr="00792B2F">
              <w:rPr>
                <w:sz w:val="18"/>
                <w:szCs w:val="18"/>
              </w:rPr>
              <w:t>466</w:t>
            </w:r>
            <w:r w:rsidR="00792B2F">
              <w:rPr>
                <w:sz w:val="18"/>
                <w:szCs w:val="18"/>
              </w:rPr>
              <w:t>,</w:t>
            </w:r>
            <w:r w:rsidRPr="00792B2F">
              <w:rPr>
                <w:sz w:val="18"/>
                <w:szCs w:val="18"/>
              </w:rPr>
              <w:t>122</w:t>
            </w:r>
            <w:r w:rsidR="00792B2F">
              <w:rPr>
                <w:sz w:val="18"/>
                <w:szCs w:val="18"/>
              </w:rPr>
              <w:t>,</w:t>
            </w:r>
            <w:r w:rsidRPr="00792B2F">
              <w:rPr>
                <w:sz w:val="18"/>
                <w:szCs w:val="18"/>
              </w:rPr>
              <w:t xml:space="preserve">114 </w:t>
            </w:r>
          </w:p>
        </w:tc>
      </w:tr>
      <w:tr w:rsidR="00990076" w:rsidRPr="002A0B87" w14:paraId="33644575" w14:textId="77777777" w:rsidTr="00ED6652">
        <w:trPr>
          <w:trHeight w:val="20"/>
        </w:trPr>
        <w:tc>
          <w:tcPr>
            <w:tcW w:w="1710" w:type="dxa"/>
            <w:vAlign w:val="bottom"/>
          </w:tcPr>
          <w:p w14:paraId="01CEA3CB" w14:textId="6A24E6F1" w:rsidR="00990076" w:rsidRPr="0090306A" w:rsidRDefault="00990076" w:rsidP="00990076">
            <w:pPr>
              <w:widowControl w:val="0"/>
              <w:ind w:left="-115" w:right="-86"/>
              <w:jc w:val="left"/>
              <w:rPr>
                <w:rFonts w:cs="Arial"/>
                <w:sz w:val="18"/>
                <w:szCs w:val="18"/>
              </w:rPr>
            </w:pPr>
            <w:r w:rsidRPr="00C61DB4">
              <w:rPr>
                <w:rFonts w:cs="Arial"/>
                <w:sz w:val="18"/>
                <w:szCs w:val="18"/>
              </w:rPr>
              <w:t>Receivables from services provided by the Company</w:t>
            </w:r>
          </w:p>
        </w:tc>
        <w:tc>
          <w:tcPr>
            <w:tcW w:w="1710" w:type="dxa"/>
          </w:tcPr>
          <w:p w14:paraId="6F6E528C" w14:textId="2FE68406" w:rsidR="00990076" w:rsidRPr="00792B2F" w:rsidRDefault="00990076" w:rsidP="00990076">
            <w:pPr>
              <w:widowControl w:val="0"/>
              <w:ind w:left="58" w:right="-86"/>
              <w:jc w:val="right"/>
              <w:rPr>
                <w:rFonts w:cs="Arial"/>
                <w:sz w:val="18"/>
                <w:szCs w:val="18"/>
                <w:highlight w:val="yellow"/>
              </w:rPr>
            </w:pPr>
            <w:r w:rsidRPr="00792B2F">
              <w:rPr>
                <w:sz w:val="18"/>
                <w:szCs w:val="18"/>
              </w:rPr>
              <w:t xml:space="preserve"> 210</w:t>
            </w:r>
            <w:r w:rsidR="00792B2F">
              <w:rPr>
                <w:sz w:val="18"/>
                <w:szCs w:val="18"/>
              </w:rPr>
              <w:t>,</w:t>
            </w:r>
            <w:r w:rsidRPr="00792B2F">
              <w:rPr>
                <w:sz w:val="18"/>
                <w:szCs w:val="18"/>
              </w:rPr>
              <w:t xml:space="preserve">539 </w:t>
            </w:r>
          </w:p>
        </w:tc>
        <w:tc>
          <w:tcPr>
            <w:tcW w:w="1519" w:type="dxa"/>
          </w:tcPr>
          <w:p w14:paraId="7661C0B7" w14:textId="2DEA9208" w:rsidR="00990076" w:rsidRPr="00792B2F" w:rsidRDefault="00990076" w:rsidP="00990076">
            <w:pPr>
              <w:widowControl w:val="0"/>
              <w:ind w:left="58" w:right="-86"/>
              <w:jc w:val="right"/>
              <w:rPr>
                <w:rFonts w:eastAsia="Batang" w:cs="Arial"/>
                <w:color w:val="000000"/>
                <w:sz w:val="18"/>
                <w:szCs w:val="18"/>
                <w:highlight w:val="yellow"/>
                <w:lang w:eastAsia="ko-KR"/>
              </w:rPr>
            </w:pPr>
            <w:r w:rsidRPr="00792B2F">
              <w:rPr>
                <w:sz w:val="18"/>
                <w:szCs w:val="18"/>
              </w:rPr>
              <w:t xml:space="preserve">- </w:t>
            </w:r>
          </w:p>
        </w:tc>
        <w:tc>
          <w:tcPr>
            <w:tcW w:w="1541" w:type="dxa"/>
          </w:tcPr>
          <w:p w14:paraId="1F2B26FE" w14:textId="29342669" w:rsidR="00990076" w:rsidRPr="00792B2F" w:rsidRDefault="00990076" w:rsidP="00990076">
            <w:pPr>
              <w:widowControl w:val="0"/>
              <w:ind w:left="58" w:right="-86"/>
              <w:jc w:val="right"/>
              <w:rPr>
                <w:rFonts w:cs="Arial"/>
                <w:sz w:val="18"/>
                <w:szCs w:val="18"/>
                <w:highlight w:val="yellow"/>
                <w:lang w:val="en-GB"/>
              </w:rPr>
            </w:pPr>
            <w:r w:rsidRPr="00792B2F">
              <w:rPr>
                <w:sz w:val="18"/>
                <w:szCs w:val="18"/>
              </w:rPr>
              <w:t xml:space="preserve">- </w:t>
            </w:r>
          </w:p>
        </w:tc>
        <w:tc>
          <w:tcPr>
            <w:tcW w:w="1699" w:type="dxa"/>
          </w:tcPr>
          <w:p w14:paraId="55839126" w14:textId="3F462947" w:rsidR="00990076" w:rsidRPr="00792B2F" w:rsidRDefault="00990076" w:rsidP="00990076">
            <w:pPr>
              <w:widowControl w:val="0"/>
              <w:ind w:left="58" w:right="-86"/>
              <w:jc w:val="right"/>
              <w:rPr>
                <w:rFonts w:cs="Arial"/>
                <w:sz w:val="18"/>
                <w:szCs w:val="18"/>
                <w:highlight w:val="yellow"/>
              </w:rPr>
            </w:pPr>
            <w:r w:rsidRPr="00792B2F">
              <w:rPr>
                <w:sz w:val="18"/>
                <w:szCs w:val="18"/>
              </w:rPr>
              <w:t xml:space="preserve"> 210</w:t>
            </w:r>
            <w:r w:rsidR="00792B2F">
              <w:rPr>
                <w:sz w:val="18"/>
                <w:szCs w:val="18"/>
              </w:rPr>
              <w:t>,</w:t>
            </w:r>
            <w:r w:rsidRPr="00792B2F">
              <w:rPr>
                <w:sz w:val="18"/>
                <w:szCs w:val="18"/>
              </w:rPr>
              <w:t xml:space="preserve">539 </w:t>
            </w:r>
          </w:p>
        </w:tc>
      </w:tr>
      <w:tr w:rsidR="00990076" w:rsidRPr="002A0B87" w14:paraId="425B0374" w14:textId="77777777" w:rsidTr="00ED6652">
        <w:trPr>
          <w:trHeight w:val="20"/>
        </w:trPr>
        <w:tc>
          <w:tcPr>
            <w:tcW w:w="1710" w:type="dxa"/>
            <w:vAlign w:val="bottom"/>
          </w:tcPr>
          <w:p w14:paraId="3F37FAC5" w14:textId="27E275E4" w:rsidR="00990076" w:rsidRPr="002A0B87" w:rsidRDefault="00990076" w:rsidP="00990076">
            <w:pPr>
              <w:widowControl w:val="0"/>
              <w:ind w:left="-115"/>
              <w:rPr>
                <w:rFonts w:cs="Arial"/>
                <w:sz w:val="18"/>
                <w:szCs w:val="18"/>
              </w:rPr>
            </w:pPr>
            <w:r w:rsidRPr="00C45873">
              <w:rPr>
                <w:rFonts w:cs="Arial"/>
                <w:sz w:val="18"/>
                <w:szCs w:val="18"/>
              </w:rPr>
              <w:t>Other receivables</w:t>
            </w:r>
          </w:p>
        </w:tc>
        <w:tc>
          <w:tcPr>
            <w:tcW w:w="1710" w:type="dxa"/>
          </w:tcPr>
          <w:p w14:paraId="619C3FCA" w14:textId="7D46B8AC" w:rsidR="00990076" w:rsidRPr="00792B2F" w:rsidRDefault="00990076" w:rsidP="00990076">
            <w:pPr>
              <w:widowControl w:val="0"/>
              <w:ind w:left="58" w:right="-86"/>
              <w:jc w:val="right"/>
              <w:rPr>
                <w:rFonts w:cs="Arial"/>
                <w:sz w:val="18"/>
                <w:szCs w:val="18"/>
                <w:highlight w:val="yellow"/>
              </w:rPr>
            </w:pPr>
            <w:r w:rsidRPr="00792B2F">
              <w:rPr>
                <w:sz w:val="18"/>
                <w:szCs w:val="18"/>
              </w:rPr>
              <w:t xml:space="preserve"> 250</w:t>
            </w:r>
            <w:r w:rsidR="00792B2F">
              <w:rPr>
                <w:sz w:val="18"/>
                <w:szCs w:val="18"/>
              </w:rPr>
              <w:t>,</w:t>
            </w:r>
            <w:r w:rsidRPr="00792B2F">
              <w:rPr>
                <w:sz w:val="18"/>
                <w:szCs w:val="18"/>
              </w:rPr>
              <w:t xml:space="preserve">000 </w:t>
            </w:r>
          </w:p>
        </w:tc>
        <w:tc>
          <w:tcPr>
            <w:tcW w:w="1519" w:type="dxa"/>
          </w:tcPr>
          <w:p w14:paraId="42481B9F" w14:textId="6E06E0FC" w:rsidR="00990076" w:rsidRPr="00792B2F" w:rsidRDefault="00990076" w:rsidP="00990076">
            <w:pPr>
              <w:widowControl w:val="0"/>
              <w:ind w:left="58" w:right="-86"/>
              <w:jc w:val="right"/>
              <w:rPr>
                <w:rFonts w:eastAsia="Batang" w:cs="Arial"/>
                <w:color w:val="000000"/>
                <w:sz w:val="18"/>
                <w:szCs w:val="18"/>
                <w:highlight w:val="yellow"/>
                <w:lang w:eastAsia="ko-KR"/>
              </w:rPr>
            </w:pPr>
            <w:r w:rsidRPr="00792B2F">
              <w:rPr>
                <w:sz w:val="18"/>
                <w:szCs w:val="18"/>
              </w:rPr>
              <w:t xml:space="preserve">- </w:t>
            </w:r>
          </w:p>
        </w:tc>
        <w:tc>
          <w:tcPr>
            <w:tcW w:w="1541" w:type="dxa"/>
          </w:tcPr>
          <w:p w14:paraId="63588A89" w14:textId="1852FC8A" w:rsidR="00990076" w:rsidRPr="00792B2F" w:rsidRDefault="00990076" w:rsidP="00990076">
            <w:pPr>
              <w:widowControl w:val="0"/>
              <w:ind w:left="58" w:right="-86"/>
              <w:jc w:val="right"/>
              <w:rPr>
                <w:rFonts w:cs="Arial"/>
                <w:sz w:val="18"/>
                <w:szCs w:val="18"/>
                <w:highlight w:val="yellow"/>
                <w:lang w:val="en-GB"/>
              </w:rPr>
            </w:pPr>
            <w:r w:rsidRPr="00792B2F">
              <w:rPr>
                <w:sz w:val="18"/>
                <w:szCs w:val="18"/>
              </w:rPr>
              <w:t xml:space="preserve">- </w:t>
            </w:r>
          </w:p>
        </w:tc>
        <w:tc>
          <w:tcPr>
            <w:tcW w:w="1699" w:type="dxa"/>
          </w:tcPr>
          <w:p w14:paraId="56C79990" w14:textId="1225587D" w:rsidR="00990076" w:rsidRPr="00792B2F" w:rsidRDefault="00990076" w:rsidP="00990076">
            <w:pPr>
              <w:widowControl w:val="0"/>
              <w:ind w:left="58" w:right="-86"/>
              <w:jc w:val="right"/>
              <w:rPr>
                <w:rFonts w:cs="Arial"/>
                <w:sz w:val="18"/>
                <w:szCs w:val="18"/>
                <w:highlight w:val="yellow"/>
              </w:rPr>
            </w:pPr>
            <w:r w:rsidRPr="00792B2F">
              <w:rPr>
                <w:sz w:val="18"/>
                <w:szCs w:val="18"/>
              </w:rPr>
              <w:t xml:space="preserve"> 250</w:t>
            </w:r>
            <w:r w:rsidR="00792B2F">
              <w:rPr>
                <w:sz w:val="18"/>
                <w:szCs w:val="18"/>
              </w:rPr>
              <w:t>,</w:t>
            </w:r>
            <w:r w:rsidRPr="00792B2F">
              <w:rPr>
                <w:sz w:val="18"/>
                <w:szCs w:val="18"/>
              </w:rPr>
              <w:t xml:space="preserve">000 </w:t>
            </w:r>
          </w:p>
        </w:tc>
      </w:tr>
      <w:tr w:rsidR="00990076" w:rsidRPr="002A0B87" w14:paraId="505886DB" w14:textId="77777777" w:rsidTr="00ED6652">
        <w:trPr>
          <w:trHeight w:val="20"/>
        </w:trPr>
        <w:tc>
          <w:tcPr>
            <w:tcW w:w="1710" w:type="dxa"/>
            <w:vAlign w:val="bottom"/>
          </w:tcPr>
          <w:p w14:paraId="4414B605" w14:textId="167CE651" w:rsidR="00990076" w:rsidRPr="002A0B87" w:rsidRDefault="00990076" w:rsidP="00990076">
            <w:pPr>
              <w:widowControl w:val="0"/>
              <w:ind w:left="-115"/>
              <w:jc w:val="left"/>
              <w:rPr>
                <w:rFonts w:cs="Arial"/>
                <w:sz w:val="18"/>
                <w:szCs w:val="18"/>
              </w:rPr>
            </w:pPr>
            <w:r w:rsidRPr="001932C3">
              <w:rPr>
                <w:rFonts w:cs="Arial"/>
                <w:sz w:val="18"/>
                <w:szCs w:val="18"/>
              </w:rPr>
              <w:t xml:space="preserve">Long-term deposits, </w:t>
            </w:r>
            <w:proofErr w:type="gramStart"/>
            <w:r w:rsidRPr="001932C3">
              <w:rPr>
                <w:rFonts w:cs="Arial"/>
                <w:sz w:val="18"/>
                <w:szCs w:val="18"/>
              </w:rPr>
              <w:t>collaterals</w:t>
            </w:r>
            <w:proofErr w:type="gramEnd"/>
            <w:r w:rsidRPr="001932C3">
              <w:rPr>
                <w:rFonts w:cs="Arial"/>
                <w:sz w:val="18"/>
                <w:szCs w:val="18"/>
              </w:rPr>
              <w:t xml:space="preserve"> and pledges</w:t>
            </w:r>
          </w:p>
        </w:tc>
        <w:tc>
          <w:tcPr>
            <w:tcW w:w="1710" w:type="dxa"/>
          </w:tcPr>
          <w:p w14:paraId="6997C8BD" w14:textId="2989A552" w:rsidR="00990076" w:rsidRPr="00792B2F" w:rsidRDefault="00990076" w:rsidP="00990076">
            <w:pPr>
              <w:widowControl w:val="0"/>
              <w:ind w:left="58" w:right="-86"/>
              <w:jc w:val="right"/>
              <w:rPr>
                <w:rFonts w:cs="Arial"/>
                <w:sz w:val="18"/>
                <w:szCs w:val="18"/>
                <w:highlight w:val="yellow"/>
              </w:rPr>
            </w:pPr>
            <w:r w:rsidRPr="00792B2F">
              <w:rPr>
                <w:sz w:val="18"/>
                <w:szCs w:val="18"/>
              </w:rPr>
              <w:t xml:space="preserve"> 2</w:t>
            </w:r>
            <w:r w:rsidR="00792B2F">
              <w:rPr>
                <w:sz w:val="18"/>
                <w:szCs w:val="18"/>
              </w:rPr>
              <w:t>,</w:t>
            </w:r>
            <w:r w:rsidRPr="00792B2F">
              <w:rPr>
                <w:sz w:val="18"/>
                <w:szCs w:val="18"/>
              </w:rPr>
              <w:t>229</w:t>
            </w:r>
            <w:r w:rsidR="00792B2F">
              <w:rPr>
                <w:sz w:val="18"/>
                <w:szCs w:val="18"/>
              </w:rPr>
              <w:t>,</w:t>
            </w:r>
            <w:r w:rsidRPr="00792B2F">
              <w:rPr>
                <w:sz w:val="18"/>
                <w:szCs w:val="18"/>
              </w:rPr>
              <w:t>621</w:t>
            </w:r>
            <w:r w:rsidR="00792B2F">
              <w:rPr>
                <w:sz w:val="18"/>
                <w:szCs w:val="18"/>
              </w:rPr>
              <w:t>,</w:t>
            </w:r>
            <w:r w:rsidRPr="00792B2F">
              <w:rPr>
                <w:sz w:val="18"/>
                <w:szCs w:val="18"/>
              </w:rPr>
              <w:t xml:space="preserve">635 </w:t>
            </w:r>
          </w:p>
        </w:tc>
        <w:tc>
          <w:tcPr>
            <w:tcW w:w="1519" w:type="dxa"/>
          </w:tcPr>
          <w:p w14:paraId="7EFCDC37" w14:textId="581DA3AF" w:rsidR="00990076" w:rsidRPr="00792B2F" w:rsidRDefault="00990076" w:rsidP="00990076">
            <w:pPr>
              <w:widowControl w:val="0"/>
              <w:ind w:left="58" w:right="-86"/>
              <w:jc w:val="right"/>
              <w:rPr>
                <w:rFonts w:eastAsia="Batang" w:cs="Arial"/>
                <w:color w:val="000000"/>
                <w:sz w:val="18"/>
                <w:szCs w:val="18"/>
                <w:highlight w:val="yellow"/>
                <w:lang w:eastAsia="ko-KR"/>
              </w:rPr>
            </w:pPr>
            <w:r w:rsidRPr="00792B2F">
              <w:rPr>
                <w:sz w:val="18"/>
                <w:szCs w:val="18"/>
              </w:rPr>
              <w:t xml:space="preserve">- </w:t>
            </w:r>
          </w:p>
        </w:tc>
        <w:tc>
          <w:tcPr>
            <w:tcW w:w="1541" w:type="dxa"/>
          </w:tcPr>
          <w:p w14:paraId="459916DA" w14:textId="758855F9" w:rsidR="00990076" w:rsidRPr="00792B2F" w:rsidRDefault="00990076" w:rsidP="00990076">
            <w:pPr>
              <w:widowControl w:val="0"/>
              <w:ind w:left="58" w:right="-86"/>
              <w:jc w:val="right"/>
              <w:rPr>
                <w:rFonts w:cs="Arial"/>
                <w:sz w:val="18"/>
                <w:szCs w:val="18"/>
                <w:highlight w:val="yellow"/>
                <w:lang w:val="en-GB"/>
              </w:rPr>
            </w:pPr>
            <w:r w:rsidRPr="00792B2F">
              <w:rPr>
                <w:sz w:val="18"/>
                <w:szCs w:val="18"/>
              </w:rPr>
              <w:t xml:space="preserve">- </w:t>
            </w:r>
          </w:p>
        </w:tc>
        <w:tc>
          <w:tcPr>
            <w:tcW w:w="1699" w:type="dxa"/>
          </w:tcPr>
          <w:p w14:paraId="1D0E8031" w14:textId="7ED665BB" w:rsidR="00990076" w:rsidRPr="00792B2F" w:rsidRDefault="00990076" w:rsidP="00990076">
            <w:pPr>
              <w:widowControl w:val="0"/>
              <w:ind w:left="58" w:right="-86"/>
              <w:jc w:val="right"/>
              <w:rPr>
                <w:rFonts w:cs="Arial"/>
                <w:sz w:val="18"/>
                <w:szCs w:val="18"/>
                <w:highlight w:val="yellow"/>
              </w:rPr>
            </w:pPr>
            <w:r w:rsidRPr="00792B2F">
              <w:rPr>
                <w:sz w:val="18"/>
                <w:szCs w:val="18"/>
              </w:rPr>
              <w:t xml:space="preserve"> 2</w:t>
            </w:r>
            <w:r w:rsidR="00792B2F">
              <w:rPr>
                <w:sz w:val="18"/>
                <w:szCs w:val="18"/>
              </w:rPr>
              <w:t>,</w:t>
            </w:r>
            <w:r w:rsidRPr="00792B2F">
              <w:rPr>
                <w:sz w:val="18"/>
                <w:szCs w:val="18"/>
              </w:rPr>
              <w:t>229</w:t>
            </w:r>
            <w:r w:rsidR="00792B2F">
              <w:rPr>
                <w:sz w:val="18"/>
                <w:szCs w:val="18"/>
              </w:rPr>
              <w:t>,</w:t>
            </w:r>
            <w:r w:rsidRPr="00792B2F">
              <w:rPr>
                <w:sz w:val="18"/>
                <w:szCs w:val="18"/>
              </w:rPr>
              <w:t>621</w:t>
            </w:r>
            <w:r w:rsidR="00792B2F">
              <w:rPr>
                <w:sz w:val="18"/>
                <w:szCs w:val="18"/>
              </w:rPr>
              <w:t>,</w:t>
            </w:r>
            <w:r w:rsidRPr="00792B2F">
              <w:rPr>
                <w:sz w:val="18"/>
                <w:szCs w:val="18"/>
              </w:rPr>
              <w:t xml:space="preserve">635 </w:t>
            </w:r>
          </w:p>
        </w:tc>
      </w:tr>
      <w:tr w:rsidR="00990076" w:rsidRPr="002A0B87" w14:paraId="5117CD3A" w14:textId="77777777" w:rsidTr="00ED6652">
        <w:trPr>
          <w:trHeight w:val="20"/>
        </w:trPr>
        <w:tc>
          <w:tcPr>
            <w:tcW w:w="1710" w:type="dxa"/>
            <w:vAlign w:val="bottom"/>
            <w:hideMark/>
          </w:tcPr>
          <w:p w14:paraId="63F6CBD1" w14:textId="1D6CD55B" w:rsidR="00990076" w:rsidRPr="002A0B87" w:rsidRDefault="00990076" w:rsidP="00990076">
            <w:pPr>
              <w:widowControl w:val="0"/>
              <w:ind w:left="-115"/>
              <w:jc w:val="left"/>
              <w:rPr>
                <w:rFonts w:cs="Arial"/>
                <w:sz w:val="18"/>
                <w:szCs w:val="18"/>
              </w:rPr>
            </w:pPr>
            <w:r w:rsidRPr="0011452A">
              <w:rPr>
                <w:rFonts w:cs="Arial"/>
                <w:sz w:val="18"/>
                <w:szCs w:val="18"/>
              </w:rPr>
              <w:t>Payments to Settlement Assistance Fund</w:t>
            </w:r>
          </w:p>
        </w:tc>
        <w:tc>
          <w:tcPr>
            <w:tcW w:w="1710" w:type="dxa"/>
          </w:tcPr>
          <w:p w14:paraId="0DF5F70E" w14:textId="3CC1E591" w:rsidR="00990076" w:rsidRPr="00792B2F" w:rsidRDefault="00990076" w:rsidP="00990076">
            <w:pPr>
              <w:widowControl w:val="0"/>
              <w:pBdr>
                <w:bottom w:val="single" w:sz="4" w:space="0" w:color="auto"/>
              </w:pBdr>
              <w:ind w:left="58" w:right="-86"/>
              <w:jc w:val="right"/>
              <w:rPr>
                <w:rFonts w:cs="Arial"/>
                <w:sz w:val="18"/>
                <w:szCs w:val="18"/>
                <w:highlight w:val="yellow"/>
                <w:lang w:val="en-GB"/>
              </w:rPr>
            </w:pPr>
            <w:r w:rsidRPr="00792B2F">
              <w:rPr>
                <w:sz w:val="18"/>
                <w:szCs w:val="18"/>
              </w:rPr>
              <w:t xml:space="preserve"> 4</w:t>
            </w:r>
            <w:r w:rsidR="00792B2F">
              <w:rPr>
                <w:sz w:val="18"/>
                <w:szCs w:val="18"/>
              </w:rPr>
              <w:t>,</w:t>
            </w:r>
            <w:r w:rsidRPr="00792B2F">
              <w:rPr>
                <w:sz w:val="18"/>
                <w:szCs w:val="18"/>
              </w:rPr>
              <w:t>869</w:t>
            </w:r>
            <w:r w:rsidR="00792B2F">
              <w:rPr>
                <w:sz w:val="18"/>
                <w:szCs w:val="18"/>
              </w:rPr>
              <w:t>,</w:t>
            </w:r>
            <w:r w:rsidRPr="00792B2F">
              <w:rPr>
                <w:sz w:val="18"/>
                <w:szCs w:val="18"/>
              </w:rPr>
              <w:t>170</w:t>
            </w:r>
            <w:r w:rsidR="00792B2F">
              <w:rPr>
                <w:sz w:val="18"/>
                <w:szCs w:val="18"/>
              </w:rPr>
              <w:t>,</w:t>
            </w:r>
            <w:r w:rsidRPr="00792B2F">
              <w:rPr>
                <w:sz w:val="18"/>
                <w:szCs w:val="18"/>
              </w:rPr>
              <w:t xml:space="preserve">623 </w:t>
            </w:r>
          </w:p>
        </w:tc>
        <w:tc>
          <w:tcPr>
            <w:tcW w:w="1519" w:type="dxa"/>
          </w:tcPr>
          <w:p w14:paraId="30139DAB" w14:textId="78CEDEB0" w:rsidR="00990076" w:rsidRPr="00792B2F" w:rsidRDefault="00990076" w:rsidP="00990076">
            <w:pPr>
              <w:widowControl w:val="0"/>
              <w:pBdr>
                <w:bottom w:val="single" w:sz="4" w:space="0" w:color="auto"/>
              </w:pBdr>
              <w:ind w:left="58" w:right="-86"/>
              <w:jc w:val="right"/>
              <w:rPr>
                <w:rFonts w:cs="Arial"/>
                <w:sz w:val="18"/>
                <w:szCs w:val="18"/>
                <w:highlight w:val="yellow"/>
                <w:lang w:val="en-GB"/>
              </w:rPr>
            </w:pPr>
            <w:r w:rsidRPr="00792B2F">
              <w:rPr>
                <w:sz w:val="18"/>
                <w:szCs w:val="18"/>
              </w:rPr>
              <w:t xml:space="preserve">- </w:t>
            </w:r>
          </w:p>
        </w:tc>
        <w:tc>
          <w:tcPr>
            <w:tcW w:w="1541" w:type="dxa"/>
          </w:tcPr>
          <w:p w14:paraId="7B946AD4" w14:textId="079BFD46" w:rsidR="00990076" w:rsidRPr="00792B2F" w:rsidRDefault="00990076" w:rsidP="00990076">
            <w:pPr>
              <w:widowControl w:val="0"/>
              <w:pBdr>
                <w:bottom w:val="single" w:sz="4" w:space="0" w:color="auto"/>
              </w:pBdr>
              <w:ind w:left="58" w:right="-86"/>
              <w:jc w:val="right"/>
              <w:rPr>
                <w:rFonts w:cs="Arial"/>
                <w:sz w:val="18"/>
                <w:szCs w:val="18"/>
                <w:highlight w:val="yellow"/>
                <w:lang w:val="en-GB"/>
              </w:rPr>
            </w:pPr>
            <w:r w:rsidRPr="00792B2F">
              <w:rPr>
                <w:sz w:val="18"/>
                <w:szCs w:val="18"/>
              </w:rPr>
              <w:t xml:space="preserve">- </w:t>
            </w:r>
          </w:p>
        </w:tc>
        <w:tc>
          <w:tcPr>
            <w:tcW w:w="1699" w:type="dxa"/>
          </w:tcPr>
          <w:p w14:paraId="07D352B0" w14:textId="486BDD9F" w:rsidR="00990076" w:rsidRPr="00792B2F" w:rsidRDefault="00990076" w:rsidP="00990076">
            <w:pPr>
              <w:widowControl w:val="0"/>
              <w:pBdr>
                <w:bottom w:val="single" w:sz="4" w:space="0" w:color="auto"/>
              </w:pBdr>
              <w:ind w:left="58" w:right="-86"/>
              <w:jc w:val="right"/>
              <w:rPr>
                <w:rFonts w:cs="Arial"/>
                <w:sz w:val="18"/>
                <w:szCs w:val="18"/>
                <w:highlight w:val="yellow"/>
                <w:lang w:val="en-GB"/>
              </w:rPr>
            </w:pPr>
            <w:r w:rsidRPr="00792B2F">
              <w:rPr>
                <w:sz w:val="18"/>
                <w:szCs w:val="18"/>
              </w:rPr>
              <w:t xml:space="preserve"> 4</w:t>
            </w:r>
            <w:r w:rsidR="00792B2F">
              <w:rPr>
                <w:sz w:val="18"/>
                <w:szCs w:val="18"/>
              </w:rPr>
              <w:t>,</w:t>
            </w:r>
            <w:r w:rsidRPr="00792B2F">
              <w:rPr>
                <w:sz w:val="18"/>
                <w:szCs w:val="18"/>
              </w:rPr>
              <w:t>869</w:t>
            </w:r>
            <w:r w:rsidR="00792B2F">
              <w:rPr>
                <w:sz w:val="18"/>
                <w:szCs w:val="18"/>
              </w:rPr>
              <w:t>,</w:t>
            </w:r>
            <w:r w:rsidRPr="00792B2F">
              <w:rPr>
                <w:sz w:val="18"/>
                <w:szCs w:val="18"/>
              </w:rPr>
              <w:t>170</w:t>
            </w:r>
            <w:r w:rsidR="00792B2F">
              <w:rPr>
                <w:sz w:val="18"/>
                <w:szCs w:val="18"/>
              </w:rPr>
              <w:t>,</w:t>
            </w:r>
            <w:r w:rsidRPr="00792B2F">
              <w:rPr>
                <w:sz w:val="18"/>
                <w:szCs w:val="18"/>
              </w:rPr>
              <w:t xml:space="preserve">623 </w:t>
            </w:r>
          </w:p>
        </w:tc>
      </w:tr>
      <w:tr w:rsidR="00990076" w:rsidRPr="002A0B87" w14:paraId="219DA63D" w14:textId="77777777" w:rsidTr="00ED6652">
        <w:trPr>
          <w:trHeight w:val="20"/>
        </w:trPr>
        <w:tc>
          <w:tcPr>
            <w:tcW w:w="1710" w:type="dxa"/>
            <w:vAlign w:val="bottom"/>
            <w:hideMark/>
          </w:tcPr>
          <w:p w14:paraId="1929191E" w14:textId="6EE47FAC" w:rsidR="00990076" w:rsidRPr="002A0B87" w:rsidRDefault="00990076" w:rsidP="00990076">
            <w:pPr>
              <w:widowControl w:val="0"/>
              <w:spacing w:before="120"/>
              <w:ind w:left="-115"/>
              <w:rPr>
                <w:rFonts w:cs="Arial"/>
                <w:b/>
                <w:sz w:val="18"/>
                <w:szCs w:val="18"/>
              </w:rPr>
            </w:pPr>
            <w:r w:rsidRPr="004C34F6">
              <w:rPr>
                <w:rFonts w:cs="Arial"/>
                <w:b/>
                <w:sz w:val="18"/>
                <w:szCs w:val="18"/>
              </w:rPr>
              <w:t>Total</w:t>
            </w:r>
          </w:p>
        </w:tc>
        <w:tc>
          <w:tcPr>
            <w:tcW w:w="1710" w:type="dxa"/>
          </w:tcPr>
          <w:p w14:paraId="58B54EB7" w14:textId="420038D3" w:rsidR="00990076" w:rsidRPr="00792B2F" w:rsidRDefault="00990076" w:rsidP="00990076">
            <w:pPr>
              <w:widowControl w:val="0"/>
              <w:pBdr>
                <w:bottom w:val="double" w:sz="4" w:space="0" w:color="auto"/>
              </w:pBdr>
              <w:spacing w:before="120"/>
              <w:ind w:left="-58" w:right="-86"/>
              <w:jc w:val="right"/>
              <w:rPr>
                <w:rFonts w:eastAsia="Batang" w:cs="Arial"/>
                <w:b/>
                <w:bCs/>
                <w:sz w:val="18"/>
                <w:szCs w:val="18"/>
                <w:highlight w:val="yellow"/>
                <w:lang w:eastAsia="ko-KR"/>
              </w:rPr>
            </w:pPr>
            <w:r w:rsidRPr="00792B2F">
              <w:rPr>
                <w:sz w:val="18"/>
                <w:szCs w:val="18"/>
              </w:rPr>
              <w:t>3</w:t>
            </w:r>
            <w:r w:rsidR="00792B2F">
              <w:rPr>
                <w:sz w:val="18"/>
                <w:szCs w:val="18"/>
              </w:rPr>
              <w:t>,</w:t>
            </w:r>
            <w:r w:rsidRPr="00792B2F">
              <w:rPr>
                <w:sz w:val="18"/>
                <w:szCs w:val="18"/>
              </w:rPr>
              <w:t>310</w:t>
            </w:r>
            <w:r w:rsidR="00792B2F">
              <w:rPr>
                <w:sz w:val="18"/>
                <w:szCs w:val="18"/>
              </w:rPr>
              <w:t>,</w:t>
            </w:r>
            <w:r w:rsidRPr="00792B2F">
              <w:rPr>
                <w:sz w:val="18"/>
                <w:szCs w:val="18"/>
              </w:rPr>
              <w:t>841</w:t>
            </w:r>
            <w:r w:rsidR="00792B2F">
              <w:rPr>
                <w:sz w:val="18"/>
                <w:szCs w:val="18"/>
              </w:rPr>
              <w:t>,</w:t>
            </w:r>
            <w:r w:rsidRPr="00792B2F">
              <w:rPr>
                <w:sz w:val="18"/>
                <w:szCs w:val="18"/>
              </w:rPr>
              <w:t>443</w:t>
            </w:r>
            <w:r w:rsidR="00792B2F">
              <w:rPr>
                <w:sz w:val="18"/>
                <w:szCs w:val="18"/>
              </w:rPr>
              <w:t>,</w:t>
            </w:r>
            <w:r w:rsidRPr="00792B2F">
              <w:rPr>
                <w:sz w:val="18"/>
                <w:szCs w:val="18"/>
              </w:rPr>
              <w:t xml:space="preserve">403 </w:t>
            </w:r>
          </w:p>
        </w:tc>
        <w:tc>
          <w:tcPr>
            <w:tcW w:w="1519" w:type="dxa"/>
          </w:tcPr>
          <w:p w14:paraId="3E99B2E0" w14:textId="07062523" w:rsidR="00990076" w:rsidRPr="00792B2F" w:rsidRDefault="00990076" w:rsidP="00990076">
            <w:pPr>
              <w:widowControl w:val="0"/>
              <w:pBdr>
                <w:bottom w:val="double" w:sz="4" w:space="0" w:color="auto"/>
              </w:pBdr>
              <w:spacing w:before="120"/>
              <w:ind w:left="58" w:right="-86"/>
              <w:jc w:val="right"/>
              <w:rPr>
                <w:rFonts w:eastAsia="Batang" w:cs="Arial"/>
                <w:b/>
                <w:bCs/>
                <w:sz w:val="18"/>
                <w:szCs w:val="18"/>
                <w:highlight w:val="yellow"/>
                <w:lang w:eastAsia="ko-KR"/>
              </w:rPr>
            </w:pPr>
            <w:r w:rsidRPr="00792B2F">
              <w:rPr>
                <w:sz w:val="18"/>
                <w:szCs w:val="18"/>
              </w:rPr>
              <w:t xml:space="preserve">- </w:t>
            </w:r>
          </w:p>
        </w:tc>
        <w:tc>
          <w:tcPr>
            <w:tcW w:w="1541" w:type="dxa"/>
          </w:tcPr>
          <w:p w14:paraId="29700089" w14:textId="3FEE9FE6" w:rsidR="00990076" w:rsidRPr="00792B2F" w:rsidRDefault="00990076" w:rsidP="00990076">
            <w:pPr>
              <w:widowControl w:val="0"/>
              <w:pBdr>
                <w:bottom w:val="double" w:sz="4" w:space="0" w:color="auto"/>
              </w:pBdr>
              <w:spacing w:before="120"/>
              <w:ind w:left="58" w:right="-86"/>
              <w:jc w:val="right"/>
              <w:rPr>
                <w:rFonts w:eastAsia="Batang" w:cs="Arial"/>
                <w:b/>
                <w:bCs/>
                <w:sz w:val="18"/>
                <w:szCs w:val="18"/>
                <w:highlight w:val="yellow"/>
                <w:lang w:eastAsia="ko-KR"/>
              </w:rPr>
            </w:pPr>
            <w:r w:rsidRPr="00792B2F">
              <w:rPr>
                <w:sz w:val="18"/>
                <w:szCs w:val="18"/>
              </w:rPr>
              <w:t xml:space="preserve">- </w:t>
            </w:r>
          </w:p>
        </w:tc>
        <w:tc>
          <w:tcPr>
            <w:tcW w:w="1699" w:type="dxa"/>
          </w:tcPr>
          <w:p w14:paraId="48D15459" w14:textId="04AF756E" w:rsidR="00990076" w:rsidRPr="00792B2F" w:rsidRDefault="00990076" w:rsidP="00990076">
            <w:pPr>
              <w:widowControl w:val="0"/>
              <w:pBdr>
                <w:bottom w:val="double" w:sz="4" w:space="0" w:color="auto"/>
              </w:pBdr>
              <w:spacing w:before="120"/>
              <w:ind w:left="-58" w:right="-86"/>
              <w:jc w:val="right"/>
              <w:rPr>
                <w:rFonts w:eastAsia="Batang" w:cs="Arial"/>
                <w:b/>
                <w:bCs/>
                <w:sz w:val="18"/>
                <w:szCs w:val="18"/>
                <w:lang w:eastAsia="ko-KR"/>
              </w:rPr>
            </w:pPr>
            <w:r w:rsidRPr="00792B2F">
              <w:rPr>
                <w:sz w:val="18"/>
                <w:szCs w:val="18"/>
              </w:rPr>
              <w:t>3</w:t>
            </w:r>
            <w:r w:rsidR="00792B2F">
              <w:rPr>
                <w:sz w:val="18"/>
                <w:szCs w:val="18"/>
              </w:rPr>
              <w:t>,</w:t>
            </w:r>
            <w:r w:rsidRPr="00792B2F">
              <w:rPr>
                <w:sz w:val="18"/>
                <w:szCs w:val="18"/>
              </w:rPr>
              <w:t>310</w:t>
            </w:r>
            <w:r w:rsidR="00792B2F">
              <w:rPr>
                <w:sz w:val="18"/>
                <w:szCs w:val="18"/>
              </w:rPr>
              <w:t>,</w:t>
            </w:r>
            <w:r w:rsidRPr="00792B2F">
              <w:rPr>
                <w:sz w:val="18"/>
                <w:szCs w:val="18"/>
              </w:rPr>
              <w:t>841</w:t>
            </w:r>
            <w:r w:rsidR="00792B2F">
              <w:rPr>
                <w:sz w:val="18"/>
                <w:szCs w:val="18"/>
              </w:rPr>
              <w:t>,</w:t>
            </w:r>
            <w:r w:rsidRPr="00792B2F">
              <w:rPr>
                <w:sz w:val="18"/>
                <w:szCs w:val="18"/>
              </w:rPr>
              <w:t>443</w:t>
            </w:r>
            <w:r w:rsidR="00792B2F">
              <w:rPr>
                <w:sz w:val="18"/>
                <w:szCs w:val="18"/>
              </w:rPr>
              <w:t>,</w:t>
            </w:r>
            <w:r w:rsidRPr="00792B2F">
              <w:rPr>
                <w:sz w:val="18"/>
                <w:szCs w:val="18"/>
              </w:rPr>
              <w:t>403</w:t>
            </w:r>
          </w:p>
        </w:tc>
      </w:tr>
    </w:tbl>
    <w:p w14:paraId="22A3FF0C" w14:textId="623784AA" w:rsidR="005E0818" w:rsidRDefault="005E0818" w:rsidP="00760439">
      <w:pPr>
        <w:pStyle w:val="NoSpacing"/>
      </w:pPr>
    </w:p>
    <w:p w14:paraId="087C460E" w14:textId="5777A7EE" w:rsidR="005E0818" w:rsidRPr="002A0B87" w:rsidRDefault="001D70A0" w:rsidP="00760439">
      <w:pPr>
        <w:pStyle w:val="Heading2"/>
      </w:pPr>
      <w:r>
        <w:t>28</w:t>
      </w:r>
      <w:r w:rsidR="005E0818" w:rsidRPr="002A0B87">
        <w:t>.4</w:t>
      </w:r>
      <w:r w:rsidR="005E0818" w:rsidRPr="002A0B87">
        <w:tab/>
      </w:r>
      <w:r w:rsidR="007D39AF" w:rsidRPr="007D39AF">
        <w:t>Liquidity risk</w:t>
      </w:r>
      <w:r w:rsidR="007D39AF" w:rsidRPr="007D39AF" w:rsidDel="007D39AF">
        <w:t xml:space="preserve"> </w:t>
      </w:r>
    </w:p>
    <w:p w14:paraId="229840A2" w14:textId="77777777" w:rsidR="005E0818" w:rsidRPr="002A0B87" w:rsidRDefault="005E0818" w:rsidP="00760439">
      <w:pPr>
        <w:pStyle w:val="NoSpacing"/>
      </w:pPr>
    </w:p>
    <w:p w14:paraId="30589038" w14:textId="4163B40B" w:rsidR="005E0818" w:rsidRPr="002A0B87" w:rsidRDefault="00C3436F" w:rsidP="00760439">
      <w:pPr>
        <w:pStyle w:val="NoSpacing"/>
        <w:rPr>
          <w:lang w:val="vi-VN"/>
        </w:rPr>
      </w:pPr>
      <w:r w:rsidRPr="00C3436F">
        <w:rPr>
          <w:lang w:val="vi-VN"/>
        </w:rPr>
        <w:t>The liquidity risk is the risk that the Company will encounter difficulties in meeting financial obligations due to shortage of funds. The Company’s exposure to liquidity risk arises primarily from mismatches of maturities of financial assets and liabilities.</w:t>
      </w:r>
    </w:p>
    <w:p w14:paraId="50A18797" w14:textId="77777777" w:rsidR="005E0818" w:rsidRPr="002A0B87" w:rsidRDefault="005E0818" w:rsidP="00760439">
      <w:pPr>
        <w:pStyle w:val="NoSpacing"/>
        <w:rPr>
          <w:lang w:val="vi-VN"/>
        </w:rPr>
      </w:pPr>
    </w:p>
    <w:p w14:paraId="5FDB7E20" w14:textId="78476983" w:rsidR="005E0818" w:rsidRPr="002A0B87" w:rsidRDefault="005A71C8" w:rsidP="00760439">
      <w:pPr>
        <w:pStyle w:val="NoSpacing"/>
        <w:rPr>
          <w:lang w:val="vi-VN"/>
        </w:rPr>
      </w:pPr>
      <w:r w:rsidRPr="005A71C8">
        <w:rPr>
          <w:lang w:val="vi-VN"/>
        </w:rPr>
        <w:t>The Company monitors its liquidity risk by maintaining a level of cash and cash equivalents deemed adequate by Management to finance the Company’s operations and to mitigate the effects of fluctuations in cash flows.</w:t>
      </w:r>
    </w:p>
    <w:p w14:paraId="5110AB17" w14:textId="07806ECB" w:rsidR="00F71A50" w:rsidRPr="002A0B87" w:rsidRDefault="00F71A50" w:rsidP="00760439">
      <w:pPr>
        <w:pStyle w:val="NoSpacing"/>
        <w:rPr>
          <w:lang w:val="vi-VN"/>
        </w:rPr>
      </w:pPr>
    </w:p>
    <w:p w14:paraId="6C8BE1EE" w14:textId="4CD5B1AA" w:rsidR="00F71A50" w:rsidRPr="002A0B87" w:rsidRDefault="008745C7" w:rsidP="00760439">
      <w:pPr>
        <w:pStyle w:val="NoSpacing"/>
        <w:rPr>
          <w:lang w:val="vi-VN"/>
        </w:rPr>
      </w:pPr>
      <w:r w:rsidRPr="008745C7">
        <w:rPr>
          <w:lang w:val="vi-VN"/>
        </w:rPr>
        <w:t>The Company assesses that the level of risk concentration on debt repayment is low and that the Company is able to access capital resources.</w:t>
      </w:r>
    </w:p>
    <w:p w14:paraId="4D676078" w14:textId="77777777" w:rsidR="00F71A50" w:rsidRPr="002A0B87" w:rsidRDefault="00F71A50" w:rsidP="00760439">
      <w:pPr>
        <w:pStyle w:val="NoSpacing"/>
        <w:rPr>
          <w:lang w:val="vi-VN"/>
        </w:rPr>
      </w:pPr>
    </w:p>
    <w:p w14:paraId="652728A0" w14:textId="749D96CA" w:rsidR="00F71A50" w:rsidRPr="002A0B87" w:rsidRDefault="00F71A50" w:rsidP="00760439">
      <w:pPr>
        <w:pStyle w:val="NoSpacing"/>
      </w:pPr>
      <w:r w:rsidRPr="002A0B87">
        <w:rPr>
          <w:lang w:val="vi-VN"/>
        </w:rPr>
        <w:tab/>
      </w:r>
      <w:r w:rsidR="00A76588" w:rsidRPr="00A76588">
        <w:rPr>
          <w:lang w:val="vi-VN"/>
        </w:rPr>
        <w:t>The below table summarizes the payment period of the Company's financial liabilities based on the expected payments under contracts as at 31 December 2021.</w:t>
      </w:r>
    </w:p>
    <w:p w14:paraId="460C52A2" w14:textId="77777777" w:rsidR="00EC6177" w:rsidRPr="002A0B87" w:rsidRDefault="00EC6177" w:rsidP="00760439">
      <w:pPr>
        <w:pStyle w:val="NoSpacing"/>
        <w:rPr>
          <w:lang w:val="vi-VN"/>
        </w:rPr>
      </w:pPr>
    </w:p>
    <w:p w14:paraId="04FB073B" w14:textId="77777777" w:rsidR="000F6856" w:rsidRPr="002A0B87" w:rsidRDefault="000F6856">
      <w:pPr>
        <w:ind w:left="720"/>
        <w:rPr>
          <w:rFonts w:cs="Arial"/>
          <w:lang w:val="vi-VN"/>
        </w:rPr>
        <w:sectPr w:rsidR="000F6856" w:rsidRPr="002A0B87" w:rsidSect="007560E1">
          <w:pgSz w:w="11909" w:h="16834" w:code="9"/>
          <w:pgMar w:top="1440" w:right="1440" w:bottom="862" w:left="1582" w:header="720" w:footer="578" w:gutter="0"/>
          <w:cols w:space="720"/>
        </w:sectPr>
      </w:pPr>
    </w:p>
    <w:p w14:paraId="73F25634" w14:textId="38559A72" w:rsidR="00B812ED" w:rsidRPr="002A0B87" w:rsidRDefault="001D70A0" w:rsidP="00B812ED">
      <w:pPr>
        <w:ind w:left="720" w:hanging="720"/>
        <w:rPr>
          <w:rFonts w:cs="Arial"/>
          <w:bCs/>
        </w:rPr>
      </w:pPr>
      <w:r>
        <w:rPr>
          <w:rFonts w:cs="Arial"/>
          <w:b/>
          <w:bCs/>
        </w:rPr>
        <w:lastRenderedPageBreak/>
        <w:t>28</w:t>
      </w:r>
      <w:r w:rsidR="00B812ED" w:rsidRPr="002A0B87">
        <w:rPr>
          <w:rFonts w:cs="Arial"/>
          <w:b/>
          <w:bCs/>
        </w:rPr>
        <w:t>.</w:t>
      </w:r>
      <w:r w:rsidR="00B812ED" w:rsidRPr="002A0B87">
        <w:rPr>
          <w:rFonts w:cs="Arial"/>
          <w:b/>
          <w:bCs/>
        </w:rPr>
        <w:tab/>
      </w:r>
      <w:r w:rsidR="00A92A4F" w:rsidRPr="00A92A4F">
        <w:rPr>
          <w:rFonts w:cs="Arial"/>
          <w:b/>
          <w:bCs/>
        </w:rPr>
        <w:t xml:space="preserve">PURPOSES AND POLICIES OF FINANCIAL RISK MANAGEMENT </w:t>
      </w:r>
      <w:r w:rsidR="00A92A4F" w:rsidRPr="00FA28E4">
        <w:rPr>
          <w:rFonts w:cs="Arial"/>
        </w:rPr>
        <w:t>(continued)</w:t>
      </w:r>
    </w:p>
    <w:p w14:paraId="32E2008D" w14:textId="77777777" w:rsidR="00B812ED" w:rsidRPr="002A0B87" w:rsidRDefault="00B812ED" w:rsidP="00760439">
      <w:pPr>
        <w:pStyle w:val="NoSpacing"/>
      </w:pPr>
    </w:p>
    <w:p w14:paraId="233BFE36" w14:textId="4A87CBE1" w:rsidR="00B812ED" w:rsidRPr="002A0B87" w:rsidRDefault="001D70A0" w:rsidP="00B812ED">
      <w:pPr>
        <w:ind w:left="720" w:hanging="720"/>
        <w:rPr>
          <w:rFonts w:cs="Arial"/>
        </w:rPr>
      </w:pPr>
      <w:r>
        <w:rPr>
          <w:rFonts w:cs="Arial"/>
          <w:b/>
          <w:i/>
        </w:rPr>
        <w:t>28</w:t>
      </w:r>
      <w:r w:rsidR="00B812ED" w:rsidRPr="002A0B87">
        <w:rPr>
          <w:rFonts w:cs="Arial"/>
          <w:b/>
          <w:i/>
          <w:lang w:val="vi-VN"/>
        </w:rPr>
        <w:t>.</w:t>
      </w:r>
      <w:r w:rsidR="0030523A" w:rsidRPr="002A0B87">
        <w:rPr>
          <w:rFonts w:cs="Arial"/>
          <w:b/>
          <w:i/>
        </w:rPr>
        <w:t>4</w:t>
      </w:r>
      <w:r w:rsidR="00B812ED" w:rsidRPr="002A0B87">
        <w:rPr>
          <w:rFonts w:cs="Arial"/>
          <w:b/>
          <w:i/>
          <w:lang w:val="vi-VN"/>
        </w:rPr>
        <w:tab/>
      </w:r>
      <w:r w:rsidR="005C22A4" w:rsidRPr="005C22A4">
        <w:rPr>
          <w:rFonts w:cs="Arial"/>
          <w:b/>
          <w:i/>
          <w:lang w:val="vi-VN"/>
        </w:rPr>
        <w:t xml:space="preserve">Liquidity risk </w:t>
      </w:r>
      <w:r w:rsidR="005C22A4" w:rsidRPr="00FA28E4">
        <w:rPr>
          <w:rFonts w:cs="Arial"/>
          <w:bCs/>
          <w:iCs/>
          <w:lang w:val="vi-VN"/>
        </w:rPr>
        <w:t>(continued)</w:t>
      </w:r>
    </w:p>
    <w:p w14:paraId="317C03CA" w14:textId="09BC671B" w:rsidR="003F5262" w:rsidRPr="002A0B87" w:rsidRDefault="003F5262" w:rsidP="00760439">
      <w:pPr>
        <w:pStyle w:val="NoSpacing"/>
        <w:rPr>
          <w:lang w:val="vi-VN"/>
        </w:rPr>
      </w:pPr>
    </w:p>
    <w:tbl>
      <w:tblPr>
        <w:tblW w:w="13247" w:type="dxa"/>
        <w:tblInd w:w="720" w:type="dxa"/>
        <w:tblLayout w:type="fixed"/>
        <w:tblLook w:val="01E0" w:firstRow="1" w:lastRow="1" w:firstColumn="1" w:lastColumn="1" w:noHBand="0" w:noVBand="0"/>
      </w:tblPr>
      <w:tblGrid>
        <w:gridCol w:w="4234"/>
        <w:gridCol w:w="1706"/>
        <w:gridCol w:w="1890"/>
        <w:gridCol w:w="1710"/>
        <w:gridCol w:w="1800"/>
        <w:gridCol w:w="1907"/>
      </w:tblGrid>
      <w:tr w:rsidR="003A42A4" w:rsidRPr="002A0B87" w14:paraId="24C7F942" w14:textId="77777777" w:rsidTr="00FA28E4">
        <w:trPr>
          <w:trHeight w:val="20"/>
          <w:tblHeader/>
        </w:trPr>
        <w:tc>
          <w:tcPr>
            <w:tcW w:w="4234" w:type="dxa"/>
            <w:vAlign w:val="bottom"/>
          </w:tcPr>
          <w:p w14:paraId="4F210C9D" w14:textId="77777777" w:rsidR="003A42A4" w:rsidRPr="002A0B87" w:rsidRDefault="003A42A4" w:rsidP="00AA6343">
            <w:pPr>
              <w:widowControl w:val="0"/>
              <w:ind w:left="-115"/>
              <w:rPr>
                <w:rFonts w:cs="Arial"/>
                <w:i/>
              </w:rPr>
            </w:pPr>
          </w:p>
        </w:tc>
        <w:tc>
          <w:tcPr>
            <w:tcW w:w="1706" w:type="dxa"/>
            <w:vAlign w:val="bottom"/>
            <w:hideMark/>
          </w:tcPr>
          <w:p w14:paraId="1A14EA98" w14:textId="56A54F4D" w:rsidR="003A42A4" w:rsidRPr="002A0B87" w:rsidRDefault="00D8493A" w:rsidP="00AA6343">
            <w:pPr>
              <w:widowControl w:val="0"/>
              <w:pBdr>
                <w:bottom w:val="single" w:sz="4" w:space="0" w:color="auto"/>
              </w:pBdr>
              <w:ind w:left="58" w:right="-86"/>
              <w:jc w:val="right"/>
              <w:rPr>
                <w:rFonts w:cs="Arial"/>
                <w:bCs/>
                <w:i/>
                <w:lang w:val="nl-NL"/>
              </w:rPr>
            </w:pPr>
            <w:r>
              <w:rPr>
                <w:rFonts w:cs="Arial"/>
                <w:bCs/>
                <w:i/>
                <w:lang w:val="nl-NL"/>
              </w:rPr>
              <w:t>Overdue</w:t>
            </w:r>
          </w:p>
          <w:p w14:paraId="4389C84A" w14:textId="1277D437" w:rsidR="003A42A4" w:rsidRPr="002A0B87" w:rsidRDefault="003A42A4" w:rsidP="00AA6343">
            <w:pPr>
              <w:widowControl w:val="0"/>
              <w:pBdr>
                <w:bottom w:val="single" w:sz="4" w:space="0" w:color="auto"/>
              </w:pBdr>
              <w:ind w:left="58" w:right="-86"/>
              <w:jc w:val="right"/>
              <w:rPr>
                <w:rFonts w:cs="Arial"/>
                <w:i/>
                <w:lang w:val="nl-NL"/>
              </w:rPr>
            </w:pPr>
            <w:r w:rsidRPr="002A0B87">
              <w:rPr>
                <w:rFonts w:eastAsia="Batang" w:cs="Arial"/>
                <w:i/>
                <w:iCs/>
              </w:rPr>
              <w:t>VND</w:t>
            </w:r>
          </w:p>
        </w:tc>
        <w:tc>
          <w:tcPr>
            <w:tcW w:w="1890" w:type="dxa"/>
            <w:vAlign w:val="bottom"/>
            <w:hideMark/>
          </w:tcPr>
          <w:p w14:paraId="17AA811D" w14:textId="19DD0CF0" w:rsidR="003A42A4" w:rsidRPr="002A0B87" w:rsidRDefault="00EB56E4" w:rsidP="00AA6343">
            <w:pPr>
              <w:widowControl w:val="0"/>
              <w:pBdr>
                <w:bottom w:val="single" w:sz="4" w:space="0" w:color="auto"/>
              </w:pBdr>
              <w:ind w:left="58" w:right="-86"/>
              <w:jc w:val="right"/>
              <w:rPr>
                <w:rFonts w:cs="Arial"/>
                <w:bCs/>
                <w:i/>
                <w:lang w:val="nl-NL"/>
              </w:rPr>
            </w:pPr>
            <w:r w:rsidRPr="00EB56E4">
              <w:rPr>
                <w:rFonts w:cs="Arial"/>
                <w:bCs/>
                <w:i/>
                <w:lang w:val="nl-NL"/>
              </w:rPr>
              <w:t>Within 1 year</w:t>
            </w:r>
          </w:p>
          <w:p w14:paraId="771A50D8" w14:textId="02447789" w:rsidR="003A42A4" w:rsidRPr="002A0B87" w:rsidRDefault="003A42A4" w:rsidP="00AA6343">
            <w:pPr>
              <w:widowControl w:val="0"/>
              <w:pBdr>
                <w:bottom w:val="single" w:sz="4" w:space="0" w:color="auto"/>
              </w:pBdr>
              <w:ind w:left="58" w:right="-86"/>
              <w:jc w:val="right"/>
              <w:rPr>
                <w:rFonts w:cs="Arial"/>
                <w:i/>
                <w:lang w:val="nl-NL"/>
              </w:rPr>
            </w:pPr>
            <w:r w:rsidRPr="002A0B87">
              <w:rPr>
                <w:rFonts w:eastAsia="Batang" w:cs="Arial"/>
                <w:i/>
                <w:iCs/>
              </w:rPr>
              <w:t>VND</w:t>
            </w:r>
          </w:p>
        </w:tc>
        <w:tc>
          <w:tcPr>
            <w:tcW w:w="1710" w:type="dxa"/>
            <w:vAlign w:val="bottom"/>
            <w:hideMark/>
          </w:tcPr>
          <w:p w14:paraId="5A308BCD" w14:textId="50461B0B" w:rsidR="003A42A4" w:rsidRPr="002A0B87" w:rsidRDefault="00D631FC" w:rsidP="00AA6343">
            <w:pPr>
              <w:widowControl w:val="0"/>
              <w:pBdr>
                <w:bottom w:val="single" w:sz="4" w:space="0" w:color="auto"/>
              </w:pBdr>
              <w:ind w:left="58" w:right="-86"/>
              <w:jc w:val="right"/>
              <w:rPr>
                <w:rFonts w:cs="Arial"/>
                <w:bCs/>
                <w:i/>
                <w:lang w:val="nl-NL"/>
              </w:rPr>
            </w:pPr>
            <w:r w:rsidRPr="00D631FC">
              <w:rPr>
                <w:rFonts w:cs="Arial"/>
                <w:bCs/>
                <w:i/>
                <w:lang w:val="nl-NL"/>
              </w:rPr>
              <w:t>From 1 – 5 years</w:t>
            </w:r>
          </w:p>
          <w:p w14:paraId="54F2E963" w14:textId="239304EC" w:rsidR="003A42A4" w:rsidRPr="002A0B87" w:rsidRDefault="003A42A4" w:rsidP="00AA6343">
            <w:pPr>
              <w:widowControl w:val="0"/>
              <w:pBdr>
                <w:bottom w:val="single" w:sz="4" w:space="0" w:color="auto"/>
              </w:pBdr>
              <w:ind w:left="58" w:right="-86"/>
              <w:jc w:val="right"/>
              <w:rPr>
                <w:rFonts w:cs="Arial"/>
                <w:bCs/>
                <w:i/>
                <w:lang w:val="nl-NL"/>
              </w:rPr>
            </w:pPr>
            <w:r w:rsidRPr="002A0B87">
              <w:rPr>
                <w:rFonts w:eastAsia="Batang" w:cs="Arial"/>
                <w:i/>
                <w:iCs/>
              </w:rPr>
              <w:t>VND</w:t>
            </w:r>
          </w:p>
        </w:tc>
        <w:tc>
          <w:tcPr>
            <w:tcW w:w="1800" w:type="dxa"/>
            <w:vAlign w:val="bottom"/>
          </w:tcPr>
          <w:p w14:paraId="24110087" w14:textId="2C885641" w:rsidR="003A42A4" w:rsidRPr="002A0B87" w:rsidRDefault="00A943F6" w:rsidP="00AA6343">
            <w:pPr>
              <w:widowControl w:val="0"/>
              <w:pBdr>
                <w:bottom w:val="single" w:sz="4" w:space="0" w:color="auto"/>
              </w:pBdr>
              <w:ind w:left="58" w:right="-86"/>
              <w:jc w:val="right"/>
              <w:rPr>
                <w:rFonts w:cs="Arial"/>
                <w:bCs/>
                <w:i/>
                <w:lang w:val="nl-NL"/>
              </w:rPr>
            </w:pPr>
            <w:r w:rsidRPr="00A943F6">
              <w:rPr>
                <w:rFonts w:cs="Arial"/>
                <w:bCs/>
                <w:i/>
                <w:lang w:val="nl-NL"/>
              </w:rPr>
              <w:t>More than 5 years</w:t>
            </w:r>
          </w:p>
          <w:p w14:paraId="74226444" w14:textId="2824BA6F" w:rsidR="003A42A4" w:rsidRPr="002A0B87" w:rsidRDefault="003A42A4" w:rsidP="00AA6343">
            <w:pPr>
              <w:widowControl w:val="0"/>
              <w:pBdr>
                <w:bottom w:val="single" w:sz="4" w:space="0" w:color="auto"/>
              </w:pBdr>
              <w:ind w:left="58" w:right="-86"/>
              <w:jc w:val="right"/>
              <w:rPr>
                <w:rFonts w:cs="Arial"/>
                <w:bCs/>
                <w:i/>
                <w:lang w:val="nl-NL"/>
              </w:rPr>
            </w:pPr>
            <w:r w:rsidRPr="002A0B87">
              <w:rPr>
                <w:rFonts w:eastAsia="Batang" w:cs="Arial"/>
                <w:i/>
                <w:iCs/>
              </w:rPr>
              <w:t>VND</w:t>
            </w:r>
          </w:p>
        </w:tc>
        <w:tc>
          <w:tcPr>
            <w:tcW w:w="1907" w:type="dxa"/>
            <w:vAlign w:val="bottom"/>
            <w:hideMark/>
          </w:tcPr>
          <w:p w14:paraId="666D81D5" w14:textId="0561CC9D" w:rsidR="003A42A4" w:rsidRPr="002A0B87" w:rsidRDefault="00A943F6" w:rsidP="00AA6343">
            <w:pPr>
              <w:widowControl w:val="0"/>
              <w:pBdr>
                <w:bottom w:val="single" w:sz="4" w:space="0" w:color="auto"/>
              </w:pBdr>
              <w:ind w:left="58" w:right="-86"/>
              <w:jc w:val="right"/>
              <w:rPr>
                <w:rFonts w:cs="Arial"/>
                <w:bCs/>
                <w:i/>
                <w:lang w:val="nl-NL"/>
              </w:rPr>
            </w:pPr>
            <w:r>
              <w:rPr>
                <w:rFonts w:cs="Arial"/>
                <w:bCs/>
                <w:i/>
                <w:lang w:val="nl-NL"/>
              </w:rPr>
              <w:t>Total</w:t>
            </w:r>
          </w:p>
          <w:p w14:paraId="121AAF69" w14:textId="77777777" w:rsidR="003A42A4" w:rsidRPr="002A0B87" w:rsidRDefault="003A42A4" w:rsidP="00AA6343">
            <w:pPr>
              <w:widowControl w:val="0"/>
              <w:pBdr>
                <w:bottom w:val="single" w:sz="4" w:space="0" w:color="auto"/>
              </w:pBdr>
              <w:ind w:left="58" w:right="-86"/>
              <w:jc w:val="right"/>
              <w:rPr>
                <w:rFonts w:cs="Arial"/>
                <w:i/>
                <w:lang w:val="nl-NL"/>
              </w:rPr>
            </w:pPr>
            <w:r w:rsidRPr="002A0B87">
              <w:rPr>
                <w:rFonts w:eastAsia="Batang" w:cs="Arial"/>
                <w:i/>
                <w:iCs/>
              </w:rPr>
              <w:t>VND</w:t>
            </w:r>
          </w:p>
        </w:tc>
      </w:tr>
      <w:tr w:rsidR="000B5B2B" w:rsidRPr="002A0B87" w14:paraId="053BC796" w14:textId="77777777" w:rsidTr="00FA28E4">
        <w:trPr>
          <w:trHeight w:val="20"/>
        </w:trPr>
        <w:tc>
          <w:tcPr>
            <w:tcW w:w="4234" w:type="dxa"/>
            <w:vAlign w:val="bottom"/>
            <w:hideMark/>
          </w:tcPr>
          <w:p w14:paraId="26B20F9A" w14:textId="13F36413" w:rsidR="000B5B2B" w:rsidRPr="002A0B87" w:rsidRDefault="008245F4" w:rsidP="008064F8">
            <w:pPr>
              <w:widowControl w:val="0"/>
              <w:ind w:left="-115"/>
              <w:rPr>
                <w:rFonts w:cs="Arial"/>
                <w:b/>
                <w:lang w:val="nl-NL"/>
              </w:rPr>
            </w:pPr>
            <w:r w:rsidRPr="008245F4">
              <w:rPr>
                <w:rFonts w:cs="Arial"/>
                <w:b/>
              </w:rPr>
              <w:t>FINANCIAL ASSETS</w:t>
            </w:r>
          </w:p>
        </w:tc>
        <w:tc>
          <w:tcPr>
            <w:tcW w:w="1706" w:type="dxa"/>
          </w:tcPr>
          <w:p w14:paraId="50EB575C" w14:textId="169EB88B" w:rsidR="000B5B2B" w:rsidRPr="002A0B87" w:rsidRDefault="000B5B2B" w:rsidP="000B5B2B">
            <w:pPr>
              <w:widowControl w:val="0"/>
              <w:spacing w:before="120"/>
              <w:ind w:left="58" w:right="-86"/>
              <w:jc w:val="right"/>
              <w:rPr>
                <w:rFonts w:cs="Arial"/>
                <w:lang w:val="nl-NL"/>
              </w:rPr>
            </w:pPr>
          </w:p>
        </w:tc>
        <w:tc>
          <w:tcPr>
            <w:tcW w:w="1890" w:type="dxa"/>
          </w:tcPr>
          <w:p w14:paraId="6F834261" w14:textId="1A24F383" w:rsidR="000B5B2B" w:rsidRPr="002A0B87" w:rsidRDefault="000B5B2B" w:rsidP="000B5B2B">
            <w:pPr>
              <w:widowControl w:val="0"/>
              <w:spacing w:before="120"/>
              <w:ind w:left="58" w:right="-86"/>
              <w:jc w:val="right"/>
              <w:rPr>
                <w:rFonts w:cs="Arial"/>
                <w:lang w:val="nl-NL"/>
              </w:rPr>
            </w:pPr>
          </w:p>
        </w:tc>
        <w:tc>
          <w:tcPr>
            <w:tcW w:w="1710" w:type="dxa"/>
          </w:tcPr>
          <w:p w14:paraId="19967AE7" w14:textId="78777734" w:rsidR="000B5B2B" w:rsidRPr="002A0B87" w:rsidRDefault="000B5B2B" w:rsidP="000B5B2B">
            <w:pPr>
              <w:widowControl w:val="0"/>
              <w:spacing w:before="120"/>
              <w:ind w:left="58" w:right="-86"/>
              <w:jc w:val="right"/>
              <w:rPr>
                <w:rFonts w:cs="Arial"/>
                <w:lang w:val="nl-NL"/>
              </w:rPr>
            </w:pPr>
          </w:p>
        </w:tc>
        <w:tc>
          <w:tcPr>
            <w:tcW w:w="1800" w:type="dxa"/>
          </w:tcPr>
          <w:p w14:paraId="3CF5A68B" w14:textId="22BAEF35" w:rsidR="000B5B2B" w:rsidRPr="002A0B87" w:rsidRDefault="000B5B2B" w:rsidP="000B5B2B">
            <w:pPr>
              <w:widowControl w:val="0"/>
              <w:spacing w:before="120"/>
              <w:ind w:left="58" w:right="-86"/>
              <w:jc w:val="right"/>
              <w:rPr>
                <w:rFonts w:cs="Arial"/>
                <w:lang w:val="nl-NL"/>
              </w:rPr>
            </w:pPr>
          </w:p>
        </w:tc>
        <w:tc>
          <w:tcPr>
            <w:tcW w:w="1907" w:type="dxa"/>
          </w:tcPr>
          <w:p w14:paraId="3702E5EF" w14:textId="127EBA3A" w:rsidR="000B5B2B" w:rsidRPr="002A0B87" w:rsidRDefault="000B5B2B" w:rsidP="000B5B2B">
            <w:pPr>
              <w:widowControl w:val="0"/>
              <w:spacing w:before="120"/>
              <w:ind w:left="58" w:right="-86"/>
              <w:jc w:val="right"/>
              <w:rPr>
                <w:rFonts w:cs="Arial"/>
                <w:lang w:val="nl-NL"/>
              </w:rPr>
            </w:pPr>
          </w:p>
        </w:tc>
      </w:tr>
      <w:tr w:rsidR="0056690D" w:rsidRPr="002A0B87" w14:paraId="2CE0C886" w14:textId="77777777" w:rsidTr="008C08FC">
        <w:trPr>
          <w:trHeight w:val="72"/>
          <w:tblHeader/>
        </w:trPr>
        <w:tc>
          <w:tcPr>
            <w:tcW w:w="4234" w:type="dxa"/>
            <w:vAlign w:val="bottom"/>
            <w:hideMark/>
          </w:tcPr>
          <w:p w14:paraId="61647D16" w14:textId="7B52F9DA" w:rsidR="0056690D" w:rsidRPr="002A0B87" w:rsidRDefault="0056690D" w:rsidP="0056690D">
            <w:pPr>
              <w:widowControl w:val="0"/>
              <w:spacing w:before="120"/>
              <w:ind w:left="-115"/>
              <w:rPr>
                <w:rFonts w:cs="Arial"/>
                <w:lang w:val="nl-NL"/>
              </w:rPr>
            </w:pPr>
            <w:r w:rsidRPr="00E23959">
              <w:rPr>
                <w:rFonts w:cs="Arial"/>
              </w:rPr>
              <w:t>Cash and cash equivalents</w:t>
            </w:r>
          </w:p>
        </w:tc>
        <w:tc>
          <w:tcPr>
            <w:tcW w:w="1706" w:type="dxa"/>
          </w:tcPr>
          <w:p w14:paraId="452F5F94" w14:textId="37FBDEE4" w:rsidR="0056690D" w:rsidRPr="002A0B87" w:rsidRDefault="0056690D" w:rsidP="0056690D">
            <w:pPr>
              <w:widowControl w:val="0"/>
              <w:spacing w:before="120"/>
              <w:ind w:left="58" w:right="-86"/>
              <w:jc w:val="right"/>
              <w:rPr>
                <w:rFonts w:eastAsia="Batang" w:cs="Arial"/>
                <w:highlight w:val="yellow"/>
                <w:lang w:val="nl-NL" w:eastAsia="ko-KR"/>
              </w:rPr>
            </w:pPr>
            <w:r w:rsidRPr="006825CF">
              <w:t xml:space="preserve">- </w:t>
            </w:r>
          </w:p>
        </w:tc>
        <w:tc>
          <w:tcPr>
            <w:tcW w:w="1890" w:type="dxa"/>
          </w:tcPr>
          <w:p w14:paraId="45729399" w14:textId="658ADF49" w:rsidR="0056690D" w:rsidRPr="002A0B87" w:rsidRDefault="0056690D" w:rsidP="0056690D">
            <w:pPr>
              <w:widowControl w:val="0"/>
              <w:spacing w:before="120"/>
              <w:ind w:left="58" w:right="-86"/>
              <w:jc w:val="right"/>
              <w:rPr>
                <w:rFonts w:eastAsia="Batang" w:cs="Arial"/>
                <w:highlight w:val="yellow"/>
                <w:lang w:val="nl-NL" w:eastAsia="ko-KR"/>
              </w:rPr>
            </w:pPr>
            <w:r w:rsidRPr="006825CF">
              <w:t xml:space="preserve"> 2</w:t>
            </w:r>
            <w:r>
              <w:t>,</w:t>
            </w:r>
            <w:r w:rsidRPr="006825CF">
              <w:t>929</w:t>
            </w:r>
            <w:r>
              <w:t>,</w:t>
            </w:r>
            <w:r w:rsidRPr="006825CF">
              <w:t>537</w:t>
            </w:r>
            <w:r>
              <w:t>,</w:t>
            </w:r>
            <w:r w:rsidRPr="006825CF">
              <w:t xml:space="preserve">893 </w:t>
            </w:r>
          </w:p>
        </w:tc>
        <w:tc>
          <w:tcPr>
            <w:tcW w:w="1710" w:type="dxa"/>
          </w:tcPr>
          <w:p w14:paraId="57951E76" w14:textId="332F7864" w:rsidR="0056690D" w:rsidRPr="002A0B87" w:rsidRDefault="0056690D" w:rsidP="0056690D">
            <w:pPr>
              <w:widowControl w:val="0"/>
              <w:spacing w:before="120"/>
              <w:ind w:left="58" w:right="-86"/>
              <w:jc w:val="right"/>
              <w:rPr>
                <w:rFonts w:eastAsia="Batang" w:cs="Arial"/>
                <w:highlight w:val="yellow"/>
                <w:lang w:val="nl-NL" w:eastAsia="ko-KR"/>
              </w:rPr>
            </w:pPr>
            <w:r w:rsidRPr="006825CF">
              <w:t xml:space="preserve">- </w:t>
            </w:r>
          </w:p>
        </w:tc>
        <w:tc>
          <w:tcPr>
            <w:tcW w:w="1800" w:type="dxa"/>
          </w:tcPr>
          <w:p w14:paraId="0EBE7275" w14:textId="560884E0" w:rsidR="0056690D" w:rsidRPr="002A0B87" w:rsidRDefault="0056690D" w:rsidP="0056690D">
            <w:pPr>
              <w:widowControl w:val="0"/>
              <w:spacing w:before="120"/>
              <w:ind w:left="58" w:right="-86"/>
              <w:jc w:val="right"/>
              <w:rPr>
                <w:rFonts w:eastAsia="Batang" w:cs="Arial"/>
                <w:highlight w:val="yellow"/>
                <w:lang w:eastAsia="ko-KR"/>
              </w:rPr>
            </w:pPr>
            <w:r w:rsidRPr="006825CF">
              <w:t xml:space="preserve">- </w:t>
            </w:r>
          </w:p>
        </w:tc>
        <w:tc>
          <w:tcPr>
            <w:tcW w:w="1907" w:type="dxa"/>
          </w:tcPr>
          <w:p w14:paraId="3B39A0F6" w14:textId="4A0EF938" w:rsidR="0056690D" w:rsidRPr="002A0B87" w:rsidRDefault="0056690D" w:rsidP="0056690D">
            <w:pPr>
              <w:widowControl w:val="0"/>
              <w:spacing w:before="120"/>
              <w:ind w:left="58" w:right="-86"/>
              <w:jc w:val="right"/>
              <w:rPr>
                <w:rFonts w:eastAsia="Batang" w:cs="Arial"/>
                <w:highlight w:val="yellow"/>
                <w:lang w:val="nl-NL" w:eastAsia="ko-KR"/>
              </w:rPr>
            </w:pPr>
            <w:r w:rsidRPr="006825CF">
              <w:t xml:space="preserve"> 2</w:t>
            </w:r>
            <w:r>
              <w:t>,</w:t>
            </w:r>
            <w:r w:rsidRPr="006825CF">
              <w:t>929</w:t>
            </w:r>
            <w:r>
              <w:t>,</w:t>
            </w:r>
            <w:r w:rsidRPr="006825CF">
              <w:t>537</w:t>
            </w:r>
            <w:r>
              <w:t>,</w:t>
            </w:r>
            <w:r w:rsidRPr="006825CF">
              <w:t xml:space="preserve">893 </w:t>
            </w:r>
          </w:p>
        </w:tc>
      </w:tr>
      <w:tr w:rsidR="0056690D" w:rsidRPr="002A0B87" w14:paraId="345A3ACD" w14:textId="77777777" w:rsidTr="008C08FC">
        <w:trPr>
          <w:trHeight w:val="72"/>
          <w:tblHeader/>
        </w:trPr>
        <w:tc>
          <w:tcPr>
            <w:tcW w:w="4234" w:type="dxa"/>
            <w:vAlign w:val="bottom"/>
          </w:tcPr>
          <w:p w14:paraId="622D5BE2" w14:textId="0618B409" w:rsidR="0056690D" w:rsidRPr="002A0B87" w:rsidRDefault="0056690D" w:rsidP="0056690D">
            <w:pPr>
              <w:widowControl w:val="0"/>
              <w:ind w:left="-115"/>
              <w:rPr>
                <w:rFonts w:cs="Arial"/>
                <w:lang w:val="nl-NL"/>
              </w:rPr>
            </w:pPr>
            <w:r w:rsidRPr="00DC7026">
              <w:rPr>
                <w:rFonts w:cs="Arial"/>
              </w:rPr>
              <w:t>Financial assets at fair value through profit or loss (“FVTPL”)</w:t>
            </w:r>
          </w:p>
        </w:tc>
        <w:tc>
          <w:tcPr>
            <w:tcW w:w="1706" w:type="dxa"/>
          </w:tcPr>
          <w:p w14:paraId="012AE1D8" w14:textId="7E277357" w:rsidR="0056690D" w:rsidRPr="002A0B87" w:rsidRDefault="0056690D" w:rsidP="0056690D">
            <w:pPr>
              <w:widowControl w:val="0"/>
              <w:ind w:left="58" w:right="-86"/>
              <w:jc w:val="right"/>
              <w:rPr>
                <w:rFonts w:eastAsia="Batang" w:cs="Arial"/>
                <w:highlight w:val="yellow"/>
                <w:lang w:val="nl-NL" w:eastAsia="ko-KR"/>
              </w:rPr>
            </w:pPr>
            <w:r w:rsidRPr="006825CF">
              <w:t xml:space="preserve">- </w:t>
            </w:r>
          </w:p>
        </w:tc>
        <w:tc>
          <w:tcPr>
            <w:tcW w:w="1890" w:type="dxa"/>
          </w:tcPr>
          <w:p w14:paraId="6526CECB" w14:textId="34F094FB" w:rsidR="0056690D" w:rsidRPr="002A0B87" w:rsidRDefault="0056690D" w:rsidP="0056690D">
            <w:pPr>
              <w:widowControl w:val="0"/>
              <w:ind w:right="-86"/>
              <w:jc w:val="right"/>
              <w:rPr>
                <w:rFonts w:eastAsia="Batang" w:cs="Arial"/>
                <w:highlight w:val="yellow"/>
                <w:lang w:val="nl-NL" w:eastAsia="ko-KR"/>
              </w:rPr>
            </w:pPr>
            <w:r w:rsidRPr="006825CF">
              <w:t xml:space="preserve"> 126</w:t>
            </w:r>
            <w:r>
              <w:t>,</w:t>
            </w:r>
            <w:r w:rsidRPr="006825CF">
              <w:t>593</w:t>
            </w:r>
            <w:r>
              <w:t>,</w:t>
            </w:r>
            <w:r w:rsidRPr="006825CF">
              <w:t>701</w:t>
            </w:r>
            <w:r>
              <w:t>,</w:t>
            </w:r>
            <w:r w:rsidRPr="006825CF">
              <w:t xml:space="preserve">320 </w:t>
            </w:r>
          </w:p>
        </w:tc>
        <w:tc>
          <w:tcPr>
            <w:tcW w:w="1710" w:type="dxa"/>
          </w:tcPr>
          <w:p w14:paraId="1CD82BD9" w14:textId="6393358D" w:rsidR="0056690D" w:rsidRPr="002A0B87" w:rsidRDefault="0056690D" w:rsidP="0056690D">
            <w:pPr>
              <w:widowControl w:val="0"/>
              <w:ind w:left="58" w:right="-86"/>
              <w:jc w:val="right"/>
              <w:rPr>
                <w:rFonts w:eastAsia="Batang" w:cs="Arial"/>
                <w:highlight w:val="yellow"/>
                <w:lang w:val="nl-NL" w:eastAsia="ko-KR"/>
              </w:rPr>
            </w:pPr>
            <w:r w:rsidRPr="006825CF">
              <w:t xml:space="preserve">- </w:t>
            </w:r>
          </w:p>
        </w:tc>
        <w:tc>
          <w:tcPr>
            <w:tcW w:w="1800" w:type="dxa"/>
          </w:tcPr>
          <w:p w14:paraId="2C16EA91" w14:textId="6B280EEB"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907" w:type="dxa"/>
          </w:tcPr>
          <w:p w14:paraId="06318223" w14:textId="10DB6533" w:rsidR="0056690D" w:rsidRPr="002A0B87" w:rsidRDefault="0056690D" w:rsidP="0056690D">
            <w:pPr>
              <w:widowControl w:val="0"/>
              <w:ind w:right="-86"/>
              <w:jc w:val="right"/>
              <w:rPr>
                <w:rFonts w:eastAsia="Batang" w:cs="Arial"/>
                <w:highlight w:val="yellow"/>
                <w:lang w:val="nl-NL" w:eastAsia="ko-KR"/>
              </w:rPr>
            </w:pPr>
            <w:r w:rsidRPr="006825CF">
              <w:t xml:space="preserve"> 126</w:t>
            </w:r>
            <w:r>
              <w:t>,</w:t>
            </w:r>
            <w:r w:rsidRPr="006825CF">
              <w:t>593</w:t>
            </w:r>
            <w:r>
              <w:t>,</w:t>
            </w:r>
            <w:r w:rsidRPr="006825CF">
              <w:t>701</w:t>
            </w:r>
            <w:r>
              <w:t>,</w:t>
            </w:r>
            <w:r w:rsidRPr="006825CF">
              <w:t xml:space="preserve">320 </w:t>
            </w:r>
          </w:p>
        </w:tc>
      </w:tr>
      <w:tr w:rsidR="0056690D" w:rsidRPr="002A0B87" w14:paraId="1A07B742" w14:textId="77777777" w:rsidTr="008C08FC">
        <w:trPr>
          <w:trHeight w:val="72"/>
          <w:tblHeader/>
        </w:trPr>
        <w:tc>
          <w:tcPr>
            <w:tcW w:w="4234" w:type="dxa"/>
            <w:vAlign w:val="bottom"/>
          </w:tcPr>
          <w:p w14:paraId="1AB5F4A3" w14:textId="7CC0A5B3" w:rsidR="0056690D" w:rsidRPr="002A0B87" w:rsidRDefault="0056690D" w:rsidP="0056690D">
            <w:pPr>
              <w:widowControl w:val="0"/>
              <w:ind w:left="-115"/>
              <w:rPr>
                <w:rFonts w:cs="Arial"/>
                <w:lang w:val="nl-NL"/>
              </w:rPr>
            </w:pPr>
            <w:r w:rsidRPr="002E7CEE">
              <w:rPr>
                <w:rFonts w:cs="Arial"/>
              </w:rPr>
              <w:t>Loans</w:t>
            </w:r>
          </w:p>
        </w:tc>
        <w:tc>
          <w:tcPr>
            <w:tcW w:w="1706" w:type="dxa"/>
          </w:tcPr>
          <w:p w14:paraId="5176C92F" w14:textId="0A0AE44A" w:rsidR="0056690D" w:rsidRPr="002A0B87" w:rsidRDefault="0056690D" w:rsidP="0056690D">
            <w:pPr>
              <w:widowControl w:val="0"/>
              <w:ind w:left="58" w:right="-86"/>
              <w:jc w:val="right"/>
              <w:rPr>
                <w:rFonts w:eastAsia="Batang" w:cs="Arial"/>
                <w:highlight w:val="yellow"/>
                <w:lang w:val="nl-NL" w:eastAsia="ko-KR"/>
              </w:rPr>
            </w:pPr>
            <w:r w:rsidRPr="006825CF">
              <w:t>7</w:t>
            </w:r>
            <w:r>
              <w:t>,</w:t>
            </w:r>
            <w:r w:rsidRPr="006825CF">
              <w:t>481</w:t>
            </w:r>
            <w:r>
              <w:t>,</w:t>
            </w:r>
            <w:r w:rsidRPr="006825CF">
              <w:t>622</w:t>
            </w:r>
            <w:r>
              <w:t>,</w:t>
            </w:r>
            <w:r w:rsidRPr="006825CF">
              <w:t xml:space="preserve">671 </w:t>
            </w:r>
          </w:p>
        </w:tc>
        <w:tc>
          <w:tcPr>
            <w:tcW w:w="1890" w:type="dxa"/>
          </w:tcPr>
          <w:p w14:paraId="55110436" w14:textId="275A5FC5" w:rsidR="0056690D" w:rsidRPr="002A0B87" w:rsidRDefault="0056690D" w:rsidP="0056690D">
            <w:pPr>
              <w:widowControl w:val="0"/>
              <w:ind w:left="58" w:right="-86"/>
              <w:jc w:val="right"/>
              <w:rPr>
                <w:rFonts w:eastAsia="Batang" w:cs="Arial"/>
                <w:highlight w:val="yellow"/>
                <w:lang w:val="nl-NL" w:eastAsia="ko-KR"/>
              </w:rPr>
            </w:pPr>
            <w:r w:rsidRPr="006825CF">
              <w:t xml:space="preserve"> 852</w:t>
            </w:r>
            <w:r>
              <w:t>,</w:t>
            </w:r>
            <w:r w:rsidRPr="006825CF">
              <w:t>526</w:t>
            </w:r>
            <w:r>
              <w:t>,</w:t>
            </w:r>
            <w:r w:rsidRPr="006825CF">
              <w:t>530</w:t>
            </w:r>
            <w:r>
              <w:t>,</w:t>
            </w:r>
            <w:r w:rsidRPr="006825CF">
              <w:t xml:space="preserve">599 </w:t>
            </w:r>
          </w:p>
        </w:tc>
        <w:tc>
          <w:tcPr>
            <w:tcW w:w="1710" w:type="dxa"/>
          </w:tcPr>
          <w:p w14:paraId="08DB7A4A" w14:textId="4757D4E0" w:rsidR="0056690D" w:rsidRPr="002A0B87" w:rsidRDefault="0056690D" w:rsidP="0056690D">
            <w:pPr>
              <w:widowControl w:val="0"/>
              <w:ind w:left="58" w:right="-86"/>
              <w:jc w:val="right"/>
              <w:rPr>
                <w:rFonts w:eastAsia="Batang" w:cs="Arial"/>
                <w:highlight w:val="yellow"/>
                <w:lang w:val="nl-NL" w:eastAsia="ko-KR"/>
              </w:rPr>
            </w:pPr>
            <w:r w:rsidRPr="006825CF">
              <w:t xml:space="preserve">- </w:t>
            </w:r>
          </w:p>
        </w:tc>
        <w:tc>
          <w:tcPr>
            <w:tcW w:w="1800" w:type="dxa"/>
          </w:tcPr>
          <w:p w14:paraId="66EF2739" w14:textId="67477766"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907" w:type="dxa"/>
          </w:tcPr>
          <w:p w14:paraId="7FC09457" w14:textId="05A23583" w:rsidR="0056690D" w:rsidRPr="002A0B87" w:rsidRDefault="0056690D" w:rsidP="0056690D">
            <w:pPr>
              <w:widowControl w:val="0"/>
              <w:ind w:left="58" w:right="-86"/>
              <w:jc w:val="right"/>
              <w:rPr>
                <w:rFonts w:eastAsia="Batang" w:cs="Arial"/>
                <w:highlight w:val="yellow"/>
                <w:lang w:val="nl-NL" w:eastAsia="ko-KR"/>
              </w:rPr>
            </w:pPr>
            <w:r w:rsidRPr="006825CF">
              <w:t xml:space="preserve"> 860</w:t>
            </w:r>
            <w:r>
              <w:t>,</w:t>
            </w:r>
            <w:r w:rsidRPr="006825CF">
              <w:t>008</w:t>
            </w:r>
            <w:r>
              <w:t>,</w:t>
            </w:r>
            <w:r w:rsidRPr="006825CF">
              <w:t>153</w:t>
            </w:r>
            <w:r>
              <w:t>,</w:t>
            </w:r>
            <w:r w:rsidRPr="006825CF">
              <w:t xml:space="preserve">270 </w:t>
            </w:r>
          </w:p>
        </w:tc>
      </w:tr>
      <w:tr w:rsidR="0056690D" w:rsidRPr="002A0B87" w14:paraId="346CCF2D" w14:textId="77777777" w:rsidTr="008C08FC">
        <w:trPr>
          <w:trHeight w:val="72"/>
          <w:tblHeader/>
        </w:trPr>
        <w:tc>
          <w:tcPr>
            <w:tcW w:w="4234" w:type="dxa"/>
            <w:vAlign w:val="bottom"/>
          </w:tcPr>
          <w:p w14:paraId="433C8E1C" w14:textId="0BC8F6D3" w:rsidR="0056690D" w:rsidRPr="002A0B87" w:rsidRDefault="0056690D" w:rsidP="0056690D">
            <w:pPr>
              <w:widowControl w:val="0"/>
              <w:ind w:left="-115"/>
              <w:rPr>
                <w:rFonts w:cs="Arial"/>
              </w:rPr>
            </w:pPr>
            <w:r w:rsidRPr="00622035">
              <w:rPr>
                <w:rFonts w:cs="Arial"/>
              </w:rPr>
              <w:t>Held-to-maturity (“HTM”) investments</w:t>
            </w:r>
          </w:p>
        </w:tc>
        <w:tc>
          <w:tcPr>
            <w:tcW w:w="1706" w:type="dxa"/>
          </w:tcPr>
          <w:p w14:paraId="05248F48" w14:textId="07080BC9"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890" w:type="dxa"/>
          </w:tcPr>
          <w:p w14:paraId="66997F17" w14:textId="41C7FE55" w:rsidR="0056690D" w:rsidRPr="002A0B87" w:rsidRDefault="0056690D" w:rsidP="0056690D">
            <w:pPr>
              <w:widowControl w:val="0"/>
              <w:ind w:right="-86"/>
              <w:jc w:val="right"/>
              <w:rPr>
                <w:rFonts w:eastAsia="Batang" w:cs="Arial"/>
                <w:highlight w:val="yellow"/>
                <w:lang w:eastAsia="ko-KR"/>
              </w:rPr>
            </w:pPr>
            <w:r w:rsidRPr="006825CF">
              <w:t xml:space="preserve"> 2</w:t>
            </w:r>
            <w:r>
              <w:t>,</w:t>
            </w:r>
            <w:r w:rsidRPr="006825CF">
              <w:t>216</w:t>
            </w:r>
            <w:r>
              <w:t>,</w:t>
            </w:r>
            <w:r w:rsidRPr="006825CF">
              <w:t>820</w:t>
            </w:r>
            <w:r>
              <w:t>,</w:t>
            </w:r>
            <w:r w:rsidRPr="006825CF">
              <w:t>000</w:t>
            </w:r>
            <w:r>
              <w:t>,</w:t>
            </w:r>
            <w:r w:rsidRPr="006825CF">
              <w:t xml:space="preserve">000 </w:t>
            </w:r>
          </w:p>
        </w:tc>
        <w:tc>
          <w:tcPr>
            <w:tcW w:w="1710" w:type="dxa"/>
          </w:tcPr>
          <w:p w14:paraId="29AD8F91" w14:textId="7802C7E4"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800" w:type="dxa"/>
          </w:tcPr>
          <w:p w14:paraId="02696AF9" w14:textId="3B5B6646"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907" w:type="dxa"/>
          </w:tcPr>
          <w:p w14:paraId="213975E6" w14:textId="2EF1711E" w:rsidR="0056690D" w:rsidRPr="002A0B87" w:rsidRDefault="0056690D" w:rsidP="0056690D">
            <w:pPr>
              <w:widowControl w:val="0"/>
              <w:ind w:right="-86"/>
              <w:jc w:val="right"/>
              <w:rPr>
                <w:rFonts w:eastAsia="Batang" w:cs="Arial"/>
                <w:highlight w:val="yellow"/>
                <w:lang w:eastAsia="ko-KR"/>
              </w:rPr>
            </w:pPr>
            <w:r w:rsidRPr="006825CF">
              <w:t xml:space="preserve"> 2</w:t>
            </w:r>
            <w:r>
              <w:t>,</w:t>
            </w:r>
            <w:r w:rsidRPr="006825CF">
              <w:t>216</w:t>
            </w:r>
            <w:r>
              <w:t>,</w:t>
            </w:r>
            <w:r w:rsidRPr="006825CF">
              <w:t>820</w:t>
            </w:r>
            <w:r>
              <w:t>,</w:t>
            </w:r>
            <w:r w:rsidRPr="006825CF">
              <w:t>000</w:t>
            </w:r>
            <w:r>
              <w:t>,</w:t>
            </w:r>
            <w:r w:rsidRPr="006825CF">
              <w:t xml:space="preserve">000 </w:t>
            </w:r>
          </w:p>
        </w:tc>
      </w:tr>
      <w:tr w:rsidR="0056690D" w:rsidRPr="002A0B87" w14:paraId="1EB60019" w14:textId="77777777" w:rsidTr="008C08FC">
        <w:trPr>
          <w:trHeight w:val="72"/>
          <w:tblHeader/>
        </w:trPr>
        <w:tc>
          <w:tcPr>
            <w:tcW w:w="4234" w:type="dxa"/>
            <w:vAlign w:val="bottom"/>
          </w:tcPr>
          <w:p w14:paraId="33436AA5" w14:textId="4D22CF55" w:rsidR="0056690D" w:rsidRPr="002A0B87" w:rsidRDefault="0056690D" w:rsidP="0056690D">
            <w:pPr>
              <w:widowControl w:val="0"/>
              <w:ind w:left="-115"/>
              <w:rPr>
                <w:rFonts w:cs="Arial"/>
                <w:lang w:val="nl-NL"/>
              </w:rPr>
            </w:pPr>
            <w:r w:rsidRPr="00AE1DB1">
              <w:rPr>
                <w:rFonts w:cs="Arial"/>
              </w:rPr>
              <w:t>Receivables</w:t>
            </w:r>
          </w:p>
        </w:tc>
        <w:tc>
          <w:tcPr>
            <w:tcW w:w="1706" w:type="dxa"/>
          </w:tcPr>
          <w:p w14:paraId="3C5EFB68" w14:textId="6B77A066" w:rsidR="0056690D" w:rsidRPr="002A0B87" w:rsidRDefault="0056690D" w:rsidP="0056690D">
            <w:pPr>
              <w:widowControl w:val="0"/>
              <w:ind w:left="58" w:right="-86"/>
              <w:jc w:val="right"/>
              <w:rPr>
                <w:rFonts w:eastAsia="Batang" w:cs="Arial"/>
                <w:highlight w:val="yellow"/>
                <w:lang w:val="nl-NL" w:eastAsia="ko-KR"/>
              </w:rPr>
            </w:pPr>
            <w:r w:rsidRPr="006825CF">
              <w:t xml:space="preserve">- </w:t>
            </w:r>
          </w:p>
        </w:tc>
        <w:tc>
          <w:tcPr>
            <w:tcW w:w="1890" w:type="dxa"/>
          </w:tcPr>
          <w:p w14:paraId="22DF98DA" w14:textId="1928E2E1" w:rsidR="0056690D" w:rsidRPr="002A0B87" w:rsidRDefault="0056690D" w:rsidP="0056690D">
            <w:pPr>
              <w:widowControl w:val="0"/>
              <w:ind w:left="58" w:right="-86"/>
              <w:jc w:val="right"/>
              <w:rPr>
                <w:rFonts w:eastAsia="Batang" w:cs="Arial"/>
                <w:highlight w:val="yellow"/>
                <w:lang w:val="nl-NL" w:eastAsia="ko-KR"/>
              </w:rPr>
            </w:pPr>
            <w:r w:rsidRPr="006825CF">
              <w:t xml:space="preserve"> 51</w:t>
            </w:r>
            <w:r>
              <w:t>,</w:t>
            </w:r>
            <w:r w:rsidRPr="006825CF">
              <w:t>466</w:t>
            </w:r>
            <w:r>
              <w:t>,</w:t>
            </w:r>
            <w:r w:rsidRPr="006825CF">
              <w:t>122</w:t>
            </w:r>
            <w:r>
              <w:t>,</w:t>
            </w:r>
            <w:r w:rsidRPr="006825CF">
              <w:t xml:space="preserve">114 </w:t>
            </w:r>
          </w:p>
        </w:tc>
        <w:tc>
          <w:tcPr>
            <w:tcW w:w="1710" w:type="dxa"/>
          </w:tcPr>
          <w:p w14:paraId="76F7B563" w14:textId="69F312D9" w:rsidR="0056690D" w:rsidRPr="002A0B87" w:rsidRDefault="0056690D" w:rsidP="0056690D">
            <w:pPr>
              <w:widowControl w:val="0"/>
              <w:ind w:left="58" w:right="-86"/>
              <w:jc w:val="right"/>
              <w:rPr>
                <w:rFonts w:eastAsia="Batang" w:cs="Arial"/>
                <w:highlight w:val="yellow"/>
                <w:lang w:val="nl-NL" w:eastAsia="ko-KR"/>
              </w:rPr>
            </w:pPr>
            <w:r w:rsidRPr="006825CF">
              <w:t xml:space="preserve">- </w:t>
            </w:r>
          </w:p>
        </w:tc>
        <w:tc>
          <w:tcPr>
            <w:tcW w:w="1800" w:type="dxa"/>
          </w:tcPr>
          <w:p w14:paraId="17F6A123" w14:textId="4BC0FD3D"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907" w:type="dxa"/>
          </w:tcPr>
          <w:p w14:paraId="6B906D17" w14:textId="0E3F5A0D" w:rsidR="0056690D" w:rsidRPr="002A0B87" w:rsidRDefault="0056690D" w:rsidP="0056690D">
            <w:pPr>
              <w:widowControl w:val="0"/>
              <w:ind w:left="58" w:right="-86"/>
              <w:jc w:val="right"/>
              <w:rPr>
                <w:rFonts w:eastAsia="Batang" w:cs="Arial"/>
                <w:highlight w:val="yellow"/>
                <w:lang w:val="nl-NL" w:eastAsia="ko-KR"/>
              </w:rPr>
            </w:pPr>
            <w:r w:rsidRPr="006825CF">
              <w:t xml:space="preserve"> 51</w:t>
            </w:r>
            <w:r>
              <w:t>,</w:t>
            </w:r>
            <w:r w:rsidRPr="006825CF">
              <w:t>466</w:t>
            </w:r>
            <w:r>
              <w:t>,</w:t>
            </w:r>
            <w:r w:rsidRPr="006825CF">
              <w:t>122</w:t>
            </w:r>
            <w:r>
              <w:t>,</w:t>
            </w:r>
            <w:r w:rsidRPr="006825CF">
              <w:t xml:space="preserve">114 </w:t>
            </w:r>
          </w:p>
        </w:tc>
      </w:tr>
      <w:tr w:rsidR="0056690D" w:rsidRPr="002A0B87" w14:paraId="1831846D" w14:textId="77777777" w:rsidTr="008C08FC">
        <w:trPr>
          <w:trHeight w:val="72"/>
          <w:tblHeader/>
        </w:trPr>
        <w:tc>
          <w:tcPr>
            <w:tcW w:w="4234" w:type="dxa"/>
            <w:vAlign w:val="bottom"/>
          </w:tcPr>
          <w:p w14:paraId="54BB685C" w14:textId="3D99DE6F" w:rsidR="0056690D" w:rsidRPr="002A0B87" w:rsidRDefault="0056690D" w:rsidP="0056690D">
            <w:pPr>
              <w:widowControl w:val="0"/>
              <w:ind w:left="-115"/>
              <w:jc w:val="left"/>
              <w:rPr>
                <w:rFonts w:cs="Arial"/>
                <w:lang w:val="nl-NL"/>
              </w:rPr>
            </w:pPr>
            <w:r w:rsidRPr="008D1494">
              <w:rPr>
                <w:rFonts w:cs="Arial"/>
              </w:rPr>
              <w:t>Receivables from services provided by the Company</w:t>
            </w:r>
          </w:p>
        </w:tc>
        <w:tc>
          <w:tcPr>
            <w:tcW w:w="1706" w:type="dxa"/>
          </w:tcPr>
          <w:p w14:paraId="349F73E1" w14:textId="6A023D0D" w:rsidR="0056690D" w:rsidRPr="002A0B87" w:rsidRDefault="0056690D" w:rsidP="0056690D">
            <w:pPr>
              <w:widowControl w:val="0"/>
              <w:ind w:left="58" w:right="-86"/>
              <w:jc w:val="right"/>
              <w:rPr>
                <w:rFonts w:eastAsia="Batang" w:cs="Arial"/>
                <w:highlight w:val="yellow"/>
                <w:lang w:val="nl-NL" w:eastAsia="ko-KR"/>
              </w:rPr>
            </w:pPr>
            <w:r w:rsidRPr="006825CF">
              <w:t xml:space="preserve">- </w:t>
            </w:r>
          </w:p>
        </w:tc>
        <w:tc>
          <w:tcPr>
            <w:tcW w:w="1890" w:type="dxa"/>
          </w:tcPr>
          <w:p w14:paraId="642D4C23" w14:textId="3565E348" w:rsidR="0056690D" w:rsidRPr="002A0B87" w:rsidRDefault="0056690D" w:rsidP="0056690D">
            <w:pPr>
              <w:widowControl w:val="0"/>
              <w:ind w:left="58" w:right="-86"/>
              <w:jc w:val="right"/>
              <w:rPr>
                <w:rFonts w:eastAsia="Batang" w:cs="Arial"/>
                <w:highlight w:val="yellow"/>
                <w:lang w:val="nl-NL" w:eastAsia="ko-KR"/>
              </w:rPr>
            </w:pPr>
            <w:r w:rsidRPr="006825CF">
              <w:t xml:space="preserve"> 210</w:t>
            </w:r>
            <w:r>
              <w:t>,</w:t>
            </w:r>
            <w:r w:rsidRPr="006825CF">
              <w:t xml:space="preserve">539 </w:t>
            </w:r>
          </w:p>
        </w:tc>
        <w:tc>
          <w:tcPr>
            <w:tcW w:w="1710" w:type="dxa"/>
          </w:tcPr>
          <w:p w14:paraId="38CECCE8" w14:textId="791D7042" w:rsidR="0056690D" w:rsidRPr="002A0B87" w:rsidRDefault="0056690D" w:rsidP="0056690D">
            <w:pPr>
              <w:widowControl w:val="0"/>
              <w:ind w:left="58" w:right="-86"/>
              <w:jc w:val="right"/>
              <w:rPr>
                <w:rFonts w:eastAsia="Batang" w:cs="Arial"/>
                <w:highlight w:val="yellow"/>
                <w:lang w:val="nl-NL" w:eastAsia="ko-KR"/>
              </w:rPr>
            </w:pPr>
            <w:r w:rsidRPr="006825CF">
              <w:t xml:space="preserve">- </w:t>
            </w:r>
          </w:p>
        </w:tc>
        <w:tc>
          <w:tcPr>
            <w:tcW w:w="1800" w:type="dxa"/>
          </w:tcPr>
          <w:p w14:paraId="7097B339" w14:textId="3A7CCC4E"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907" w:type="dxa"/>
          </w:tcPr>
          <w:p w14:paraId="06C394D6" w14:textId="74AEBB8B" w:rsidR="0056690D" w:rsidRPr="002A0B87" w:rsidRDefault="0056690D" w:rsidP="0056690D">
            <w:pPr>
              <w:widowControl w:val="0"/>
              <w:ind w:left="58" w:right="-86"/>
              <w:jc w:val="right"/>
              <w:rPr>
                <w:rFonts w:eastAsia="Batang" w:cs="Arial"/>
                <w:highlight w:val="yellow"/>
                <w:lang w:val="nl-NL" w:eastAsia="ko-KR"/>
              </w:rPr>
            </w:pPr>
            <w:r w:rsidRPr="006825CF">
              <w:t xml:space="preserve"> 210</w:t>
            </w:r>
            <w:r>
              <w:t>,</w:t>
            </w:r>
            <w:r w:rsidRPr="006825CF">
              <w:t xml:space="preserve">539 </w:t>
            </w:r>
          </w:p>
        </w:tc>
      </w:tr>
      <w:tr w:rsidR="0056690D" w:rsidRPr="002A0B87" w14:paraId="5E0BF0B0" w14:textId="77777777" w:rsidTr="008C08FC">
        <w:trPr>
          <w:trHeight w:val="72"/>
          <w:tblHeader/>
        </w:trPr>
        <w:tc>
          <w:tcPr>
            <w:tcW w:w="4234" w:type="dxa"/>
            <w:vAlign w:val="bottom"/>
          </w:tcPr>
          <w:p w14:paraId="6F6D7BEB" w14:textId="7E2299AA" w:rsidR="0056690D" w:rsidRPr="002A0B87" w:rsidRDefault="0056690D" w:rsidP="0056690D">
            <w:pPr>
              <w:widowControl w:val="0"/>
              <w:ind w:left="-115"/>
              <w:rPr>
                <w:rFonts w:cs="Arial"/>
                <w:lang w:val="nl-NL"/>
              </w:rPr>
            </w:pPr>
            <w:r w:rsidRPr="00496672">
              <w:rPr>
                <w:rFonts w:cs="Arial"/>
              </w:rPr>
              <w:t>Other receivables</w:t>
            </w:r>
          </w:p>
        </w:tc>
        <w:tc>
          <w:tcPr>
            <w:tcW w:w="1706" w:type="dxa"/>
          </w:tcPr>
          <w:p w14:paraId="5637DD95" w14:textId="78100212" w:rsidR="0056690D" w:rsidRPr="002A0B87" w:rsidRDefault="0056690D" w:rsidP="0056690D">
            <w:pPr>
              <w:widowControl w:val="0"/>
              <w:ind w:left="58" w:right="-86"/>
              <w:jc w:val="right"/>
              <w:rPr>
                <w:rFonts w:eastAsia="Batang" w:cs="Arial"/>
                <w:highlight w:val="yellow"/>
                <w:lang w:val="nl-NL" w:eastAsia="ko-KR"/>
              </w:rPr>
            </w:pPr>
            <w:r w:rsidRPr="006825CF">
              <w:t xml:space="preserve">- </w:t>
            </w:r>
          </w:p>
        </w:tc>
        <w:tc>
          <w:tcPr>
            <w:tcW w:w="1890" w:type="dxa"/>
          </w:tcPr>
          <w:p w14:paraId="383C76AB" w14:textId="1BD67679" w:rsidR="0056690D" w:rsidRPr="002A0B87" w:rsidRDefault="0056690D" w:rsidP="0056690D">
            <w:pPr>
              <w:widowControl w:val="0"/>
              <w:ind w:left="58" w:right="-86"/>
              <w:jc w:val="right"/>
              <w:rPr>
                <w:rFonts w:eastAsia="Batang" w:cs="Arial"/>
                <w:highlight w:val="yellow"/>
                <w:lang w:val="nl-NL" w:eastAsia="ko-KR"/>
              </w:rPr>
            </w:pPr>
            <w:r w:rsidRPr="006825CF">
              <w:t xml:space="preserve"> 250</w:t>
            </w:r>
            <w:r>
              <w:t>,</w:t>
            </w:r>
            <w:r w:rsidRPr="006825CF">
              <w:t xml:space="preserve">000 </w:t>
            </w:r>
          </w:p>
        </w:tc>
        <w:tc>
          <w:tcPr>
            <w:tcW w:w="1710" w:type="dxa"/>
          </w:tcPr>
          <w:p w14:paraId="02A15A49" w14:textId="49DAC224" w:rsidR="0056690D" w:rsidRPr="002A0B87" w:rsidRDefault="0056690D" w:rsidP="0056690D">
            <w:pPr>
              <w:widowControl w:val="0"/>
              <w:ind w:left="58" w:right="-86"/>
              <w:jc w:val="right"/>
              <w:rPr>
                <w:rFonts w:eastAsia="Batang" w:cs="Arial"/>
                <w:highlight w:val="yellow"/>
                <w:lang w:val="nl-NL" w:eastAsia="ko-KR"/>
              </w:rPr>
            </w:pPr>
            <w:r w:rsidRPr="006825CF">
              <w:t xml:space="preserve">- </w:t>
            </w:r>
          </w:p>
        </w:tc>
        <w:tc>
          <w:tcPr>
            <w:tcW w:w="1800" w:type="dxa"/>
          </w:tcPr>
          <w:p w14:paraId="03116609" w14:textId="63906F11"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907" w:type="dxa"/>
          </w:tcPr>
          <w:p w14:paraId="4D840DA2" w14:textId="44BCEBFF" w:rsidR="0056690D" w:rsidRPr="002A0B87" w:rsidRDefault="0056690D" w:rsidP="0056690D">
            <w:pPr>
              <w:widowControl w:val="0"/>
              <w:ind w:left="58" w:right="-86"/>
              <w:jc w:val="right"/>
              <w:rPr>
                <w:rFonts w:eastAsia="Batang" w:cs="Arial"/>
                <w:highlight w:val="yellow"/>
                <w:lang w:val="nl-NL" w:eastAsia="ko-KR"/>
              </w:rPr>
            </w:pPr>
            <w:r w:rsidRPr="006825CF">
              <w:t xml:space="preserve"> 250</w:t>
            </w:r>
            <w:r>
              <w:t>,</w:t>
            </w:r>
            <w:r w:rsidRPr="006825CF">
              <w:t xml:space="preserve">000 </w:t>
            </w:r>
          </w:p>
        </w:tc>
      </w:tr>
      <w:tr w:rsidR="0056690D" w:rsidRPr="002A0B87" w14:paraId="369F3AE2" w14:textId="77777777" w:rsidTr="008C08FC">
        <w:trPr>
          <w:trHeight w:val="72"/>
          <w:tblHeader/>
        </w:trPr>
        <w:tc>
          <w:tcPr>
            <w:tcW w:w="4234" w:type="dxa"/>
            <w:vAlign w:val="bottom"/>
          </w:tcPr>
          <w:p w14:paraId="7798EB4A" w14:textId="553165CD" w:rsidR="0056690D" w:rsidRPr="002A0B87" w:rsidRDefault="0056690D" w:rsidP="0056690D">
            <w:pPr>
              <w:widowControl w:val="0"/>
              <w:ind w:left="-115"/>
              <w:rPr>
                <w:rFonts w:cs="Arial"/>
                <w:lang w:val="nl-NL"/>
              </w:rPr>
            </w:pPr>
            <w:r w:rsidRPr="006A0EC2">
              <w:rPr>
                <w:rFonts w:cs="Arial"/>
              </w:rPr>
              <w:t>Payments to Settlement Assistance Fund</w:t>
            </w:r>
          </w:p>
        </w:tc>
        <w:tc>
          <w:tcPr>
            <w:tcW w:w="1706" w:type="dxa"/>
          </w:tcPr>
          <w:p w14:paraId="40877C61" w14:textId="4FB20E8F" w:rsidR="0056690D" w:rsidRPr="002A0B87" w:rsidRDefault="0056690D" w:rsidP="0056690D">
            <w:pPr>
              <w:widowControl w:val="0"/>
              <w:ind w:left="58" w:right="-86"/>
              <w:jc w:val="right"/>
              <w:rPr>
                <w:rFonts w:eastAsia="Batang" w:cs="Arial"/>
                <w:highlight w:val="yellow"/>
                <w:lang w:val="nl-NL" w:eastAsia="ko-KR"/>
              </w:rPr>
            </w:pPr>
            <w:r w:rsidRPr="006825CF">
              <w:t xml:space="preserve">- </w:t>
            </w:r>
          </w:p>
        </w:tc>
        <w:tc>
          <w:tcPr>
            <w:tcW w:w="1890" w:type="dxa"/>
          </w:tcPr>
          <w:p w14:paraId="28BB70E1" w14:textId="0620C200" w:rsidR="0056690D" w:rsidRPr="002A0B87" w:rsidRDefault="0056690D" w:rsidP="0056690D">
            <w:pPr>
              <w:widowControl w:val="0"/>
              <w:ind w:left="58" w:right="-86"/>
              <w:jc w:val="right"/>
              <w:rPr>
                <w:rFonts w:eastAsia="Batang" w:cs="Arial"/>
                <w:highlight w:val="yellow"/>
                <w:lang w:val="nl-NL" w:eastAsia="ko-KR"/>
              </w:rPr>
            </w:pPr>
            <w:r w:rsidRPr="006825CF">
              <w:t xml:space="preserve">- </w:t>
            </w:r>
          </w:p>
        </w:tc>
        <w:tc>
          <w:tcPr>
            <w:tcW w:w="1710" w:type="dxa"/>
          </w:tcPr>
          <w:p w14:paraId="39E620D6" w14:textId="0BF60D61" w:rsidR="0056690D" w:rsidRPr="002A0B87" w:rsidRDefault="0056690D" w:rsidP="0056690D">
            <w:pPr>
              <w:widowControl w:val="0"/>
              <w:ind w:left="58" w:right="-86"/>
              <w:jc w:val="right"/>
              <w:rPr>
                <w:rFonts w:eastAsia="Batang" w:cs="Arial"/>
                <w:highlight w:val="yellow"/>
                <w:lang w:val="nl-NL" w:eastAsia="ko-KR"/>
              </w:rPr>
            </w:pPr>
            <w:r w:rsidRPr="006825CF">
              <w:t xml:space="preserve">- </w:t>
            </w:r>
          </w:p>
        </w:tc>
        <w:tc>
          <w:tcPr>
            <w:tcW w:w="1800" w:type="dxa"/>
          </w:tcPr>
          <w:p w14:paraId="4C8674F4" w14:textId="14654169" w:rsidR="0056690D" w:rsidRPr="002A0B87" w:rsidRDefault="0056690D" w:rsidP="0056690D">
            <w:pPr>
              <w:widowControl w:val="0"/>
              <w:ind w:left="58" w:right="-86"/>
              <w:jc w:val="right"/>
              <w:rPr>
                <w:rFonts w:eastAsia="Batang" w:cs="Arial"/>
                <w:highlight w:val="yellow"/>
                <w:lang w:eastAsia="ko-KR"/>
              </w:rPr>
            </w:pPr>
            <w:r w:rsidRPr="006825CF">
              <w:t>4</w:t>
            </w:r>
            <w:r>
              <w:t>,</w:t>
            </w:r>
            <w:r w:rsidRPr="006825CF">
              <w:t>869</w:t>
            </w:r>
            <w:r>
              <w:t>,</w:t>
            </w:r>
            <w:r w:rsidRPr="006825CF">
              <w:t>170</w:t>
            </w:r>
            <w:r>
              <w:t>,</w:t>
            </w:r>
            <w:r w:rsidRPr="006825CF">
              <w:t xml:space="preserve">623 </w:t>
            </w:r>
          </w:p>
        </w:tc>
        <w:tc>
          <w:tcPr>
            <w:tcW w:w="1907" w:type="dxa"/>
          </w:tcPr>
          <w:p w14:paraId="5D418BDB" w14:textId="3068C601" w:rsidR="0056690D" w:rsidRPr="002A0B87" w:rsidRDefault="0056690D" w:rsidP="0056690D">
            <w:pPr>
              <w:widowControl w:val="0"/>
              <w:ind w:left="58" w:right="-86"/>
              <w:jc w:val="right"/>
              <w:rPr>
                <w:rFonts w:eastAsia="Batang" w:cs="Arial"/>
                <w:highlight w:val="yellow"/>
                <w:lang w:val="nl-NL" w:eastAsia="ko-KR"/>
              </w:rPr>
            </w:pPr>
            <w:r w:rsidRPr="006825CF">
              <w:t>4</w:t>
            </w:r>
            <w:r>
              <w:t>,</w:t>
            </w:r>
            <w:r w:rsidRPr="006825CF">
              <w:t>869</w:t>
            </w:r>
            <w:r>
              <w:t>,</w:t>
            </w:r>
            <w:r w:rsidRPr="006825CF">
              <w:t>170</w:t>
            </w:r>
            <w:r>
              <w:t>,</w:t>
            </w:r>
            <w:r w:rsidRPr="006825CF">
              <w:t>623</w:t>
            </w:r>
          </w:p>
        </w:tc>
      </w:tr>
      <w:tr w:rsidR="0056690D" w:rsidRPr="002A0B87" w14:paraId="7253E461" w14:textId="77777777" w:rsidTr="008C08FC">
        <w:trPr>
          <w:trHeight w:val="141"/>
          <w:tblHeader/>
        </w:trPr>
        <w:tc>
          <w:tcPr>
            <w:tcW w:w="4234" w:type="dxa"/>
            <w:vAlign w:val="bottom"/>
            <w:hideMark/>
          </w:tcPr>
          <w:p w14:paraId="46797746" w14:textId="25B5B3C6" w:rsidR="0056690D" w:rsidRPr="002A0B87" w:rsidRDefault="0056690D" w:rsidP="0056690D">
            <w:pPr>
              <w:widowControl w:val="0"/>
              <w:ind w:left="-115"/>
              <w:rPr>
                <w:rFonts w:cs="Arial"/>
                <w:lang w:val="nl-NL"/>
              </w:rPr>
            </w:pPr>
            <w:r w:rsidRPr="009E13FE">
              <w:rPr>
                <w:rFonts w:cs="Arial"/>
                <w:lang w:val="nl-NL"/>
              </w:rPr>
              <w:t>Other non-currrent assets</w:t>
            </w:r>
          </w:p>
        </w:tc>
        <w:tc>
          <w:tcPr>
            <w:tcW w:w="1706" w:type="dxa"/>
          </w:tcPr>
          <w:p w14:paraId="34F46FE5" w14:textId="6429C21A" w:rsidR="0056690D" w:rsidRPr="002A0B87" w:rsidRDefault="0056690D" w:rsidP="0056690D">
            <w:pPr>
              <w:widowControl w:val="0"/>
              <w:pBdr>
                <w:bottom w:val="single" w:sz="4" w:space="0" w:color="auto"/>
              </w:pBdr>
              <w:overflowPunct/>
              <w:autoSpaceDE/>
              <w:autoSpaceDN/>
              <w:adjustRightInd/>
              <w:ind w:left="58" w:right="-86"/>
              <w:jc w:val="right"/>
              <w:textAlignment w:val="auto"/>
              <w:rPr>
                <w:rFonts w:eastAsia="Batang" w:cs="Arial"/>
                <w:highlight w:val="yellow"/>
                <w:lang w:eastAsia="ko-KR"/>
              </w:rPr>
            </w:pPr>
            <w:r w:rsidRPr="006825CF">
              <w:t xml:space="preserve">- </w:t>
            </w:r>
          </w:p>
        </w:tc>
        <w:tc>
          <w:tcPr>
            <w:tcW w:w="1890" w:type="dxa"/>
          </w:tcPr>
          <w:p w14:paraId="20756FA5" w14:textId="69820BB2" w:rsidR="0056690D" w:rsidRPr="002A0B87" w:rsidRDefault="0056690D" w:rsidP="0056690D">
            <w:pPr>
              <w:widowControl w:val="0"/>
              <w:pBdr>
                <w:bottom w:val="single" w:sz="4" w:space="0" w:color="auto"/>
              </w:pBdr>
              <w:overflowPunct/>
              <w:autoSpaceDE/>
              <w:autoSpaceDN/>
              <w:adjustRightInd/>
              <w:ind w:left="58" w:right="-86"/>
              <w:jc w:val="right"/>
              <w:textAlignment w:val="auto"/>
              <w:rPr>
                <w:rFonts w:eastAsia="Batang" w:cs="Arial"/>
                <w:highlight w:val="yellow"/>
                <w:lang w:eastAsia="ko-KR"/>
              </w:rPr>
            </w:pPr>
            <w:r w:rsidRPr="006825CF">
              <w:t>2</w:t>
            </w:r>
            <w:r>
              <w:t>,</w:t>
            </w:r>
            <w:r w:rsidRPr="006825CF">
              <w:t>229</w:t>
            </w:r>
            <w:r>
              <w:t>,</w:t>
            </w:r>
            <w:r w:rsidRPr="006825CF">
              <w:t>621</w:t>
            </w:r>
            <w:r>
              <w:t>,</w:t>
            </w:r>
            <w:r w:rsidRPr="006825CF">
              <w:t xml:space="preserve">635 </w:t>
            </w:r>
          </w:p>
        </w:tc>
        <w:tc>
          <w:tcPr>
            <w:tcW w:w="1710" w:type="dxa"/>
          </w:tcPr>
          <w:p w14:paraId="5448E368" w14:textId="1C6D3583" w:rsidR="0056690D" w:rsidRPr="002A0B87" w:rsidRDefault="0056690D" w:rsidP="0056690D">
            <w:pPr>
              <w:widowControl w:val="0"/>
              <w:pBdr>
                <w:bottom w:val="single" w:sz="4" w:space="0" w:color="auto"/>
              </w:pBdr>
              <w:overflowPunct/>
              <w:autoSpaceDE/>
              <w:autoSpaceDN/>
              <w:adjustRightInd/>
              <w:ind w:left="58" w:right="-86"/>
              <w:jc w:val="right"/>
              <w:textAlignment w:val="auto"/>
              <w:rPr>
                <w:rFonts w:eastAsia="Batang" w:cs="Arial"/>
                <w:highlight w:val="yellow"/>
                <w:lang w:eastAsia="ko-KR"/>
              </w:rPr>
            </w:pPr>
            <w:r w:rsidRPr="006825CF">
              <w:t xml:space="preserve">- </w:t>
            </w:r>
          </w:p>
        </w:tc>
        <w:tc>
          <w:tcPr>
            <w:tcW w:w="1800" w:type="dxa"/>
          </w:tcPr>
          <w:p w14:paraId="0B48FE27" w14:textId="42933616" w:rsidR="0056690D" w:rsidRPr="002A0B87" w:rsidRDefault="0056690D" w:rsidP="0056690D">
            <w:pPr>
              <w:widowControl w:val="0"/>
              <w:pBdr>
                <w:bottom w:val="single" w:sz="4" w:space="0" w:color="auto"/>
              </w:pBdr>
              <w:overflowPunct/>
              <w:autoSpaceDE/>
              <w:autoSpaceDN/>
              <w:adjustRightInd/>
              <w:ind w:left="58" w:right="-86"/>
              <w:jc w:val="right"/>
              <w:textAlignment w:val="auto"/>
              <w:rPr>
                <w:rFonts w:eastAsia="Batang" w:cs="Arial"/>
                <w:highlight w:val="yellow"/>
                <w:lang w:eastAsia="ko-KR"/>
              </w:rPr>
            </w:pPr>
            <w:r w:rsidRPr="006825CF">
              <w:t xml:space="preserve">- </w:t>
            </w:r>
          </w:p>
        </w:tc>
        <w:tc>
          <w:tcPr>
            <w:tcW w:w="1907" w:type="dxa"/>
          </w:tcPr>
          <w:p w14:paraId="0A4ACAD4" w14:textId="122C398F" w:rsidR="0056690D" w:rsidRPr="002A0B87" w:rsidRDefault="0056690D" w:rsidP="0056690D">
            <w:pPr>
              <w:widowControl w:val="0"/>
              <w:pBdr>
                <w:bottom w:val="single" w:sz="4" w:space="0" w:color="auto"/>
              </w:pBdr>
              <w:overflowPunct/>
              <w:autoSpaceDE/>
              <w:autoSpaceDN/>
              <w:adjustRightInd/>
              <w:ind w:left="58" w:right="-86"/>
              <w:jc w:val="right"/>
              <w:textAlignment w:val="auto"/>
              <w:rPr>
                <w:rFonts w:eastAsia="Batang" w:cs="Arial"/>
                <w:highlight w:val="yellow"/>
                <w:lang w:eastAsia="ko-KR"/>
              </w:rPr>
            </w:pPr>
            <w:r w:rsidRPr="006825CF">
              <w:t>2</w:t>
            </w:r>
            <w:r>
              <w:t>,</w:t>
            </w:r>
            <w:r w:rsidRPr="006825CF">
              <w:t>229</w:t>
            </w:r>
            <w:r>
              <w:t>,</w:t>
            </w:r>
            <w:r w:rsidRPr="006825CF">
              <w:t>621</w:t>
            </w:r>
            <w:r>
              <w:t>,</w:t>
            </w:r>
            <w:r w:rsidRPr="006825CF">
              <w:t>635</w:t>
            </w:r>
          </w:p>
        </w:tc>
      </w:tr>
      <w:tr w:rsidR="0056690D" w:rsidRPr="002A0B87" w14:paraId="52FF7B4A" w14:textId="77777777" w:rsidTr="008C08FC">
        <w:trPr>
          <w:trHeight w:val="20"/>
          <w:tblHeader/>
        </w:trPr>
        <w:tc>
          <w:tcPr>
            <w:tcW w:w="4234" w:type="dxa"/>
            <w:vAlign w:val="bottom"/>
            <w:hideMark/>
          </w:tcPr>
          <w:p w14:paraId="176D5461" w14:textId="2B532A13" w:rsidR="0056690D" w:rsidRPr="002A0B87" w:rsidRDefault="0056690D" w:rsidP="0056690D">
            <w:pPr>
              <w:widowControl w:val="0"/>
              <w:spacing w:before="120"/>
              <w:ind w:left="-115"/>
              <w:rPr>
                <w:rFonts w:cs="Arial"/>
                <w:b/>
                <w:lang w:val="nl-NL"/>
              </w:rPr>
            </w:pPr>
            <w:r w:rsidRPr="00802371">
              <w:rPr>
                <w:rFonts w:cs="Arial"/>
                <w:b/>
                <w:lang w:val="nl-NL"/>
              </w:rPr>
              <w:t>Total assets</w:t>
            </w:r>
          </w:p>
        </w:tc>
        <w:tc>
          <w:tcPr>
            <w:tcW w:w="1706" w:type="dxa"/>
          </w:tcPr>
          <w:p w14:paraId="45BC0A91" w14:textId="161DB2BF" w:rsidR="0056690D" w:rsidRPr="0056690D" w:rsidRDefault="0056690D" w:rsidP="0056690D">
            <w:pPr>
              <w:widowControl w:val="0"/>
              <w:pBdr>
                <w:bottom w:val="single" w:sz="4" w:space="0" w:color="auto"/>
              </w:pBdr>
              <w:spacing w:before="120"/>
              <w:ind w:left="58" w:right="-86"/>
              <w:jc w:val="right"/>
              <w:rPr>
                <w:rFonts w:eastAsia="Batang" w:cs="Arial"/>
                <w:b/>
                <w:bCs/>
                <w:highlight w:val="yellow"/>
                <w:lang w:eastAsia="ko-KR"/>
              </w:rPr>
            </w:pPr>
            <w:r w:rsidRPr="0056690D">
              <w:rPr>
                <w:b/>
                <w:bCs/>
              </w:rPr>
              <w:t>7</w:t>
            </w:r>
            <w:r>
              <w:rPr>
                <w:b/>
                <w:bCs/>
              </w:rPr>
              <w:t>,</w:t>
            </w:r>
            <w:r w:rsidRPr="0056690D">
              <w:rPr>
                <w:b/>
                <w:bCs/>
              </w:rPr>
              <w:t>481</w:t>
            </w:r>
            <w:r>
              <w:rPr>
                <w:b/>
                <w:bCs/>
              </w:rPr>
              <w:t>,</w:t>
            </w:r>
            <w:r w:rsidRPr="0056690D">
              <w:rPr>
                <w:b/>
                <w:bCs/>
              </w:rPr>
              <w:t>622</w:t>
            </w:r>
            <w:r>
              <w:rPr>
                <w:b/>
                <w:bCs/>
              </w:rPr>
              <w:t>,</w:t>
            </w:r>
            <w:r w:rsidRPr="0056690D">
              <w:rPr>
                <w:b/>
                <w:bCs/>
              </w:rPr>
              <w:t xml:space="preserve">671 </w:t>
            </w:r>
          </w:p>
        </w:tc>
        <w:tc>
          <w:tcPr>
            <w:tcW w:w="1890" w:type="dxa"/>
          </w:tcPr>
          <w:p w14:paraId="59EE420D" w14:textId="32EFF19E" w:rsidR="0056690D" w:rsidRPr="0056690D" w:rsidRDefault="0056690D" w:rsidP="0056690D">
            <w:pPr>
              <w:widowControl w:val="0"/>
              <w:pBdr>
                <w:bottom w:val="single" w:sz="4" w:space="0" w:color="auto"/>
              </w:pBdr>
              <w:spacing w:before="120"/>
              <w:ind w:right="-86"/>
              <w:jc w:val="right"/>
              <w:rPr>
                <w:rFonts w:eastAsia="Batang" w:cs="Arial"/>
                <w:b/>
                <w:bCs/>
                <w:highlight w:val="yellow"/>
                <w:lang w:eastAsia="ko-KR"/>
              </w:rPr>
            </w:pPr>
            <w:r w:rsidRPr="0056690D">
              <w:rPr>
                <w:b/>
                <w:bCs/>
              </w:rPr>
              <w:t>3</w:t>
            </w:r>
            <w:r>
              <w:rPr>
                <w:b/>
                <w:bCs/>
              </w:rPr>
              <w:t>,</w:t>
            </w:r>
            <w:r w:rsidRPr="0056690D">
              <w:rPr>
                <w:b/>
                <w:bCs/>
              </w:rPr>
              <w:t>252</w:t>
            </w:r>
            <w:r>
              <w:rPr>
                <w:b/>
                <w:bCs/>
              </w:rPr>
              <w:t>,</w:t>
            </w:r>
            <w:r w:rsidRPr="0056690D">
              <w:rPr>
                <w:b/>
                <w:bCs/>
              </w:rPr>
              <w:t>565</w:t>
            </w:r>
            <w:r>
              <w:rPr>
                <w:b/>
                <w:bCs/>
              </w:rPr>
              <w:t>,</w:t>
            </w:r>
            <w:r w:rsidRPr="0056690D">
              <w:rPr>
                <w:b/>
                <w:bCs/>
              </w:rPr>
              <w:t>974</w:t>
            </w:r>
            <w:r>
              <w:rPr>
                <w:b/>
                <w:bCs/>
              </w:rPr>
              <w:t>,</w:t>
            </w:r>
            <w:r w:rsidRPr="0056690D">
              <w:rPr>
                <w:b/>
                <w:bCs/>
              </w:rPr>
              <w:t xml:space="preserve">100 </w:t>
            </w:r>
          </w:p>
        </w:tc>
        <w:tc>
          <w:tcPr>
            <w:tcW w:w="1710" w:type="dxa"/>
          </w:tcPr>
          <w:p w14:paraId="2468E3B6" w14:textId="7BFA57AF" w:rsidR="0056690D" w:rsidRPr="0056690D" w:rsidRDefault="0056690D" w:rsidP="0056690D">
            <w:pPr>
              <w:widowControl w:val="0"/>
              <w:pBdr>
                <w:bottom w:val="single" w:sz="4" w:space="0" w:color="auto"/>
              </w:pBdr>
              <w:spacing w:before="120"/>
              <w:ind w:left="58" w:right="-86"/>
              <w:jc w:val="right"/>
              <w:rPr>
                <w:rFonts w:eastAsia="Batang" w:cs="Arial"/>
                <w:b/>
                <w:bCs/>
                <w:highlight w:val="yellow"/>
                <w:lang w:eastAsia="ko-KR"/>
              </w:rPr>
            </w:pPr>
            <w:r w:rsidRPr="0056690D">
              <w:rPr>
                <w:b/>
                <w:bCs/>
              </w:rPr>
              <w:t xml:space="preserve">- </w:t>
            </w:r>
          </w:p>
        </w:tc>
        <w:tc>
          <w:tcPr>
            <w:tcW w:w="1800" w:type="dxa"/>
          </w:tcPr>
          <w:p w14:paraId="66F481AD" w14:textId="509A2352" w:rsidR="0056690D" w:rsidRPr="0056690D" w:rsidRDefault="0056690D" w:rsidP="0056690D">
            <w:pPr>
              <w:widowControl w:val="0"/>
              <w:pBdr>
                <w:bottom w:val="single" w:sz="4" w:space="0" w:color="auto"/>
              </w:pBdr>
              <w:spacing w:before="120"/>
              <w:ind w:left="58" w:right="-86"/>
              <w:jc w:val="right"/>
              <w:rPr>
                <w:rFonts w:eastAsia="Batang" w:cs="Arial"/>
                <w:b/>
                <w:bCs/>
                <w:highlight w:val="yellow"/>
                <w:lang w:eastAsia="ko-KR"/>
              </w:rPr>
            </w:pPr>
            <w:r w:rsidRPr="0056690D">
              <w:rPr>
                <w:b/>
                <w:bCs/>
              </w:rPr>
              <w:t>4</w:t>
            </w:r>
            <w:r>
              <w:rPr>
                <w:b/>
                <w:bCs/>
              </w:rPr>
              <w:t>,</w:t>
            </w:r>
            <w:r w:rsidRPr="0056690D">
              <w:rPr>
                <w:b/>
                <w:bCs/>
              </w:rPr>
              <w:t>869</w:t>
            </w:r>
            <w:r>
              <w:rPr>
                <w:b/>
                <w:bCs/>
              </w:rPr>
              <w:t>,</w:t>
            </w:r>
            <w:r w:rsidRPr="0056690D">
              <w:rPr>
                <w:b/>
                <w:bCs/>
              </w:rPr>
              <w:t>170</w:t>
            </w:r>
            <w:r>
              <w:rPr>
                <w:b/>
                <w:bCs/>
              </w:rPr>
              <w:t>,</w:t>
            </w:r>
            <w:r w:rsidRPr="0056690D">
              <w:rPr>
                <w:b/>
                <w:bCs/>
              </w:rPr>
              <w:t xml:space="preserve">623 </w:t>
            </w:r>
          </w:p>
        </w:tc>
        <w:tc>
          <w:tcPr>
            <w:tcW w:w="1907" w:type="dxa"/>
          </w:tcPr>
          <w:p w14:paraId="4D1FAB67" w14:textId="40635B50" w:rsidR="0056690D" w:rsidRPr="0056690D" w:rsidRDefault="0056690D" w:rsidP="0056690D">
            <w:pPr>
              <w:widowControl w:val="0"/>
              <w:pBdr>
                <w:bottom w:val="single" w:sz="4" w:space="0" w:color="auto"/>
              </w:pBdr>
              <w:spacing w:before="120"/>
              <w:ind w:right="-86"/>
              <w:jc w:val="right"/>
              <w:rPr>
                <w:rFonts w:eastAsia="Batang" w:cs="Arial"/>
                <w:b/>
                <w:bCs/>
                <w:highlight w:val="yellow"/>
                <w:lang w:eastAsia="ko-KR"/>
              </w:rPr>
            </w:pPr>
            <w:r w:rsidRPr="0056690D">
              <w:rPr>
                <w:b/>
                <w:bCs/>
              </w:rPr>
              <w:t>3</w:t>
            </w:r>
            <w:r>
              <w:rPr>
                <w:b/>
                <w:bCs/>
              </w:rPr>
              <w:t>,</w:t>
            </w:r>
            <w:r w:rsidRPr="0056690D">
              <w:rPr>
                <w:b/>
                <w:bCs/>
              </w:rPr>
              <w:t>264</w:t>
            </w:r>
            <w:r>
              <w:rPr>
                <w:b/>
                <w:bCs/>
              </w:rPr>
              <w:t>,</w:t>
            </w:r>
            <w:r w:rsidRPr="0056690D">
              <w:rPr>
                <w:b/>
                <w:bCs/>
              </w:rPr>
              <w:t>916</w:t>
            </w:r>
            <w:r>
              <w:rPr>
                <w:b/>
                <w:bCs/>
              </w:rPr>
              <w:t>,</w:t>
            </w:r>
            <w:r w:rsidRPr="0056690D">
              <w:rPr>
                <w:b/>
                <w:bCs/>
              </w:rPr>
              <w:t xml:space="preserve">394 </w:t>
            </w:r>
          </w:p>
        </w:tc>
      </w:tr>
      <w:tr w:rsidR="0056690D" w:rsidRPr="002A0B87" w14:paraId="6E269BC3" w14:textId="77777777" w:rsidTr="008C08FC">
        <w:trPr>
          <w:trHeight w:val="20"/>
          <w:tblHeader/>
        </w:trPr>
        <w:tc>
          <w:tcPr>
            <w:tcW w:w="4234" w:type="dxa"/>
            <w:vAlign w:val="bottom"/>
            <w:hideMark/>
          </w:tcPr>
          <w:p w14:paraId="24B227D3" w14:textId="3469D3CF" w:rsidR="0056690D" w:rsidRPr="002A0B87" w:rsidRDefault="0056690D" w:rsidP="0056690D">
            <w:pPr>
              <w:widowControl w:val="0"/>
              <w:spacing w:before="120"/>
              <w:ind w:left="-115"/>
              <w:rPr>
                <w:rFonts w:cs="Arial"/>
                <w:lang w:val="nl-NL"/>
              </w:rPr>
            </w:pPr>
            <w:r w:rsidRPr="0011375F">
              <w:rPr>
                <w:rFonts w:cs="Arial"/>
                <w:b/>
                <w:lang w:val="nl-NL"/>
              </w:rPr>
              <w:t>FINANCIAL LIABILITIES</w:t>
            </w:r>
          </w:p>
        </w:tc>
        <w:tc>
          <w:tcPr>
            <w:tcW w:w="1706" w:type="dxa"/>
          </w:tcPr>
          <w:p w14:paraId="037B0DAF" w14:textId="25283D31" w:rsidR="0056690D" w:rsidRPr="002A0B87" w:rsidRDefault="0056690D" w:rsidP="0056690D">
            <w:pPr>
              <w:widowControl w:val="0"/>
              <w:spacing w:before="120"/>
              <w:ind w:left="58" w:right="-86"/>
              <w:jc w:val="right"/>
              <w:rPr>
                <w:rFonts w:eastAsia="Batang" w:cs="Arial"/>
                <w:bCs/>
                <w:highlight w:val="yellow"/>
                <w:lang w:eastAsia="ko-KR"/>
              </w:rPr>
            </w:pPr>
          </w:p>
        </w:tc>
        <w:tc>
          <w:tcPr>
            <w:tcW w:w="1890" w:type="dxa"/>
          </w:tcPr>
          <w:p w14:paraId="22C8998A" w14:textId="61FC3FCB" w:rsidR="0056690D" w:rsidRPr="002A0B87" w:rsidRDefault="0056690D" w:rsidP="0056690D">
            <w:pPr>
              <w:widowControl w:val="0"/>
              <w:spacing w:before="120"/>
              <w:ind w:left="58" w:right="-86"/>
              <w:jc w:val="right"/>
              <w:rPr>
                <w:rFonts w:eastAsia="Batang" w:cs="Arial"/>
                <w:bCs/>
                <w:highlight w:val="yellow"/>
                <w:lang w:eastAsia="ko-KR"/>
              </w:rPr>
            </w:pPr>
          </w:p>
        </w:tc>
        <w:tc>
          <w:tcPr>
            <w:tcW w:w="1710" w:type="dxa"/>
          </w:tcPr>
          <w:p w14:paraId="04B707FF" w14:textId="047D9CFD" w:rsidR="0056690D" w:rsidRPr="002A0B87" w:rsidRDefault="0056690D" w:rsidP="0056690D">
            <w:pPr>
              <w:widowControl w:val="0"/>
              <w:spacing w:before="120"/>
              <w:ind w:left="58" w:right="-86"/>
              <w:jc w:val="right"/>
              <w:rPr>
                <w:rFonts w:eastAsia="Batang" w:cs="Arial"/>
                <w:bCs/>
                <w:highlight w:val="yellow"/>
                <w:lang w:eastAsia="ko-KR"/>
              </w:rPr>
            </w:pPr>
          </w:p>
        </w:tc>
        <w:tc>
          <w:tcPr>
            <w:tcW w:w="1800" w:type="dxa"/>
          </w:tcPr>
          <w:p w14:paraId="7CBA7256" w14:textId="27C9D1AD" w:rsidR="0056690D" w:rsidRPr="002A0B87" w:rsidRDefault="0056690D" w:rsidP="0056690D">
            <w:pPr>
              <w:widowControl w:val="0"/>
              <w:spacing w:before="120"/>
              <w:ind w:left="58" w:right="-86"/>
              <w:jc w:val="right"/>
              <w:rPr>
                <w:rFonts w:eastAsia="Batang" w:cs="Arial"/>
                <w:bCs/>
                <w:highlight w:val="yellow"/>
                <w:lang w:eastAsia="ko-KR"/>
              </w:rPr>
            </w:pPr>
          </w:p>
        </w:tc>
        <w:tc>
          <w:tcPr>
            <w:tcW w:w="1907" w:type="dxa"/>
          </w:tcPr>
          <w:p w14:paraId="17C14FFF" w14:textId="621A58B4" w:rsidR="0056690D" w:rsidRPr="002A0B87" w:rsidRDefault="0056690D" w:rsidP="0056690D">
            <w:pPr>
              <w:widowControl w:val="0"/>
              <w:spacing w:before="120"/>
              <w:ind w:left="58" w:right="-86"/>
              <w:jc w:val="right"/>
              <w:rPr>
                <w:rFonts w:eastAsia="Batang" w:cs="Arial"/>
                <w:bCs/>
                <w:highlight w:val="yellow"/>
                <w:lang w:eastAsia="ko-KR"/>
              </w:rPr>
            </w:pPr>
          </w:p>
        </w:tc>
      </w:tr>
      <w:tr w:rsidR="0056690D" w:rsidRPr="002A0B87" w14:paraId="3470E34D" w14:textId="77777777" w:rsidTr="008C08FC">
        <w:trPr>
          <w:trHeight w:val="20"/>
          <w:tblHeader/>
        </w:trPr>
        <w:tc>
          <w:tcPr>
            <w:tcW w:w="4234" w:type="dxa"/>
            <w:vAlign w:val="bottom"/>
            <w:hideMark/>
          </w:tcPr>
          <w:p w14:paraId="5A327589" w14:textId="5AEF8690" w:rsidR="0056690D" w:rsidRPr="002A0B87" w:rsidRDefault="0056690D" w:rsidP="0056690D">
            <w:pPr>
              <w:widowControl w:val="0"/>
              <w:spacing w:before="120"/>
              <w:ind w:left="-115"/>
              <w:rPr>
                <w:rFonts w:cs="Arial"/>
                <w:lang w:val="nl-NL"/>
              </w:rPr>
            </w:pPr>
            <w:r w:rsidRPr="0076620A">
              <w:rPr>
                <w:rFonts w:cs="Arial"/>
              </w:rPr>
              <w:t>Short-term borrowings</w:t>
            </w:r>
          </w:p>
        </w:tc>
        <w:tc>
          <w:tcPr>
            <w:tcW w:w="1706" w:type="dxa"/>
          </w:tcPr>
          <w:p w14:paraId="47365184" w14:textId="225A5579" w:rsidR="0056690D" w:rsidRPr="002A0B87" w:rsidRDefault="0056690D" w:rsidP="0056690D">
            <w:pPr>
              <w:widowControl w:val="0"/>
              <w:spacing w:before="120"/>
              <w:ind w:left="58" w:right="-86"/>
              <w:jc w:val="right"/>
              <w:rPr>
                <w:rFonts w:eastAsia="Batang" w:cs="Arial"/>
                <w:highlight w:val="yellow"/>
                <w:lang w:eastAsia="ko-KR"/>
              </w:rPr>
            </w:pPr>
            <w:r w:rsidRPr="006825CF">
              <w:t xml:space="preserve">- </w:t>
            </w:r>
          </w:p>
        </w:tc>
        <w:tc>
          <w:tcPr>
            <w:tcW w:w="1890" w:type="dxa"/>
          </w:tcPr>
          <w:p w14:paraId="09E219BC" w14:textId="02133608" w:rsidR="0056690D" w:rsidRPr="002A0B87" w:rsidRDefault="0056690D" w:rsidP="0056690D">
            <w:pPr>
              <w:widowControl w:val="0"/>
              <w:spacing w:before="120"/>
              <w:ind w:right="-86"/>
              <w:jc w:val="right"/>
              <w:rPr>
                <w:rFonts w:eastAsia="Batang" w:cs="Arial"/>
                <w:highlight w:val="yellow"/>
                <w:lang w:eastAsia="ko-KR"/>
              </w:rPr>
            </w:pPr>
            <w:r w:rsidRPr="006825CF">
              <w:t>1</w:t>
            </w:r>
            <w:r>
              <w:t>,</w:t>
            </w:r>
            <w:r w:rsidRPr="006825CF">
              <w:t>970</w:t>
            </w:r>
            <w:r>
              <w:t>,</w:t>
            </w:r>
            <w:r w:rsidRPr="006825CF">
              <w:t>589</w:t>
            </w:r>
            <w:r>
              <w:t>,</w:t>
            </w:r>
            <w:r w:rsidRPr="006825CF">
              <w:t>400</w:t>
            </w:r>
            <w:r>
              <w:t>,</w:t>
            </w:r>
            <w:r w:rsidRPr="006825CF">
              <w:t xml:space="preserve">000 </w:t>
            </w:r>
          </w:p>
        </w:tc>
        <w:tc>
          <w:tcPr>
            <w:tcW w:w="1710" w:type="dxa"/>
          </w:tcPr>
          <w:p w14:paraId="42020089" w14:textId="4C5D9ECA" w:rsidR="0056690D" w:rsidRPr="002A0B87" w:rsidRDefault="0056690D" w:rsidP="0056690D">
            <w:pPr>
              <w:widowControl w:val="0"/>
              <w:spacing w:before="120"/>
              <w:ind w:left="58" w:right="-86"/>
              <w:jc w:val="right"/>
              <w:rPr>
                <w:rFonts w:eastAsia="Batang" w:cs="Arial"/>
                <w:highlight w:val="yellow"/>
                <w:lang w:eastAsia="ko-KR"/>
              </w:rPr>
            </w:pPr>
            <w:r w:rsidRPr="006825CF">
              <w:t xml:space="preserve">- </w:t>
            </w:r>
          </w:p>
        </w:tc>
        <w:tc>
          <w:tcPr>
            <w:tcW w:w="1800" w:type="dxa"/>
          </w:tcPr>
          <w:p w14:paraId="61DB6D4C" w14:textId="583E0DD2" w:rsidR="0056690D" w:rsidRPr="002A0B87" w:rsidRDefault="0056690D" w:rsidP="0056690D">
            <w:pPr>
              <w:widowControl w:val="0"/>
              <w:spacing w:before="120"/>
              <w:ind w:left="58" w:right="-86"/>
              <w:jc w:val="right"/>
              <w:rPr>
                <w:rFonts w:eastAsia="Batang" w:cs="Arial"/>
                <w:highlight w:val="yellow"/>
                <w:lang w:eastAsia="ko-KR"/>
              </w:rPr>
            </w:pPr>
            <w:r w:rsidRPr="006825CF">
              <w:t xml:space="preserve">- </w:t>
            </w:r>
          </w:p>
        </w:tc>
        <w:tc>
          <w:tcPr>
            <w:tcW w:w="1907" w:type="dxa"/>
          </w:tcPr>
          <w:p w14:paraId="39FCDB2B" w14:textId="3908B328" w:rsidR="0056690D" w:rsidRPr="002A0B87" w:rsidRDefault="0056690D" w:rsidP="0056690D">
            <w:pPr>
              <w:widowControl w:val="0"/>
              <w:spacing w:before="120"/>
              <w:ind w:right="-86"/>
              <w:jc w:val="right"/>
              <w:rPr>
                <w:rFonts w:eastAsia="Batang" w:cs="Arial"/>
                <w:highlight w:val="yellow"/>
                <w:lang w:eastAsia="ko-KR"/>
              </w:rPr>
            </w:pPr>
            <w:r w:rsidRPr="006825CF">
              <w:t>1</w:t>
            </w:r>
            <w:r>
              <w:t>,</w:t>
            </w:r>
            <w:r w:rsidRPr="006825CF">
              <w:t>970</w:t>
            </w:r>
            <w:r>
              <w:t>,</w:t>
            </w:r>
            <w:r w:rsidRPr="006825CF">
              <w:t>589</w:t>
            </w:r>
            <w:r>
              <w:t>,</w:t>
            </w:r>
            <w:r w:rsidRPr="006825CF">
              <w:t>400</w:t>
            </w:r>
            <w:r>
              <w:t>,</w:t>
            </w:r>
            <w:r w:rsidRPr="006825CF">
              <w:t xml:space="preserve">000 </w:t>
            </w:r>
          </w:p>
        </w:tc>
      </w:tr>
      <w:tr w:rsidR="0056690D" w:rsidRPr="002A0B87" w14:paraId="62E578EC" w14:textId="77777777" w:rsidTr="008C08FC">
        <w:trPr>
          <w:trHeight w:val="20"/>
          <w:tblHeader/>
        </w:trPr>
        <w:tc>
          <w:tcPr>
            <w:tcW w:w="4234" w:type="dxa"/>
            <w:vAlign w:val="bottom"/>
          </w:tcPr>
          <w:p w14:paraId="7E16D426" w14:textId="4B994EE3" w:rsidR="0056690D" w:rsidRPr="002A0B87" w:rsidRDefault="0056690D" w:rsidP="0056690D">
            <w:pPr>
              <w:widowControl w:val="0"/>
              <w:ind w:left="-115"/>
              <w:rPr>
                <w:rFonts w:cs="Arial"/>
                <w:lang w:val="nl-NL"/>
              </w:rPr>
            </w:pPr>
            <w:r w:rsidRPr="00DD6B22">
              <w:rPr>
                <w:rFonts w:cs="Arial"/>
              </w:rPr>
              <w:t>Payables for securities trading activities</w:t>
            </w:r>
          </w:p>
        </w:tc>
        <w:tc>
          <w:tcPr>
            <w:tcW w:w="1706" w:type="dxa"/>
          </w:tcPr>
          <w:p w14:paraId="4CD5B0C3" w14:textId="7DEFEBF1"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890" w:type="dxa"/>
          </w:tcPr>
          <w:p w14:paraId="3CEB0587" w14:textId="729D2A8A" w:rsidR="0056690D" w:rsidRPr="002A0B87" w:rsidRDefault="0056690D" w:rsidP="0056690D">
            <w:pPr>
              <w:widowControl w:val="0"/>
              <w:ind w:left="58" w:right="-86"/>
              <w:jc w:val="right"/>
              <w:rPr>
                <w:rFonts w:eastAsia="Batang" w:cs="Arial"/>
                <w:highlight w:val="yellow"/>
                <w:lang w:eastAsia="ko-KR"/>
              </w:rPr>
            </w:pPr>
            <w:r w:rsidRPr="006825CF">
              <w:t>49</w:t>
            </w:r>
            <w:r>
              <w:t>,</w:t>
            </w:r>
            <w:r w:rsidRPr="006825CF">
              <w:t>482</w:t>
            </w:r>
            <w:r>
              <w:t>,</w:t>
            </w:r>
            <w:r w:rsidRPr="006825CF">
              <w:t xml:space="preserve">075 </w:t>
            </w:r>
          </w:p>
        </w:tc>
        <w:tc>
          <w:tcPr>
            <w:tcW w:w="1710" w:type="dxa"/>
          </w:tcPr>
          <w:p w14:paraId="1F3FD9F9" w14:textId="1B116746"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800" w:type="dxa"/>
          </w:tcPr>
          <w:p w14:paraId="6F99D555" w14:textId="56206893"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907" w:type="dxa"/>
          </w:tcPr>
          <w:p w14:paraId="7B9A20B3" w14:textId="02106CF4" w:rsidR="0056690D" w:rsidRPr="002A0B87" w:rsidRDefault="0056690D" w:rsidP="0056690D">
            <w:pPr>
              <w:widowControl w:val="0"/>
              <w:ind w:left="58" w:right="-86"/>
              <w:jc w:val="right"/>
              <w:rPr>
                <w:rFonts w:eastAsia="Batang" w:cs="Arial"/>
                <w:highlight w:val="yellow"/>
                <w:lang w:eastAsia="ko-KR"/>
              </w:rPr>
            </w:pPr>
            <w:r w:rsidRPr="006825CF">
              <w:t>49</w:t>
            </w:r>
            <w:r>
              <w:t>,</w:t>
            </w:r>
            <w:r w:rsidRPr="006825CF">
              <w:t>482</w:t>
            </w:r>
            <w:r>
              <w:t>,</w:t>
            </w:r>
            <w:r w:rsidRPr="006825CF">
              <w:t xml:space="preserve">075 </w:t>
            </w:r>
          </w:p>
        </w:tc>
      </w:tr>
      <w:tr w:rsidR="0056690D" w:rsidRPr="002A0B87" w14:paraId="5E61D6E6" w14:textId="77777777" w:rsidTr="008C08FC">
        <w:trPr>
          <w:trHeight w:val="20"/>
          <w:tblHeader/>
        </w:trPr>
        <w:tc>
          <w:tcPr>
            <w:tcW w:w="4234" w:type="dxa"/>
            <w:vAlign w:val="bottom"/>
          </w:tcPr>
          <w:p w14:paraId="198DEC8F" w14:textId="36844FF1" w:rsidR="0056690D" w:rsidRPr="002A0B87" w:rsidRDefault="0056690D" w:rsidP="0056690D">
            <w:pPr>
              <w:widowControl w:val="0"/>
              <w:ind w:left="-115"/>
              <w:rPr>
                <w:rFonts w:cs="Arial"/>
                <w:lang w:val="nl-NL"/>
              </w:rPr>
            </w:pPr>
            <w:r w:rsidRPr="008C1E15">
              <w:rPr>
                <w:rFonts w:cs="Arial"/>
              </w:rPr>
              <w:t>Short-term trade payables</w:t>
            </w:r>
          </w:p>
        </w:tc>
        <w:tc>
          <w:tcPr>
            <w:tcW w:w="1706" w:type="dxa"/>
          </w:tcPr>
          <w:p w14:paraId="74B8EA29" w14:textId="7FA25967"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890" w:type="dxa"/>
          </w:tcPr>
          <w:p w14:paraId="74FC1A48" w14:textId="182F7256" w:rsidR="0056690D" w:rsidRPr="002A0B87" w:rsidRDefault="0056690D" w:rsidP="0056690D">
            <w:pPr>
              <w:widowControl w:val="0"/>
              <w:ind w:left="58" w:right="-86"/>
              <w:jc w:val="right"/>
              <w:rPr>
                <w:rFonts w:eastAsia="Batang" w:cs="Arial"/>
                <w:highlight w:val="yellow"/>
                <w:lang w:eastAsia="ko-KR"/>
              </w:rPr>
            </w:pPr>
            <w:r w:rsidRPr="006825CF">
              <w:t xml:space="preserve"> 1</w:t>
            </w:r>
            <w:r>
              <w:t>,</w:t>
            </w:r>
            <w:r w:rsidRPr="006825CF">
              <w:t>765</w:t>
            </w:r>
            <w:r>
              <w:t>,</w:t>
            </w:r>
            <w:r w:rsidRPr="006825CF">
              <w:t>045</w:t>
            </w:r>
            <w:r>
              <w:t>,</w:t>
            </w:r>
            <w:r w:rsidRPr="006825CF">
              <w:t xml:space="preserve">999 </w:t>
            </w:r>
          </w:p>
        </w:tc>
        <w:tc>
          <w:tcPr>
            <w:tcW w:w="1710" w:type="dxa"/>
          </w:tcPr>
          <w:p w14:paraId="068931DF" w14:textId="36C1D414"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800" w:type="dxa"/>
          </w:tcPr>
          <w:p w14:paraId="584AF946" w14:textId="0F3A7549"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907" w:type="dxa"/>
          </w:tcPr>
          <w:p w14:paraId="4F49D449" w14:textId="509FDC5F" w:rsidR="0056690D" w:rsidRPr="002A0B87" w:rsidRDefault="0056690D" w:rsidP="0056690D">
            <w:pPr>
              <w:widowControl w:val="0"/>
              <w:ind w:left="58" w:right="-86"/>
              <w:jc w:val="right"/>
              <w:rPr>
                <w:rFonts w:eastAsia="Batang" w:cs="Arial"/>
                <w:highlight w:val="yellow"/>
                <w:lang w:eastAsia="ko-KR"/>
              </w:rPr>
            </w:pPr>
            <w:r w:rsidRPr="006825CF">
              <w:t xml:space="preserve"> 1</w:t>
            </w:r>
            <w:r>
              <w:t>,</w:t>
            </w:r>
            <w:r w:rsidRPr="006825CF">
              <w:t>765</w:t>
            </w:r>
            <w:r>
              <w:t>,</w:t>
            </w:r>
            <w:r w:rsidRPr="006825CF">
              <w:t>045</w:t>
            </w:r>
            <w:r>
              <w:t>,</w:t>
            </w:r>
            <w:r w:rsidRPr="006825CF">
              <w:t xml:space="preserve">999 </w:t>
            </w:r>
          </w:p>
        </w:tc>
      </w:tr>
      <w:tr w:rsidR="0056690D" w:rsidRPr="002A0B87" w14:paraId="23F65F7F" w14:textId="77777777" w:rsidTr="008C08FC">
        <w:trPr>
          <w:trHeight w:val="20"/>
          <w:tblHeader/>
        </w:trPr>
        <w:tc>
          <w:tcPr>
            <w:tcW w:w="4234" w:type="dxa"/>
            <w:vAlign w:val="bottom"/>
          </w:tcPr>
          <w:p w14:paraId="07CA5C68" w14:textId="1F4AB3F1" w:rsidR="0056690D" w:rsidRPr="002A0B87" w:rsidRDefault="0056690D" w:rsidP="0056690D">
            <w:pPr>
              <w:widowControl w:val="0"/>
              <w:ind w:left="-115"/>
              <w:rPr>
                <w:rFonts w:cs="Arial"/>
                <w:lang w:val="nl-NL"/>
              </w:rPr>
            </w:pPr>
            <w:r w:rsidRPr="000C2E89">
              <w:rPr>
                <w:rFonts w:cs="Arial"/>
              </w:rPr>
              <w:t>Tax and payables to the State</w:t>
            </w:r>
          </w:p>
        </w:tc>
        <w:tc>
          <w:tcPr>
            <w:tcW w:w="1706" w:type="dxa"/>
          </w:tcPr>
          <w:p w14:paraId="7947BC5F" w14:textId="10203D90"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890" w:type="dxa"/>
          </w:tcPr>
          <w:p w14:paraId="50128A5D" w14:textId="18555104" w:rsidR="0056690D" w:rsidRPr="002A0B87" w:rsidRDefault="0056690D" w:rsidP="0056690D">
            <w:pPr>
              <w:widowControl w:val="0"/>
              <w:ind w:left="58" w:right="-86"/>
              <w:jc w:val="right"/>
              <w:rPr>
                <w:rFonts w:eastAsia="Batang" w:cs="Arial"/>
                <w:highlight w:val="yellow"/>
                <w:lang w:eastAsia="ko-KR"/>
              </w:rPr>
            </w:pPr>
            <w:r w:rsidRPr="006825CF">
              <w:t xml:space="preserve"> 2</w:t>
            </w:r>
            <w:r>
              <w:t>,</w:t>
            </w:r>
            <w:r w:rsidRPr="006825CF">
              <w:t>460</w:t>
            </w:r>
            <w:r>
              <w:t>,</w:t>
            </w:r>
            <w:r w:rsidRPr="006825CF">
              <w:t>861</w:t>
            </w:r>
            <w:r>
              <w:t>,</w:t>
            </w:r>
            <w:r w:rsidRPr="006825CF">
              <w:t xml:space="preserve">204 </w:t>
            </w:r>
          </w:p>
        </w:tc>
        <w:tc>
          <w:tcPr>
            <w:tcW w:w="1710" w:type="dxa"/>
          </w:tcPr>
          <w:p w14:paraId="7252E361" w14:textId="4C66378E" w:rsidR="0056690D" w:rsidRPr="002A0B87" w:rsidRDefault="0056690D" w:rsidP="0056690D">
            <w:pPr>
              <w:widowControl w:val="0"/>
              <w:ind w:left="58" w:right="-86"/>
              <w:jc w:val="right"/>
              <w:rPr>
                <w:rFonts w:eastAsia="Batang" w:cs="Arial"/>
                <w:highlight w:val="yellow"/>
                <w:lang w:eastAsia="ko-KR"/>
              </w:rPr>
            </w:pPr>
            <w:r w:rsidRPr="006825CF">
              <w:t>237</w:t>
            </w:r>
            <w:r>
              <w:t>,</w:t>
            </w:r>
            <w:r w:rsidRPr="006825CF">
              <w:t>201</w:t>
            </w:r>
            <w:r>
              <w:t>,</w:t>
            </w:r>
            <w:r w:rsidRPr="006825CF">
              <w:t xml:space="preserve">008 </w:t>
            </w:r>
          </w:p>
        </w:tc>
        <w:tc>
          <w:tcPr>
            <w:tcW w:w="1800" w:type="dxa"/>
          </w:tcPr>
          <w:p w14:paraId="70E9F905" w14:textId="09E9989A"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907" w:type="dxa"/>
          </w:tcPr>
          <w:p w14:paraId="5B032D86" w14:textId="5ED0F786" w:rsidR="0056690D" w:rsidRPr="002A0B87" w:rsidRDefault="0056690D" w:rsidP="0056690D">
            <w:pPr>
              <w:widowControl w:val="0"/>
              <w:ind w:left="58" w:right="-86"/>
              <w:jc w:val="right"/>
              <w:rPr>
                <w:rFonts w:eastAsia="Batang" w:cs="Arial"/>
                <w:highlight w:val="yellow"/>
                <w:lang w:eastAsia="ko-KR"/>
              </w:rPr>
            </w:pPr>
            <w:r w:rsidRPr="006825CF">
              <w:t xml:space="preserve"> 2</w:t>
            </w:r>
            <w:r>
              <w:t>,</w:t>
            </w:r>
            <w:r w:rsidRPr="006825CF">
              <w:t>698</w:t>
            </w:r>
            <w:r>
              <w:t>,</w:t>
            </w:r>
            <w:r w:rsidRPr="006825CF">
              <w:t>062</w:t>
            </w:r>
            <w:r>
              <w:t>,</w:t>
            </w:r>
            <w:r w:rsidRPr="006825CF">
              <w:t xml:space="preserve">212 </w:t>
            </w:r>
          </w:p>
        </w:tc>
      </w:tr>
      <w:tr w:rsidR="0056690D" w:rsidRPr="002A0B87" w14:paraId="5A81F886" w14:textId="77777777" w:rsidTr="008C08FC">
        <w:trPr>
          <w:trHeight w:val="20"/>
          <w:tblHeader/>
        </w:trPr>
        <w:tc>
          <w:tcPr>
            <w:tcW w:w="4234" w:type="dxa"/>
            <w:vAlign w:val="bottom"/>
          </w:tcPr>
          <w:p w14:paraId="26C87643" w14:textId="41DFAA77" w:rsidR="0056690D" w:rsidRPr="002A0B87" w:rsidRDefault="0056690D" w:rsidP="0056690D">
            <w:pPr>
              <w:widowControl w:val="0"/>
              <w:ind w:left="-115"/>
              <w:rPr>
                <w:rFonts w:cs="Arial"/>
              </w:rPr>
            </w:pPr>
            <w:r w:rsidRPr="002621C7">
              <w:rPr>
                <w:rFonts w:cs="Arial"/>
              </w:rPr>
              <w:t>Payables to employee</w:t>
            </w:r>
          </w:p>
        </w:tc>
        <w:tc>
          <w:tcPr>
            <w:tcW w:w="1706" w:type="dxa"/>
          </w:tcPr>
          <w:p w14:paraId="736DAA6C" w14:textId="0F603B9B" w:rsidR="0056690D" w:rsidRPr="002A0B87" w:rsidRDefault="0056690D" w:rsidP="0056690D">
            <w:pPr>
              <w:widowControl w:val="0"/>
              <w:ind w:left="58" w:right="-86"/>
              <w:jc w:val="right"/>
              <w:rPr>
                <w:rFonts w:cs="Arial"/>
                <w:highlight w:val="yellow"/>
              </w:rPr>
            </w:pPr>
            <w:r w:rsidRPr="006825CF">
              <w:t xml:space="preserve">- </w:t>
            </w:r>
          </w:p>
        </w:tc>
        <w:tc>
          <w:tcPr>
            <w:tcW w:w="1890" w:type="dxa"/>
          </w:tcPr>
          <w:p w14:paraId="512FF961" w14:textId="5BE40E2B" w:rsidR="0056690D" w:rsidRPr="002A0B87" w:rsidRDefault="0056690D" w:rsidP="0056690D">
            <w:pPr>
              <w:widowControl w:val="0"/>
              <w:ind w:left="58" w:right="-86"/>
              <w:jc w:val="right"/>
              <w:rPr>
                <w:rFonts w:cs="Arial"/>
                <w:highlight w:val="yellow"/>
              </w:rPr>
            </w:pPr>
            <w:r w:rsidRPr="006825CF">
              <w:t xml:space="preserve"> 2</w:t>
            </w:r>
            <w:r>
              <w:t>,</w:t>
            </w:r>
            <w:r w:rsidRPr="006825CF">
              <w:t>584</w:t>
            </w:r>
            <w:r>
              <w:t>,</w:t>
            </w:r>
            <w:r w:rsidRPr="006825CF">
              <w:t>436</w:t>
            </w:r>
            <w:r>
              <w:t>,</w:t>
            </w:r>
            <w:r w:rsidRPr="006825CF">
              <w:t xml:space="preserve">034 </w:t>
            </w:r>
          </w:p>
        </w:tc>
        <w:tc>
          <w:tcPr>
            <w:tcW w:w="1710" w:type="dxa"/>
          </w:tcPr>
          <w:p w14:paraId="387ED9BA" w14:textId="64F3E0E8" w:rsidR="0056690D" w:rsidRPr="002A0B87" w:rsidRDefault="0056690D" w:rsidP="0056690D">
            <w:pPr>
              <w:widowControl w:val="0"/>
              <w:ind w:left="58" w:right="-86"/>
              <w:jc w:val="right"/>
              <w:rPr>
                <w:rFonts w:cs="Arial"/>
                <w:highlight w:val="yellow"/>
              </w:rPr>
            </w:pPr>
            <w:r w:rsidRPr="006825CF">
              <w:t xml:space="preserve">- </w:t>
            </w:r>
          </w:p>
        </w:tc>
        <w:tc>
          <w:tcPr>
            <w:tcW w:w="1800" w:type="dxa"/>
          </w:tcPr>
          <w:p w14:paraId="75738617" w14:textId="01CE61D6" w:rsidR="0056690D" w:rsidRPr="002A0B87" w:rsidRDefault="0056690D" w:rsidP="0056690D">
            <w:pPr>
              <w:widowControl w:val="0"/>
              <w:ind w:left="58" w:right="-86"/>
              <w:jc w:val="right"/>
              <w:rPr>
                <w:rFonts w:cs="Arial"/>
                <w:highlight w:val="yellow"/>
              </w:rPr>
            </w:pPr>
            <w:r w:rsidRPr="006825CF">
              <w:t xml:space="preserve">- </w:t>
            </w:r>
          </w:p>
        </w:tc>
        <w:tc>
          <w:tcPr>
            <w:tcW w:w="1907" w:type="dxa"/>
          </w:tcPr>
          <w:p w14:paraId="6BEC122B" w14:textId="273ACE3D" w:rsidR="0056690D" w:rsidRPr="002A0B87" w:rsidRDefault="0056690D" w:rsidP="0056690D">
            <w:pPr>
              <w:widowControl w:val="0"/>
              <w:ind w:left="58" w:right="-86"/>
              <w:jc w:val="right"/>
              <w:rPr>
                <w:rFonts w:cs="Arial"/>
                <w:highlight w:val="yellow"/>
              </w:rPr>
            </w:pPr>
            <w:r w:rsidRPr="006825CF">
              <w:t xml:space="preserve"> 2</w:t>
            </w:r>
            <w:r>
              <w:t>,</w:t>
            </w:r>
            <w:r w:rsidRPr="006825CF">
              <w:t>584</w:t>
            </w:r>
            <w:r>
              <w:t>,</w:t>
            </w:r>
            <w:r w:rsidRPr="006825CF">
              <w:t>436</w:t>
            </w:r>
            <w:r>
              <w:t>,</w:t>
            </w:r>
            <w:r w:rsidRPr="006825CF">
              <w:t xml:space="preserve">034 </w:t>
            </w:r>
          </w:p>
        </w:tc>
      </w:tr>
      <w:tr w:rsidR="0056690D" w:rsidRPr="002A0B87" w14:paraId="3DA29B06" w14:textId="77777777" w:rsidTr="008C08FC">
        <w:trPr>
          <w:trHeight w:val="20"/>
          <w:tblHeader/>
        </w:trPr>
        <w:tc>
          <w:tcPr>
            <w:tcW w:w="4234" w:type="dxa"/>
            <w:vAlign w:val="bottom"/>
          </w:tcPr>
          <w:p w14:paraId="304E3DB6" w14:textId="6A77F377" w:rsidR="0056690D" w:rsidRPr="002A0B87" w:rsidRDefault="0056690D" w:rsidP="0056690D">
            <w:pPr>
              <w:widowControl w:val="0"/>
              <w:ind w:left="-115"/>
              <w:rPr>
                <w:rFonts w:cs="Arial"/>
                <w:lang w:val="nl-NL"/>
              </w:rPr>
            </w:pPr>
            <w:r w:rsidRPr="00B37E79">
              <w:rPr>
                <w:rFonts w:cs="Arial"/>
              </w:rPr>
              <w:t>Short-term accrued expenses</w:t>
            </w:r>
          </w:p>
        </w:tc>
        <w:tc>
          <w:tcPr>
            <w:tcW w:w="1706" w:type="dxa"/>
          </w:tcPr>
          <w:p w14:paraId="44A23660" w14:textId="7FBF3472"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890" w:type="dxa"/>
          </w:tcPr>
          <w:p w14:paraId="1E0CD0C0" w14:textId="2C55085B" w:rsidR="0056690D" w:rsidRPr="002A0B87" w:rsidRDefault="0056690D" w:rsidP="0056690D">
            <w:pPr>
              <w:widowControl w:val="0"/>
              <w:ind w:left="58" w:right="-86"/>
              <w:jc w:val="right"/>
              <w:rPr>
                <w:rFonts w:eastAsia="Batang" w:cs="Arial"/>
                <w:highlight w:val="yellow"/>
                <w:lang w:eastAsia="ko-KR"/>
              </w:rPr>
            </w:pPr>
            <w:r w:rsidRPr="006825CF">
              <w:t xml:space="preserve"> 18</w:t>
            </w:r>
            <w:r>
              <w:t>,</w:t>
            </w:r>
            <w:r w:rsidRPr="006825CF">
              <w:t>890</w:t>
            </w:r>
            <w:r>
              <w:t>,</w:t>
            </w:r>
            <w:r w:rsidRPr="006825CF">
              <w:t>627</w:t>
            </w:r>
            <w:r>
              <w:t>,</w:t>
            </w:r>
            <w:r w:rsidRPr="006825CF">
              <w:t xml:space="preserve">093 </w:t>
            </w:r>
          </w:p>
        </w:tc>
        <w:tc>
          <w:tcPr>
            <w:tcW w:w="1710" w:type="dxa"/>
          </w:tcPr>
          <w:p w14:paraId="6CB1215A" w14:textId="671B940E"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800" w:type="dxa"/>
          </w:tcPr>
          <w:p w14:paraId="62595E19" w14:textId="679D2F6D" w:rsidR="0056690D" w:rsidRPr="002A0B87" w:rsidRDefault="0056690D" w:rsidP="0056690D">
            <w:pPr>
              <w:widowControl w:val="0"/>
              <w:ind w:left="58" w:right="-86"/>
              <w:jc w:val="right"/>
              <w:rPr>
                <w:rFonts w:eastAsia="Batang" w:cs="Arial"/>
                <w:highlight w:val="yellow"/>
                <w:lang w:eastAsia="ko-KR"/>
              </w:rPr>
            </w:pPr>
            <w:r w:rsidRPr="006825CF">
              <w:t xml:space="preserve">- </w:t>
            </w:r>
          </w:p>
        </w:tc>
        <w:tc>
          <w:tcPr>
            <w:tcW w:w="1907" w:type="dxa"/>
          </w:tcPr>
          <w:p w14:paraId="197BCE36" w14:textId="21E00843" w:rsidR="0056690D" w:rsidRPr="002A0B87" w:rsidRDefault="0056690D" w:rsidP="0056690D">
            <w:pPr>
              <w:widowControl w:val="0"/>
              <w:ind w:left="58" w:right="-86"/>
              <w:jc w:val="right"/>
              <w:rPr>
                <w:rFonts w:eastAsia="Batang" w:cs="Arial"/>
                <w:highlight w:val="yellow"/>
                <w:lang w:eastAsia="ko-KR"/>
              </w:rPr>
            </w:pPr>
            <w:r w:rsidRPr="006825CF">
              <w:t xml:space="preserve"> 18</w:t>
            </w:r>
            <w:r>
              <w:t>,</w:t>
            </w:r>
            <w:r w:rsidRPr="006825CF">
              <w:t>890</w:t>
            </w:r>
            <w:r>
              <w:t>,</w:t>
            </w:r>
            <w:r w:rsidRPr="006825CF">
              <w:t>627</w:t>
            </w:r>
            <w:r>
              <w:t>,</w:t>
            </w:r>
            <w:r w:rsidRPr="006825CF">
              <w:t xml:space="preserve">093 </w:t>
            </w:r>
          </w:p>
        </w:tc>
      </w:tr>
      <w:tr w:rsidR="0056690D" w:rsidRPr="002A0B87" w14:paraId="2B9AF63D" w14:textId="77777777" w:rsidTr="008C08FC">
        <w:trPr>
          <w:trHeight w:val="216"/>
          <w:tblHeader/>
        </w:trPr>
        <w:tc>
          <w:tcPr>
            <w:tcW w:w="4234" w:type="dxa"/>
            <w:vAlign w:val="bottom"/>
          </w:tcPr>
          <w:p w14:paraId="2F125326" w14:textId="7AB2344D" w:rsidR="0056690D" w:rsidRPr="00470DD6" w:rsidRDefault="0056690D" w:rsidP="0056690D">
            <w:pPr>
              <w:widowControl w:val="0"/>
              <w:ind w:left="-115"/>
              <w:rPr>
                <w:rFonts w:cs="Arial"/>
              </w:rPr>
            </w:pPr>
            <w:r w:rsidRPr="00470DD6">
              <w:rPr>
                <w:rFonts w:cs="Arial"/>
              </w:rPr>
              <w:t>Other current payables</w:t>
            </w:r>
          </w:p>
        </w:tc>
        <w:tc>
          <w:tcPr>
            <w:tcW w:w="1706" w:type="dxa"/>
          </w:tcPr>
          <w:p w14:paraId="6D0C9D5D" w14:textId="04DFCB21" w:rsidR="0056690D" w:rsidRPr="00D0365A" w:rsidRDefault="0056690D" w:rsidP="0056690D">
            <w:pPr>
              <w:widowControl w:val="0"/>
              <w:pBdr>
                <w:bottom w:val="single" w:sz="4" w:space="0" w:color="auto"/>
              </w:pBdr>
              <w:ind w:left="58" w:right="-86"/>
              <w:jc w:val="right"/>
              <w:rPr>
                <w:rFonts w:eastAsia="Batang" w:cs="Arial"/>
                <w:lang w:eastAsia="ko-KR"/>
              </w:rPr>
            </w:pPr>
            <w:r w:rsidRPr="006825CF">
              <w:t xml:space="preserve">- </w:t>
            </w:r>
          </w:p>
        </w:tc>
        <w:tc>
          <w:tcPr>
            <w:tcW w:w="1890" w:type="dxa"/>
          </w:tcPr>
          <w:p w14:paraId="17FDDA58" w14:textId="4E869855" w:rsidR="0056690D" w:rsidRPr="00D0365A" w:rsidRDefault="0056690D" w:rsidP="0056690D">
            <w:pPr>
              <w:widowControl w:val="0"/>
              <w:pBdr>
                <w:bottom w:val="single" w:sz="4" w:space="0" w:color="auto"/>
              </w:pBdr>
              <w:ind w:left="58" w:right="-86"/>
              <w:jc w:val="right"/>
              <w:rPr>
                <w:rFonts w:eastAsia="Batang" w:cs="Arial"/>
                <w:lang w:eastAsia="ko-KR"/>
              </w:rPr>
            </w:pPr>
            <w:r w:rsidRPr="006825CF">
              <w:t xml:space="preserve"> 573</w:t>
            </w:r>
            <w:r>
              <w:t>,</w:t>
            </w:r>
            <w:r w:rsidRPr="006825CF">
              <w:t xml:space="preserve">164 </w:t>
            </w:r>
          </w:p>
        </w:tc>
        <w:tc>
          <w:tcPr>
            <w:tcW w:w="1710" w:type="dxa"/>
          </w:tcPr>
          <w:p w14:paraId="00AE28A1" w14:textId="5FA5CFFD" w:rsidR="0056690D" w:rsidRPr="00D0365A" w:rsidRDefault="0056690D" w:rsidP="0056690D">
            <w:pPr>
              <w:widowControl w:val="0"/>
              <w:pBdr>
                <w:bottom w:val="single" w:sz="4" w:space="0" w:color="auto"/>
              </w:pBdr>
              <w:ind w:left="58" w:right="-86"/>
              <w:jc w:val="right"/>
              <w:rPr>
                <w:rFonts w:eastAsia="Batang" w:cs="Arial"/>
                <w:lang w:eastAsia="ko-KR"/>
              </w:rPr>
            </w:pPr>
            <w:r w:rsidRPr="006825CF">
              <w:t xml:space="preserve">- </w:t>
            </w:r>
          </w:p>
        </w:tc>
        <w:tc>
          <w:tcPr>
            <w:tcW w:w="1800" w:type="dxa"/>
          </w:tcPr>
          <w:p w14:paraId="345966FB" w14:textId="7A4F8CC1" w:rsidR="0056690D" w:rsidRPr="00D0365A" w:rsidRDefault="0056690D" w:rsidP="0056690D">
            <w:pPr>
              <w:widowControl w:val="0"/>
              <w:pBdr>
                <w:bottom w:val="single" w:sz="4" w:space="0" w:color="auto"/>
              </w:pBdr>
              <w:overflowPunct/>
              <w:autoSpaceDE/>
              <w:autoSpaceDN/>
              <w:adjustRightInd/>
              <w:ind w:left="58" w:right="-86"/>
              <w:jc w:val="right"/>
              <w:textAlignment w:val="auto"/>
              <w:rPr>
                <w:rFonts w:eastAsia="Batang" w:cs="Arial"/>
                <w:lang w:eastAsia="ko-KR"/>
              </w:rPr>
            </w:pPr>
            <w:r w:rsidRPr="006825CF">
              <w:t xml:space="preserve">- </w:t>
            </w:r>
          </w:p>
        </w:tc>
        <w:tc>
          <w:tcPr>
            <w:tcW w:w="1907" w:type="dxa"/>
          </w:tcPr>
          <w:p w14:paraId="64D07164" w14:textId="2D35BF2C" w:rsidR="0056690D" w:rsidRPr="00D0365A" w:rsidRDefault="0056690D" w:rsidP="0056690D">
            <w:pPr>
              <w:widowControl w:val="0"/>
              <w:pBdr>
                <w:bottom w:val="single" w:sz="4" w:space="0" w:color="auto"/>
              </w:pBdr>
              <w:overflowPunct/>
              <w:autoSpaceDE/>
              <w:autoSpaceDN/>
              <w:adjustRightInd/>
              <w:ind w:left="58" w:right="-86"/>
              <w:jc w:val="right"/>
              <w:textAlignment w:val="auto"/>
              <w:rPr>
                <w:rFonts w:eastAsia="Batang" w:cs="Arial"/>
                <w:lang w:eastAsia="ko-KR"/>
              </w:rPr>
            </w:pPr>
            <w:r w:rsidRPr="006825CF">
              <w:t xml:space="preserve"> 573</w:t>
            </w:r>
            <w:r>
              <w:t>,</w:t>
            </w:r>
            <w:r w:rsidRPr="006825CF">
              <w:t xml:space="preserve">164 </w:t>
            </w:r>
          </w:p>
        </w:tc>
      </w:tr>
      <w:tr w:rsidR="0056690D" w:rsidRPr="002A0B87" w14:paraId="15278F93" w14:textId="77777777" w:rsidTr="008C08FC">
        <w:trPr>
          <w:trHeight w:val="20"/>
          <w:tblHeader/>
        </w:trPr>
        <w:tc>
          <w:tcPr>
            <w:tcW w:w="4234" w:type="dxa"/>
            <w:vAlign w:val="bottom"/>
          </w:tcPr>
          <w:p w14:paraId="196D4137" w14:textId="319B8957" w:rsidR="0056690D" w:rsidRPr="002A0B87" w:rsidRDefault="0056690D" w:rsidP="0056690D">
            <w:pPr>
              <w:widowControl w:val="0"/>
              <w:ind w:left="-115"/>
              <w:rPr>
                <w:rFonts w:cs="Arial"/>
                <w:lang w:val="nl-NL"/>
              </w:rPr>
            </w:pPr>
            <w:r w:rsidRPr="002772CA">
              <w:rPr>
                <w:rFonts w:cs="Arial"/>
                <w:b/>
                <w:lang w:val="nl-NL"/>
              </w:rPr>
              <w:t>Total liabilities</w:t>
            </w:r>
          </w:p>
        </w:tc>
        <w:tc>
          <w:tcPr>
            <w:tcW w:w="1706" w:type="dxa"/>
          </w:tcPr>
          <w:p w14:paraId="2D47A48A" w14:textId="1E53A195" w:rsidR="0056690D" w:rsidRPr="0056690D" w:rsidRDefault="0056690D" w:rsidP="0056690D">
            <w:pPr>
              <w:widowControl w:val="0"/>
              <w:pBdr>
                <w:bottom w:val="single" w:sz="4" w:space="0" w:color="auto"/>
              </w:pBdr>
              <w:spacing w:before="120"/>
              <w:ind w:left="58" w:right="-86"/>
              <w:jc w:val="right"/>
              <w:rPr>
                <w:rFonts w:eastAsia="Batang" w:cs="Arial"/>
                <w:b/>
                <w:bCs/>
                <w:highlight w:val="yellow"/>
                <w:lang w:eastAsia="ko-KR"/>
              </w:rPr>
            </w:pPr>
            <w:r w:rsidRPr="0056690D">
              <w:rPr>
                <w:b/>
                <w:bCs/>
              </w:rPr>
              <w:t xml:space="preserve">- </w:t>
            </w:r>
          </w:p>
        </w:tc>
        <w:tc>
          <w:tcPr>
            <w:tcW w:w="1890" w:type="dxa"/>
          </w:tcPr>
          <w:p w14:paraId="308001E6" w14:textId="54D3BE2A" w:rsidR="0056690D" w:rsidRPr="0056690D" w:rsidRDefault="0056690D" w:rsidP="0056690D">
            <w:pPr>
              <w:widowControl w:val="0"/>
              <w:pBdr>
                <w:bottom w:val="single" w:sz="4" w:space="0" w:color="auto"/>
              </w:pBdr>
              <w:spacing w:before="120"/>
              <w:ind w:right="-86"/>
              <w:jc w:val="right"/>
              <w:rPr>
                <w:rFonts w:eastAsia="Batang" w:cs="Arial"/>
                <w:b/>
                <w:bCs/>
                <w:highlight w:val="yellow"/>
                <w:lang w:eastAsia="ko-KR"/>
              </w:rPr>
            </w:pPr>
            <w:r w:rsidRPr="0056690D">
              <w:rPr>
                <w:b/>
                <w:bCs/>
              </w:rPr>
              <w:t>1</w:t>
            </w:r>
            <w:r>
              <w:rPr>
                <w:b/>
                <w:bCs/>
              </w:rPr>
              <w:t>,</w:t>
            </w:r>
            <w:r w:rsidRPr="0056690D">
              <w:rPr>
                <w:b/>
                <w:bCs/>
              </w:rPr>
              <w:t>996</w:t>
            </w:r>
            <w:r>
              <w:rPr>
                <w:b/>
                <w:bCs/>
              </w:rPr>
              <w:t>,</w:t>
            </w:r>
            <w:r w:rsidRPr="0056690D">
              <w:rPr>
                <w:b/>
                <w:bCs/>
              </w:rPr>
              <w:t>340</w:t>
            </w:r>
            <w:r>
              <w:rPr>
                <w:b/>
                <w:bCs/>
              </w:rPr>
              <w:t>,</w:t>
            </w:r>
            <w:r w:rsidRPr="0056690D">
              <w:rPr>
                <w:b/>
                <w:bCs/>
              </w:rPr>
              <w:t>425</w:t>
            </w:r>
            <w:r>
              <w:rPr>
                <w:b/>
                <w:bCs/>
              </w:rPr>
              <w:t>,</w:t>
            </w:r>
            <w:r w:rsidRPr="0056690D">
              <w:rPr>
                <w:b/>
                <w:bCs/>
              </w:rPr>
              <w:t>569</w:t>
            </w:r>
          </w:p>
        </w:tc>
        <w:tc>
          <w:tcPr>
            <w:tcW w:w="1710" w:type="dxa"/>
          </w:tcPr>
          <w:p w14:paraId="39D59E23" w14:textId="2B51895C" w:rsidR="0056690D" w:rsidRPr="0056690D" w:rsidRDefault="0056690D" w:rsidP="0056690D">
            <w:pPr>
              <w:widowControl w:val="0"/>
              <w:pBdr>
                <w:bottom w:val="single" w:sz="4" w:space="0" w:color="auto"/>
              </w:pBdr>
              <w:spacing w:before="120"/>
              <w:ind w:left="58" w:right="-86"/>
              <w:jc w:val="right"/>
              <w:rPr>
                <w:rFonts w:eastAsia="Batang" w:cs="Arial"/>
                <w:b/>
                <w:bCs/>
                <w:highlight w:val="yellow"/>
                <w:lang w:eastAsia="ko-KR"/>
              </w:rPr>
            </w:pPr>
            <w:r w:rsidRPr="0056690D">
              <w:rPr>
                <w:b/>
                <w:bCs/>
              </w:rPr>
              <w:t>237</w:t>
            </w:r>
            <w:r>
              <w:rPr>
                <w:b/>
                <w:bCs/>
              </w:rPr>
              <w:t>,</w:t>
            </w:r>
            <w:r w:rsidRPr="0056690D">
              <w:rPr>
                <w:b/>
                <w:bCs/>
              </w:rPr>
              <w:t>201</w:t>
            </w:r>
            <w:r>
              <w:rPr>
                <w:b/>
                <w:bCs/>
              </w:rPr>
              <w:t>,</w:t>
            </w:r>
            <w:r w:rsidRPr="0056690D">
              <w:rPr>
                <w:b/>
                <w:bCs/>
              </w:rPr>
              <w:t xml:space="preserve">008 </w:t>
            </w:r>
          </w:p>
        </w:tc>
        <w:tc>
          <w:tcPr>
            <w:tcW w:w="1800" w:type="dxa"/>
          </w:tcPr>
          <w:p w14:paraId="5320666D" w14:textId="4F0077A1" w:rsidR="0056690D" w:rsidRPr="0056690D" w:rsidRDefault="0056690D" w:rsidP="0056690D">
            <w:pPr>
              <w:widowControl w:val="0"/>
              <w:pBdr>
                <w:bottom w:val="single" w:sz="4" w:space="0" w:color="auto"/>
              </w:pBdr>
              <w:spacing w:before="120"/>
              <w:ind w:left="58" w:right="-86"/>
              <w:jc w:val="right"/>
              <w:rPr>
                <w:rFonts w:eastAsia="Batang" w:cs="Arial"/>
                <w:b/>
                <w:bCs/>
                <w:highlight w:val="yellow"/>
                <w:lang w:eastAsia="ko-KR"/>
              </w:rPr>
            </w:pPr>
            <w:r w:rsidRPr="0056690D">
              <w:rPr>
                <w:b/>
                <w:bCs/>
              </w:rPr>
              <w:t xml:space="preserve">- </w:t>
            </w:r>
          </w:p>
        </w:tc>
        <w:tc>
          <w:tcPr>
            <w:tcW w:w="1907" w:type="dxa"/>
          </w:tcPr>
          <w:p w14:paraId="1D0648E7" w14:textId="551C3DE0" w:rsidR="0056690D" w:rsidRPr="0056690D" w:rsidRDefault="0056690D" w:rsidP="0056690D">
            <w:pPr>
              <w:widowControl w:val="0"/>
              <w:pBdr>
                <w:bottom w:val="single" w:sz="4" w:space="0" w:color="auto"/>
              </w:pBdr>
              <w:spacing w:before="120"/>
              <w:ind w:right="-86"/>
              <w:jc w:val="right"/>
              <w:rPr>
                <w:rFonts w:eastAsia="Batang" w:cs="Arial"/>
                <w:b/>
                <w:bCs/>
                <w:highlight w:val="yellow"/>
                <w:lang w:eastAsia="ko-KR"/>
              </w:rPr>
            </w:pPr>
            <w:r w:rsidRPr="0056690D">
              <w:rPr>
                <w:b/>
                <w:bCs/>
              </w:rPr>
              <w:t>1</w:t>
            </w:r>
            <w:r>
              <w:rPr>
                <w:b/>
                <w:bCs/>
              </w:rPr>
              <w:t>,</w:t>
            </w:r>
            <w:r w:rsidRPr="0056690D">
              <w:rPr>
                <w:b/>
                <w:bCs/>
              </w:rPr>
              <w:t>996</w:t>
            </w:r>
            <w:r>
              <w:rPr>
                <w:b/>
                <w:bCs/>
              </w:rPr>
              <w:t>,</w:t>
            </w:r>
            <w:r w:rsidRPr="0056690D">
              <w:rPr>
                <w:b/>
                <w:bCs/>
              </w:rPr>
              <w:t>577</w:t>
            </w:r>
            <w:r>
              <w:rPr>
                <w:b/>
                <w:bCs/>
              </w:rPr>
              <w:t>,</w:t>
            </w:r>
            <w:r w:rsidRPr="0056690D">
              <w:rPr>
                <w:b/>
                <w:bCs/>
              </w:rPr>
              <w:t>626</w:t>
            </w:r>
            <w:r>
              <w:rPr>
                <w:b/>
                <w:bCs/>
              </w:rPr>
              <w:t>,</w:t>
            </w:r>
            <w:r w:rsidRPr="0056690D">
              <w:rPr>
                <w:b/>
                <w:bCs/>
              </w:rPr>
              <w:t>577</w:t>
            </w:r>
          </w:p>
        </w:tc>
      </w:tr>
      <w:tr w:rsidR="0056690D" w:rsidRPr="002A0B87" w14:paraId="4EC11E4E" w14:textId="77777777" w:rsidTr="008C08FC">
        <w:trPr>
          <w:trHeight w:val="173"/>
          <w:tblHeader/>
        </w:trPr>
        <w:tc>
          <w:tcPr>
            <w:tcW w:w="4234" w:type="dxa"/>
            <w:vAlign w:val="bottom"/>
            <w:hideMark/>
          </w:tcPr>
          <w:p w14:paraId="0CC682BF" w14:textId="4FD0B9E5" w:rsidR="0056690D" w:rsidRPr="002A0B87" w:rsidRDefault="0056690D" w:rsidP="0056690D">
            <w:pPr>
              <w:widowControl w:val="0"/>
              <w:spacing w:before="120"/>
              <w:ind w:left="-115"/>
              <w:rPr>
                <w:rFonts w:cs="Arial"/>
                <w:b/>
                <w:lang w:val="nl-NL"/>
              </w:rPr>
            </w:pPr>
            <w:r w:rsidRPr="006C1C75">
              <w:rPr>
                <w:rFonts w:cs="Arial"/>
                <w:b/>
                <w:lang w:val="nl-NL"/>
              </w:rPr>
              <w:t>Net liquidity difference</w:t>
            </w:r>
          </w:p>
        </w:tc>
        <w:tc>
          <w:tcPr>
            <w:tcW w:w="1706" w:type="dxa"/>
          </w:tcPr>
          <w:p w14:paraId="2F862835" w14:textId="103A8F4D" w:rsidR="0056690D" w:rsidRPr="0056690D" w:rsidRDefault="0056690D" w:rsidP="0056690D">
            <w:pPr>
              <w:widowControl w:val="0"/>
              <w:pBdr>
                <w:bottom w:val="double" w:sz="4" w:space="0" w:color="auto"/>
              </w:pBdr>
              <w:spacing w:before="120"/>
              <w:ind w:left="58" w:right="-86"/>
              <w:jc w:val="right"/>
              <w:rPr>
                <w:rFonts w:eastAsia="Batang" w:cs="Arial"/>
                <w:b/>
                <w:bCs/>
                <w:highlight w:val="yellow"/>
                <w:lang w:eastAsia="ko-KR"/>
              </w:rPr>
            </w:pPr>
            <w:r w:rsidRPr="0056690D">
              <w:rPr>
                <w:b/>
                <w:bCs/>
              </w:rPr>
              <w:t>7</w:t>
            </w:r>
            <w:r>
              <w:rPr>
                <w:b/>
                <w:bCs/>
              </w:rPr>
              <w:t>,</w:t>
            </w:r>
            <w:r w:rsidRPr="0056690D">
              <w:rPr>
                <w:b/>
                <w:bCs/>
              </w:rPr>
              <w:t>481</w:t>
            </w:r>
            <w:r>
              <w:rPr>
                <w:b/>
                <w:bCs/>
              </w:rPr>
              <w:t>,</w:t>
            </w:r>
            <w:r w:rsidRPr="0056690D">
              <w:rPr>
                <w:b/>
                <w:bCs/>
              </w:rPr>
              <w:t>622</w:t>
            </w:r>
            <w:r>
              <w:rPr>
                <w:b/>
                <w:bCs/>
              </w:rPr>
              <w:t>,</w:t>
            </w:r>
            <w:r w:rsidRPr="0056690D">
              <w:rPr>
                <w:b/>
                <w:bCs/>
              </w:rPr>
              <w:t xml:space="preserve">671 </w:t>
            </w:r>
          </w:p>
        </w:tc>
        <w:tc>
          <w:tcPr>
            <w:tcW w:w="1890" w:type="dxa"/>
          </w:tcPr>
          <w:p w14:paraId="48C14E39" w14:textId="3AF4CDB1" w:rsidR="0056690D" w:rsidRPr="0056690D" w:rsidRDefault="0056690D" w:rsidP="0056690D">
            <w:pPr>
              <w:widowControl w:val="0"/>
              <w:pBdr>
                <w:bottom w:val="double" w:sz="4" w:space="0" w:color="auto"/>
              </w:pBdr>
              <w:spacing w:before="120"/>
              <w:ind w:right="-86"/>
              <w:jc w:val="right"/>
              <w:rPr>
                <w:rFonts w:eastAsia="Batang" w:cs="Arial"/>
                <w:b/>
                <w:bCs/>
                <w:highlight w:val="yellow"/>
                <w:lang w:eastAsia="ko-KR"/>
              </w:rPr>
            </w:pPr>
            <w:r w:rsidRPr="0056690D">
              <w:rPr>
                <w:b/>
                <w:bCs/>
              </w:rPr>
              <w:t>1</w:t>
            </w:r>
            <w:r>
              <w:rPr>
                <w:b/>
                <w:bCs/>
              </w:rPr>
              <w:t>,</w:t>
            </w:r>
            <w:r w:rsidRPr="0056690D">
              <w:rPr>
                <w:b/>
                <w:bCs/>
              </w:rPr>
              <w:t>256</w:t>
            </w:r>
            <w:r>
              <w:rPr>
                <w:b/>
                <w:bCs/>
              </w:rPr>
              <w:t>,</w:t>
            </w:r>
            <w:r w:rsidRPr="0056690D">
              <w:rPr>
                <w:b/>
                <w:bCs/>
              </w:rPr>
              <w:t>225</w:t>
            </w:r>
            <w:r>
              <w:rPr>
                <w:b/>
                <w:bCs/>
              </w:rPr>
              <w:t>,</w:t>
            </w:r>
            <w:r w:rsidRPr="0056690D">
              <w:rPr>
                <w:b/>
                <w:bCs/>
              </w:rPr>
              <w:t>548</w:t>
            </w:r>
            <w:r>
              <w:rPr>
                <w:b/>
                <w:bCs/>
              </w:rPr>
              <w:t>,</w:t>
            </w:r>
            <w:r w:rsidRPr="0056690D">
              <w:rPr>
                <w:b/>
                <w:bCs/>
              </w:rPr>
              <w:t>531</w:t>
            </w:r>
          </w:p>
        </w:tc>
        <w:tc>
          <w:tcPr>
            <w:tcW w:w="1710" w:type="dxa"/>
          </w:tcPr>
          <w:p w14:paraId="3AE2B9CC" w14:textId="53285A14" w:rsidR="0056690D" w:rsidRPr="0056690D" w:rsidRDefault="0056690D" w:rsidP="0056690D">
            <w:pPr>
              <w:widowControl w:val="0"/>
              <w:pBdr>
                <w:bottom w:val="double" w:sz="4" w:space="0" w:color="auto"/>
              </w:pBdr>
              <w:spacing w:before="120"/>
              <w:ind w:left="58" w:right="-86"/>
              <w:jc w:val="right"/>
              <w:rPr>
                <w:rFonts w:eastAsia="Batang" w:cs="Arial"/>
                <w:b/>
                <w:bCs/>
                <w:highlight w:val="yellow"/>
                <w:lang w:eastAsia="ko-KR"/>
              </w:rPr>
            </w:pPr>
            <w:r w:rsidRPr="0056690D">
              <w:rPr>
                <w:b/>
                <w:bCs/>
              </w:rPr>
              <w:t>(237</w:t>
            </w:r>
            <w:r>
              <w:rPr>
                <w:b/>
                <w:bCs/>
              </w:rPr>
              <w:t>,</w:t>
            </w:r>
            <w:r w:rsidRPr="0056690D">
              <w:rPr>
                <w:b/>
                <w:bCs/>
              </w:rPr>
              <w:t>201</w:t>
            </w:r>
            <w:r>
              <w:rPr>
                <w:b/>
                <w:bCs/>
              </w:rPr>
              <w:t>,</w:t>
            </w:r>
            <w:r w:rsidRPr="0056690D">
              <w:rPr>
                <w:b/>
                <w:bCs/>
              </w:rPr>
              <w:t>008)</w:t>
            </w:r>
          </w:p>
        </w:tc>
        <w:tc>
          <w:tcPr>
            <w:tcW w:w="1800" w:type="dxa"/>
          </w:tcPr>
          <w:p w14:paraId="26FE9FD4" w14:textId="44BFBA0A" w:rsidR="0056690D" w:rsidRPr="0056690D" w:rsidRDefault="0056690D" w:rsidP="0056690D">
            <w:pPr>
              <w:widowControl w:val="0"/>
              <w:pBdr>
                <w:bottom w:val="double" w:sz="4" w:space="0" w:color="auto"/>
              </w:pBdr>
              <w:spacing w:before="120"/>
              <w:ind w:left="58" w:right="-86"/>
              <w:jc w:val="right"/>
              <w:rPr>
                <w:rFonts w:eastAsia="Batang" w:cs="Arial"/>
                <w:b/>
                <w:bCs/>
                <w:highlight w:val="yellow"/>
                <w:lang w:eastAsia="ko-KR"/>
              </w:rPr>
            </w:pPr>
            <w:r w:rsidRPr="0056690D">
              <w:rPr>
                <w:b/>
                <w:bCs/>
              </w:rPr>
              <w:t>4</w:t>
            </w:r>
            <w:r>
              <w:rPr>
                <w:b/>
                <w:bCs/>
              </w:rPr>
              <w:t>,</w:t>
            </w:r>
            <w:r w:rsidRPr="0056690D">
              <w:rPr>
                <w:b/>
                <w:bCs/>
              </w:rPr>
              <w:t>869</w:t>
            </w:r>
            <w:r>
              <w:rPr>
                <w:b/>
                <w:bCs/>
              </w:rPr>
              <w:t>,</w:t>
            </w:r>
            <w:r w:rsidRPr="0056690D">
              <w:rPr>
                <w:b/>
                <w:bCs/>
              </w:rPr>
              <w:t>170</w:t>
            </w:r>
            <w:r>
              <w:rPr>
                <w:b/>
                <w:bCs/>
              </w:rPr>
              <w:t>,</w:t>
            </w:r>
            <w:r w:rsidRPr="0056690D">
              <w:rPr>
                <w:b/>
                <w:bCs/>
              </w:rPr>
              <w:t>623</w:t>
            </w:r>
          </w:p>
        </w:tc>
        <w:tc>
          <w:tcPr>
            <w:tcW w:w="1907" w:type="dxa"/>
          </w:tcPr>
          <w:p w14:paraId="11463DE4" w14:textId="1DF7BCB9" w:rsidR="0056690D" w:rsidRPr="0056690D" w:rsidRDefault="0056690D" w:rsidP="0056690D">
            <w:pPr>
              <w:widowControl w:val="0"/>
              <w:pBdr>
                <w:bottom w:val="double" w:sz="4" w:space="0" w:color="auto"/>
              </w:pBdr>
              <w:spacing w:before="120"/>
              <w:ind w:right="-86"/>
              <w:jc w:val="right"/>
              <w:rPr>
                <w:rFonts w:eastAsia="Batang" w:cs="Arial"/>
                <w:b/>
                <w:bCs/>
                <w:highlight w:val="yellow"/>
                <w:lang w:eastAsia="ko-KR"/>
              </w:rPr>
            </w:pPr>
            <w:r w:rsidRPr="0056690D">
              <w:rPr>
                <w:b/>
                <w:bCs/>
              </w:rPr>
              <w:t>1</w:t>
            </w:r>
            <w:r>
              <w:rPr>
                <w:b/>
                <w:bCs/>
              </w:rPr>
              <w:t>,</w:t>
            </w:r>
            <w:r w:rsidRPr="0056690D">
              <w:rPr>
                <w:b/>
                <w:bCs/>
              </w:rPr>
              <w:t>268</w:t>
            </w:r>
            <w:r>
              <w:rPr>
                <w:b/>
                <w:bCs/>
              </w:rPr>
              <w:t>,</w:t>
            </w:r>
            <w:r w:rsidRPr="0056690D">
              <w:rPr>
                <w:b/>
                <w:bCs/>
              </w:rPr>
              <w:t>339</w:t>
            </w:r>
            <w:r>
              <w:rPr>
                <w:b/>
                <w:bCs/>
              </w:rPr>
              <w:t>,</w:t>
            </w:r>
            <w:r w:rsidRPr="0056690D">
              <w:rPr>
                <w:b/>
                <w:bCs/>
              </w:rPr>
              <w:t>140</w:t>
            </w:r>
            <w:r>
              <w:rPr>
                <w:b/>
                <w:bCs/>
              </w:rPr>
              <w:t>,</w:t>
            </w:r>
            <w:r w:rsidRPr="0056690D">
              <w:rPr>
                <w:b/>
                <w:bCs/>
              </w:rPr>
              <w:t>817</w:t>
            </w:r>
          </w:p>
        </w:tc>
      </w:tr>
    </w:tbl>
    <w:p w14:paraId="7347CAAC" w14:textId="77777777" w:rsidR="000F6856" w:rsidRPr="002A0B87" w:rsidRDefault="000F6856" w:rsidP="00760439">
      <w:pPr>
        <w:pStyle w:val="NoSpacing"/>
        <w:rPr>
          <w:lang w:val="vi-VN"/>
        </w:rPr>
        <w:sectPr w:rsidR="000F6856" w:rsidRPr="002A0B87" w:rsidSect="00557104">
          <w:footerReference w:type="default" r:id="rId45"/>
          <w:pgSz w:w="16834" w:h="11909" w:orient="landscape" w:code="9"/>
          <w:pgMar w:top="1440" w:right="1440" w:bottom="864" w:left="1440" w:header="720" w:footer="576" w:gutter="0"/>
          <w:cols w:space="720"/>
          <w:docGrid w:linePitch="272"/>
        </w:sectPr>
      </w:pPr>
    </w:p>
    <w:p w14:paraId="28E0FFE5" w14:textId="7C0BD71C" w:rsidR="000F24B5" w:rsidRPr="002A0B87" w:rsidRDefault="001D70A0" w:rsidP="000F24B5">
      <w:pPr>
        <w:pStyle w:val="ListParagraph"/>
        <w:overflowPunct/>
        <w:autoSpaceDE/>
        <w:autoSpaceDN/>
        <w:adjustRightInd/>
        <w:ind w:hanging="720"/>
        <w:textAlignment w:val="auto"/>
        <w:outlineLvl w:val="0"/>
        <w:rPr>
          <w:rFonts w:cs="Arial"/>
          <w:b/>
          <w:lang w:val="en-US"/>
        </w:rPr>
      </w:pPr>
      <w:r>
        <w:rPr>
          <w:rFonts w:cs="Arial"/>
          <w:b/>
          <w:lang w:val="en-US"/>
        </w:rPr>
        <w:lastRenderedPageBreak/>
        <w:t>29</w:t>
      </w:r>
      <w:r w:rsidR="000F24B5" w:rsidRPr="002A0B87">
        <w:rPr>
          <w:rFonts w:cs="Arial"/>
          <w:b/>
          <w:lang w:val="en-US"/>
        </w:rPr>
        <w:t>.</w:t>
      </w:r>
      <w:r w:rsidR="000F24B5" w:rsidRPr="002A0B87">
        <w:rPr>
          <w:rFonts w:cs="Arial"/>
          <w:b/>
          <w:lang w:val="en-US"/>
        </w:rPr>
        <w:tab/>
      </w:r>
      <w:r w:rsidR="004F2828" w:rsidRPr="004F2828">
        <w:rPr>
          <w:rFonts w:cs="Arial"/>
          <w:b/>
          <w:lang w:val="en-US"/>
        </w:rPr>
        <w:t>EVENTS AFTER THE REPORTING DATE</w:t>
      </w:r>
      <w:r w:rsidR="004F2828" w:rsidRPr="004F2828" w:rsidDel="004F2828">
        <w:rPr>
          <w:rFonts w:cs="Arial"/>
          <w:b/>
          <w:lang w:val="en-US"/>
        </w:rPr>
        <w:t xml:space="preserve"> </w:t>
      </w:r>
    </w:p>
    <w:p w14:paraId="5AC5C0D7" w14:textId="38E91E29" w:rsidR="000F24B5" w:rsidRPr="002A0B87" w:rsidRDefault="000F24B5" w:rsidP="00760439">
      <w:pPr>
        <w:pStyle w:val="NoSpacing"/>
      </w:pPr>
    </w:p>
    <w:p w14:paraId="6236DE4A" w14:textId="60B79D8A" w:rsidR="000F24B5" w:rsidRPr="002A0B87" w:rsidRDefault="00F110A3" w:rsidP="00760439">
      <w:pPr>
        <w:pStyle w:val="NoSpacing"/>
      </w:pPr>
      <w:r w:rsidRPr="00F110A3">
        <w:t>There is no other matter or circumstance that has arisen since the reporting date that requires adjustment or disclosure in the financial statements of the Company.</w:t>
      </w:r>
    </w:p>
    <w:p w14:paraId="31C7AC79" w14:textId="77777777" w:rsidR="00F75E95" w:rsidRPr="002A0B87" w:rsidRDefault="00F75E95" w:rsidP="00B1773E"/>
    <w:p w14:paraId="54306669" w14:textId="77777777" w:rsidR="00F75E95" w:rsidRPr="002A0B87" w:rsidRDefault="00F75E95" w:rsidP="00B1773E"/>
    <w:tbl>
      <w:tblPr>
        <w:tblW w:w="8903" w:type="dxa"/>
        <w:tblLook w:val="01E0" w:firstRow="1" w:lastRow="1" w:firstColumn="1" w:lastColumn="1" w:noHBand="0" w:noVBand="0"/>
      </w:tblPr>
      <w:tblGrid>
        <w:gridCol w:w="2967"/>
        <w:gridCol w:w="2968"/>
        <w:gridCol w:w="2968"/>
      </w:tblGrid>
      <w:tr w:rsidR="00F75E95" w:rsidRPr="002A0B87" w14:paraId="5442CF73" w14:textId="77777777" w:rsidTr="00AA6343">
        <w:tc>
          <w:tcPr>
            <w:tcW w:w="2967" w:type="dxa"/>
            <w:vAlign w:val="bottom"/>
          </w:tcPr>
          <w:p w14:paraId="5FD5BCC8" w14:textId="2169CC24" w:rsidR="00F75E95" w:rsidRPr="002A0B87" w:rsidRDefault="009E7935" w:rsidP="00B1773E">
            <w:pPr>
              <w:widowControl w:val="0"/>
              <w:pBdr>
                <w:bottom w:val="single" w:sz="4" w:space="1" w:color="auto"/>
              </w:pBdr>
              <w:ind w:left="-115" w:right="58"/>
              <w:rPr>
                <w:rFonts w:cs="Arial"/>
              </w:rPr>
            </w:pPr>
            <w:r w:rsidRPr="009E7935">
              <w:rPr>
                <w:rFonts w:cs="Arial"/>
              </w:rPr>
              <w:t>Prepared by:</w:t>
            </w:r>
          </w:p>
          <w:p w14:paraId="25B8416A" w14:textId="77777777" w:rsidR="00F75E95" w:rsidRPr="002A0B87" w:rsidRDefault="00F75E95" w:rsidP="00B1773E">
            <w:pPr>
              <w:widowControl w:val="0"/>
              <w:pBdr>
                <w:bottom w:val="single" w:sz="4" w:space="1" w:color="auto"/>
              </w:pBdr>
              <w:ind w:left="-115" w:right="58"/>
              <w:rPr>
                <w:rFonts w:cs="Arial"/>
              </w:rPr>
            </w:pPr>
          </w:p>
          <w:p w14:paraId="28B2438B" w14:textId="77777777" w:rsidR="00F75E95" w:rsidRPr="002A0B87" w:rsidRDefault="00F75E95" w:rsidP="00B1773E">
            <w:pPr>
              <w:widowControl w:val="0"/>
              <w:pBdr>
                <w:bottom w:val="single" w:sz="4" w:space="1" w:color="auto"/>
              </w:pBdr>
              <w:ind w:left="-115" w:right="58"/>
              <w:rPr>
                <w:rFonts w:cs="Arial"/>
              </w:rPr>
            </w:pPr>
          </w:p>
          <w:p w14:paraId="59D602A3" w14:textId="77777777" w:rsidR="00F75E95" w:rsidRPr="002A0B87" w:rsidRDefault="00F75E95" w:rsidP="00B1773E">
            <w:pPr>
              <w:widowControl w:val="0"/>
              <w:pBdr>
                <w:bottom w:val="single" w:sz="4" w:space="1" w:color="auto"/>
              </w:pBdr>
              <w:ind w:left="-115" w:right="58"/>
              <w:rPr>
                <w:rFonts w:cs="Arial"/>
              </w:rPr>
            </w:pPr>
          </w:p>
          <w:p w14:paraId="02300A93" w14:textId="77777777" w:rsidR="00F75E95" w:rsidRPr="002A0B87" w:rsidRDefault="00F75E95" w:rsidP="00B1773E">
            <w:pPr>
              <w:widowControl w:val="0"/>
              <w:pBdr>
                <w:bottom w:val="single" w:sz="4" w:space="1" w:color="auto"/>
              </w:pBdr>
              <w:ind w:left="-115" w:right="58"/>
              <w:rPr>
                <w:rFonts w:cs="Arial"/>
              </w:rPr>
            </w:pPr>
          </w:p>
          <w:p w14:paraId="08125756" w14:textId="77777777" w:rsidR="00F75E95" w:rsidRPr="002A0B87" w:rsidRDefault="00F75E95" w:rsidP="00B1773E">
            <w:pPr>
              <w:widowControl w:val="0"/>
              <w:pBdr>
                <w:bottom w:val="single" w:sz="4" w:space="1" w:color="auto"/>
              </w:pBdr>
              <w:ind w:left="-115" w:right="58"/>
              <w:rPr>
                <w:rFonts w:cs="Arial"/>
              </w:rPr>
            </w:pPr>
          </w:p>
          <w:p w14:paraId="42AD3EFC" w14:textId="77777777" w:rsidR="00F75E95" w:rsidRPr="002A0B87" w:rsidRDefault="00F75E95" w:rsidP="00B1773E">
            <w:pPr>
              <w:widowControl w:val="0"/>
              <w:pBdr>
                <w:bottom w:val="single" w:sz="4" w:space="1" w:color="auto"/>
              </w:pBdr>
              <w:ind w:left="-115" w:right="58"/>
              <w:rPr>
                <w:rFonts w:cs="Arial"/>
              </w:rPr>
            </w:pPr>
          </w:p>
        </w:tc>
        <w:tc>
          <w:tcPr>
            <w:tcW w:w="2968" w:type="dxa"/>
            <w:vAlign w:val="bottom"/>
          </w:tcPr>
          <w:p w14:paraId="0B56119F" w14:textId="72C9402A" w:rsidR="00F75E95" w:rsidRPr="002A0B87" w:rsidRDefault="000E4FF0" w:rsidP="00B1773E">
            <w:pPr>
              <w:widowControl w:val="0"/>
              <w:pBdr>
                <w:bottom w:val="single" w:sz="4" w:space="1" w:color="auto"/>
              </w:pBdr>
              <w:ind w:left="-115" w:right="58"/>
              <w:rPr>
                <w:rFonts w:cs="Arial"/>
              </w:rPr>
            </w:pPr>
            <w:r w:rsidRPr="000E4FF0">
              <w:rPr>
                <w:rFonts w:cs="Arial"/>
              </w:rPr>
              <w:t>Reviewed by:</w:t>
            </w:r>
          </w:p>
          <w:p w14:paraId="7FEEC145" w14:textId="77777777" w:rsidR="00F75E95" w:rsidRPr="002A0B87" w:rsidRDefault="00F75E95" w:rsidP="00B1773E">
            <w:pPr>
              <w:widowControl w:val="0"/>
              <w:pBdr>
                <w:bottom w:val="single" w:sz="4" w:space="1" w:color="auto"/>
              </w:pBdr>
              <w:ind w:left="-115" w:right="58"/>
              <w:rPr>
                <w:rFonts w:cs="Arial"/>
              </w:rPr>
            </w:pPr>
          </w:p>
          <w:p w14:paraId="05798355" w14:textId="77777777" w:rsidR="00F75E95" w:rsidRPr="002A0B87" w:rsidRDefault="00F75E95" w:rsidP="00B1773E">
            <w:pPr>
              <w:widowControl w:val="0"/>
              <w:pBdr>
                <w:bottom w:val="single" w:sz="4" w:space="1" w:color="auto"/>
              </w:pBdr>
              <w:ind w:left="-115" w:right="58"/>
              <w:rPr>
                <w:rFonts w:cs="Arial"/>
              </w:rPr>
            </w:pPr>
          </w:p>
          <w:p w14:paraId="21B012BF" w14:textId="77777777" w:rsidR="00F75E95" w:rsidRPr="002A0B87" w:rsidRDefault="00F75E95" w:rsidP="00B1773E">
            <w:pPr>
              <w:widowControl w:val="0"/>
              <w:pBdr>
                <w:bottom w:val="single" w:sz="4" w:space="1" w:color="auto"/>
              </w:pBdr>
              <w:ind w:left="-115" w:right="58"/>
              <w:rPr>
                <w:rFonts w:cs="Arial"/>
              </w:rPr>
            </w:pPr>
          </w:p>
          <w:p w14:paraId="7ACBEC12" w14:textId="77777777" w:rsidR="00F75E95" w:rsidRPr="002A0B87" w:rsidRDefault="00F75E95" w:rsidP="00B1773E">
            <w:pPr>
              <w:widowControl w:val="0"/>
              <w:pBdr>
                <w:bottom w:val="single" w:sz="4" w:space="1" w:color="auto"/>
              </w:pBdr>
              <w:ind w:left="-115" w:right="58"/>
              <w:rPr>
                <w:rFonts w:cs="Arial"/>
              </w:rPr>
            </w:pPr>
          </w:p>
          <w:p w14:paraId="7C2C61B3" w14:textId="77777777" w:rsidR="00F75E95" w:rsidRPr="002A0B87" w:rsidRDefault="00F75E95" w:rsidP="00B1773E">
            <w:pPr>
              <w:widowControl w:val="0"/>
              <w:pBdr>
                <w:bottom w:val="single" w:sz="4" w:space="1" w:color="auto"/>
              </w:pBdr>
              <w:ind w:left="-115" w:right="58"/>
              <w:rPr>
                <w:rFonts w:cs="Arial"/>
              </w:rPr>
            </w:pPr>
          </w:p>
          <w:p w14:paraId="4DAD1746" w14:textId="77777777" w:rsidR="00F75E95" w:rsidRPr="002A0B87" w:rsidRDefault="00F75E95" w:rsidP="00B1773E">
            <w:pPr>
              <w:widowControl w:val="0"/>
              <w:pBdr>
                <w:bottom w:val="single" w:sz="4" w:space="1" w:color="auto"/>
              </w:pBdr>
              <w:ind w:left="-115" w:right="58"/>
              <w:rPr>
                <w:rFonts w:cs="Arial"/>
              </w:rPr>
            </w:pPr>
          </w:p>
        </w:tc>
        <w:tc>
          <w:tcPr>
            <w:tcW w:w="2968" w:type="dxa"/>
            <w:vAlign w:val="bottom"/>
          </w:tcPr>
          <w:p w14:paraId="0462AD07" w14:textId="2DAF8937" w:rsidR="00F75E95" w:rsidRPr="002A0B87" w:rsidRDefault="006A7672" w:rsidP="00B1773E">
            <w:pPr>
              <w:widowControl w:val="0"/>
              <w:ind w:left="-115" w:right="58" w:firstLine="1"/>
              <w:rPr>
                <w:rFonts w:cs="Arial"/>
              </w:rPr>
            </w:pPr>
            <w:r w:rsidRPr="006A7672">
              <w:rPr>
                <w:rFonts w:cs="Arial"/>
              </w:rPr>
              <w:t>Approved by:</w:t>
            </w:r>
          </w:p>
          <w:p w14:paraId="58949BCA" w14:textId="77777777" w:rsidR="00F75E95" w:rsidRPr="002A0B87" w:rsidRDefault="00F75E95" w:rsidP="00B1773E">
            <w:pPr>
              <w:widowControl w:val="0"/>
              <w:ind w:left="-115" w:right="58"/>
              <w:rPr>
                <w:rFonts w:cs="Arial"/>
              </w:rPr>
            </w:pPr>
          </w:p>
          <w:p w14:paraId="582981B4" w14:textId="77777777" w:rsidR="00F75E95" w:rsidRPr="002A0B87" w:rsidRDefault="00F75E95" w:rsidP="00B1773E">
            <w:pPr>
              <w:widowControl w:val="0"/>
              <w:ind w:left="-115" w:right="58"/>
              <w:rPr>
                <w:rFonts w:cs="Arial"/>
              </w:rPr>
            </w:pPr>
          </w:p>
          <w:p w14:paraId="4B61B0C1" w14:textId="77777777" w:rsidR="00F75E95" w:rsidRPr="002A0B87" w:rsidRDefault="00F75E95" w:rsidP="00B1773E">
            <w:pPr>
              <w:widowControl w:val="0"/>
              <w:ind w:left="-115" w:right="58"/>
              <w:rPr>
                <w:rFonts w:cs="Arial"/>
              </w:rPr>
            </w:pPr>
          </w:p>
          <w:p w14:paraId="7DC6B832" w14:textId="77777777" w:rsidR="00F75E95" w:rsidRPr="002A0B87" w:rsidRDefault="00F75E95" w:rsidP="00B1773E">
            <w:pPr>
              <w:widowControl w:val="0"/>
              <w:ind w:left="-115" w:right="58"/>
              <w:rPr>
                <w:rFonts w:cs="Arial"/>
              </w:rPr>
            </w:pPr>
          </w:p>
          <w:p w14:paraId="4B955F6F" w14:textId="77777777" w:rsidR="00F75E95" w:rsidRPr="002A0B87" w:rsidRDefault="00F75E95" w:rsidP="00B1773E">
            <w:pPr>
              <w:widowControl w:val="0"/>
              <w:ind w:left="-115" w:right="58"/>
              <w:rPr>
                <w:rFonts w:cs="Arial"/>
              </w:rPr>
            </w:pPr>
          </w:p>
          <w:p w14:paraId="3C7AF62C" w14:textId="77777777" w:rsidR="00F75E95" w:rsidRPr="002A0B87" w:rsidRDefault="00F75E95" w:rsidP="00B1773E">
            <w:pPr>
              <w:widowControl w:val="0"/>
              <w:pBdr>
                <w:bottom w:val="single" w:sz="4" w:space="1" w:color="auto"/>
              </w:pBdr>
              <w:ind w:left="-115" w:right="58"/>
              <w:rPr>
                <w:rFonts w:cs="Arial"/>
              </w:rPr>
            </w:pPr>
          </w:p>
        </w:tc>
      </w:tr>
      <w:tr w:rsidR="00B84D3A" w:rsidRPr="002A0B87" w14:paraId="1EBEF61A" w14:textId="77777777" w:rsidTr="00AA6343">
        <w:tc>
          <w:tcPr>
            <w:tcW w:w="2967" w:type="dxa"/>
          </w:tcPr>
          <w:p w14:paraId="79A7D6BA" w14:textId="78D06CD3" w:rsidR="00B84D3A" w:rsidRPr="002A0B87" w:rsidRDefault="009B103C" w:rsidP="00B84D3A">
            <w:pPr>
              <w:overflowPunct/>
              <w:autoSpaceDE/>
              <w:autoSpaceDN/>
              <w:adjustRightInd/>
              <w:ind w:left="-115" w:right="58"/>
              <w:textAlignment w:val="auto"/>
              <w:rPr>
                <w:rFonts w:eastAsia="Batang" w:cs="Arial"/>
              </w:rPr>
            </w:pPr>
            <w:r w:rsidRPr="009B103C">
              <w:rPr>
                <w:rFonts w:eastAsia="Batang" w:cs="Arial"/>
              </w:rPr>
              <w:t>Ms. Pham Thi Yen</w:t>
            </w:r>
          </w:p>
          <w:p w14:paraId="57C56F16" w14:textId="27BFA04E" w:rsidR="00B84D3A" w:rsidRPr="002A0B87" w:rsidRDefault="00B94418" w:rsidP="00B84D3A">
            <w:pPr>
              <w:widowControl w:val="0"/>
              <w:ind w:left="-115" w:right="58"/>
              <w:rPr>
                <w:rFonts w:cs="Arial"/>
              </w:rPr>
            </w:pPr>
            <w:r w:rsidRPr="00B94418">
              <w:rPr>
                <w:rFonts w:eastAsia="Batang" w:cs="Arial"/>
              </w:rPr>
              <w:t>Accountant</w:t>
            </w:r>
          </w:p>
        </w:tc>
        <w:tc>
          <w:tcPr>
            <w:tcW w:w="2968" w:type="dxa"/>
          </w:tcPr>
          <w:p w14:paraId="77F4E097" w14:textId="21CCE309" w:rsidR="00B84D3A" w:rsidRPr="002A0B87" w:rsidRDefault="003B62B0" w:rsidP="00B84D3A">
            <w:pPr>
              <w:widowControl w:val="0"/>
              <w:ind w:left="-115" w:right="58"/>
              <w:rPr>
                <w:rFonts w:cs="Arial"/>
              </w:rPr>
            </w:pPr>
            <w:r w:rsidRPr="003B62B0">
              <w:rPr>
                <w:rFonts w:cs="Arial"/>
              </w:rPr>
              <w:t>Ms. Nguyen Thi Van</w:t>
            </w:r>
          </w:p>
          <w:p w14:paraId="5739AA1D" w14:textId="4C2E9EB8" w:rsidR="00B84D3A" w:rsidRPr="002A0B87" w:rsidRDefault="001F64B0" w:rsidP="00B84D3A">
            <w:pPr>
              <w:widowControl w:val="0"/>
              <w:ind w:left="-115" w:right="58"/>
              <w:rPr>
                <w:rFonts w:cs="Arial"/>
              </w:rPr>
            </w:pPr>
            <w:r w:rsidRPr="001F64B0">
              <w:rPr>
                <w:rFonts w:cs="Arial"/>
              </w:rPr>
              <w:t>Chief Accountant</w:t>
            </w:r>
          </w:p>
        </w:tc>
        <w:tc>
          <w:tcPr>
            <w:tcW w:w="2968" w:type="dxa"/>
          </w:tcPr>
          <w:p w14:paraId="490DA021" w14:textId="338BD981" w:rsidR="00B84D3A" w:rsidRPr="002A0B87" w:rsidRDefault="00C84D2C" w:rsidP="00B84D3A">
            <w:pPr>
              <w:widowControl w:val="0"/>
              <w:ind w:left="-115" w:right="58"/>
              <w:contextualSpacing/>
              <w:rPr>
                <w:rFonts w:cs="Arial"/>
              </w:rPr>
            </w:pPr>
            <w:r w:rsidRPr="00C84D2C">
              <w:rPr>
                <w:rFonts w:cs="Arial"/>
              </w:rPr>
              <w:t xml:space="preserve">Mr. Lee </w:t>
            </w:r>
            <w:proofErr w:type="spellStart"/>
            <w:r w:rsidRPr="00C84D2C">
              <w:rPr>
                <w:rFonts w:cs="Arial"/>
              </w:rPr>
              <w:t>Jin</w:t>
            </w:r>
            <w:proofErr w:type="spellEnd"/>
            <w:r w:rsidRPr="00C84D2C">
              <w:rPr>
                <w:rFonts w:cs="Arial"/>
              </w:rPr>
              <w:t xml:space="preserve"> Hwan</w:t>
            </w:r>
          </w:p>
          <w:p w14:paraId="646C0314" w14:textId="1723E97B" w:rsidR="00B84D3A" w:rsidRPr="002A0B87" w:rsidRDefault="009E12CD" w:rsidP="00B84D3A">
            <w:pPr>
              <w:widowControl w:val="0"/>
              <w:ind w:left="-115" w:right="58"/>
              <w:rPr>
                <w:rFonts w:cs="Arial"/>
              </w:rPr>
            </w:pPr>
            <w:r w:rsidRPr="009E12CD">
              <w:rPr>
                <w:rFonts w:cs="Arial"/>
              </w:rPr>
              <w:t>General Director</w:t>
            </w:r>
          </w:p>
        </w:tc>
      </w:tr>
    </w:tbl>
    <w:p w14:paraId="1EF40323" w14:textId="77777777" w:rsidR="00F75E95" w:rsidRPr="002A0B87" w:rsidRDefault="00F75E95" w:rsidP="00B1773E"/>
    <w:p w14:paraId="12291854" w14:textId="77777777" w:rsidR="00F75E95" w:rsidRPr="002A0B87" w:rsidRDefault="00F75E95" w:rsidP="00B1773E"/>
    <w:p w14:paraId="4D971459" w14:textId="1ADE9379" w:rsidR="00F75E95" w:rsidRPr="002A0B87" w:rsidRDefault="00F75E95" w:rsidP="00B1773E">
      <w:r w:rsidRPr="002A0B87">
        <w:t>H</w:t>
      </w:r>
      <w:r w:rsidR="00147F6F">
        <w:t>anoi</w:t>
      </w:r>
      <w:r w:rsidRPr="002A0B87">
        <w:t>, Vi</w:t>
      </w:r>
      <w:r w:rsidR="00147F6F">
        <w:t>etnam</w:t>
      </w:r>
    </w:p>
    <w:p w14:paraId="37F47F43" w14:textId="77777777" w:rsidR="00F75E95" w:rsidRPr="002A0B87" w:rsidRDefault="00F75E95" w:rsidP="00B1773E"/>
    <w:p w14:paraId="5A344C64" w14:textId="2ED8AD73" w:rsidR="00C72A97" w:rsidRPr="002A0B87" w:rsidRDefault="00AF1435" w:rsidP="00B1773E">
      <w:pPr>
        <w:rPr>
          <w:lang w:val="en-GB"/>
        </w:rPr>
      </w:pPr>
      <w:r w:rsidRPr="00254501">
        <w:t>0</w:t>
      </w:r>
      <w:r w:rsidR="003B1FCA" w:rsidRPr="00254501">
        <w:t>7 March</w:t>
      </w:r>
      <w:r w:rsidR="006D0037" w:rsidRPr="00254501">
        <w:t xml:space="preserve"> </w:t>
      </w:r>
      <w:r w:rsidR="000A2934" w:rsidRPr="00254501">
        <w:t>202</w:t>
      </w:r>
      <w:r w:rsidR="0056690D">
        <w:t>3</w:t>
      </w:r>
    </w:p>
    <w:sectPr w:rsidR="00C72A97" w:rsidRPr="002A0B87" w:rsidSect="006D05E4">
      <w:pgSz w:w="11909" w:h="16834" w:code="9"/>
      <w:pgMar w:top="1440" w:right="1440" w:bottom="864" w:left="1584" w:header="720"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ED08C" w14:textId="77777777" w:rsidR="002D54DA" w:rsidRDefault="002D54DA">
      <w:r>
        <w:separator/>
      </w:r>
    </w:p>
  </w:endnote>
  <w:endnote w:type="continuationSeparator" w:id="0">
    <w:p w14:paraId="43797D69" w14:textId="77777777" w:rsidR="002D54DA" w:rsidRDefault="002D54DA">
      <w:r>
        <w:continuationSeparator/>
      </w:r>
    </w:p>
  </w:endnote>
  <w:endnote w:type="continuationNotice" w:id="1">
    <w:p w14:paraId="233925E2" w14:textId="77777777" w:rsidR="002D54DA" w:rsidRDefault="002D54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altName w:val="Calibri"/>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AvantH">
    <w:panose1 w:val="020B7200000000000000"/>
    <w:charset w:val="00"/>
    <w:family w:val="swiss"/>
    <w:pitch w:val="variable"/>
    <w:sig w:usb0="00000003" w:usb1="00000000" w:usb2="00000000" w:usb3="00000000" w:csb0="00000001" w:csb1="00000000"/>
  </w:font>
  <w:font w:name="Batang">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2612" w14:textId="77777777" w:rsidR="00345E81" w:rsidRDefault="00345E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DBECA" w14:textId="77777777" w:rsidR="00345E81" w:rsidRDefault="00345E81">
    <w:pPr>
      <w:pStyle w:val="Footer"/>
      <w:tabs>
        <w:tab w:val="clear" w:pos="4320"/>
        <w:tab w:val="clear" w:pos="86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0510" w14:textId="77777777" w:rsidR="00345E81" w:rsidRDefault="00345E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7FF4D" w14:textId="1F1A6798" w:rsidR="00345E81" w:rsidRDefault="00345E81">
    <w:pPr>
      <w:pStyle w:val="Footer"/>
      <w:jc w:val="center"/>
    </w:pPr>
  </w:p>
  <w:p w14:paraId="582D5B2D" w14:textId="089E21EA" w:rsidR="00345E81" w:rsidRPr="001F532B" w:rsidRDefault="00345E81" w:rsidP="00F12338">
    <w:pPr>
      <w:pStyle w:val="Footer"/>
      <w:jc w:val="center"/>
      <w:rPr>
        <w:rFonts w:cs="Arial"/>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i/>
        <w:iCs/>
      </w:rPr>
      <w:id w:val="-171955493"/>
      <w:docPartObj>
        <w:docPartGallery w:val="Page Numbers (Bottom of Page)"/>
        <w:docPartUnique/>
      </w:docPartObj>
    </w:sdtPr>
    <w:sdtEndPr>
      <w:rPr>
        <w:noProof/>
      </w:rPr>
    </w:sdtEndPr>
    <w:sdtContent>
      <w:p w14:paraId="37F53AAD" w14:textId="1C20475D" w:rsidR="00345E81" w:rsidRPr="001F532B" w:rsidRDefault="00345E81">
        <w:pPr>
          <w:pStyle w:val="Footer"/>
          <w:jc w:val="center"/>
          <w:rPr>
            <w:rFonts w:cs="Arial"/>
            <w:i/>
            <w:iCs/>
          </w:rPr>
        </w:pPr>
        <w:r w:rsidRPr="00E6032A">
          <w:rPr>
            <w:rFonts w:cs="Arial"/>
            <w:i/>
            <w:iCs/>
          </w:rPr>
          <w:fldChar w:fldCharType="begin"/>
        </w:r>
        <w:r w:rsidRPr="00E6032A">
          <w:rPr>
            <w:rFonts w:cs="Arial"/>
            <w:i/>
            <w:iCs/>
          </w:rPr>
          <w:instrText xml:space="preserve"> PAGE   \* MERGEFORMAT </w:instrText>
        </w:r>
        <w:r w:rsidRPr="00E6032A">
          <w:rPr>
            <w:rFonts w:cs="Arial"/>
            <w:i/>
            <w:iCs/>
          </w:rPr>
          <w:fldChar w:fldCharType="separate"/>
        </w:r>
        <w:r>
          <w:rPr>
            <w:rFonts w:cs="Arial"/>
            <w:i/>
            <w:iCs/>
            <w:noProof/>
          </w:rPr>
          <w:t>3</w:t>
        </w:r>
        <w:r w:rsidRPr="00E6032A">
          <w:rPr>
            <w:rFonts w:cs="Arial"/>
            <w:i/>
            <w:iCs/>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159653"/>
      <w:docPartObj>
        <w:docPartGallery w:val="Page Numbers (Bottom of Page)"/>
        <w:docPartUnique/>
      </w:docPartObj>
    </w:sdtPr>
    <w:sdtEndPr>
      <w:rPr>
        <w:rFonts w:cs="Arial"/>
        <w:i/>
        <w:noProof/>
      </w:rPr>
    </w:sdtEndPr>
    <w:sdtContent>
      <w:p w14:paraId="7DAA4694" w14:textId="29419B87" w:rsidR="00345E81" w:rsidRPr="00461FA9" w:rsidRDefault="00345E81" w:rsidP="00461FA9">
        <w:pPr>
          <w:pStyle w:val="Footer"/>
          <w:jc w:val="center"/>
          <w:rPr>
            <w:rFonts w:cs="Arial"/>
            <w:i/>
          </w:rPr>
        </w:pPr>
        <w:r w:rsidRPr="00461FA9">
          <w:rPr>
            <w:rFonts w:cs="Arial"/>
            <w:i/>
          </w:rPr>
          <w:fldChar w:fldCharType="begin"/>
        </w:r>
        <w:r w:rsidRPr="00461FA9">
          <w:rPr>
            <w:rFonts w:cs="Arial"/>
            <w:i/>
          </w:rPr>
          <w:instrText xml:space="preserve"> PAGE   \* MERGEFORMAT </w:instrText>
        </w:r>
        <w:r w:rsidRPr="00461FA9">
          <w:rPr>
            <w:rFonts w:cs="Arial"/>
            <w:i/>
          </w:rPr>
          <w:fldChar w:fldCharType="separate"/>
        </w:r>
        <w:r w:rsidRPr="00461FA9">
          <w:rPr>
            <w:rFonts w:cs="Arial"/>
            <w:i/>
            <w:noProof/>
          </w:rPr>
          <w:t>2</w:t>
        </w:r>
        <w:r w:rsidRPr="00461FA9">
          <w:rPr>
            <w:rFonts w:cs="Arial"/>
            <w:i/>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194685"/>
      <w:docPartObj>
        <w:docPartGallery w:val="Page Numbers (Bottom of Page)"/>
        <w:docPartUnique/>
      </w:docPartObj>
    </w:sdtPr>
    <w:sdtEndPr>
      <w:rPr>
        <w:rFonts w:cs="Arial"/>
        <w:i/>
        <w:noProof/>
      </w:rPr>
    </w:sdtEndPr>
    <w:sdtContent>
      <w:p w14:paraId="5DCD7855" w14:textId="6CF1F609" w:rsidR="00345E81" w:rsidRPr="00220C86" w:rsidRDefault="00345E81" w:rsidP="00220C86">
        <w:pPr>
          <w:pStyle w:val="Footer"/>
          <w:tabs>
            <w:tab w:val="clear" w:pos="8640"/>
          </w:tabs>
          <w:jc w:val="center"/>
          <w:rPr>
            <w:rFonts w:cs="Arial"/>
            <w:i/>
          </w:rPr>
        </w:pPr>
        <w:r w:rsidRPr="00AC6DCE">
          <w:rPr>
            <w:rFonts w:cs="Arial"/>
            <w:i/>
          </w:rPr>
          <w:fldChar w:fldCharType="begin"/>
        </w:r>
        <w:r w:rsidRPr="00AC6DCE">
          <w:rPr>
            <w:rFonts w:cs="Arial"/>
            <w:i/>
          </w:rPr>
          <w:instrText xml:space="preserve"> PAGE   \* MERGEFORMAT </w:instrText>
        </w:r>
        <w:r w:rsidRPr="00AC6DCE">
          <w:rPr>
            <w:rFonts w:cs="Arial"/>
            <w:i/>
          </w:rPr>
          <w:fldChar w:fldCharType="separate"/>
        </w:r>
        <w:r w:rsidRPr="00AC6DCE">
          <w:rPr>
            <w:rFonts w:cs="Arial"/>
            <w:i/>
            <w:noProof/>
          </w:rPr>
          <w:t>18</w:t>
        </w:r>
        <w:r w:rsidRPr="00AC6DCE">
          <w:rPr>
            <w:rFonts w:cs="Arial"/>
            <w:i/>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963925"/>
      <w:docPartObj>
        <w:docPartGallery w:val="Page Numbers (Bottom of Page)"/>
        <w:docPartUnique/>
      </w:docPartObj>
    </w:sdtPr>
    <w:sdtEndPr>
      <w:rPr>
        <w:rFonts w:cs="Arial"/>
        <w:i/>
        <w:noProof/>
      </w:rPr>
    </w:sdtEndPr>
    <w:sdtContent>
      <w:p w14:paraId="3E097F63" w14:textId="1D53F766" w:rsidR="00345E81" w:rsidRPr="00220C86" w:rsidRDefault="00345E81" w:rsidP="002A1CB6">
        <w:pPr>
          <w:pStyle w:val="Footer"/>
          <w:jc w:val="center"/>
          <w:rPr>
            <w:rFonts w:cs="Arial"/>
            <w:i/>
          </w:rPr>
        </w:pPr>
        <w:r w:rsidRPr="00E4302E">
          <w:rPr>
            <w:rFonts w:cs="Arial"/>
            <w:i/>
          </w:rPr>
          <w:fldChar w:fldCharType="begin"/>
        </w:r>
        <w:r w:rsidRPr="00E4302E">
          <w:rPr>
            <w:rFonts w:cs="Arial"/>
            <w:i/>
          </w:rPr>
          <w:instrText xml:space="preserve"> PAGE   \* MERGEFORMAT </w:instrText>
        </w:r>
        <w:r w:rsidRPr="00E4302E">
          <w:rPr>
            <w:rFonts w:cs="Arial"/>
            <w:i/>
          </w:rPr>
          <w:fldChar w:fldCharType="separate"/>
        </w:r>
        <w:r w:rsidRPr="00E4302E">
          <w:rPr>
            <w:rFonts w:cs="Arial"/>
            <w:i/>
            <w:noProof/>
          </w:rPr>
          <w:t>67</w:t>
        </w:r>
        <w:r w:rsidRPr="00E4302E">
          <w:rPr>
            <w:rFonts w:cs="Arial"/>
            <w:i/>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16708" w14:textId="77777777" w:rsidR="002D54DA" w:rsidRDefault="002D54DA">
      <w:r>
        <w:separator/>
      </w:r>
    </w:p>
  </w:footnote>
  <w:footnote w:type="continuationSeparator" w:id="0">
    <w:p w14:paraId="372DF373" w14:textId="77777777" w:rsidR="002D54DA" w:rsidRDefault="002D54DA">
      <w:r>
        <w:continuationSeparator/>
      </w:r>
    </w:p>
  </w:footnote>
  <w:footnote w:type="continuationNotice" w:id="1">
    <w:p w14:paraId="748EDA67" w14:textId="77777777" w:rsidR="002D54DA" w:rsidRDefault="002D54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659A8" w14:textId="77777777" w:rsidR="00345E81" w:rsidRDefault="00345E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33B32" w14:textId="66F5F9E5" w:rsidR="00345E81" w:rsidRDefault="00345E81" w:rsidP="00AB5021">
    <w:pPr>
      <w:rPr>
        <w:rFonts w:cs="Arial"/>
        <w:sz w:val="28"/>
        <w:szCs w:val="28"/>
      </w:rPr>
    </w:pPr>
    <w:r w:rsidRPr="0010453A">
      <w:rPr>
        <w:rFonts w:cs="Arial"/>
        <w:sz w:val="28"/>
        <w:szCs w:val="28"/>
      </w:rPr>
      <w:t>NH Securities Vietnam Co., Ltd</w:t>
    </w:r>
    <w:r w:rsidRPr="0010453A" w:rsidDel="0010453A">
      <w:rPr>
        <w:rFonts w:cs="Arial"/>
        <w:sz w:val="28"/>
        <w:szCs w:val="28"/>
      </w:rPr>
      <w:t xml:space="preserve"> </w:t>
    </w:r>
  </w:p>
  <w:p w14:paraId="5302EDD1" w14:textId="77777777" w:rsidR="00345E81" w:rsidRPr="003A3C1E" w:rsidRDefault="00345E81" w:rsidP="00AB5021">
    <w:pPr>
      <w:rPr>
        <w:rFonts w:cs="Arial"/>
        <w:szCs w:val="28"/>
      </w:rPr>
    </w:pPr>
  </w:p>
  <w:p w14:paraId="653F2293" w14:textId="35BB5FB9" w:rsidR="00345E81" w:rsidRPr="003A6B5F" w:rsidRDefault="00345E81" w:rsidP="00822578">
    <w:pPr>
      <w:rPr>
        <w:rFonts w:cs="Arial"/>
      </w:rPr>
    </w:pPr>
    <w:r w:rsidRPr="00E011A8">
      <w:rPr>
        <w:rFonts w:cs="Arial"/>
      </w:rPr>
      <w:t>REPORT OF MANAGEMENT</w:t>
    </w:r>
    <w:r w:rsidRPr="00E011A8" w:rsidDel="00E011A8">
      <w:rPr>
        <w:rFonts w:cs="Arial"/>
      </w:rPr>
      <w:t xml:space="preserve"> </w:t>
    </w:r>
  </w:p>
  <w:p w14:paraId="421E45E2" w14:textId="77777777" w:rsidR="00345E81" w:rsidRPr="003A6B5F" w:rsidRDefault="00345E81" w:rsidP="00822578">
    <w:pPr>
      <w:rPr>
        <w:rFonts w:cs="Arial"/>
      </w:rPr>
    </w:pPr>
  </w:p>
  <w:p w14:paraId="4F7B509A" w14:textId="374A507A" w:rsidR="00345E81" w:rsidRPr="006743B5" w:rsidRDefault="00345E81" w:rsidP="00822578">
    <w:pPr>
      <w:rPr>
        <w:rFonts w:cs="Aria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14FFB" w14:textId="77777777" w:rsidR="00345E81" w:rsidRDefault="00345E8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32D0" w14:textId="77777777" w:rsidR="00345E81" w:rsidRPr="00A64BED" w:rsidRDefault="00345E81">
    <w:pPr>
      <w:pStyle w:val="BodyText"/>
      <w:rPr>
        <w:rFonts w:ascii="Arial" w:hAnsi="Arial" w:cs="Arial"/>
        <w: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D3C4" w14:textId="77777777" w:rsidR="00345E81" w:rsidRDefault="00345E8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22E96" w14:textId="77777777" w:rsidR="00345E81" w:rsidRDefault="00345E81">
    <w:pPr>
      <w:pStyle w:val="Header"/>
    </w:pPr>
  </w:p>
  <w:p w14:paraId="00E21859" w14:textId="77777777" w:rsidR="00345E81" w:rsidRDefault="00345E81"/>
  <w:p w14:paraId="7CCCB883" w14:textId="77777777" w:rsidR="00345E81" w:rsidRDefault="00345E81"/>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6C2E7" w14:textId="04C9F179" w:rsidR="00345E81" w:rsidRPr="009D20E8" w:rsidRDefault="00345E81" w:rsidP="00CE21D3">
    <w:pPr>
      <w:tabs>
        <w:tab w:val="right" w:pos="8887"/>
      </w:tabs>
    </w:pPr>
    <w:r w:rsidRPr="001D41B0">
      <w:rPr>
        <w:sz w:val="28"/>
        <w:szCs w:val="28"/>
      </w:rPr>
      <w:t>NH Securities Vietnam Co., Ltd</w:t>
    </w:r>
    <w:r w:rsidRPr="001D41B0" w:rsidDel="001D41B0">
      <w:rPr>
        <w:sz w:val="28"/>
        <w:szCs w:val="28"/>
      </w:rPr>
      <w:t xml:space="preserve"> </w:t>
    </w:r>
    <w:r w:rsidRPr="009D20E8">
      <w:tab/>
      <w:t>B01-CTCK</w:t>
    </w:r>
  </w:p>
  <w:p w14:paraId="5B6FFCD8" w14:textId="77777777" w:rsidR="00345E81" w:rsidRPr="003A3C1E" w:rsidRDefault="00345E81"/>
  <w:p w14:paraId="0F4C331B" w14:textId="2FF17EF0" w:rsidR="00345E81" w:rsidRPr="008064F8" w:rsidRDefault="00345E81" w:rsidP="00CE21D3">
    <w:r w:rsidRPr="001E0FE5">
      <w:t>STATEMENT OF FINANCIAL POSITION</w:t>
    </w:r>
    <w:r w:rsidRPr="001E0FE5" w:rsidDel="001E0FE5">
      <w:t xml:space="preserve"> </w:t>
    </w:r>
  </w:p>
  <w:p w14:paraId="79513C77" w14:textId="3E209E66" w:rsidR="00345E81" w:rsidRPr="00CE21D3" w:rsidRDefault="00345E81" w:rsidP="00CE21D3">
    <w:r w:rsidRPr="00FD6412">
      <w:t xml:space="preserve">as </w:t>
    </w:r>
    <w:proofErr w:type="gramStart"/>
    <w:r w:rsidRPr="00FD6412">
      <w:t>at</w:t>
    </w:r>
    <w:proofErr w:type="gramEnd"/>
    <w:r w:rsidRPr="00FD6412">
      <w:t xml:space="preserve"> 31 December 202</w:t>
    </w:r>
    <w:r w:rsidR="004B6684">
      <w:t>2</w:t>
    </w:r>
  </w:p>
  <w:p w14:paraId="3C89A122" w14:textId="393DACA6" w:rsidR="00345E81" w:rsidRDefault="00345E81" w:rsidP="00CE21D3"/>
  <w:p w14:paraId="0E151CF9" w14:textId="77777777" w:rsidR="00345E81" w:rsidRPr="008064F8" w:rsidRDefault="00345E81" w:rsidP="00CE21D3"/>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DB60C" w14:textId="77777777" w:rsidR="00345E81" w:rsidRDefault="00345E81">
    <w:pPr>
      <w:pStyle w:val="Header"/>
    </w:pPr>
  </w:p>
  <w:p w14:paraId="48CDB882" w14:textId="77777777" w:rsidR="00345E81" w:rsidRDefault="00345E81"/>
  <w:p w14:paraId="172C3E60" w14:textId="77777777" w:rsidR="00345E81" w:rsidRDefault="00345E81"/>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1146" w14:textId="5C280495" w:rsidR="00345E81" w:rsidRPr="009D20E8" w:rsidRDefault="00345E81" w:rsidP="00CE21D3">
    <w:pPr>
      <w:tabs>
        <w:tab w:val="right" w:pos="8887"/>
      </w:tabs>
    </w:pPr>
    <w:r w:rsidRPr="00D964AA">
      <w:rPr>
        <w:sz w:val="28"/>
        <w:szCs w:val="28"/>
      </w:rPr>
      <w:t>NH Securities Vietnam Co., Ltd</w:t>
    </w:r>
    <w:r w:rsidRPr="00D964AA" w:rsidDel="00D964AA">
      <w:rPr>
        <w:sz w:val="28"/>
        <w:szCs w:val="28"/>
      </w:rPr>
      <w:t xml:space="preserve"> </w:t>
    </w:r>
    <w:r w:rsidRPr="009D20E8">
      <w:tab/>
      <w:t>B01-CTCK</w:t>
    </w:r>
  </w:p>
  <w:p w14:paraId="1E54925C" w14:textId="77777777" w:rsidR="00345E81" w:rsidRPr="003A3C1E" w:rsidRDefault="00345E81"/>
  <w:p w14:paraId="2D7F8480" w14:textId="160B8A78" w:rsidR="00345E81" w:rsidRPr="008064F8" w:rsidRDefault="00345E81" w:rsidP="00CE21D3">
    <w:r w:rsidRPr="00D959C6">
      <w:t>STATEMENT OF FINANCIAL POSITION</w:t>
    </w:r>
    <w:r w:rsidRPr="00D959C6">
      <w:tab/>
      <w:t xml:space="preserve"> (continued)</w:t>
    </w:r>
  </w:p>
  <w:p w14:paraId="100AFB5E" w14:textId="261C19CD" w:rsidR="00345E81" w:rsidRPr="00CE21D3" w:rsidRDefault="00345E81" w:rsidP="00CE21D3">
    <w:r w:rsidRPr="00F279B0">
      <w:t xml:space="preserve">as </w:t>
    </w:r>
    <w:proofErr w:type="gramStart"/>
    <w:r w:rsidRPr="00F279B0">
      <w:t>at</w:t>
    </w:r>
    <w:proofErr w:type="gramEnd"/>
    <w:r w:rsidRPr="00F279B0">
      <w:t xml:space="preserve"> 31 December 202</w:t>
    </w:r>
    <w:r w:rsidR="0038024F">
      <w:t>2</w:t>
    </w:r>
  </w:p>
  <w:p w14:paraId="105A08F6" w14:textId="77777777" w:rsidR="00345E81" w:rsidRDefault="00345E81" w:rsidP="00CE21D3"/>
  <w:p w14:paraId="6916879A" w14:textId="77777777" w:rsidR="00345E81" w:rsidRPr="008064F8" w:rsidRDefault="00345E81" w:rsidP="00CE21D3"/>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4F35" w14:textId="77777777" w:rsidR="00345E81" w:rsidRDefault="00345E81">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F7F83" w14:textId="70FD10C2" w:rsidR="00345E81" w:rsidRPr="008064F8" w:rsidRDefault="00345E81" w:rsidP="00CE21D3">
    <w:pPr>
      <w:tabs>
        <w:tab w:val="right" w:pos="8887"/>
      </w:tabs>
    </w:pPr>
    <w:r w:rsidRPr="004A5D84">
      <w:rPr>
        <w:sz w:val="28"/>
        <w:szCs w:val="28"/>
      </w:rPr>
      <w:t>NH Securities Vietnam Co., Ltd</w:t>
    </w:r>
    <w:r w:rsidRPr="004A5D84" w:rsidDel="004A5D84">
      <w:rPr>
        <w:sz w:val="28"/>
        <w:szCs w:val="28"/>
      </w:rPr>
      <w:t xml:space="preserve"> </w:t>
    </w:r>
    <w:r>
      <w:tab/>
      <w:t>B02-CTCK</w:t>
    </w:r>
  </w:p>
  <w:p w14:paraId="5FBBB727" w14:textId="77777777" w:rsidR="00345E81" w:rsidRPr="003A3C1E" w:rsidRDefault="00345E81"/>
  <w:p w14:paraId="3F6E48F5" w14:textId="30FF3D2B" w:rsidR="00345E81" w:rsidRPr="008064F8" w:rsidRDefault="00345E81" w:rsidP="00CE21D3">
    <w:r w:rsidRPr="00263E7D">
      <w:t>INCOME STATEMENT</w:t>
    </w:r>
    <w:r>
      <w:t xml:space="preserve"> (continued)</w:t>
    </w:r>
    <w:r w:rsidRPr="00263E7D" w:rsidDel="00263E7D">
      <w:t xml:space="preserve"> </w:t>
    </w:r>
  </w:p>
  <w:p w14:paraId="04F1A72A" w14:textId="0313F725" w:rsidR="00345E81" w:rsidRPr="00A64BED" w:rsidRDefault="00345E81" w:rsidP="00CE21D3">
    <w:pPr>
      <w:tabs>
        <w:tab w:val="right" w:pos="8887"/>
      </w:tabs>
      <w:rPr>
        <w:i/>
      </w:rPr>
    </w:pPr>
    <w:r w:rsidRPr="002F764B">
      <w:t>for the year ended 31 December 202</w:t>
    </w:r>
    <w:r w:rsidR="00C07156">
      <w:t>2</w:t>
    </w:r>
  </w:p>
  <w:p w14:paraId="45A6A6A9" w14:textId="77777777" w:rsidR="00345E81" w:rsidRDefault="00345E81" w:rsidP="00CE21D3"/>
  <w:p w14:paraId="25548846" w14:textId="77777777" w:rsidR="00345E81" w:rsidRPr="008064F8" w:rsidRDefault="00345E81" w:rsidP="00CE21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185AD" w14:textId="77777777" w:rsidR="00345E81" w:rsidRDefault="00345E81">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DCA1" w14:textId="77777777" w:rsidR="00345E81" w:rsidRDefault="00345E81">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5F76D" w14:textId="77777777" w:rsidR="00345E81" w:rsidRDefault="00345E81">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85B82" w14:textId="673061A0" w:rsidR="00345E81" w:rsidRPr="008064F8" w:rsidRDefault="00345E81" w:rsidP="00CE21D3">
    <w:pPr>
      <w:tabs>
        <w:tab w:val="right" w:pos="8887"/>
      </w:tabs>
    </w:pPr>
    <w:r w:rsidRPr="009C0014">
      <w:rPr>
        <w:sz w:val="28"/>
        <w:szCs w:val="28"/>
      </w:rPr>
      <w:t>NH Securities Vietnam Co., Ltd</w:t>
    </w:r>
    <w:r w:rsidRPr="009C0014" w:rsidDel="009C0014">
      <w:rPr>
        <w:sz w:val="28"/>
        <w:szCs w:val="28"/>
      </w:rPr>
      <w:t xml:space="preserve"> </w:t>
    </w:r>
    <w:r>
      <w:tab/>
      <w:t>B03-CTCK</w:t>
    </w:r>
  </w:p>
  <w:p w14:paraId="278B931F" w14:textId="77777777" w:rsidR="00345E81" w:rsidRPr="003A3C1E" w:rsidRDefault="00345E81"/>
  <w:p w14:paraId="4D91A129" w14:textId="0EB394E9" w:rsidR="00345E81" w:rsidRPr="008064F8" w:rsidRDefault="00345E81" w:rsidP="00CE21D3">
    <w:r w:rsidRPr="00B93F2F">
      <w:t>CASH FLOW STATEMENT</w:t>
    </w:r>
    <w:r w:rsidRPr="00B93F2F" w:rsidDel="00B93F2F">
      <w:t xml:space="preserve"> </w:t>
    </w:r>
    <w:r>
      <w:tab/>
    </w:r>
  </w:p>
  <w:p w14:paraId="66E07B82" w14:textId="7CF189AA" w:rsidR="00345E81" w:rsidRPr="00CE21D3" w:rsidRDefault="00345E81" w:rsidP="00CE21D3">
    <w:r w:rsidRPr="001F640C">
      <w:t>for the year ended 31 December 202</w:t>
    </w:r>
    <w:r w:rsidR="00497040">
      <w:t>2</w:t>
    </w:r>
  </w:p>
  <w:p w14:paraId="4CEF0D5B" w14:textId="77777777" w:rsidR="00345E81" w:rsidRDefault="00345E81" w:rsidP="00CE21D3"/>
  <w:p w14:paraId="09E041D1" w14:textId="77777777" w:rsidR="00345E81" w:rsidRPr="008064F8" w:rsidRDefault="00345E81" w:rsidP="00CE21D3"/>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D3471" w14:textId="77777777" w:rsidR="00345E81" w:rsidRDefault="00345E81">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739B3" w14:textId="28550F97" w:rsidR="00345E81" w:rsidRPr="008064F8" w:rsidRDefault="00345E81" w:rsidP="00CE21D3">
    <w:pPr>
      <w:tabs>
        <w:tab w:val="right" w:pos="8887"/>
      </w:tabs>
    </w:pPr>
    <w:r w:rsidRPr="00E31696">
      <w:rPr>
        <w:sz w:val="28"/>
        <w:szCs w:val="28"/>
      </w:rPr>
      <w:t>NH Securities Vietnam Co., Ltd</w:t>
    </w:r>
    <w:r w:rsidRPr="00E31696" w:rsidDel="00E31696">
      <w:rPr>
        <w:sz w:val="28"/>
        <w:szCs w:val="28"/>
      </w:rPr>
      <w:t xml:space="preserve"> </w:t>
    </w:r>
    <w:r>
      <w:tab/>
      <w:t>B03-CTCK</w:t>
    </w:r>
  </w:p>
  <w:p w14:paraId="12AD7C52" w14:textId="77777777" w:rsidR="00345E81" w:rsidRPr="003A3C1E" w:rsidRDefault="00345E81"/>
  <w:p w14:paraId="248705AC" w14:textId="601CF8B3" w:rsidR="00345E81" w:rsidRPr="008064F8" w:rsidRDefault="00345E81" w:rsidP="00CE21D3">
    <w:r w:rsidRPr="0083118A">
      <w:t>CASH FLOW STATEMENT</w:t>
    </w:r>
    <w:r w:rsidRPr="0083118A">
      <w:tab/>
      <w:t xml:space="preserve"> (continued)</w:t>
    </w:r>
  </w:p>
  <w:p w14:paraId="6AF14D95" w14:textId="0FD7C2DF" w:rsidR="00345E81" w:rsidRPr="00CE21D3" w:rsidRDefault="00345E81" w:rsidP="00CE21D3">
    <w:r w:rsidRPr="001778B6">
      <w:t>for the year ended 31 December 202</w:t>
    </w:r>
    <w:r w:rsidR="000D73CC">
      <w:t>2</w:t>
    </w:r>
  </w:p>
  <w:p w14:paraId="463A2C83" w14:textId="77777777" w:rsidR="00345E81" w:rsidRDefault="00345E81" w:rsidP="00CE21D3"/>
  <w:p w14:paraId="40CA8045" w14:textId="77777777" w:rsidR="00345E81" w:rsidRPr="008064F8" w:rsidRDefault="00345E81" w:rsidP="00CE21D3"/>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8A0A5" w14:textId="02BA4CF0" w:rsidR="00345E81" w:rsidRPr="008064F8" w:rsidRDefault="00345E81" w:rsidP="00CE21D3">
    <w:pPr>
      <w:tabs>
        <w:tab w:val="right" w:pos="13950"/>
      </w:tabs>
    </w:pPr>
    <w:r w:rsidRPr="00621983">
      <w:rPr>
        <w:sz w:val="28"/>
        <w:szCs w:val="28"/>
      </w:rPr>
      <w:t>NH Securities Vietnam Co., Ltd</w:t>
    </w:r>
    <w:r w:rsidRPr="00621983" w:rsidDel="00621983">
      <w:rPr>
        <w:sz w:val="28"/>
        <w:szCs w:val="28"/>
      </w:rPr>
      <w:t xml:space="preserve"> </w:t>
    </w:r>
    <w:r>
      <w:tab/>
      <w:t>B04-CTCK</w:t>
    </w:r>
  </w:p>
  <w:p w14:paraId="0AE79164" w14:textId="77777777" w:rsidR="00345E81" w:rsidRPr="003A3C1E" w:rsidRDefault="00345E81"/>
  <w:p w14:paraId="352C3196" w14:textId="151054DA" w:rsidR="00345E81" w:rsidRPr="008064F8" w:rsidRDefault="00345E81" w:rsidP="00CE21D3">
    <w:r w:rsidRPr="00A741FA">
      <w:t>STATEMENT OF CHANGES IN EQUITY</w:t>
    </w:r>
    <w:r w:rsidRPr="00A741FA" w:rsidDel="00A741FA">
      <w:t xml:space="preserve"> </w:t>
    </w:r>
    <w:r>
      <w:tab/>
    </w:r>
  </w:p>
  <w:p w14:paraId="7B772659" w14:textId="5891E2FC" w:rsidR="00345E81" w:rsidRPr="00CE21D3" w:rsidRDefault="00345E81" w:rsidP="00CE21D3">
    <w:r w:rsidRPr="00B3364B">
      <w:t>for the year ended 31 December 202</w:t>
    </w:r>
    <w:r w:rsidR="000B056F">
      <w:t>2</w:t>
    </w:r>
  </w:p>
  <w:p w14:paraId="250722E3" w14:textId="77777777" w:rsidR="00345E81" w:rsidRDefault="00345E81" w:rsidP="00CE21D3"/>
  <w:p w14:paraId="1DD2305D" w14:textId="77777777" w:rsidR="00345E81" w:rsidRPr="008064F8" w:rsidRDefault="00345E81" w:rsidP="00CE21D3"/>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E92A" w14:textId="339061D9" w:rsidR="00345E81" w:rsidRPr="003A3C1E" w:rsidRDefault="00345E81" w:rsidP="00CE21D3">
    <w:pPr>
      <w:tabs>
        <w:tab w:val="right" w:pos="8887"/>
      </w:tabs>
    </w:pPr>
    <w:r w:rsidRPr="00BD2E34">
      <w:rPr>
        <w:sz w:val="28"/>
        <w:szCs w:val="28"/>
      </w:rPr>
      <w:t>NH Securities Vietnam Co., Ltd</w:t>
    </w:r>
    <w:r w:rsidRPr="00BD2E34" w:rsidDel="00BD2E34">
      <w:rPr>
        <w:sz w:val="28"/>
        <w:szCs w:val="28"/>
      </w:rPr>
      <w:t xml:space="preserve"> </w:t>
    </w:r>
    <w:r>
      <w:tab/>
      <w:t>B09-CTCK</w:t>
    </w:r>
  </w:p>
  <w:p w14:paraId="1CBFAA68" w14:textId="77777777" w:rsidR="00345E81" w:rsidRPr="003A3C1E" w:rsidRDefault="00345E81"/>
  <w:p w14:paraId="7FF90975" w14:textId="2613CF40" w:rsidR="00345E81" w:rsidRPr="003A3C1E" w:rsidRDefault="00345E81" w:rsidP="00CE21D3">
    <w:r w:rsidRPr="003E181C">
      <w:t>NOTES TO THE FINANCIAL STATEMENTS</w:t>
    </w:r>
    <w:r w:rsidRPr="003E181C" w:rsidDel="003E181C">
      <w:t xml:space="preserve"> </w:t>
    </w:r>
    <w:r w:rsidRPr="007973C8">
      <w:tab/>
    </w:r>
  </w:p>
  <w:p w14:paraId="0FECB7C1" w14:textId="4267B79E" w:rsidR="00345E81" w:rsidRPr="00A64BED" w:rsidRDefault="00345E81" w:rsidP="00CE21D3">
    <w:pPr>
      <w:rPr>
        <w:i/>
      </w:rPr>
    </w:pPr>
    <w:r w:rsidRPr="00FA772D">
      <w:t xml:space="preserve">as </w:t>
    </w:r>
    <w:proofErr w:type="gramStart"/>
    <w:r w:rsidRPr="00FA772D">
      <w:t>at</w:t>
    </w:r>
    <w:proofErr w:type="gramEnd"/>
    <w:r w:rsidRPr="00FA772D">
      <w:t xml:space="preserve"> 31 December 202</w:t>
    </w:r>
    <w:r w:rsidR="00ED1388">
      <w:t>2</w:t>
    </w:r>
    <w:r w:rsidRPr="00FA772D">
      <w:t xml:space="preserve"> and for the year then ended</w:t>
    </w:r>
    <w:r w:rsidRPr="00FA772D" w:rsidDel="00FA772D">
      <w:t xml:space="preserve"> </w:t>
    </w:r>
  </w:p>
  <w:p w14:paraId="07523079" w14:textId="77777777" w:rsidR="00345E81" w:rsidRPr="003A3C1E" w:rsidRDefault="00345E81" w:rsidP="00CE21D3"/>
  <w:p w14:paraId="23DCCE5F" w14:textId="77777777" w:rsidR="00345E81" w:rsidRPr="008064F8" w:rsidRDefault="00345E81" w:rsidP="00CE21D3"/>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60B6" w14:textId="2D2F4C2A" w:rsidR="00345E81" w:rsidRPr="003A3C1E" w:rsidRDefault="00345E81" w:rsidP="00CE21D3">
    <w:pPr>
      <w:tabs>
        <w:tab w:val="right" w:pos="13950"/>
      </w:tabs>
    </w:pPr>
    <w:r w:rsidRPr="005F44F3">
      <w:rPr>
        <w:sz w:val="28"/>
        <w:szCs w:val="28"/>
      </w:rPr>
      <w:t>NH Securities Vietnam Co., Ltd</w:t>
    </w:r>
    <w:r w:rsidRPr="005F44F3" w:rsidDel="005F44F3">
      <w:rPr>
        <w:sz w:val="28"/>
        <w:szCs w:val="28"/>
      </w:rPr>
      <w:t xml:space="preserve"> </w:t>
    </w:r>
    <w:r>
      <w:tab/>
      <w:t>B09-CTCK</w:t>
    </w:r>
  </w:p>
  <w:p w14:paraId="677F116A" w14:textId="77777777" w:rsidR="00345E81" w:rsidRPr="003A3C1E" w:rsidRDefault="00345E81"/>
  <w:p w14:paraId="10CBED8C" w14:textId="5F5BF0AE" w:rsidR="00345E81" w:rsidRPr="003A3C1E" w:rsidRDefault="00345E81" w:rsidP="00CE21D3">
    <w:r w:rsidRPr="00156285">
      <w:t>NOTES TO THE FINANCIAL STATEMENTS</w:t>
    </w:r>
    <w:r w:rsidRPr="00156285">
      <w:tab/>
      <w:t xml:space="preserve"> (continued)</w:t>
    </w:r>
  </w:p>
  <w:p w14:paraId="7A64C5C2" w14:textId="4B62DC59" w:rsidR="00345E81" w:rsidRPr="00A64BED" w:rsidRDefault="00345E81" w:rsidP="00CE21D3">
    <w:pPr>
      <w:rPr>
        <w:i/>
      </w:rPr>
    </w:pPr>
    <w:r w:rsidRPr="00555878">
      <w:t xml:space="preserve">as </w:t>
    </w:r>
    <w:proofErr w:type="gramStart"/>
    <w:r w:rsidRPr="00555878">
      <w:t>at</w:t>
    </w:r>
    <w:proofErr w:type="gramEnd"/>
    <w:r w:rsidRPr="00555878">
      <w:t xml:space="preserve"> 31 December 202</w:t>
    </w:r>
    <w:r w:rsidR="00B46C5F">
      <w:t>2</w:t>
    </w:r>
    <w:r w:rsidRPr="00555878">
      <w:t xml:space="preserve"> and for the year then ended</w:t>
    </w:r>
    <w:r w:rsidRPr="00555878" w:rsidDel="00555878">
      <w:t xml:space="preserve"> </w:t>
    </w:r>
  </w:p>
  <w:p w14:paraId="0703A2A2" w14:textId="77777777" w:rsidR="00345E81" w:rsidRPr="003A3C1E" w:rsidRDefault="00345E81" w:rsidP="00CE21D3"/>
  <w:p w14:paraId="3182DDC5" w14:textId="77777777" w:rsidR="00345E81" w:rsidRPr="008064F8" w:rsidRDefault="00345E81" w:rsidP="00CE21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E8E77" w14:textId="77777777" w:rsidR="00345E81" w:rsidRDefault="00345E8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EAF51" w14:textId="77777777" w:rsidR="00345E81" w:rsidRDefault="00345E8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6F43" w14:textId="477EEEC3" w:rsidR="00345E81" w:rsidRDefault="00345E81">
    <w:pPr>
      <w:spacing w:after="300"/>
      <w:rPr>
        <w:rFonts w:cs="Arial"/>
        <w:sz w:val="28"/>
        <w:szCs w:val="28"/>
      </w:rPr>
    </w:pPr>
    <w:r w:rsidRPr="004D1870">
      <w:rPr>
        <w:rFonts w:cs="Arial"/>
        <w:sz w:val="28"/>
        <w:szCs w:val="28"/>
      </w:rPr>
      <w:t>NH Securities Vietnam Co., Ltd</w:t>
    </w:r>
    <w:r w:rsidRPr="004D1870" w:rsidDel="004D1870">
      <w:rPr>
        <w:rFonts w:cs="Arial"/>
        <w:sz w:val="28"/>
        <w:szCs w:val="28"/>
      </w:rPr>
      <w:t xml:space="preserve"> </w:t>
    </w:r>
  </w:p>
  <w:p w14:paraId="588A867D" w14:textId="77777777" w:rsidR="00345E81" w:rsidRPr="00E6032A" w:rsidRDefault="00345E81">
    <w:pPr>
      <w:spacing w:after="300"/>
      <w:rPr>
        <w:rFonts w:cs="Arial"/>
        <w:szCs w:val="2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5B03B" w14:textId="77777777" w:rsidR="00345E81" w:rsidRDefault="00345E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A53B" w14:textId="77777777" w:rsidR="00345E81" w:rsidRDefault="00345E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2ACE2" w14:textId="13A0A21B" w:rsidR="00345E81" w:rsidRDefault="00345E81" w:rsidP="00AB5021">
    <w:pPr>
      <w:rPr>
        <w:rFonts w:cs="Arial"/>
        <w:sz w:val="28"/>
        <w:szCs w:val="28"/>
      </w:rPr>
    </w:pPr>
    <w:r w:rsidRPr="000362C8">
      <w:rPr>
        <w:rFonts w:cs="Arial"/>
        <w:sz w:val="28"/>
        <w:szCs w:val="28"/>
      </w:rPr>
      <w:t>NH Securities Vietnam Co., Ltd</w:t>
    </w:r>
    <w:r w:rsidRPr="000362C8" w:rsidDel="000362C8">
      <w:rPr>
        <w:rFonts w:cs="Arial"/>
        <w:sz w:val="28"/>
        <w:szCs w:val="28"/>
      </w:rPr>
      <w:t xml:space="preserve"> </w:t>
    </w:r>
  </w:p>
  <w:p w14:paraId="6F8F21A8" w14:textId="77777777" w:rsidR="00345E81" w:rsidRPr="003A3C1E" w:rsidRDefault="00345E81" w:rsidP="00AB5021">
    <w:pPr>
      <w:rPr>
        <w:rFonts w:cs="Arial"/>
        <w:szCs w:val="28"/>
      </w:rPr>
    </w:pPr>
  </w:p>
  <w:p w14:paraId="60EF8136" w14:textId="1477905F" w:rsidR="00345E81" w:rsidRDefault="00345E81" w:rsidP="00822578">
    <w:pPr>
      <w:rPr>
        <w:rFonts w:cs="Arial"/>
        <w:sz w:val="28"/>
        <w:szCs w:val="28"/>
      </w:rPr>
    </w:pPr>
    <w:r w:rsidRPr="00462475">
      <w:rPr>
        <w:rFonts w:cs="Arial"/>
        <w:szCs w:val="28"/>
      </w:rPr>
      <w:t>GENERAL INFORMATION (continued)</w:t>
    </w:r>
  </w:p>
  <w:p w14:paraId="3C951B7C" w14:textId="77777777" w:rsidR="00345E81" w:rsidRPr="003A6B5F" w:rsidRDefault="00345E81" w:rsidP="00822578">
    <w:pPr>
      <w:rPr>
        <w:rFonts w:cs="Arial"/>
      </w:rPr>
    </w:pPr>
  </w:p>
  <w:p w14:paraId="0523C85A" w14:textId="20E2842C" w:rsidR="00345E81" w:rsidRPr="00663867" w:rsidRDefault="00345E81" w:rsidP="00822578">
    <w:pPr>
      <w:rPr>
        <w:rFonts w:cs="Aria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17C2" w14:textId="77777777" w:rsidR="00345E81" w:rsidRDefault="00345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64E603A"/>
    <w:lvl w:ilvl="0">
      <w:numFmt w:val="decimal"/>
      <w:pStyle w:val="ListBullet1"/>
      <w:lvlText w:val="*"/>
      <w:lvlJc w:val="left"/>
    </w:lvl>
  </w:abstractNum>
  <w:abstractNum w:abstractNumId="1" w15:restartNumberingAfterBreak="0">
    <w:nsid w:val="00A02586"/>
    <w:multiLevelType w:val="hybridMultilevel"/>
    <w:tmpl w:val="803A9CE4"/>
    <w:lvl w:ilvl="0" w:tplc="11068A56">
      <w:start w:val="3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B1B8C"/>
    <w:multiLevelType w:val="hybridMultilevel"/>
    <w:tmpl w:val="8EDE507A"/>
    <w:lvl w:ilvl="0" w:tplc="2352611A">
      <w:start w:val="1"/>
      <w:numFmt w:val="bullet"/>
      <w:pStyle w:val="Listbulletindent"/>
      <w:lvlText w:val=""/>
      <w:lvlJc w:val="left"/>
      <w:pPr>
        <w:tabs>
          <w:tab w:val="num" w:pos="1069"/>
        </w:tabs>
        <w:ind w:left="992" w:hanging="283"/>
      </w:pPr>
      <w:rPr>
        <w:rFonts w:ascii="Symbol" w:hAnsi="Symbol" w:hint="default"/>
        <w:sz w:val="20"/>
      </w:rPr>
    </w:lvl>
    <w:lvl w:ilvl="1" w:tplc="83A267A4" w:tentative="1">
      <w:start w:val="1"/>
      <w:numFmt w:val="bullet"/>
      <w:lvlText w:val="o"/>
      <w:lvlJc w:val="left"/>
      <w:pPr>
        <w:tabs>
          <w:tab w:val="num" w:pos="2169"/>
        </w:tabs>
        <w:ind w:left="2169" w:hanging="360"/>
      </w:pPr>
      <w:rPr>
        <w:rFonts w:ascii="Courier New" w:hAnsi="Courier New" w:hint="default"/>
      </w:rPr>
    </w:lvl>
    <w:lvl w:ilvl="2" w:tplc="5A5A96EE" w:tentative="1">
      <w:start w:val="1"/>
      <w:numFmt w:val="bullet"/>
      <w:lvlText w:val=""/>
      <w:lvlJc w:val="left"/>
      <w:pPr>
        <w:tabs>
          <w:tab w:val="num" w:pos="2889"/>
        </w:tabs>
        <w:ind w:left="2889" w:hanging="360"/>
      </w:pPr>
      <w:rPr>
        <w:rFonts w:ascii="Wingdings" w:hAnsi="Wingdings" w:hint="default"/>
      </w:rPr>
    </w:lvl>
    <w:lvl w:ilvl="3" w:tplc="B3C2C172" w:tentative="1">
      <w:start w:val="1"/>
      <w:numFmt w:val="bullet"/>
      <w:lvlText w:val=""/>
      <w:lvlJc w:val="left"/>
      <w:pPr>
        <w:tabs>
          <w:tab w:val="num" w:pos="3609"/>
        </w:tabs>
        <w:ind w:left="3609" w:hanging="360"/>
      </w:pPr>
      <w:rPr>
        <w:rFonts w:ascii="Symbol" w:hAnsi="Symbol" w:hint="default"/>
      </w:rPr>
    </w:lvl>
    <w:lvl w:ilvl="4" w:tplc="C45EECC8" w:tentative="1">
      <w:start w:val="1"/>
      <w:numFmt w:val="bullet"/>
      <w:lvlText w:val="o"/>
      <w:lvlJc w:val="left"/>
      <w:pPr>
        <w:tabs>
          <w:tab w:val="num" w:pos="4329"/>
        </w:tabs>
        <w:ind w:left="4329" w:hanging="360"/>
      </w:pPr>
      <w:rPr>
        <w:rFonts w:ascii="Courier New" w:hAnsi="Courier New" w:hint="default"/>
      </w:rPr>
    </w:lvl>
    <w:lvl w:ilvl="5" w:tplc="5F522678" w:tentative="1">
      <w:start w:val="1"/>
      <w:numFmt w:val="bullet"/>
      <w:lvlText w:val=""/>
      <w:lvlJc w:val="left"/>
      <w:pPr>
        <w:tabs>
          <w:tab w:val="num" w:pos="5049"/>
        </w:tabs>
        <w:ind w:left="5049" w:hanging="360"/>
      </w:pPr>
      <w:rPr>
        <w:rFonts w:ascii="Wingdings" w:hAnsi="Wingdings" w:hint="default"/>
      </w:rPr>
    </w:lvl>
    <w:lvl w:ilvl="6" w:tplc="2CCC0A72" w:tentative="1">
      <w:start w:val="1"/>
      <w:numFmt w:val="bullet"/>
      <w:lvlText w:val=""/>
      <w:lvlJc w:val="left"/>
      <w:pPr>
        <w:tabs>
          <w:tab w:val="num" w:pos="5769"/>
        </w:tabs>
        <w:ind w:left="5769" w:hanging="360"/>
      </w:pPr>
      <w:rPr>
        <w:rFonts w:ascii="Symbol" w:hAnsi="Symbol" w:hint="default"/>
      </w:rPr>
    </w:lvl>
    <w:lvl w:ilvl="7" w:tplc="393ABF98" w:tentative="1">
      <w:start w:val="1"/>
      <w:numFmt w:val="bullet"/>
      <w:lvlText w:val="o"/>
      <w:lvlJc w:val="left"/>
      <w:pPr>
        <w:tabs>
          <w:tab w:val="num" w:pos="6489"/>
        </w:tabs>
        <w:ind w:left="6489" w:hanging="360"/>
      </w:pPr>
      <w:rPr>
        <w:rFonts w:ascii="Courier New" w:hAnsi="Courier New" w:hint="default"/>
      </w:rPr>
    </w:lvl>
    <w:lvl w:ilvl="8" w:tplc="B26EB0AC" w:tentative="1">
      <w:start w:val="1"/>
      <w:numFmt w:val="bullet"/>
      <w:lvlText w:val=""/>
      <w:lvlJc w:val="left"/>
      <w:pPr>
        <w:tabs>
          <w:tab w:val="num" w:pos="7209"/>
        </w:tabs>
        <w:ind w:left="7209" w:hanging="360"/>
      </w:pPr>
      <w:rPr>
        <w:rFonts w:ascii="Wingdings" w:hAnsi="Wingdings" w:hint="default"/>
      </w:rPr>
    </w:lvl>
  </w:abstractNum>
  <w:abstractNum w:abstractNumId="3" w15:restartNumberingAfterBreak="0">
    <w:nsid w:val="01BC450F"/>
    <w:multiLevelType w:val="hybridMultilevel"/>
    <w:tmpl w:val="3A66B8D2"/>
    <w:lvl w:ilvl="0" w:tplc="AF9443BE">
      <w:start w:val="1"/>
      <w:numFmt w:val="bullet"/>
      <w:lvlText w:val=""/>
      <w:lvlJc w:val="left"/>
      <w:pPr>
        <w:ind w:left="720" w:hanging="360"/>
      </w:pPr>
      <w:rPr>
        <w:rFonts w:ascii="Wingdings 3" w:hAnsi="Wingdings 3" w:hint="default"/>
        <w:color w:val="80808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3090EA3"/>
    <w:multiLevelType w:val="hybridMultilevel"/>
    <w:tmpl w:val="78E8FC98"/>
    <w:lvl w:ilvl="0" w:tplc="A2C4E1F2">
      <w:numFmt w:val="bullet"/>
      <w:lvlText w:val=""/>
      <w:lvlJc w:val="left"/>
      <w:pPr>
        <w:ind w:left="1350" w:hanging="360"/>
      </w:pPr>
      <w:rPr>
        <w:rFonts w:ascii="Wingdings 3" w:hAnsi="Wingdings 3" w:cs="Times New Roman" w:hint="default"/>
        <w:color w:val="808080"/>
        <w:sz w:val="16"/>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09A8150D"/>
    <w:multiLevelType w:val="hybridMultilevel"/>
    <w:tmpl w:val="3956EBE2"/>
    <w:lvl w:ilvl="0" w:tplc="52668606">
      <w:start w:val="70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42D16"/>
    <w:multiLevelType w:val="hybridMultilevel"/>
    <w:tmpl w:val="BFB4F522"/>
    <w:lvl w:ilvl="0" w:tplc="A2C4E1F2">
      <w:numFmt w:val="bullet"/>
      <w:lvlText w:val=""/>
      <w:lvlJc w:val="left"/>
      <w:pPr>
        <w:ind w:left="1843" w:hanging="360"/>
      </w:pPr>
      <w:rPr>
        <w:rFonts w:ascii="Wingdings 3" w:hAnsi="Wingdings 3" w:cs="Times New Roman" w:hint="default"/>
        <w:color w:val="808080"/>
        <w:sz w:val="16"/>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7" w15:restartNumberingAfterBreak="0">
    <w:nsid w:val="104B4A74"/>
    <w:multiLevelType w:val="hybridMultilevel"/>
    <w:tmpl w:val="6B7A99C2"/>
    <w:lvl w:ilvl="0" w:tplc="2952A452">
      <w:start w:val="1"/>
      <w:numFmt w:val="decimal"/>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8" w15:restartNumberingAfterBreak="0">
    <w:nsid w:val="12B566B3"/>
    <w:multiLevelType w:val="hybridMultilevel"/>
    <w:tmpl w:val="60B8EFD8"/>
    <w:lvl w:ilvl="0" w:tplc="4ADE8AD0">
      <w:numFmt w:val="bullet"/>
      <w:lvlText w:val=""/>
      <w:lvlJc w:val="left"/>
      <w:pPr>
        <w:ind w:left="720" w:hanging="360"/>
      </w:pPr>
      <w:rPr>
        <w:rFonts w:ascii="Wingdings 3" w:hAnsi="Wingdings 3" w:cs="Times New Roman" w:hint="default"/>
        <w:color w:val="80808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305B79"/>
    <w:multiLevelType w:val="hybridMultilevel"/>
    <w:tmpl w:val="E430C0BA"/>
    <w:lvl w:ilvl="0" w:tplc="A2005C32">
      <w:start w:val="1"/>
      <w:numFmt w:val="bullet"/>
      <w:lvlText w:val=""/>
      <w:lvlJc w:val="left"/>
      <w:pPr>
        <w:ind w:left="1440" w:hanging="360"/>
      </w:pPr>
      <w:rPr>
        <w:rFonts w:ascii="Wingdings 3" w:hAnsi="Wingdings 3" w:hint="default"/>
        <w:color w:val="7F7F7F" w:themeColor="text1" w:themeTint="8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1E2E8D"/>
    <w:multiLevelType w:val="hybridMultilevel"/>
    <w:tmpl w:val="375E5BA4"/>
    <w:lvl w:ilvl="0" w:tplc="B2283FC4">
      <w:start w:val="31"/>
      <w:numFmt w:val="bullet"/>
      <w:lvlText w:val="-"/>
      <w:lvlJc w:val="left"/>
      <w:pPr>
        <w:ind w:left="720" w:hanging="360"/>
      </w:pPr>
      <w:rPr>
        <w:rFonts w:ascii="Arial" w:eastAsia="VNI-Times" w:hAnsi="Arial" w:cs="Arial" w:hint="default"/>
        <w:b w:val="0"/>
        <w:i/>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C30AF"/>
    <w:multiLevelType w:val="hybridMultilevel"/>
    <w:tmpl w:val="EFDC87FE"/>
    <w:lvl w:ilvl="0" w:tplc="B2283FC4">
      <w:start w:val="31"/>
      <w:numFmt w:val="bullet"/>
      <w:lvlText w:val="-"/>
      <w:lvlJc w:val="left"/>
      <w:pPr>
        <w:ind w:left="2160" w:hanging="360"/>
      </w:pPr>
      <w:rPr>
        <w:rFonts w:ascii="Arial" w:eastAsia="VNI-Times" w:hAnsi="Arial" w:cs="Arial" w:hint="default"/>
        <w:b w:val="0"/>
        <w:i/>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0587F7C"/>
    <w:multiLevelType w:val="hybridMultilevel"/>
    <w:tmpl w:val="0E5AE19E"/>
    <w:lvl w:ilvl="0" w:tplc="0409000F">
      <w:start w:val="1"/>
      <w:numFmt w:val="bullet"/>
      <w:pStyle w:val="listbulletindent0"/>
      <w:lvlText w:val=""/>
      <w:lvlJc w:val="left"/>
      <w:pPr>
        <w:tabs>
          <w:tab w:val="num" w:pos="1080"/>
        </w:tabs>
        <w:ind w:left="1004" w:hanging="284"/>
      </w:pPr>
      <w:rPr>
        <w:rFonts w:ascii="Symbol" w:hAnsi="Symbol" w:hint="default"/>
        <w:sz w:val="22"/>
      </w:rPr>
    </w:lvl>
    <w:lvl w:ilvl="1" w:tplc="04090019">
      <w:start w:val="1"/>
      <w:numFmt w:val="bullet"/>
      <w:lvlText w:val=""/>
      <w:lvlJc w:val="left"/>
      <w:pPr>
        <w:tabs>
          <w:tab w:val="num" w:pos="2160"/>
        </w:tabs>
        <w:ind w:left="2160" w:hanging="360"/>
      </w:pPr>
      <w:rPr>
        <w:rFonts w:ascii="Symbol" w:hAnsi="Symbol" w:hint="default"/>
        <w:sz w:val="22"/>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1EB6486"/>
    <w:multiLevelType w:val="hybridMultilevel"/>
    <w:tmpl w:val="6C36BB2C"/>
    <w:lvl w:ilvl="0" w:tplc="4A9A7C44">
      <w:start w:val="1"/>
      <w:numFmt w:val="bullet"/>
      <w:pStyle w:val="ListBullet2"/>
      <w:lvlText w:val=""/>
      <w:lvlJc w:val="left"/>
      <w:pPr>
        <w:tabs>
          <w:tab w:val="num" w:pos="731"/>
        </w:tabs>
        <w:ind w:left="357" w:firstLine="363"/>
      </w:pPr>
      <w:rPr>
        <w:rFonts w:ascii="Wingdings 3" w:hAnsi="Wingdings 3" w:cs="Courier New" w:hint="default"/>
        <w:b/>
        <w:i w:val="0"/>
        <w:color w:val="808080"/>
        <w:sz w:val="16"/>
        <w:szCs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1FE493D"/>
    <w:multiLevelType w:val="hybridMultilevel"/>
    <w:tmpl w:val="DCF2B0CC"/>
    <w:lvl w:ilvl="0" w:tplc="4ADE8AD0">
      <w:numFmt w:val="bullet"/>
      <w:lvlText w:val=""/>
      <w:lvlJc w:val="left"/>
      <w:pPr>
        <w:ind w:left="1440" w:hanging="360"/>
      </w:pPr>
      <w:rPr>
        <w:rFonts w:ascii="Wingdings 3" w:hAnsi="Wingdings 3" w:cs="Times New Roman" w:hint="default"/>
        <w:color w:val="80808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F334B7"/>
    <w:multiLevelType w:val="hybridMultilevel"/>
    <w:tmpl w:val="278CAA52"/>
    <w:lvl w:ilvl="0" w:tplc="20F237F4">
      <w:start w:val="1"/>
      <w:numFmt w:val="bullet"/>
      <w:lvlText w:val=""/>
      <w:lvlJc w:val="left"/>
      <w:pPr>
        <w:tabs>
          <w:tab w:val="num" w:pos="360"/>
        </w:tabs>
        <w:ind w:left="284" w:hanging="284"/>
      </w:pPr>
      <w:rPr>
        <w:rFonts w:ascii="Symbol" w:hAnsi="Symbol" w:hint="default"/>
        <w:sz w:val="14"/>
      </w:rPr>
    </w:lvl>
    <w:lvl w:ilvl="1" w:tplc="04090003">
      <w:start w:val="1"/>
      <w:numFmt w:val="bullet"/>
      <w:pStyle w:val="Bullet"/>
      <w:lvlText w:val=""/>
      <w:lvlJc w:val="left"/>
      <w:pPr>
        <w:tabs>
          <w:tab w:val="num" w:pos="360"/>
        </w:tabs>
        <w:ind w:left="284" w:hanging="284"/>
      </w:pPr>
      <w:rPr>
        <w:rFonts w:ascii="Symbol" w:hAnsi="Symbol"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526ABE"/>
    <w:multiLevelType w:val="hybridMultilevel"/>
    <w:tmpl w:val="6E98448E"/>
    <w:lvl w:ilvl="0" w:tplc="04090017">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7" w15:restartNumberingAfterBreak="0">
    <w:nsid w:val="26222628"/>
    <w:multiLevelType w:val="hybridMultilevel"/>
    <w:tmpl w:val="CE6ED172"/>
    <w:lvl w:ilvl="0" w:tplc="607858F2">
      <w:start w:val="5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D20682"/>
    <w:multiLevelType w:val="hybridMultilevel"/>
    <w:tmpl w:val="0ECC15D6"/>
    <w:lvl w:ilvl="0" w:tplc="AC80343E">
      <w:start w:val="1"/>
      <w:numFmt w:val="bullet"/>
      <w:lvlText w:val=""/>
      <w:lvlJc w:val="left"/>
      <w:pPr>
        <w:ind w:left="720" w:hanging="360"/>
      </w:pPr>
      <w:rPr>
        <w:rFonts w:ascii="Wingdings 3" w:hAnsi="Wingdings 3" w:hint="default"/>
        <w:b w:val="0"/>
        <w:i w:val="0"/>
        <w:color w:val="808080" w:themeColor="background1" w:themeShade="80"/>
        <w:sz w:val="22"/>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B30636F"/>
    <w:multiLevelType w:val="hybridMultilevel"/>
    <w:tmpl w:val="CB22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5154DD"/>
    <w:multiLevelType w:val="hybridMultilevel"/>
    <w:tmpl w:val="FBFE0378"/>
    <w:lvl w:ilvl="0" w:tplc="521C7EE0">
      <w:start w:val="1"/>
      <w:numFmt w:val="bullet"/>
      <w:pStyle w:val="ListBullet"/>
      <w:lvlText w:val=""/>
      <w:lvlJc w:val="left"/>
      <w:pPr>
        <w:tabs>
          <w:tab w:val="num" w:pos="357"/>
        </w:tabs>
        <w:ind w:left="357" w:hanging="357"/>
      </w:pPr>
      <w:rPr>
        <w:rFonts w:ascii="Wingdings 3" w:hAnsi="Wingdings 3" w:hint="default"/>
        <w:b w:val="0"/>
        <w:i w:val="0"/>
        <w:color w:val="808080" w:themeColor="background1" w:themeShade="80"/>
        <w:sz w:val="16"/>
        <w:szCs w:val="16"/>
      </w:rPr>
    </w:lvl>
    <w:lvl w:ilvl="1" w:tplc="8B00E7AC" w:tentative="1">
      <w:start w:val="1"/>
      <w:numFmt w:val="bullet"/>
      <w:lvlText w:val="o"/>
      <w:lvlJc w:val="left"/>
      <w:pPr>
        <w:tabs>
          <w:tab w:val="num" w:pos="1080"/>
        </w:tabs>
        <w:ind w:left="1080" w:hanging="360"/>
      </w:pPr>
      <w:rPr>
        <w:rFonts w:ascii="Courier New" w:hAnsi="Courier New" w:hint="default"/>
      </w:rPr>
    </w:lvl>
    <w:lvl w:ilvl="2" w:tplc="6E2E3E42" w:tentative="1">
      <w:start w:val="1"/>
      <w:numFmt w:val="bullet"/>
      <w:lvlText w:val=""/>
      <w:lvlJc w:val="left"/>
      <w:pPr>
        <w:tabs>
          <w:tab w:val="num" w:pos="1800"/>
        </w:tabs>
        <w:ind w:left="1800" w:hanging="360"/>
      </w:pPr>
      <w:rPr>
        <w:rFonts w:ascii="Wingdings" w:hAnsi="Wingdings" w:hint="default"/>
      </w:rPr>
    </w:lvl>
    <w:lvl w:ilvl="3" w:tplc="D170563E" w:tentative="1">
      <w:start w:val="1"/>
      <w:numFmt w:val="bullet"/>
      <w:lvlText w:val=""/>
      <w:lvlJc w:val="left"/>
      <w:pPr>
        <w:tabs>
          <w:tab w:val="num" w:pos="2520"/>
        </w:tabs>
        <w:ind w:left="2520" w:hanging="360"/>
      </w:pPr>
      <w:rPr>
        <w:rFonts w:ascii="Symbol" w:hAnsi="Symbol" w:hint="default"/>
      </w:rPr>
    </w:lvl>
    <w:lvl w:ilvl="4" w:tplc="0BB43F1E" w:tentative="1">
      <w:start w:val="1"/>
      <w:numFmt w:val="bullet"/>
      <w:lvlText w:val="o"/>
      <w:lvlJc w:val="left"/>
      <w:pPr>
        <w:tabs>
          <w:tab w:val="num" w:pos="3240"/>
        </w:tabs>
        <w:ind w:left="3240" w:hanging="360"/>
      </w:pPr>
      <w:rPr>
        <w:rFonts w:ascii="Courier New" w:hAnsi="Courier New" w:hint="default"/>
      </w:rPr>
    </w:lvl>
    <w:lvl w:ilvl="5" w:tplc="E06AF0B8" w:tentative="1">
      <w:start w:val="1"/>
      <w:numFmt w:val="bullet"/>
      <w:lvlText w:val=""/>
      <w:lvlJc w:val="left"/>
      <w:pPr>
        <w:tabs>
          <w:tab w:val="num" w:pos="3960"/>
        </w:tabs>
        <w:ind w:left="3960" w:hanging="360"/>
      </w:pPr>
      <w:rPr>
        <w:rFonts w:ascii="Wingdings" w:hAnsi="Wingdings" w:hint="default"/>
      </w:rPr>
    </w:lvl>
    <w:lvl w:ilvl="6" w:tplc="81E6F0B4" w:tentative="1">
      <w:start w:val="1"/>
      <w:numFmt w:val="bullet"/>
      <w:lvlText w:val=""/>
      <w:lvlJc w:val="left"/>
      <w:pPr>
        <w:tabs>
          <w:tab w:val="num" w:pos="4680"/>
        </w:tabs>
        <w:ind w:left="4680" w:hanging="360"/>
      </w:pPr>
      <w:rPr>
        <w:rFonts w:ascii="Symbol" w:hAnsi="Symbol" w:hint="default"/>
      </w:rPr>
    </w:lvl>
    <w:lvl w:ilvl="7" w:tplc="C88E9C7C" w:tentative="1">
      <w:start w:val="1"/>
      <w:numFmt w:val="bullet"/>
      <w:lvlText w:val="o"/>
      <w:lvlJc w:val="left"/>
      <w:pPr>
        <w:tabs>
          <w:tab w:val="num" w:pos="5400"/>
        </w:tabs>
        <w:ind w:left="5400" w:hanging="360"/>
      </w:pPr>
      <w:rPr>
        <w:rFonts w:ascii="Courier New" w:hAnsi="Courier New" w:hint="default"/>
      </w:rPr>
    </w:lvl>
    <w:lvl w:ilvl="8" w:tplc="A782AC1E"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B764BA8"/>
    <w:multiLevelType w:val="hybridMultilevel"/>
    <w:tmpl w:val="47889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3C2806DD"/>
    <w:multiLevelType w:val="hybridMultilevel"/>
    <w:tmpl w:val="147E9C04"/>
    <w:lvl w:ilvl="0" w:tplc="AFC0FEB6">
      <w:start w:val="3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E3D52"/>
    <w:multiLevelType w:val="hybridMultilevel"/>
    <w:tmpl w:val="B15A6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0233B7"/>
    <w:multiLevelType w:val="hybridMultilevel"/>
    <w:tmpl w:val="6E98448E"/>
    <w:lvl w:ilvl="0" w:tplc="04090017">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5" w15:restartNumberingAfterBreak="0">
    <w:nsid w:val="4A991DA5"/>
    <w:multiLevelType w:val="hybridMultilevel"/>
    <w:tmpl w:val="4F6E90C6"/>
    <w:lvl w:ilvl="0" w:tplc="68B0C894">
      <w:start w:val="1"/>
      <w:numFmt w:val="decimal"/>
      <w:lvlText w:val="%1."/>
      <w:lvlJc w:val="left"/>
      <w:pPr>
        <w:ind w:left="302" w:hanging="360"/>
      </w:pPr>
      <w:rPr>
        <w:rFonts w:hint="default"/>
        <w:b/>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26" w15:restartNumberingAfterBreak="0">
    <w:nsid w:val="55E279DA"/>
    <w:multiLevelType w:val="hybridMultilevel"/>
    <w:tmpl w:val="FEB88E96"/>
    <w:lvl w:ilvl="0" w:tplc="B2283FC4">
      <w:start w:val="31"/>
      <w:numFmt w:val="bullet"/>
      <w:lvlText w:val="-"/>
      <w:lvlJc w:val="left"/>
      <w:pPr>
        <w:ind w:left="720" w:hanging="360"/>
      </w:pPr>
      <w:rPr>
        <w:rFonts w:ascii="Arial" w:eastAsia="VNI-Times" w:hAnsi="Arial" w:cs="Arial" w:hint="default"/>
        <w:b w:val="0"/>
        <w:i/>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813001"/>
    <w:multiLevelType w:val="hybridMultilevel"/>
    <w:tmpl w:val="96C0C5EE"/>
    <w:lvl w:ilvl="0" w:tplc="43FC7344">
      <w:start w:val="77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136EE9"/>
    <w:multiLevelType w:val="hybridMultilevel"/>
    <w:tmpl w:val="50CE434A"/>
    <w:lvl w:ilvl="0" w:tplc="33103D58">
      <w:start w:val="1"/>
      <w:numFmt w:val="lowerLetter"/>
      <w:lvlText w:val="%1)"/>
      <w:lvlJc w:val="left"/>
      <w:pPr>
        <w:ind w:left="171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030A62"/>
    <w:multiLevelType w:val="hybridMultilevel"/>
    <w:tmpl w:val="238ADE82"/>
    <w:lvl w:ilvl="0" w:tplc="A2C4E1F2">
      <w:numFmt w:val="bullet"/>
      <w:lvlText w:val=""/>
      <w:lvlJc w:val="left"/>
      <w:pPr>
        <w:ind w:left="720" w:hanging="360"/>
      </w:pPr>
      <w:rPr>
        <w:rFonts w:ascii="Wingdings 3" w:hAnsi="Wingdings 3" w:cs="Times New Roman" w:hint="default"/>
        <w:color w:val="80808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67179"/>
    <w:multiLevelType w:val="hybridMultilevel"/>
    <w:tmpl w:val="F920EC0E"/>
    <w:lvl w:ilvl="0" w:tplc="A2C4E1F2">
      <w:numFmt w:val="bullet"/>
      <w:lvlText w:val=""/>
      <w:lvlJc w:val="left"/>
      <w:pPr>
        <w:tabs>
          <w:tab w:val="num" w:pos="420"/>
        </w:tabs>
        <w:ind w:left="420" w:hanging="420"/>
      </w:pPr>
      <w:rPr>
        <w:rFonts w:ascii="Wingdings 3" w:hAnsi="Wingdings 3" w:cs="Times New Roman" w:hint="default"/>
        <w:color w:val="808080"/>
        <w:sz w:val="16"/>
      </w:rPr>
    </w:lvl>
    <w:lvl w:ilvl="1" w:tplc="04090019">
      <w:start w:val="1"/>
      <w:numFmt w:val="bullet"/>
      <w:lvlText w:val=""/>
      <w:lvlJc w:val="left"/>
      <w:pPr>
        <w:tabs>
          <w:tab w:val="num" w:pos="2160"/>
        </w:tabs>
        <w:ind w:left="2160" w:hanging="360"/>
      </w:pPr>
      <w:rPr>
        <w:rFonts w:ascii="Symbol" w:hAnsi="Symbol" w:hint="default"/>
        <w:sz w:val="22"/>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A7F31E2"/>
    <w:multiLevelType w:val="hybridMultilevel"/>
    <w:tmpl w:val="B42A5E40"/>
    <w:lvl w:ilvl="0" w:tplc="4ADE8AD0">
      <w:numFmt w:val="bullet"/>
      <w:lvlText w:val=""/>
      <w:lvlJc w:val="left"/>
      <w:pPr>
        <w:ind w:left="720" w:hanging="360"/>
      </w:pPr>
      <w:rPr>
        <w:rFonts w:ascii="Wingdings 3" w:hAnsi="Wingdings 3" w:cs="Times New Roman" w:hint="default"/>
        <w:color w:val="80808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1700B6"/>
    <w:multiLevelType w:val="hybridMultilevel"/>
    <w:tmpl w:val="D9507B66"/>
    <w:lvl w:ilvl="0" w:tplc="8F46F476">
      <w:start w:val="3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0"/>
    <w:lvlOverride w:ilvl="0">
      <w:lvl w:ilvl="0">
        <w:start w:val="1"/>
        <w:numFmt w:val="bullet"/>
        <w:pStyle w:val="ListBullet1"/>
        <w:lvlText w:val=""/>
        <w:lvlJc w:val="left"/>
        <w:pPr>
          <w:tabs>
            <w:tab w:val="num" w:pos="360"/>
          </w:tabs>
          <w:ind w:left="283" w:hanging="283"/>
        </w:pPr>
        <w:rPr>
          <w:rFonts w:ascii="Symbol" w:hAnsi="Symbol" w:hint="default"/>
          <w:sz w:val="20"/>
        </w:rPr>
      </w:lvl>
    </w:lvlOverride>
  </w:num>
  <w:num w:numId="4">
    <w:abstractNumId w:val="2"/>
  </w:num>
  <w:num w:numId="5">
    <w:abstractNumId w:val="13"/>
  </w:num>
  <w:num w:numId="6">
    <w:abstractNumId w:val="30"/>
  </w:num>
  <w:num w:numId="7">
    <w:abstractNumId w:val="24"/>
  </w:num>
  <w:num w:numId="8">
    <w:abstractNumId w:val="28"/>
  </w:num>
  <w:num w:numId="9">
    <w:abstractNumId w:val="11"/>
  </w:num>
  <w:num w:numId="10">
    <w:abstractNumId w:val="3"/>
  </w:num>
  <w:num w:numId="11">
    <w:abstractNumId w:val="4"/>
  </w:num>
  <w:num w:numId="12">
    <w:abstractNumId w:val="6"/>
  </w:num>
  <w:num w:numId="13">
    <w:abstractNumId w:val="9"/>
  </w:num>
  <w:num w:numId="14">
    <w:abstractNumId w:val="19"/>
  </w:num>
  <w:num w:numId="15">
    <w:abstractNumId w:val="29"/>
  </w:num>
  <w:num w:numId="16">
    <w:abstractNumId w:val="20"/>
  </w:num>
  <w:num w:numId="17">
    <w:abstractNumId w:val="18"/>
  </w:num>
  <w:num w:numId="18">
    <w:abstractNumId w:val="16"/>
  </w:num>
  <w:num w:numId="19">
    <w:abstractNumId w:val="8"/>
  </w:num>
  <w:num w:numId="20">
    <w:abstractNumId w:val="14"/>
  </w:num>
  <w:num w:numId="21">
    <w:abstractNumId w:val="31"/>
  </w:num>
  <w:num w:numId="22">
    <w:abstractNumId w:val="7"/>
  </w:num>
  <w:num w:numId="23">
    <w:abstractNumId w:val="5"/>
  </w:num>
  <w:num w:numId="24">
    <w:abstractNumId w:val="32"/>
  </w:num>
  <w:num w:numId="25">
    <w:abstractNumId w:val="22"/>
  </w:num>
  <w:num w:numId="26">
    <w:abstractNumId w:val="1"/>
  </w:num>
  <w:num w:numId="27">
    <w:abstractNumId w:val="25"/>
  </w:num>
  <w:num w:numId="28">
    <w:abstractNumId w:val="23"/>
  </w:num>
  <w:num w:numId="29">
    <w:abstractNumId w:val="21"/>
  </w:num>
  <w:num w:numId="30">
    <w:abstractNumId w:val="26"/>
  </w:num>
  <w:num w:numId="31">
    <w:abstractNumId w:val="10"/>
  </w:num>
  <w:num w:numId="32">
    <w:abstractNumId w:val="17"/>
  </w:num>
  <w:num w:numId="3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hideSpellingErrors/>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86"/>
    <w:rsid w:val="00000222"/>
    <w:rsid w:val="00000273"/>
    <w:rsid w:val="0000029C"/>
    <w:rsid w:val="000002F8"/>
    <w:rsid w:val="000003CF"/>
    <w:rsid w:val="00000505"/>
    <w:rsid w:val="0000065C"/>
    <w:rsid w:val="0000067C"/>
    <w:rsid w:val="000007BE"/>
    <w:rsid w:val="0000085C"/>
    <w:rsid w:val="000008F1"/>
    <w:rsid w:val="00000925"/>
    <w:rsid w:val="00000D87"/>
    <w:rsid w:val="00000E88"/>
    <w:rsid w:val="00001147"/>
    <w:rsid w:val="0000119A"/>
    <w:rsid w:val="00001222"/>
    <w:rsid w:val="0000144A"/>
    <w:rsid w:val="000015F6"/>
    <w:rsid w:val="00001650"/>
    <w:rsid w:val="0000174E"/>
    <w:rsid w:val="00001A32"/>
    <w:rsid w:val="00001FED"/>
    <w:rsid w:val="00002310"/>
    <w:rsid w:val="000023A2"/>
    <w:rsid w:val="00002652"/>
    <w:rsid w:val="000027CC"/>
    <w:rsid w:val="00002830"/>
    <w:rsid w:val="00003038"/>
    <w:rsid w:val="00003156"/>
    <w:rsid w:val="000031ED"/>
    <w:rsid w:val="000034E3"/>
    <w:rsid w:val="00003626"/>
    <w:rsid w:val="00003692"/>
    <w:rsid w:val="00003AF2"/>
    <w:rsid w:val="00003FCE"/>
    <w:rsid w:val="00004246"/>
    <w:rsid w:val="0000451D"/>
    <w:rsid w:val="00004598"/>
    <w:rsid w:val="00004800"/>
    <w:rsid w:val="00004A5B"/>
    <w:rsid w:val="00004D38"/>
    <w:rsid w:val="00004D6A"/>
    <w:rsid w:val="00004DCE"/>
    <w:rsid w:val="00005276"/>
    <w:rsid w:val="000053F4"/>
    <w:rsid w:val="0000549B"/>
    <w:rsid w:val="00005629"/>
    <w:rsid w:val="0000588D"/>
    <w:rsid w:val="0000588F"/>
    <w:rsid w:val="00005998"/>
    <w:rsid w:val="00005A8F"/>
    <w:rsid w:val="00005CA3"/>
    <w:rsid w:val="00005EB2"/>
    <w:rsid w:val="0000629E"/>
    <w:rsid w:val="0000636D"/>
    <w:rsid w:val="00006892"/>
    <w:rsid w:val="00006CA2"/>
    <w:rsid w:val="00006D36"/>
    <w:rsid w:val="00006DD3"/>
    <w:rsid w:val="00006DEA"/>
    <w:rsid w:val="00006EA0"/>
    <w:rsid w:val="000071F4"/>
    <w:rsid w:val="000072D3"/>
    <w:rsid w:val="00007381"/>
    <w:rsid w:val="0000785C"/>
    <w:rsid w:val="00007D95"/>
    <w:rsid w:val="000100AE"/>
    <w:rsid w:val="00010109"/>
    <w:rsid w:val="000105CD"/>
    <w:rsid w:val="00010981"/>
    <w:rsid w:val="000109F7"/>
    <w:rsid w:val="00010B08"/>
    <w:rsid w:val="000112C5"/>
    <w:rsid w:val="000115F5"/>
    <w:rsid w:val="000119FE"/>
    <w:rsid w:val="00011A6E"/>
    <w:rsid w:val="00011E0F"/>
    <w:rsid w:val="00011FAE"/>
    <w:rsid w:val="00012250"/>
    <w:rsid w:val="00012253"/>
    <w:rsid w:val="00012274"/>
    <w:rsid w:val="0001246C"/>
    <w:rsid w:val="0001280D"/>
    <w:rsid w:val="00012CEA"/>
    <w:rsid w:val="00012DF2"/>
    <w:rsid w:val="00012F19"/>
    <w:rsid w:val="000132DE"/>
    <w:rsid w:val="000136D4"/>
    <w:rsid w:val="0001370F"/>
    <w:rsid w:val="00013CAC"/>
    <w:rsid w:val="000144B9"/>
    <w:rsid w:val="000145CC"/>
    <w:rsid w:val="00014714"/>
    <w:rsid w:val="00014795"/>
    <w:rsid w:val="000147B9"/>
    <w:rsid w:val="000147FE"/>
    <w:rsid w:val="000148CE"/>
    <w:rsid w:val="000149C3"/>
    <w:rsid w:val="00014A81"/>
    <w:rsid w:val="00014B13"/>
    <w:rsid w:val="00014C0B"/>
    <w:rsid w:val="00015703"/>
    <w:rsid w:val="00015A16"/>
    <w:rsid w:val="000160A6"/>
    <w:rsid w:val="000161E9"/>
    <w:rsid w:val="0001695B"/>
    <w:rsid w:val="00016FFB"/>
    <w:rsid w:val="0001707D"/>
    <w:rsid w:val="000171D2"/>
    <w:rsid w:val="000173BF"/>
    <w:rsid w:val="000175A2"/>
    <w:rsid w:val="0001765D"/>
    <w:rsid w:val="0001768C"/>
    <w:rsid w:val="00017805"/>
    <w:rsid w:val="00017BA2"/>
    <w:rsid w:val="00017CD1"/>
    <w:rsid w:val="00017D20"/>
    <w:rsid w:val="0002015F"/>
    <w:rsid w:val="00020269"/>
    <w:rsid w:val="000204FF"/>
    <w:rsid w:val="00020805"/>
    <w:rsid w:val="00020B7F"/>
    <w:rsid w:val="00020BB1"/>
    <w:rsid w:val="00020E98"/>
    <w:rsid w:val="00020F32"/>
    <w:rsid w:val="00021715"/>
    <w:rsid w:val="000217F2"/>
    <w:rsid w:val="00021922"/>
    <w:rsid w:val="000219EC"/>
    <w:rsid w:val="00021A39"/>
    <w:rsid w:val="00021CEF"/>
    <w:rsid w:val="00021D09"/>
    <w:rsid w:val="00021E7E"/>
    <w:rsid w:val="00022163"/>
    <w:rsid w:val="000222B1"/>
    <w:rsid w:val="0002244C"/>
    <w:rsid w:val="00022648"/>
    <w:rsid w:val="00022EDB"/>
    <w:rsid w:val="00023237"/>
    <w:rsid w:val="00023260"/>
    <w:rsid w:val="000232AA"/>
    <w:rsid w:val="000233FB"/>
    <w:rsid w:val="00023419"/>
    <w:rsid w:val="00023524"/>
    <w:rsid w:val="00023997"/>
    <w:rsid w:val="00023B43"/>
    <w:rsid w:val="00023EBC"/>
    <w:rsid w:val="00024054"/>
    <w:rsid w:val="00024423"/>
    <w:rsid w:val="00024723"/>
    <w:rsid w:val="0002485E"/>
    <w:rsid w:val="00024891"/>
    <w:rsid w:val="00024A52"/>
    <w:rsid w:val="00024C64"/>
    <w:rsid w:val="00025113"/>
    <w:rsid w:val="000251C9"/>
    <w:rsid w:val="000252E8"/>
    <w:rsid w:val="000253F4"/>
    <w:rsid w:val="00025806"/>
    <w:rsid w:val="00025CCD"/>
    <w:rsid w:val="0002602D"/>
    <w:rsid w:val="000263A9"/>
    <w:rsid w:val="00026522"/>
    <w:rsid w:val="0002666D"/>
    <w:rsid w:val="0002668E"/>
    <w:rsid w:val="000266FC"/>
    <w:rsid w:val="00026BF6"/>
    <w:rsid w:val="00026C0E"/>
    <w:rsid w:val="00026C4B"/>
    <w:rsid w:val="00026DEF"/>
    <w:rsid w:val="000273A2"/>
    <w:rsid w:val="0002761E"/>
    <w:rsid w:val="00027CAD"/>
    <w:rsid w:val="00027CD2"/>
    <w:rsid w:val="00027E67"/>
    <w:rsid w:val="0003051E"/>
    <w:rsid w:val="00030745"/>
    <w:rsid w:val="0003098D"/>
    <w:rsid w:val="00030E87"/>
    <w:rsid w:val="00030E8E"/>
    <w:rsid w:val="00031143"/>
    <w:rsid w:val="0003120F"/>
    <w:rsid w:val="000316ED"/>
    <w:rsid w:val="00031757"/>
    <w:rsid w:val="0003216B"/>
    <w:rsid w:val="00032384"/>
    <w:rsid w:val="0003269C"/>
    <w:rsid w:val="0003270C"/>
    <w:rsid w:val="000328B9"/>
    <w:rsid w:val="00032954"/>
    <w:rsid w:val="00032BCA"/>
    <w:rsid w:val="00032EE6"/>
    <w:rsid w:val="0003309B"/>
    <w:rsid w:val="000331DE"/>
    <w:rsid w:val="000332F6"/>
    <w:rsid w:val="00033333"/>
    <w:rsid w:val="00033530"/>
    <w:rsid w:val="00033690"/>
    <w:rsid w:val="00033A84"/>
    <w:rsid w:val="00033E45"/>
    <w:rsid w:val="000341BB"/>
    <w:rsid w:val="00034818"/>
    <w:rsid w:val="00034A91"/>
    <w:rsid w:val="00034C40"/>
    <w:rsid w:val="0003575F"/>
    <w:rsid w:val="00035A65"/>
    <w:rsid w:val="00035A66"/>
    <w:rsid w:val="00035CE1"/>
    <w:rsid w:val="00035D54"/>
    <w:rsid w:val="00035DD0"/>
    <w:rsid w:val="00035F3E"/>
    <w:rsid w:val="00036192"/>
    <w:rsid w:val="000362C8"/>
    <w:rsid w:val="0003649B"/>
    <w:rsid w:val="00036A83"/>
    <w:rsid w:val="00036E43"/>
    <w:rsid w:val="00036EF9"/>
    <w:rsid w:val="0003741E"/>
    <w:rsid w:val="0003783E"/>
    <w:rsid w:val="00037893"/>
    <w:rsid w:val="00037AD2"/>
    <w:rsid w:val="00037BDF"/>
    <w:rsid w:val="00037D43"/>
    <w:rsid w:val="00040247"/>
    <w:rsid w:val="000403DB"/>
    <w:rsid w:val="00040520"/>
    <w:rsid w:val="0004063D"/>
    <w:rsid w:val="00040805"/>
    <w:rsid w:val="000408BC"/>
    <w:rsid w:val="00040D93"/>
    <w:rsid w:val="00040ECC"/>
    <w:rsid w:val="00041264"/>
    <w:rsid w:val="000412C2"/>
    <w:rsid w:val="000413D8"/>
    <w:rsid w:val="00041406"/>
    <w:rsid w:val="00041657"/>
    <w:rsid w:val="00041752"/>
    <w:rsid w:val="0004181D"/>
    <w:rsid w:val="00041B6B"/>
    <w:rsid w:val="00041F83"/>
    <w:rsid w:val="0004200E"/>
    <w:rsid w:val="00042AC1"/>
    <w:rsid w:val="00042B43"/>
    <w:rsid w:val="00042F00"/>
    <w:rsid w:val="00042FFD"/>
    <w:rsid w:val="0004316F"/>
    <w:rsid w:val="000433E1"/>
    <w:rsid w:val="0004342C"/>
    <w:rsid w:val="0004388E"/>
    <w:rsid w:val="00043C41"/>
    <w:rsid w:val="00043D4C"/>
    <w:rsid w:val="000443D8"/>
    <w:rsid w:val="000445A6"/>
    <w:rsid w:val="0004488A"/>
    <w:rsid w:val="00044944"/>
    <w:rsid w:val="00044B91"/>
    <w:rsid w:val="00044C4A"/>
    <w:rsid w:val="00044C7C"/>
    <w:rsid w:val="00044C82"/>
    <w:rsid w:val="00044E3A"/>
    <w:rsid w:val="00044E7D"/>
    <w:rsid w:val="00044F6E"/>
    <w:rsid w:val="00045096"/>
    <w:rsid w:val="000451F7"/>
    <w:rsid w:val="000453E7"/>
    <w:rsid w:val="0004562B"/>
    <w:rsid w:val="0004586B"/>
    <w:rsid w:val="000458AD"/>
    <w:rsid w:val="000458BB"/>
    <w:rsid w:val="00045CBD"/>
    <w:rsid w:val="00045E3D"/>
    <w:rsid w:val="00046037"/>
    <w:rsid w:val="000461B5"/>
    <w:rsid w:val="000464FE"/>
    <w:rsid w:val="0004660D"/>
    <w:rsid w:val="00046AAA"/>
    <w:rsid w:val="00046B98"/>
    <w:rsid w:val="00046C2B"/>
    <w:rsid w:val="00046D6A"/>
    <w:rsid w:val="00047001"/>
    <w:rsid w:val="00047FE5"/>
    <w:rsid w:val="00050036"/>
    <w:rsid w:val="00050047"/>
    <w:rsid w:val="00050048"/>
    <w:rsid w:val="0005027B"/>
    <w:rsid w:val="000502C4"/>
    <w:rsid w:val="000502D8"/>
    <w:rsid w:val="000506C5"/>
    <w:rsid w:val="000506EF"/>
    <w:rsid w:val="00050CA2"/>
    <w:rsid w:val="00050F52"/>
    <w:rsid w:val="000510A1"/>
    <w:rsid w:val="000510AB"/>
    <w:rsid w:val="00051193"/>
    <w:rsid w:val="00051461"/>
    <w:rsid w:val="000514AC"/>
    <w:rsid w:val="00051558"/>
    <w:rsid w:val="00051A52"/>
    <w:rsid w:val="00051B67"/>
    <w:rsid w:val="00051C36"/>
    <w:rsid w:val="00052181"/>
    <w:rsid w:val="000522CF"/>
    <w:rsid w:val="0005238F"/>
    <w:rsid w:val="0005242C"/>
    <w:rsid w:val="000524C3"/>
    <w:rsid w:val="000525A0"/>
    <w:rsid w:val="0005265A"/>
    <w:rsid w:val="000528BA"/>
    <w:rsid w:val="0005290F"/>
    <w:rsid w:val="00052A38"/>
    <w:rsid w:val="00052A55"/>
    <w:rsid w:val="00052C11"/>
    <w:rsid w:val="00052D6B"/>
    <w:rsid w:val="00053009"/>
    <w:rsid w:val="00053074"/>
    <w:rsid w:val="0005342A"/>
    <w:rsid w:val="0005344A"/>
    <w:rsid w:val="00053490"/>
    <w:rsid w:val="0005351A"/>
    <w:rsid w:val="00053DF6"/>
    <w:rsid w:val="00053E42"/>
    <w:rsid w:val="00054013"/>
    <w:rsid w:val="00054200"/>
    <w:rsid w:val="0005448F"/>
    <w:rsid w:val="000545B7"/>
    <w:rsid w:val="000547C3"/>
    <w:rsid w:val="000547D1"/>
    <w:rsid w:val="00054DB8"/>
    <w:rsid w:val="00054FBA"/>
    <w:rsid w:val="000557D6"/>
    <w:rsid w:val="00055972"/>
    <w:rsid w:val="00055FFB"/>
    <w:rsid w:val="000562C3"/>
    <w:rsid w:val="000562C9"/>
    <w:rsid w:val="0005632B"/>
    <w:rsid w:val="00056539"/>
    <w:rsid w:val="000567C3"/>
    <w:rsid w:val="00056889"/>
    <w:rsid w:val="00056BFD"/>
    <w:rsid w:val="00056D63"/>
    <w:rsid w:val="00056DE9"/>
    <w:rsid w:val="00056DED"/>
    <w:rsid w:val="00056F1A"/>
    <w:rsid w:val="00057485"/>
    <w:rsid w:val="000577E2"/>
    <w:rsid w:val="000578A6"/>
    <w:rsid w:val="00057BA7"/>
    <w:rsid w:val="00057E2B"/>
    <w:rsid w:val="00057E7B"/>
    <w:rsid w:val="000600CA"/>
    <w:rsid w:val="0006041A"/>
    <w:rsid w:val="000606B7"/>
    <w:rsid w:val="00060708"/>
    <w:rsid w:val="00060A39"/>
    <w:rsid w:val="00060B05"/>
    <w:rsid w:val="00060B6D"/>
    <w:rsid w:val="000618EA"/>
    <w:rsid w:val="00061DE5"/>
    <w:rsid w:val="00061EDC"/>
    <w:rsid w:val="0006292E"/>
    <w:rsid w:val="00062A10"/>
    <w:rsid w:val="00062A9B"/>
    <w:rsid w:val="00062C85"/>
    <w:rsid w:val="00062E6C"/>
    <w:rsid w:val="000630C2"/>
    <w:rsid w:val="000633F9"/>
    <w:rsid w:val="000636DB"/>
    <w:rsid w:val="0006383A"/>
    <w:rsid w:val="0006387A"/>
    <w:rsid w:val="0006448B"/>
    <w:rsid w:val="000644B1"/>
    <w:rsid w:val="00064731"/>
    <w:rsid w:val="00064736"/>
    <w:rsid w:val="00064F2C"/>
    <w:rsid w:val="00065159"/>
    <w:rsid w:val="000651B3"/>
    <w:rsid w:val="0006520C"/>
    <w:rsid w:val="000652FD"/>
    <w:rsid w:val="000653D2"/>
    <w:rsid w:val="000654BF"/>
    <w:rsid w:val="00065B43"/>
    <w:rsid w:val="00065BF2"/>
    <w:rsid w:val="00065F2F"/>
    <w:rsid w:val="000660B3"/>
    <w:rsid w:val="0006655D"/>
    <w:rsid w:val="0006669E"/>
    <w:rsid w:val="000667D0"/>
    <w:rsid w:val="00066922"/>
    <w:rsid w:val="00066966"/>
    <w:rsid w:val="00066A30"/>
    <w:rsid w:val="00066CB6"/>
    <w:rsid w:val="00066E54"/>
    <w:rsid w:val="00067248"/>
    <w:rsid w:val="00067266"/>
    <w:rsid w:val="00067530"/>
    <w:rsid w:val="00067605"/>
    <w:rsid w:val="00067758"/>
    <w:rsid w:val="000678CD"/>
    <w:rsid w:val="0007027F"/>
    <w:rsid w:val="0007044E"/>
    <w:rsid w:val="00070F58"/>
    <w:rsid w:val="000712E8"/>
    <w:rsid w:val="00071325"/>
    <w:rsid w:val="0007151D"/>
    <w:rsid w:val="000717A8"/>
    <w:rsid w:val="000717AD"/>
    <w:rsid w:val="00071809"/>
    <w:rsid w:val="00071852"/>
    <w:rsid w:val="00071A5B"/>
    <w:rsid w:val="00071B78"/>
    <w:rsid w:val="00071BE0"/>
    <w:rsid w:val="00071C4F"/>
    <w:rsid w:val="00071C8C"/>
    <w:rsid w:val="00071CB6"/>
    <w:rsid w:val="00071F86"/>
    <w:rsid w:val="00072020"/>
    <w:rsid w:val="0007264E"/>
    <w:rsid w:val="0007268E"/>
    <w:rsid w:val="000727D1"/>
    <w:rsid w:val="00072AFB"/>
    <w:rsid w:val="00073151"/>
    <w:rsid w:val="000731B3"/>
    <w:rsid w:val="000736D5"/>
    <w:rsid w:val="00073739"/>
    <w:rsid w:val="000739E6"/>
    <w:rsid w:val="00073A33"/>
    <w:rsid w:val="00073BF9"/>
    <w:rsid w:val="0007436A"/>
    <w:rsid w:val="0007455C"/>
    <w:rsid w:val="00074A90"/>
    <w:rsid w:val="00074E00"/>
    <w:rsid w:val="00075031"/>
    <w:rsid w:val="00075161"/>
    <w:rsid w:val="00075523"/>
    <w:rsid w:val="000755CD"/>
    <w:rsid w:val="0007585B"/>
    <w:rsid w:val="00075D4D"/>
    <w:rsid w:val="00076047"/>
    <w:rsid w:val="00076312"/>
    <w:rsid w:val="00076418"/>
    <w:rsid w:val="00076432"/>
    <w:rsid w:val="00076562"/>
    <w:rsid w:val="000767FC"/>
    <w:rsid w:val="00076A3F"/>
    <w:rsid w:val="00076B7D"/>
    <w:rsid w:val="00076FA1"/>
    <w:rsid w:val="00077055"/>
    <w:rsid w:val="00077666"/>
    <w:rsid w:val="000776F9"/>
    <w:rsid w:val="0007787C"/>
    <w:rsid w:val="00077AEC"/>
    <w:rsid w:val="00077D05"/>
    <w:rsid w:val="0008084F"/>
    <w:rsid w:val="00080AC3"/>
    <w:rsid w:val="00080AE5"/>
    <w:rsid w:val="00080B2E"/>
    <w:rsid w:val="00080B8D"/>
    <w:rsid w:val="00080E04"/>
    <w:rsid w:val="00081270"/>
    <w:rsid w:val="00081438"/>
    <w:rsid w:val="000814AD"/>
    <w:rsid w:val="0008163F"/>
    <w:rsid w:val="000817BD"/>
    <w:rsid w:val="00081820"/>
    <w:rsid w:val="000819A3"/>
    <w:rsid w:val="00081B1C"/>
    <w:rsid w:val="00081BE2"/>
    <w:rsid w:val="00081F01"/>
    <w:rsid w:val="0008208D"/>
    <w:rsid w:val="00082227"/>
    <w:rsid w:val="00082632"/>
    <w:rsid w:val="000827CC"/>
    <w:rsid w:val="00082ED5"/>
    <w:rsid w:val="00082ED8"/>
    <w:rsid w:val="00083049"/>
    <w:rsid w:val="0008317D"/>
    <w:rsid w:val="00083186"/>
    <w:rsid w:val="0008323D"/>
    <w:rsid w:val="00083A14"/>
    <w:rsid w:val="00083A77"/>
    <w:rsid w:val="00083B24"/>
    <w:rsid w:val="00083CA6"/>
    <w:rsid w:val="00083D2A"/>
    <w:rsid w:val="00084271"/>
    <w:rsid w:val="0008493B"/>
    <w:rsid w:val="0008497E"/>
    <w:rsid w:val="00084D55"/>
    <w:rsid w:val="00084DE9"/>
    <w:rsid w:val="00084E45"/>
    <w:rsid w:val="00084F9E"/>
    <w:rsid w:val="00085211"/>
    <w:rsid w:val="00085AAD"/>
    <w:rsid w:val="00085BE7"/>
    <w:rsid w:val="00085C2D"/>
    <w:rsid w:val="000862D7"/>
    <w:rsid w:val="000862DC"/>
    <w:rsid w:val="00086697"/>
    <w:rsid w:val="000868FA"/>
    <w:rsid w:val="00086A98"/>
    <w:rsid w:val="00086B77"/>
    <w:rsid w:val="00086E04"/>
    <w:rsid w:val="000870C1"/>
    <w:rsid w:val="00087122"/>
    <w:rsid w:val="0008725C"/>
    <w:rsid w:val="00087381"/>
    <w:rsid w:val="000875B0"/>
    <w:rsid w:val="000900CD"/>
    <w:rsid w:val="000901B5"/>
    <w:rsid w:val="0009071A"/>
    <w:rsid w:val="000907A2"/>
    <w:rsid w:val="000907C3"/>
    <w:rsid w:val="00090A4D"/>
    <w:rsid w:val="00090ADE"/>
    <w:rsid w:val="00090F0D"/>
    <w:rsid w:val="000913AD"/>
    <w:rsid w:val="00091470"/>
    <w:rsid w:val="00091520"/>
    <w:rsid w:val="000915BB"/>
    <w:rsid w:val="00091751"/>
    <w:rsid w:val="00091C2D"/>
    <w:rsid w:val="00091C98"/>
    <w:rsid w:val="00091E4E"/>
    <w:rsid w:val="00091F3F"/>
    <w:rsid w:val="000929D1"/>
    <w:rsid w:val="00092B70"/>
    <w:rsid w:val="00092CF6"/>
    <w:rsid w:val="00092D6A"/>
    <w:rsid w:val="00092DB1"/>
    <w:rsid w:val="00092EA8"/>
    <w:rsid w:val="00093214"/>
    <w:rsid w:val="00093313"/>
    <w:rsid w:val="000933E6"/>
    <w:rsid w:val="000934AB"/>
    <w:rsid w:val="000935F9"/>
    <w:rsid w:val="000937AF"/>
    <w:rsid w:val="000939CB"/>
    <w:rsid w:val="00093B57"/>
    <w:rsid w:val="00093C7F"/>
    <w:rsid w:val="00093CDC"/>
    <w:rsid w:val="00093E1E"/>
    <w:rsid w:val="00093EF9"/>
    <w:rsid w:val="000942F7"/>
    <w:rsid w:val="000943AB"/>
    <w:rsid w:val="000945B2"/>
    <w:rsid w:val="000948B4"/>
    <w:rsid w:val="00094913"/>
    <w:rsid w:val="00094B64"/>
    <w:rsid w:val="00094E0E"/>
    <w:rsid w:val="000950C9"/>
    <w:rsid w:val="00095139"/>
    <w:rsid w:val="0009540B"/>
    <w:rsid w:val="000954A6"/>
    <w:rsid w:val="0009553A"/>
    <w:rsid w:val="000958DA"/>
    <w:rsid w:val="00095C2A"/>
    <w:rsid w:val="00095C37"/>
    <w:rsid w:val="0009639F"/>
    <w:rsid w:val="000964C8"/>
    <w:rsid w:val="00096566"/>
    <w:rsid w:val="00096628"/>
    <w:rsid w:val="000966C2"/>
    <w:rsid w:val="00096920"/>
    <w:rsid w:val="000969E0"/>
    <w:rsid w:val="00096B48"/>
    <w:rsid w:val="0009723C"/>
    <w:rsid w:val="0009725F"/>
    <w:rsid w:val="00097349"/>
    <w:rsid w:val="00097519"/>
    <w:rsid w:val="000975DC"/>
    <w:rsid w:val="0009766F"/>
    <w:rsid w:val="00097AC2"/>
    <w:rsid w:val="00097D4D"/>
    <w:rsid w:val="00097DE2"/>
    <w:rsid w:val="00097F0C"/>
    <w:rsid w:val="00097FAD"/>
    <w:rsid w:val="000A0194"/>
    <w:rsid w:val="000A04DC"/>
    <w:rsid w:val="000A055E"/>
    <w:rsid w:val="000A08CD"/>
    <w:rsid w:val="000A08EB"/>
    <w:rsid w:val="000A099A"/>
    <w:rsid w:val="000A0D81"/>
    <w:rsid w:val="000A0DA1"/>
    <w:rsid w:val="000A0FAE"/>
    <w:rsid w:val="000A12E7"/>
    <w:rsid w:val="000A150B"/>
    <w:rsid w:val="000A16E3"/>
    <w:rsid w:val="000A17AB"/>
    <w:rsid w:val="000A1ADF"/>
    <w:rsid w:val="000A1BFE"/>
    <w:rsid w:val="000A1C1C"/>
    <w:rsid w:val="000A1EE5"/>
    <w:rsid w:val="000A1F4C"/>
    <w:rsid w:val="000A2499"/>
    <w:rsid w:val="000A2515"/>
    <w:rsid w:val="000A2778"/>
    <w:rsid w:val="000A2934"/>
    <w:rsid w:val="000A3069"/>
    <w:rsid w:val="000A33C2"/>
    <w:rsid w:val="000A37F2"/>
    <w:rsid w:val="000A3B5A"/>
    <w:rsid w:val="000A3C7C"/>
    <w:rsid w:val="000A410B"/>
    <w:rsid w:val="000A426C"/>
    <w:rsid w:val="000A4343"/>
    <w:rsid w:val="000A4417"/>
    <w:rsid w:val="000A44B7"/>
    <w:rsid w:val="000A4539"/>
    <w:rsid w:val="000A4564"/>
    <w:rsid w:val="000A498A"/>
    <w:rsid w:val="000A4A76"/>
    <w:rsid w:val="000A4EB8"/>
    <w:rsid w:val="000A5439"/>
    <w:rsid w:val="000A5606"/>
    <w:rsid w:val="000A5782"/>
    <w:rsid w:val="000A59C8"/>
    <w:rsid w:val="000A610A"/>
    <w:rsid w:val="000A6295"/>
    <w:rsid w:val="000A62E6"/>
    <w:rsid w:val="000A62E8"/>
    <w:rsid w:val="000A62FF"/>
    <w:rsid w:val="000A636E"/>
    <w:rsid w:val="000A6391"/>
    <w:rsid w:val="000A6455"/>
    <w:rsid w:val="000A658B"/>
    <w:rsid w:val="000A6751"/>
    <w:rsid w:val="000A6ABC"/>
    <w:rsid w:val="000A7079"/>
    <w:rsid w:val="000A70DC"/>
    <w:rsid w:val="000A730F"/>
    <w:rsid w:val="000A7326"/>
    <w:rsid w:val="000A733B"/>
    <w:rsid w:val="000A75F2"/>
    <w:rsid w:val="000A7655"/>
    <w:rsid w:val="000A79F4"/>
    <w:rsid w:val="000A7B8E"/>
    <w:rsid w:val="000A7CDA"/>
    <w:rsid w:val="000A7FD6"/>
    <w:rsid w:val="000B000B"/>
    <w:rsid w:val="000B0265"/>
    <w:rsid w:val="000B026E"/>
    <w:rsid w:val="000B041C"/>
    <w:rsid w:val="000B056F"/>
    <w:rsid w:val="000B0650"/>
    <w:rsid w:val="000B0699"/>
    <w:rsid w:val="000B06B0"/>
    <w:rsid w:val="000B0773"/>
    <w:rsid w:val="000B07DB"/>
    <w:rsid w:val="000B0A94"/>
    <w:rsid w:val="000B0B86"/>
    <w:rsid w:val="000B0DCB"/>
    <w:rsid w:val="000B1135"/>
    <w:rsid w:val="000B1290"/>
    <w:rsid w:val="000B1461"/>
    <w:rsid w:val="000B1570"/>
    <w:rsid w:val="000B15E1"/>
    <w:rsid w:val="000B1CC3"/>
    <w:rsid w:val="000B202D"/>
    <w:rsid w:val="000B22E7"/>
    <w:rsid w:val="000B23F5"/>
    <w:rsid w:val="000B2433"/>
    <w:rsid w:val="000B2685"/>
    <w:rsid w:val="000B26CE"/>
    <w:rsid w:val="000B26F6"/>
    <w:rsid w:val="000B2A26"/>
    <w:rsid w:val="000B2A35"/>
    <w:rsid w:val="000B2B9F"/>
    <w:rsid w:val="000B2CAF"/>
    <w:rsid w:val="000B2D60"/>
    <w:rsid w:val="000B2D8F"/>
    <w:rsid w:val="000B2E43"/>
    <w:rsid w:val="000B2E79"/>
    <w:rsid w:val="000B2ED5"/>
    <w:rsid w:val="000B3028"/>
    <w:rsid w:val="000B32A6"/>
    <w:rsid w:val="000B35BF"/>
    <w:rsid w:val="000B371E"/>
    <w:rsid w:val="000B3871"/>
    <w:rsid w:val="000B38D0"/>
    <w:rsid w:val="000B392A"/>
    <w:rsid w:val="000B3B18"/>
    <w:rsid w:val="000B3C1F"/>
    <w:rsid w:val="000B3CBD"/>
    <w:rsid w:val="000B3D9E"/>
    <w:rsid w:val="000B4198"/>
    <w:rsid w:val="000B4384"/>
    <w:rsid w:val="000B43E4"/>
    <w:rsid w:val="000B4447"/>
    <w:rsid w:val="000B455F"/>
    <w:rsid w:val="000B4632"/>
    <w:rsid w:val="000B471D"/>
    <w:rsid w:val="000B4E52"/>
    <w:rsid w:val="000B4E57"/>
    <w:rsid w:val="000B4F86"/>
    <w:rsid w:val="000B50E4"/>
    <w:rsid w:val="000B5440"/>
    <w:rsid w:val="000B5719"/>
    <w:rsid w:val="000B5741"/>
    <w:rsid w:val="000B580B"/>
    <w:rsid w:val="000B5A20"/>
    <w:rsid w:val="000B5B2B"/>
    <w:rsid w:val="000B5C39"/>
    <w:rsid w:val="000B5C91"/>
    <w:rsid w:val="000B5D68"/>
    <w:rsid w:val="000B5EDF"/>
    <w:rsid w:val="000B6119"/>
    <w:rsid w:val="000B6154"/>
    <w:rsid w:val="000B66E0"/>
    <w:rsid w:val="000B6BCC"/>
    <w:rsid w:val="000B6C44"/>
    <w:rsid w:val="000B6C99"/>
    <w:rsid w:val="000B6FBA"/>
    <w:rsid w:val="000B70F5"/>
    <w:rsid w:val="000B737C"/>
    <w:rsid w:val="000B74AD"/>
    <w:rsid w:val="000B74C6"/>
    <w:rsid w:val="000B7887"/>
    <w:rsid w:val="000C0080"/>
    <w:rsid w:val="000C0371"/>
    <w:rsid w:val="000C0438"/>
    <w:rsid w:val="000C0A2A"/>
    <w:rsid w:val="000C0F5F"/>
    <w:rsid w:val="000C11A8"/>
    <w:rsid w:val="000C11E2"/>
    <w:rsid w:val="000C14F1"/>
    <w:rsid w:val="000C15BC"/>
    <w:rsid w:val="000C1689"/>
    <w:rsid w:val="000C19E5"/>
    <w:rsid w:val="000C1A9D"/>
    <w:rsid w:val="000C1E1D"/>
    <w:rsid w:val="000C1E55"/>
    <w:rsid w:val="000C22F4"/>
    <w:rsid w:val="000C254B"/>
    <w:rsid w:val="000C25C2"/>
    <w:rsid w:val="000C27C3"/>
    <w:rsid w:val="000C2813"/>
    <w:rsid w:val="000C28D4"/>
    <w:rsid w:val="000C2A2E"/>
    <w:rsid w:val="000C2A68"/>
    <w:rsid w:val="000C2CE8"/>
    <w:rsid w:val="000C2E89"/>
    <w:rsid w:val="000C30C7"/>
    <w:rsid w:val="000C3292"/>
    <w:rsid w:val="000C3478"/>
    <w:rsid w:val="000C3877"/>
    <w:rsid w:val="000C38ED"/>
    <w:rsid w:val="000C3A90"/>
    <w:rsid w:val="000C3BB5"/>
    <w:rsid w:val="000C3D1A"/>
    <w:rsid w:val="000C3D30"/>
    <w:rsid w:val="000C3DAD"/>
    <w:rsid w:val="000C3EC2"/>
    <w:rsid w:val="000C426C"/>
    <w:rsid w:val="000C4349"/>
    <w:rsid w:val="000C4364"/>
    <w:rsid w:val="000C441A"/>
    <w:rsid w:val="000C444E"/>
    <w:rsid w:val="000C4778"/>
    <w:rsid w:val="000C4C5E"/>
    <w:rsid w:val="000C5230"/>
    <w:rsid w:val="000C544B"/>
    <w:rsid w:val="000C5460"/>
    <w:rsid w:val="000C60B5"/>
    <w:rsid w:val="000C6151"/>
    <w:rsid w:val="000C6813"/>
    <w:rsid w:val="000C6867"/>
    <w:rsid w:val="000C6901"/>
    <w:rsid w:val="000C6980"/>
    <w:rsid w:val="000C6A06"/>
    <w:rsid w:val="000C6E18"/>
    <w:rsid w:val="000C7119"/>
    <w:rsid w:val="000C724F"/>
    <w:rsid w:val="000C74AC"/>
    <w:rsid w:val="000C760E"/>
    <w:rsid w:val="000C774E"/>
    <w:rsid w:val="000C7B44"/>
    <w:rsid w:val="000C7D41"/>
    <w:rsid w:val="000D0426"/>
    <w:rsid w:val="000D0483"/>
    <w:rsid w:val="000D0610"/>
    <w:rsid w:val="000D06CB"/>
    <w:rsid w:val="000D0707"/>
    <w:rsid w:val="000D08B3"/>
    <w:rsid w:val="000D0C03"/>
    <w:rsid w:val="000D0DF2"/>
    <w:rsid w:val="000D0E04"/>
    <w:rsid w:val="000D0E75"/>
    <w:rsid w:val="000D0FA6"/>
    <w:rsid w:val="000D114B"/>
    <w:rsid w:val="000D130D"/>
    <w:rsid w:val="000D1310"/>
    <w:rsid w:val="000D133D"/>
    <w:rsid w:val="000D15F4"/>
    <w:rsid w:val="000D180A"/>
    <w:rsid w:val="000D1935"/>
    <w:rsid w:val="000D1A81"/>
    <w:rsid w:val="000D1E95"/>
    <w:rsid w:val="000D1FD1"/>
    <w:rsid w:val="000D23AA"/>
    <w:rsid w:val="000D27F3"/>
    <w:rsid w:val="000D2EB9"/>
    <w:rsid w:val="000D2F53"/>
    <w:rsid w:val="000D2FA6"/>
    <w:rsid w:val="000D3265"/>
    <w:rsid w:val="000D3511"/>
    <w:rsid w:val="000D3772"/>
    <w:rsid w:val="000D3CE9"/>
    <w:rsid w:val="000D3D27"/>
    <w:rsid w:val="000D4015"/>
    <w:rsid w:val="000D4235"/>
    <w:rsid w:val="000D4289"/>
    <w:rsid w:val="000D44D0"/>
    <w:rsid w:val="000D48D0"/>
    <w:rsid w:val="000D4A19"/>
    <w:rsid w:val="000D4A5D"/>
    <w:rsid w:val="000D4F84"/>
    <w:rsid w:val="000D5163"/>
    <w:rsid w:val="000D5167"/>
    <w:rsid w:val="000D5169"/>
    <w:rsid w:val="000D524D"/>
    <w:rsid w:val="000D5678"/>
    <w:rsid w:val="000D5CEC"/>
    <w:rsid w:val="000D5E2D"/>
    <w:rsid w:val="000D5E78"/>
    <w:rsid w:val="000D618E"/>
    <w:rsid w:val="000D628F"/>
    <w:rsid w:val="000D6435"/>
    <w:rsid w:val="000D64A5"/>
    <w:rsid w:val="000D6579"/>
    <w:rsid w:val="000D6786"/>
    <w:rsid w:val="000D6B02"/>
    <w:rsid w:val="000D6E80"/>
    <w:rsid w:val="000D6F9A"/>
    <w:rsid w:val="000D70AF"/>
    <w:rsid w:val="000D724C"/>
    <w:rsid w:val="000D73CC"/>
    <w:rsid w:val="000D7433"/>
    <w:rsid w:val="000D753B"/>
    <w:rsid w:val="000D7889"/>
    <w:rsid w:val="000D79F5"/>
    <w:rsid w:val="000D7A14"/>
    <w:rsid w:val="000D7BFA"/>
    <w:rsid w:val="000D7C97"/>
    <w:rsid w:val="000D7DC9"/>
    <w:rsid w:val="000D7DCC"/>
    <w:rsid w:val="000D7FA0"/>
    <w:rsid w:val="000E02BB"/>
    <w:rsid w:val="000E052A"/>
    <w:rsid w:val="000E05A2"/>
    <w:rsid w:val="000E06C5"/>
    <w:rsid w:val="000E09A3"/>
    <w:rsid w:val="000E0F72"/>
    <w:rsid w:val="000E10B6"/>
    <w:rsid w:val="000E1186"/>
    <w:rsid w:val="000E1324"/>
    <w:rsid w:val="000E1374"/>
    <w:rsid w:val="000E1489"/>
    <w:rsid w:val="000E18A8"/>
    <w:rsid w:val="000E1A33"/>
    <w:rsid w:val="000E1B2A"/>
    <w:rsid w:val="000E1C49"/>
    <w:rsid w:val="000E202B"/>
    <w:rsid w:val="000E21F5"/>
    <w:rsid w:val="000E2280"/>
    <w:rsid w:val="000E23BE"/>
    <w:rsid w:val="000E287B"/>
    <w:rsid w:val="000E28B8"/>
    <w:rsid w:val="000E28E5"/>
    <w:rsid w:val="000E296B"/>
    <w:rsid w:val="000E29FC"/>
    <w:rsid w:val="000E2B78"/>
    <w:rsid w:val="000E2BC6"/>
    <w:rsid w:val="000E2C17"/>
    <w:rsid w:val="000E2C76"/>
    <w:rsid w:val="000E3253"/>
    <w:rsid w:val="000E3360"/>
    <w:rsid w:val="000E35D5"/>
    <w:rsid w:val="000E3815"/>
    <w:rsid w:val="000E3960"/>
    <w:rsid w:val="000E401C"/>
    <w:rsid w:val="000E451E"/>
    <w:rsid w:val="000E46D7"/>
    <w:rsid w:val="000E4847"/>
    <w:rsid w:val="000E4A6C"/>
    <w:rsid w:val="000E4FF0"/>
    <w:rsid w:val="000E5169"/>
    <w:rsid w:val="000E54DE"/>
    <w:rsid w:val="000E54EF"/>
    <w:rsid w:val="000E559B"/>
    <w:rsid w:val="000E5640"/>
    <w:rsid w:val="000E56B0"/>
    <w:rsid w:val="000E5956"/>
    <w:rsid w:val="000E6021"/>
    <w:rsid w:val="000E666F"/>
    <w:rsid w:val="000E6794"/>
    <w:rsid w:val="000E67D3"/>
    <w:rsid w:val="000E69F8"/>
    <w:rsid w:val="000E6C81"/>
    <w:rsid w:val="000E6EB6"/>
    <w:rsid w:val="000E7153"/>
    <w:rsid w:val="000E7651"/>
    <w:rsid w:val="000E7963"/>
    <w:rsid w:val="000E798A"/>
    <w:rsid w:val="000E79C5"/>
    <w:rsid w:val="000E7D7B"/>
    <w:rsid w:val="000F063D"/>
    <w:rsid w:val="000F085F"/>
    <w:rsid w:val="000F0A4B"/>
    <w:rsid w:val="000F0B66"/>
    <w:rsid w:val="000F0D17"/>
    <w:rsid w:val="000F0E4B"/>
    <w:rsid w:val="000F0FF7"/>
    <w:rsid w:val="000F107F"/>
    <w:rsid w:val="000F10CC"/>
    <w:rsid w:val="000F126C"/>
    <w:rsid w:val="000F139B"/>
    <w:rsid w:val="000F1532"/>
    <w:rsid w:val="000F1592"/>
    <w:rsid w:val="000F162F"/>
    <w:rsid w:val="000F205D"/>
    <w:rsid w:val="000F2411"/>
    <w:rsid w:val="000F24B5"/>
    <w:rsid w:val="000F29BA"/>
    <w:rsid w:val="000F2A58"/>
    <w:rsid w:val="000F2AFC"/>
    <w:rsid w:val="000F2B93"/>
    <w:rsid w:val="000F3145"/>
    <w:rsid w:val="000F31B4"/>
    <w:rsid w:val="000F327D"/>
    <w:rsid w:val="000F358E"/>
    <w:rsid w:val="000F39C3"/>
    <w:rsid w:val="000F39CD"/>
    <w:rsid w:val="000F3ADE"/>
    <w:rsid w:val="000F3BFE"/>
    <w:rsid w:val="000F4034"/>
    <w:rsid w:val="000F4351"/>
    <w:rsid w:val="000F4888"/>
    <w:rsid w:val="000F4A3C"/>
    <w:rsid w:val="000F4B04"/>
    <w:rsid w:val="000F57AF"/>
    <w:rsid w:val="000F5981"/>
    <w:rsid w:val="000F5A96"/>
    <w:rsid w:val="000F5B53"/>
    <w:rsid w:val="000F5C3C"/>
    <w:rsid w:val="000F5E99"/>
    <w:rsid w:val="000F5FCA"/>
    <w:rsid w:val="000F6084"/>
    <w:rsid w:val="000F60C8"/>
    <w:rsid w:val="000F6285"/>
    <w:rsid w:val="000F6423"/>
    <w:rsid w:val="000F65AE"/>
    <w:rsid w:val="000F663D"/>
    <w:rsid w:val="000F66CA"/>
    <w:rsid w:val="000F6856"/>
    <w:rsid w:val="000F6906"/>
    <w:rsid w:val="000F6C5C"/>
    <w:rsid w:val="000F72B8"/>
    <w:rsid w:val="000F7A85"/>
    <w:rsid w:val="000F7B3A"/>
    <w:rsid w:val="000F7BF9"/>
    <w:rsid w:val="000F7F92"/>
    <w:rsid w:val="00100091"/>
    <w:rsid w:val="00100323"/>
    <w:rsid w:val="001004E6"/>
    <w:rsid w:val="00100864"/>
    <w:rsid w:val="00100915"/>
    <w:rsid w:val="00100A83"/>
    <w:rsid w:val="00100F3A"/>
    <w:rsid w:val="001015F4"/>
    <w:rsid w:val="00101867"/>
    <w:rsid w:val="00101CC2"/>
    <w:rsid w:val="00101D36"/>
    <w:rsid w:val="00101DF0"/>
    <w:rsid w:val="00101F06"/>
    <w:rsid w:val="001020B1"/>
    <w:rsid w:val="001020DA"/>
    <w:rsid w:val="00102143"/>
    <w:rsid w:val="00102380"/>
    <w:rsid w:val="00102612"/>
    <w:rsid w:val="00102896"/>
    <w:rsid w:val="0010289B"/>
    <w:rsid w:val="001028BC"/>
    <w:rsid w:val="00102B42"/>
    <w:rsid w:val="00102D06"/>
    <w:rsid w:val="00102F48"/>
    <w:rsid w:val="0010307E"/>
    <w:rsid w:val="00103121"/>
    <w:rsid w:val="001031E5"/>
    <w:rsid w:val="00103234"/>
    <w:rsid w:val="00103343"/>
    <w:rsid w:val="001033FC"/>
    <w:rsid w:val="001035C1"/>
    <w:rsid w:val="00103C25"/>
    <w:rsid w:val="00103DC8"/>
    <w:rsid w:val="00103F36"/>
    <w:rsid w:val="00103F92"/>
    <w:rsid w:val="0010453A"/>
    <w:rsid w:val="0010457F"/>
    <w:rsid w:val="001047C3"/>
    <w:rsid w:val="0010486C"/>
    <w:rsid w:val="001049D6"/>
    <w:rsid w:val="00104DC6"/>
    <w:rsid w:val="001052CE"/>
    <w:rsid w:val="001056EA"/>
    <w:rsid w:val="00105750"/>
    <w:rsid w:val="0010576E"/>
    <w:rsid w:val="0010582A"/>
    <w:rsid w:val="001058B7"/>
    <w:rsid w:val="00105EED"/>
    <w:rsid w:val="00105F16"/>
    <w:rsid w:val="0010612E"/>
    <w:rsid w:val="001062C7"/>
    <w:rsid w:val="00106501"/>
    <w:rsid w:val="00106562"/>
    <w:rsid w:val="00106564"/>
    <w:rsid w:val="001066F7"/>
    <w:rsid w:val="00106881"/>
    <w:rsid w:val="00106A5C"/>
    <w:rsid w:val="00106ACC"/>
    <w:rsid w:val="00106C61"/>
    <w:rsid w:val="00106FEA"/>
    <w:rsid w:val="00107576"/>
    <w:rsid w:val="001076D7"/>
    <w:rsid w:val="00107F3E"/>
    <w:rsid w:val="001101CB"/>
    <w:rsid w:val="001101FE"/>
    <w:rsid w:val="0011046B"/>
    <w:rsid w:val="001105B4"/>
    <w:rsid w:val="00110907"/>
    <w:rsid w:val="00110A6B"/>
    <w:rsid w:val="00110A6D"/>
    <w:rsid w:val="00111623"/>
    <w:rsid w:val="0011179B"/>
    <w:rsid w:val="001118B0"/>
    <w:rsid w:val="00111CCA"/>
    <w:rsid w:val="00111DCE"/>
    <w:rsid w:val="00112548"/>
    <w:rsid w:val="0011259D"/>
    <w:rsid w:val="00112750"/>
    <w:rsid w:val="001127FA"/>
    <w:rsid w:val="00112887"/>
    <w:rsid w:val="00112C05"/>
    <w:rsid w:val="00112FE6"/>
    <w:rsid w:val="0011327E"/>
    <w:rsid w:val="001133D0"/>
    <w:rsid w:val="001134BF"/>
    <w:rsid w:val="00113596"/>
    <w:rsid w:val="0011375F"/>
    <w:rsid w:val="00113AA6"/>
    <w:rsid w:val="00113C24"/>
    <w:rsid w:val="00113E20"/>
    <w:rsid w:val="00113E5A"/>
    <w:rsid w:val="00113F9D"/>
    <w:rsid w:val="001144B7"/>
    <w:rsid w:val="00114508"/>
    <w:rsid w:val="0011452A"/>
    <w:rsid w:val="00114701"/>
    <w:rsid w:val="001148F0"/>
    <w:rsid w:val="00114CF6"/>
    <w:rsid w:val="00115248"/>
    <w:rsid w:val="001152ED"/>
    <w:rsid w:val="001152F3"/>
    <w:rsid w:val="00115376"/>
    <w:rsid w:val="00115663"/>
    <w:rsid w:val="0011573D"/>
    <w:rsid w:val="00115BD3"/>
    <w:rsid w:val="00115F0F"/>
    <w:rsid w:val="00115FA2"/>
    <w:rsid w:val="00115FE9"/>
    <w:rsid w:val="00116041"/>
    <w:rsid w:val="001162D3"/>
    <w:rsid w:val="00116E13"/>
    <w:rsid w:val="00116E6E"/>
    <w:rsid w:val="00116F9B"/>
    <w:rsid w:val="00116FA7"/>
    <w:rsid w:val="00117044"/>
    <w:rsid w:val="0011711B"/>
    <w:rsid w:val="0011711F"/>
    <w:rsid w:val="001174A6"/>
    <w:rsid w:val="001174AA"/>
    <w:rsid w:val="00117541"/>
    <w:rsid w:val="001177E2"/>
    <w:rsid w:val="00117998"/>
    <w:rsid w:val="00117C91"/>
    <w:rsid w:val="001200CD"/>
    <w:rsid w:val="00120116"/>
    <w:rsid w:val="00120194"/>
    <w:rsid w:val="00120651"/>
    <w:rsid w:val="001206FF"/>
    <w:rsid w:val="00120B22"/>
    <w:rsid w:val="00120BFA"/>
    <w:rsid w:val="00120F3B"/>
    <w:rsid w:val="00121102"/>
    <w:rsid w:val="0012110A"/>
    <w:rsid w:val="0012138B"/>
    <w:rsid w:val="0012144F"/>
    <w:rsid w:val="001214E6"/>
    <w:rsid w:val="001216D2"/>
    <w:rsid w:val="001219E7"/>
    <w:rsid w:val="00121DFA"/>
    <w:rsid w:val="0012252B"/>
    <w:rsid w:val="001225BD"/>
    <w:rsid w:val="0012270F"/>
    <w:rsid w:val="00122CA1"/>
    <w:rsid w:val="00122EC4"/>
    <w:rsid w:val="00122FDE"/>
    <w:rsid w:val="00123315"/>
    <w:rsid w:val="00123AD2"/>
    <w:rsid w:val="00123ADC"/>
    <w:rsid w:val="00123B7A"/>
    <w:rsid w:val="00123D01"/>
    <w:rsid w:val="0012443B"/>
    <w:rsid w:val="00124869"/>
    <w:rsid w:val="001248F5"/>
    <w:rsid w:val="00124AC7"/>
    <w:rsid w:val="00124B15"/>
    <w:rsid w:val="00124DA1"/>
    <w:rsid w:val="00124FF9"/>
    <w:rsid w:val="00125530"/>
    <w:rsid w:val="00125540"/>
    <w:rsid w:val="001256D2"/>
    <w:rsid w:val="0012598F"/>
    <w:rsid w:val="00125EDB"/>
    <w:rsid w:val="00125F5F"/>
    <w:rsid w:val="0012666C"/>
    <w:rsid w:val="001266AC"/>
    <w:rsid w:val="00126784"/>
    <w:rsid w:val="001267BB"/>
    <w:rsid w:val="00126C15"/>
    <w:rsid w:val="00126D34"/>
    <w:rsid w:val="00126D8E"/>
    <w:rsid w:val="00126FB9"/>
    <w:rsid w:val="00127201"/>
    <w:rsid w:val="00127227"/>
    <w:rsid w:val="001273A6"/>
    <w:rsid w:val="001276FC"/>
    <w:rsid w:val="00127829"/>
    <w:rsid w:val="00127A30"/>
    <w:rsid w:val="00127A55"/>
    <w:rsid w:val="001300ED"/>
    <w:rsid w:val="00130290"/>
    <w:rsid w:val="001302C4"/>
    <w:rsid w:val="0013031D"/>
    <w:rsid w:val="0013042C"/>
    <w:rsid w:val="001304C3"/>
    <w:rsid w:val="0013056F"/>
    <w:rsid w:val="00130D1D"/>
    <w:rsid w:val="00130D4D"/>
    <w:rsid w:val="00130EB1"/>
    <w:rsid w:val="00131194"/>
    <w:rsid w:val="001313CE"/>
    <w:rsid w:val="00131426"/>
    <w:rsid w:val="001314D0"/>
    <w:rsid w:val="00131639"/>
    <w:rsid w:val="001316AA"/>
    <w:rsid w:val="00131702"/>
    <w:rsid w:val="00131773"/>
    <w:rsid w:val="001317EC"/>
    <w:rsid w:val="00131B79"/>
    <w:rsid w:val="00131CCD"/>
    <w:rsid w:val="00131FCD"/>
    <w:rsid w:val="0013235E"/>
    <w:rsid w:val="00132397"/>
    <w:rsid w:val="00132A0B"/>
    <w:rsid w:val="00132A8C"/>
    <w:rsid w:val="0013302F"/>
    <w:rsid w:val="0013323B"/>
    <w:rsid w:val="00133630"/>
    <w:rsid w:val="00133647"/>
    <w:rsid w:val="00133A7B"/>
    <w:rsid w:val="00133F7B"/>
    <w:rsid w:val="00134498"/>
    <w:rsid w:val="001345B0"/>
    <w:rsid w:val="00134788"/>
    <w:rsid w:val="00134BFF"/>
    <w:rsid w:val="00134D02"/>
    <w:rsid w:val="00135084"/>
    <w:rsid w:val="001352C0"/>
    <w:rsid w:val="001352C5"/>
    <w:rsid w:val="00135354"/>
    <w:rsid w:val="00135408"/>
    <w:rsid w:val="0013548F"/>
    <w:rsid w:val="001355FD"/>
    <w:rsid w:val="00135619"/>
    <w:rsid w:val="00136018"/>
    <w:rsid w:val="001361BB"/>
    <w:rsid w:val="00137484"/>
    <w:rsid w:val="0013749F"/>
    <w:rsid w:val="0013768B"/>
    <w:rsid w:val="00137B6F"/>
    <w:rsid w:val="0014103A"/>
    <w:rsid w:val="00141098"/>
    <w:rsid w:val="0014109C"/>
    <w:rsid w:val="0014118F"/>
    <w:rsid w:val="00141264"/>
    <w:rsid w:val="0014135E"/>
    <w:rsid w:val="0014143D"/>
    <w:rsid w:val="001417E3"/>
    <w:rsid w:val="00141A12"/>
    <w:rsid w:val="00141A30"/>
    <w:rsid w:val="00141AEF"/>
    <w:rsid w:val="00141CFD"/>
    <w:rsid w:val="00142083"/>
    <w:rsid w:val="0014223D"/>
    <w:rsid w:val="00142466"/>
    <w:rsid w:val="00142C4F"/>
    <w:rsid w:val="00142E62"/>
    <w:rsid w:val="00142FD4"/>
    <w:rsid w:val="001430EA"/>
    <w:rsid w:val="0014333B"/>
    <w:rsid w:val="0014351B"/>
    <w:rsid w:val="001435A2"/>
    <w:rsid w:val="001436F6"/>
    <w:rsid w:val="001437FF"/>
    <w:rsid w:val="00143C98"/>
    <w:rsid w:val="00143EA1"/>
    <w:rsid w:val="00143F25"/>
    <w:rsid w:val="00144380"/>
    <w:rsid w:val="00144553"/>
    <w:rsid w:val="0014475A"/>
    <w:rsid w:val="0014490B"/>
    <w:rsid w:val="00144B3A"/>
    <w:rsid w:val="00144C03"/>
    <w:rsid w:val="001453CE"/>
    <w:rsid w:val="001456B7"/>
    <w:rsid w:val="00145C6C"/>
    <w:rsid w:val="00145E0B"/>
    <w:rsid w:val="00145F97"/>
    <w:rsid w:val="0014608F"/>
    <w:rsid w:val="0014630E"/>
    <w:rsid w:val="001464FC"/>
    <w:rsid w:val="00146558"/>
    <w:rsid w:val="001467AD"/>
    <w:rsid w:val="00146D64"/>
    <w:rsid w:val="00146DD3"/>
    <w:rsid w:val="00147545"/>
    <w:rsid w:val="00147669"/>
    <w:rsid w:val="00147A59"/>
    <w:rsid w:val="00147B73"/>
    <w:rsid w:val="00147C0A"/>
    <w:rsid w:val="00147F6F"/>
    <w:rsid w:val="001504CE"/>
    <w:rsid w:val="0015064E"/>
    <w:rsid w:val="0015085D"/>
    <w:rsid w:val="00150C11"/>
    <w:rsid w:val="001510D9"/>
    <w:rsid w:val="00151428"/>
    <w:rsid w:val="0015149B"/>
    <w:rsid w:val="0015154B"/>
    <w:rsid w:val="0015179D"/>
    <w:rsid w:val="001518CD"/>
    <w:rsid w:val="00151978"/>
    <w:rsid w:val="00151A08"/>
    <w:rsid w:val="00151AAF"/>
    <w:rsid w:val="001525DC"/>
    <w:rsid w:val="00152C26"/>
    <w:rsid w:val="00152F5A"/>
    <w:rsid w:val="001531B2"/>
    <w:rsid w:val="001531D2"/>
    <w:rsid w:val="0015343F"/>
    <w:rsid w:val="001535C5"/>
    <w:rsid w:val="00153AAE"/>
    <w:rsid w:val="00153B7E"/>
    <w:rsid w:val="00153D18"/>
    <w:rsid w:val="00153E38"/>
    <w:rsid w:val="00154AC8"/>
    <w:rsid w:val="00154B0C"/>
    <w:rsid w:val="00154BC6"/>
    <w:rsid w:val="00154C59"/>
    <w:rsid w:val="00154D1A"/>
    <w:rsid w:val="00154D9E"/>
    <w:rsid w:val="00155069"/>
    <w:rsid w:val="001550A0"/>
    <w:rsid w:val="0015540D"/>
    <w:rsid w:val="0015550F"/>
    <w:rsid w:val="001557FA"/>
    <w:rsid w:val="001558F0"/>
    <w:rsid w:val="00155C3E"/>
    <w:rsid w:val="00155C6B"/>
    <w:rsid w:val="00156013"/>
    <w:rsid w:val="0015625A"/>
    <w:rsid w:val="00156285"/>
    <w:rsid w:val="00156896"/>
    <w:rsid w:val="00156974"/>
    <w:rsid w:val="00156B39"/>
    <w:rsid w:val="00156B86"/>
    <w:rsid w:val="00156CAF"/>
    <w:rsid w:val="00156EE3"/>
    <w:rsid w:val="001571F1"/>
    <w:rsid w:val="00157239"/>
    <w:rsid w:val="00157550"/>
    <w:rsid w:val="00157612"/>
    <w:rsid w:val="001576DB"/>
    <w:rsid w:val="00157C21"/>
    <w:rsid w:val="00157CD4"/>
    <w:rsid w:val="00157D00"/>
    <w:rsid w:val="00157D73"/>
    <w:rsid w:val="001600DE"/>
    <w:rsid w:val="00160262"/>
    <w:rsid w:val="0016048F"/>
    <w:rsid w:val="001604F1"/>
    <w:rsid w:val="0016067F"/>
    <w:rsid w:val="00160E54"/>
    <w:rsid w:val="0016144F"/>
    <w:rsid w:val="00161861"/>
    <w:rsid w:val="00161A6C"/>
    <w:rsid w:val="00161B1E"/>
    <w:rsid w:val="00161B8E"/>
    <w:rsid w:val="00161CC8"/>
    <w:rsid w:val="00161DF0"/>
    <w:rsid w:val="00161F70"/>
    <w:rsid w:val="0016242A"/>
    <w:rsid w:val="001628C5"/>
    <w:rsid w:val="00162960"/>
    <w:rsid w:val="00162A57"/>
    <w:rsid w:val="00162AC3"/>
    <w:rsid w:val="00162B32"/>
    <w:rsid w:val="001631C0"/>
    <w:rsid w:val="0016372A"/>
    <w:rsid w:val="00163860"/>
    <w:rsid w:val="00163B8D"/>
    <w:rsid w:val="00163E71"/>
    <w:rsid w:val="00163FEA"/>
    <w:rsid w:val="00163FF5"/>
    <w:rsid w:val="00164011"/>
    <w:rsid w:val="001640FC"/>
    <w:rsid w:val="001641AC"/>
    <w:rsid w:val="001643BF"/>
    <w:rsid w:val="0016440A"/>
    <w:rsid w:val="001644F2"/>
    <w:rsid w:val="00164639"/>
    <w:rsid w:val="00164669"/>
    <w:rsid w:val="00164AD5"/>
    <w:rsid w:val="00164B1F"/>
    <w:rsid w:val="00164B7E"/>
    <w:rsid w:val="00164BFD"/>
    <w:rsid w:val="00164EFE"/>
    <w:rsid w:val="00164F49"/>
    <w:rsid w:val="00165B5E"/>
    <w:rsid w:val="00165BA7"/>
    <w:rsid w:val="00165C6D"/>
    <w:rsid w:val="00165CD8"/>
    <w:rsid w:val="00165E5E"/>
    <w:rsid w:val="00165FA6"/>
    <w:rsid w:val="001660DB"/>
    <w:rsid w:val="00166460"/>
    <w:rsid w:val="001668EE"/>
    <w:rsid w:val="00166A11"/>
    <w:rsid w:val="00166A91"/>
    <w:rsid w:val="00166B1D"/>
    <w:rsid w:val="00166D52"/>
    <w:rsid w:val="00166E64"/>
    <w:rsid w:val="001671E3"/>
    <w:rsid w:val="00167238"/>
    <w:rsid w:val="001673A2"/>
    <w:rsid w:val="0016771B"/>
    <w:rsid w:val="0017006C"/>
    <w:rsid w:val="0017016F"/>
    <w:rsid w:val="001703B9"/>
    <w:rsid w:val="00171011"/>
    <w:rsid w:val="0017144F"/>
    <w:rsid w:val="00171AD7"/>
    <w:rsid w:val="00171C72"/>
    <w:rsid w:val="00171E4A"/>
    <w:rsid w:val="00172AB1"/>
    <w:rsid w:val="00172D74"/>
    <w:rsid w:val="001730A4"/>
    <w:rsid w:val="0017340E"/>
    <w:rsid w:val="001736A3"/>
    <w:rsid w:val="001737F0"/>
    <w:rsid w:val="00173EE2"/>
    <w:rsid w:val="00173F91"/>
    <w:rsid w:val="00174136"/>
    <w:rsid w:val="00174268"/>
    <w:rsid w:val="001742D2"/>
    <w:rsid w:val="00174813"/>
    <w:rsid w:val="001749BE"/>
    <w:rsid w:val="00174B5A"/>
    <w:rsid w:val="00174D85"/>
    <w:rsid w:val="00174FF8"/>
    <w:rsid w:val="00175170"/>
    <w:rsid w:val="00175388"/>
    <w:rsid w:val="001755F1"/>
    <w:rsid w:val="00175AE5"/>
    <w:rsid w:val="00175FE3"/>
    <w:rsid w:val="0017605F"/>
    <w:rsid w:val="001763C9"/>
    <w:rsid w:val="001765B1"/>
    <w:rsid w:val="00176643"/>
    <w:rsid w:val="001766B0"/>
    <w:rsid w:val="00176796"/>
    <w:rsid w:val="00176833"/>
    <w:rsid w:val="00176A3F"/>
    <w:rsid w:val="00176B53"/>
    <w:rsid w:val="00176C07"/>
    <w:rsid w:val="00176EB9"/>
    <w:rsid w:val="00176F67"/>
    <w:rsid w:val="0017716C"/>
    <w:rsid w:val="0017728B"/>
    <w:rsid w:val="00177315"/>
    <w:rsid w:val="0017731A"/>
    <w:rsid w:val="001778B2"/>
    <w:rsid w:val="001778B6"/>
    <w:rsid w:val="00177934"/>
    <w:rsid w:val="00177B92"/>
    <w:rsid w:val="00177C01"/>
    <w:rsid w:val="001805DD"/>
    <w:rsid w:val="00180630"/>
    <w:rsid w:val="001807E8"/>
    <w:rsid w:val="00180D22"/>
    <w:rsid w:val="001810A9"/>
    <w:rsid w:val="001812AF"/>
    <w:rsid w:val="001812BD"/>
    <w:rsid w:val="00181463"/>
    <w:rsid w:val="00181729"/>
    <w:rsid w:val="00181B2C"/>
    <w:rsid w:val="00181FE5"/>
    <w:rsid w:val="001821E3"/>
    <w:rsid w:val="001823C0"/>
    <w:rsid w:val="001825D0"/>
    <w:rsid w:val="001825FD"/>
    <w:rsid w:val="00182688"/>
    <w:rsid w:val="0018277C"/>
    <w:rsid w:val="001828BF"/>
    <w:rsid w:val="0018321C"/>
    <w:rsid w:val="0018323C"/>
    <w:rsid w:val="00183C8E"/>
    <w:rsid w:val="00184305"/>
    <w:rsid w:val="00184778"/>
    <w:rsid w:val="00184959"/>
    <w:rsid w:val="0018511F"/>
    <w:rsid w:val="001853C2"/>
    <w:rsid w:val="0018543D"/>
    <w:rsid w:val="00185E83"/>
    <w:rsid w:val="00186029"/>
    <w:rsid w:val="00186038"/>
    <w:rsid w:val="0018610C"/>
    <w:rsid w:val="001862DD"/>
    <w:rsid w:val="00186549"/>
    <w:rsid w:val="001865A1"/>
    <w:rsid w:val="001865EF"/>
    <w:rsid w:val="0018661D"/>
    <w:rsid w:val="00186659"/>
    <w:rsid w:val="001866E4"/>
    <w:rsid w:val="00186DC3"/>
    <w:rsid w:val="00186E59"/>
    <w:rsid w:val="00187368"/>
    <w:rsid w:val="001875CC"/>
    <w:rsid w:val="001879BB"/>
    <w:rsid w:val="00187A23"/>
    <w:rsid w:val="00187ADF"/>
    <w:rsid w:val="00190069"/>
    <w:rsid w:val="00190267"/>
    <w:rsid w:val="00190621"/>
    <w:rsid w:val="0019063D"/>
    <w:rsid w:val="001909C2"/>
    <w:rsid w:val="00190D5A"/>
    <w:rsid w:val="00190F02"/>
    <w:rsid w:val="0019134F"/>
    <w:rsid w:val="0019137D"/>
    <w:rsid w:val="00191399"/>
    <w:rsid w:val="0019165E"/>
    <w:rsid w:val="00191778"/>
    <w:rsid w:val="001917E4"/>
    <w:rsid w:val="0019198F"/>
    <w:rsid w:val="00191A19"/>
    <w:rsid w:val="00191B7A"/>
    <w:rsid w:val="00191DF5"/>
    <w:rsid w:val="00191FD9"/>
    <w:rsid w:val="00191FF6"/>
    <w:rsid w:val="00192230"/>
    <w:rsid w:val="001926BD"/>
    <w:rsid w:val="00192724"/>
    <w:rsid w:val="00192AD4"/>
    <w:rsid w:val="00192B22"/>
    <w:rsid w:val="00192B74"/>
    <w:rsid w:val="001932C3"/>
    <w:rsid w:val="00193371"/>
    <w:rsid w:val="00193C14"/>
    <w:rsid w:val="00193D15"/>
    <w:rsid w:val="00193F72"/>
    <w:rsid w:val="00193FD7"/>
    <w:rsid w:val="0019422B"/>
    <w:rsid w:val="00194318"/>
    <w:rsid w:val="001944E6"/>
    <w:rsid w:val="00194787"/>
    <w:rsid w:val="00194B1B"/>
    <w:rsid w:val="00194BDD"/>
    <w:rsid w:val="00194C4C"/>
    <w:rsid w:val="00194D10"/>
    <w:rsid w:val="00194DA0"/>
    <w:rsid w:val="00195047"/>
    <w:rsid w:val="001950EF"/>
    <w:rsid w:val="001953D4"/>
    <w:rsid w:val="00195463"/>
    <w:rsid w:val="001958D4"/>
    <w:rsid w:val="00195AA6"/>
    <w:rsid w:val="00195DD3"/>
    <w:rsid w:val="00196037"/>
    <w:rsid w:val="001961D8"/>
    <w:rsid w:val="0019626E"/>
    <w:rsid w:val="001962FD"/>
    <w:rsid w:val="001963A3"/>
    <w:rsid w:val="001963DA"/>
    <w:rsid w:val="001964CC"/>
    <w:rsid w:val="00196A39"/>
    <w:rsid w:val="00196ABA"/>
    <w:rsid w:val="00196CA0"/>
    <w:rsid w:val="00196FE7"/>
    <w:rsid w:val="00197072"/>
    <w:rsid w:val="00197451"/>
    <w:rsid w:val="001978D7"/>
    <w:rsid w:val="001978D9"/>
    <w:rsid w:val="00197910"/>
    <w:rsid w:val="001979DA"/>
    <w:rsid w:val="00197B0B"/>
    <w:rsid w:val="00197CB8"/>
    <w:rsid w:val="00197D37"/>
    <w:rsid w:val="00197EF6"/>
    <w:rsid w:val="00197F65"/>
    <w:rsid w:val="001A05F8"/>
    <w:rsid w:val="001A0835"/>
    <w:rsid w:val="001A088B"/>
    <w:rsid w:val="001A0A5D"/>
    <w:rsid w:val="001A0ABF"/>
    <w:rsid w:val="001A0C8F"/>
    <w:rsid w:val="001A0CFF"/>
    <w:rsid w:val="001A0FAC"/>
    <w:rsid w:val="001A10EB"/>
    <w:rsid w:val="001A10F2"/>
    <w:rsid w:val="001A12B9"/>
    <w:rsid w:val="001A1591"/>
    <w:rsid w:val="001A169D"/>
    <w:rsid w:val="001A16AD"/>
    <w:rsid w:val="001A17E9"/>
    <w:rsid w:val="001A18FE"/>
    <w:rsid w:val="001A19AD"/>
    <w:rsid w:val="001A1CA9"/>
    <w:rsid w:val="001A1D0E"/>
    <w:rsid w:val="001A23B5"/>
    <w:rsid w:val="001A257C"/>
    <w:rsid w:val="001A2C0F"/>
    <w:rsid w:val="001A2C61"/>
    <w:rsid w:val="001A2CFB"/>
    <w:rsid w:val="001A2F66"/>
    <w:rsid w:val="001A3090"/>
    <w:rsid w:val="001A3096"/>
    <w:rsid w:val="001A314C"/>
    <w:rsid w:val="001A327D"/>
    <w:rsid w:val="001A3445"/>
    <w:rsid w:val="001A3559"/>
    <w:rsid w:val="001A37B5"/>
    <w:rsid w:val="001A38F0"/>
    <w:rsid w:val="001A3A83"/>
    <w:rsid w:val="001A3BB6"/>
    <w:rsid w:val="001A3BC6"/>
    <w:rsid w:val="001A3BD2"/>
    <w:rsid w:val="001A3D16"/>
    <w:rsid w:val="001A458D"/>
    <w:rsid w:val="001A48FF"/>
    <w:rsid w:val="001A4AF7"/>
    <w:rsid w:val="001A4F0D"/>
    <w:rsid w:val="001A4FB3"/>
    <w:rsid w:val="001A5069"/>
    <w:rsid w:val="001A5518"/>
    <w:rsid w:val="001A5A29"/>
    <w:rsid w:val="001A5B73"/>
    <w:rsid w:val="001A5E75"/>
    <w:rsid w:val="001A60D0"/>
    <w:rsid w:val="001A60D8"/>
    <w:rsid w:val="001A64D7"/>
    <w:rsid w:val="001A662B"/>
    <w:rsid w:val="001A675C"/>
    <w:rsid w:val="001A6773"/>
    <w:rsid w:val="001A6C8F"/>
    <w:rsid w:val="001A705C"/>
    <w:rsid w:val="001A70A3"/>
    <w:rsid w:val="001A712E"/>
    <w:rsid w:val="001A76F4"/>
    <w:rsid w:val="001A77D7"/>
    <w:rsid w:val="001A7996"/>
    <w:rsid w:val="001A79FD"/>
    <w:rsid w:val="001A7D00"/>
    <w:rsid w:val="001A7ED5"/>
    <w:rsid w:val="001B03E0"/>
    <w:rsid w:val="001B03EE"/>
    <w:rsid w:val="001B0813"/>
    <w:rsid w:val="001B0839"/>
    <w:rsid w:val="001B093A"/>
    <w:rsid w:val="001B0C85"/>
    <w:rsid w:val="001B0D1B"/>
    <w:rsid w:val="001B0D95"/>
    <w:rsid w:val="001B114B"/>
    <w:rsid w:val="001B128B"/>
    <w:rsid w:val="001B13EE"/>
    <w:rsid w:val="001B1830"/>
    <w:rsid w:val="001B186B"/>
    <w:rsid w:val="001B18B7"/>
    <w:rsid w:val="001B1A8C"/>
    <w:rsid w:val="001B1AAC"/>
    <w:rsid w:val="001B1CD0"/>
    <w:rsid w:val="001B1DAF"/>
    <w:rsid w:val="001B1DB1"/>
    <w:rsid w:val="001B1FA9"/>
    <w:rsid w:val="001B2219"/>
    <w:rsid w:val="001B2301"/>
    <w:rsid w:val="001B27C2"/>
    <w:rsid w:val="001B27DC"/>
    <w:rsid w:val="001B2AF4"/>
    <w:rsid w:val="001B2BC5"/>
    <w:rsid w:val="001B2C92"/>
    <w:rsid w:val="001B2CD2"/>
    <w:rsid w:val="001B2F39"/>
    <w:rsid w:val="001B3244"/>
    <w:rsid w:val="001B33AB"/>
    <w:rsid w:val="001B36B3"/>
    <w:rsid w:val="001B3AC8"/>
    <w:rsid w:val="001B3B43"/>
    <w:rsid w:val="001B3C24"/>
    <w:rsid w:val="001B3CBA"/>
    <w:rsid w:val="001B3F6E"/>
    <w:rsid w:val="001B4332"/>
    <w:rsid w:val="001B4B5F"/>
    <w:rsid w:val="001B4C09"/>
    <w:rsid w:val="001B4CC7"/>
    <w:rsid w:val="001B4E0D"/>
    <w:rsid w:val="001B4F0C"/>
    <w:rsid w:val="001B552E"/>
    <w:rsid w:val="001B564E"/>
    <w:rsid w:val="001B5ABA"/>
    <w:rsid w:val="001B6496"/>
    <w:rsid w:val="001B64AF"/>
    <w:rsid w:val="001B6563"/>
    <w:rsid w:val="001B656D"/>
    <w:rsid w:val="001B6714"/>
    <w:rsid w:val="001B696F"/>
    <w:rsid w:val="001B6A1C"/>
    <w:rsid w:val="001B6A7B"/>
    <w:rsid w:val="001B6B48"/>
    <w:rsid w:val="001B6C94"/>
    <w:rsid w:val="001B6DD2"/>
    <w:rsid w:val="001B7047"/>
    <w:rsid w:val="001B7154"/>
    <w:rsid w:val="001B722E"/>
    <w:rsid w:val="001B72E0"/>
    <w:rsid w:val="001B7627"/>
    <w:rsid w:val="001B77B0"/>
    <w:rsid w:val="001B7BBA"/>
    <w:rsid w:val="001B7CBA"/>
    <w:rsid w:val="001C02AF"/>
    <w:rsid w:val="001C03F7"/>
    <w:rsid w:val="001C05CB"/>
    <w:rsid w:val="001C0854"/>
    <w:rsid w:val="001C0877"/>
    <w:rsid w:val="001C0BD2"/>
    <w:rsid w:val="001C0E9B"/>
    <w:rsid w:val="001C1134"/>
    <w:rsid w:val="001C12F8"/>
    <w:rsid w:val="001C130B"/>
    <w:rsid w:val="001C17CF"/>
    <w:rsid w:val="001C1C36"/>
    <w:rsid w:val="001C1DCC"/>
    <w:rsid w:val="001C203E"/>
    <w:rsid w:val="001C2833"/>
    <w:rsid w:val="001C2BDD"/>
    <w:rsid w:val="001C2D08"/>
    <w:rsid w:val="001C2F89"/>
    <w:rsid w:val="001C3018"/>
    <w:rsid w:val="001C3062"/>
    <w:rsid w:val="001C3229"/>
    <w:rsid w:val="001C32A1"/>
    <w:rsid w:val="001C3548"/>
    <w:rsid w:val="001C35D9"/>
    <w:rsid w:val="001C3609"/>
    <w:rsid w:val="001C3A41"/>
    <w:rsid w:val="001C3AE2"/>
    <w:rsid w:val="001C3E3E"/>
    <w:rsid w:val="001C3FCB"/>
    <w:rsid w:val="001C4269"/>
    <w:rsid w:val="001C46BE"/>
    <w:rsid w:val="001C4749"/>
    <w:rsid w:val="001C4A06"/>
    <w:rsid w:val="001C507C"/>
    <w:rsid w:val="001C5093"/>
    <w:rsid w:val="001C515D"/>
    <w:rsid w:val="001C52BA"/>
    <w:rsid w:val="001C5478"/>
    <w:rsid w:val="001C55AD"/>
    <w:rsid w:val="001C5750"/>
    <w:rsid w:val="001C57BD"/>
    <w:rsid w:val="001C57BE"/>
    <w:rsid w:val="001C5B57"/>
    <w:rsid w:val="001C5CE3"/>
    <w:rsid w:val="001C5E2D"/>
    <w:rsid w:val="001C5F2C"/>
    <w:rsid w:val="001C5F5F"/>
    <w:rsid w:val="001C6308"/>
    <w:rsid w:val="001C643D"/>
    <w:rsid w:val="001C64F8"/>
    <w:rsid w:val="001C6B3F"/>
    <w:rsid w:val="001C6DE6"/>
    <w:rsid w:val="001C7142"/>
    <w:rsid w:val="001C7321"/>
    <w:rsid w:val="001C7354"/>
    <w:rsid w:val="001C76F9"/>
    <w:rsid w:val="001C77A4"/>
    <w:rsid w:val="001C77F5"/>
    <w:rsid w:val="001C7C94"/>
    <w:rsid w:val="001C7D14"/>
    <w:rsid w:val="001D0160"/>
    <w:rsid w:val="001D019A"/>
    <w:rsid w:val="001D0488"/>
    <w:rsid w:val="001D084E"/>
    <w:rsid w:val="001D0858"/>
    <w:rsid w:val="001D085C"/>
    <w:rsid w:val="001D0868"/>
    <w:rsid w:val="001D08DF"/>
    <w:rsid w:val="001D0A03"/>
    <w:rsid w:val="001D0CB0"/>
    <w:rsid w:val="001D0F40"/>
    <w:rsid w:val="001D127D"/>
    <w:rsid w:val="001D1417"/>
    <w:rsid w:val="001D1A98"/>
    <w:rsid w:val="001D2267"/>
    <w:rsid w:val="001D234B"/>
    <w:rsid w:val="001D23EB"/>
    <w:rsid w:val="001D245C"/>
    <w:rsid w:val="001D24F6"/>
    <w:rsid w:val="001D268F"/>
    <w:rsid w:val="001D26FC"/>
    <w:rsid w:val="001D34CC"/>
    <w:rsid w:val="001D35E1"/>
    <w:rsid w:val="001D35E8"/>
    <w:rsid w:val="001D3681"/>
    <w:rsid w:val="001D371C"/>
    <w:rsid w:val="001D37A5"/>
    <w:rsid w:val="001D3B29"/>
    <w:rsid w:val="001D3E43"/>
    <w:rsid w:val="001D3E5E"/>
    <w:rsid w:val="001D3F0E"/>
    <w:rsid w:val="001D41B0"/>
    <w:rsid w:val="001D440C"/>
    <w:rsid w:val="001D463A"/>
    <w:rsid w:val="001D486E"/>
    <w:rsid w:val="001D49B8"/>
    <w:rsid w:val="001D4C87"/>
    <w:rsid w:val="001D4E73"/>
    <w:rsid w:val="001D4F8C"/>
    <w:rsid w:val="001D5219"/>
    <w:rsid w:val="001D521E"/>
    <w:rsid w:val="001D5EEE"/>
    <w:rsid w:val="001D6155"/>
    <w:rsid w:val="001D61FB"/>
    <w:rsid w:val="001D6964"/>
    <w:rsid w:val="001D6AA7"/>
    <w:rsid w:val="001D6B32"/>
    <w:rsid w:val="001D6BA4"/>
    <w:rsid w:val="001D6C8B"/>
    <w:rsid w:val="001D6CA7"/>
    <w:rsid w:val="001D6F42"/>
    <w:rsid w:val="001D705B"/>
    <w:rsid w:val="001D70A0"/>
    <w:rsid w:val="001D7161"/>
    <w:rsid w:val="001D7590"/>
    <w:rsid w:val="001D7968"/>
    <w:rsid w:val="001D79B0"/>
    <w:rsid w:val="001D7B3C"/>
    <w:rsid w:val="001E00F9"/>
    <w:rsid w:val="001E02EE"/>
    <w:rsid w:val="001E0497"/>
    <w:rsid w:val="001E04B4"/>
    <w:rsid w:val="001E05DA"/>
    <w:rsid w:val="001E0746"/>
    <w:rsid w:val="001E0998"/>
    <w:rsid w:val="001E0A93"/>
    <w:rsid w:val="001E0AF1"/>
    <w:rsid w:val="001E0BC1"/>
    <w:rsid w:val="001E0EBA"/>
    <w:rsid w:val="001E0F3C"/>
    <w:rsid w:val="001E0FE5"/>
    <w:rsid w:val="001E102E"/>
    <w:rsid w:val="001E162A"/>
    <w:rsid w:val="001E17EC"/>
    <w:rsid w:val="001E18AF"/>
    <w:rsid w:val="001E198F"/>
    <w:rsid w:val="001E1AD9"/>
    <w:rsid w:val="001E1D60"/>
    <w:rsid w:val="001E1F02"/>
    <w:rsid w:val="001E20BE"/>
    <w:rsid w:val="001E20C3"/>
    <w:rsid w:val="001E213C"/>
    <w:rsid w:val="001E2198"/>
    <w:rsid w:val="001E239F"/>
    <w:rsid w:val="001E25AD"/>
    <w:rsid w:val="001E25F6"/>
    <w:rsid w:val="001E277D"/>
    <w:rsid w:val="001E2C86"/>
    <w:rsid w:val="001E320C"/>
    <w:rsid w:val="001E3234"/>
    <w:rsid w:val="001E3352"/>
    <w:rsid w:val="001E3385"/>
    <w:rsid w:val="001E3636"/>
    <w:rsid w:val="001E3710"/>
    <w:rsid w:val="001E3B19"/>
    <w:rsid w:val="001E3C23"/>
    <w:rsid w:val="001E3E34"/>
    <w:rsid w:val="001E3EA6"/>
    <w:rsid w:val="001E3EEC"/>
    <w:rsid w:val="001E3F5F"/>
    <w:rsid w:val="001E43F5"/>
    <w:rsid w:val="001E48DB"/>
    <w:rsid w:val="001E49DF"/>
    <w:rsid w:val="001E49E2"/>
    <w:rsid w:val="001E4BEC"/>
    <w:rsid w:val="001E5100"/>
    <w:rsid w:val="001E51AC"/>
    <w:rsid w:val="001E5483"/>
    <w:rsid w:val="001E54F2"/>
    <w:rsid w:val="001E5527"/>
    <w:rsid w:val="001E563C"/>
    <w:rsid w:val="001E59D7"/>
    <w:rsid w:val="001E5B44"/>
    <w:rsid w:val="001E601C"/>
    <w:rsid w:val="001E6190"/>
    <w:rsid w:val="001E61BB"/>
    <w:rsid w:val="001E64EA"/>
    <w:rsid w:val="001E657C"/>
    <w:rsid w:val="001E6FAF"/>
    <w:rsid w:val="001E70A5"/>
    <w:rsid w:val="001E727A"/>
    <w:rsid w:val="001E7439"/>
    <w:rsid w:val="001E7508"/>
    <w:rsid w:val="001E7996"/>
    <w:rsid w:val="001E7A3C"/>
    <w:rsid w:val="001E7A96"/>
    <w:rsid w:val="001E7C0B"/>
    <w:rsid w:val="001E7DB8"/>
    <w:rsid w:val="001E7E8E"/>
    <w:rsid w:val="001F0037"/>
    <w:rsid w:val="001F00EF"/>
    <w:rsid w:val="001F037A"/>
    <w:rsid w:val="001F0418"/>
    <w:rsid w:val="001F046A"/>
    <w:rsid w:val="001F04D2"/>
    <w:rsid w:val="001F0CF3"/>
    <w:rsid w:val="001F1415"/>
    <w:rsid w:val="001F14D0"/>
    <w:rsid w:val="001F1686"/>
    <w:rsid w:val="001F1955"/>
    <w:rsid w:val="001F1B84"/>
    <w:rsid w:val="001F1BBD"/>
    <w:rsid w:val="001F1C03"/>
    <w:rsid w:val="001F1D16"/>
    <w:rsid w:val="001F1D34"/>
    <w:rsid w:val="001F2017"/>
    <w:rsid w:val="001F21F6"/>
    <w:rsid w:val="001F27B5"/>
    <w:rsid w:val="001F28B0"/>
    <w:rsid w:val="001F2A70"/>
    <w:rsid w:val="001F2CBB"/>
    <w:rsid w:val="001F33C5"/>
    <w:rsid w:val="001F380D"/>
    <w:rsid w:val="001F3AA4"/>
    <w:rsid w:val="001F3B6A"/>
    <w:rsid w:val="001F4008"/>
    <w:rsid w:val="001F4166"/>
    <w:rsid w:val="001F418C"/>
    <w:rsid w:val="001F41E3"/>
    <w:rsid w:val="001F42A7"/>
    <w:rsid w:val="001F446C"/>
    <w:rsid w:val="001F46EB"/>
    <w:rsid w:val="001F4EEC"/>
    <w:rsid w:val="001F4FFC"/>
    <w:rsid w:val="001F50AA"/>
    <w:rsid w:val="001F50C9"/>
    <w:rsid w:val="001F527D"/>
    <w:rsid w:val="001F52CD"/>
    <w:rsid w:val="001F532B"/>
    <w:rsid w:val="001F54A2"/>
    <w:rsid w:val="001F58A2"/>
    <w:rsid w:val="001F5981"/>
    <w:rsid w:val="001F59CA"/>
    <w:rsid w:val="001F5A67"/>
    <w:rsid w:val="001F5AC2"/>
    <w:rsid w:val="001F5C6B"/>
    <w:rsid w:val="001F62F0"/>
    <w:rsid w:val="001F640C"/>
    <w:rsid w:val="001F64B0"/>
    <w:rsid w:val="001F6AEE"/>
    <w:rsid w:val="001F6E47"/>
    <w:rsid w:val="001F6E52"/>
    <w:rsid w:val="001F705B"/>
    <w:rsid w:val="001F7308"/>
    <w:rsid w:val="001F74F0"/>
    <w:rsid w:val="001F763D"/>
    <w:rsid w:val="001F76C2"/>
    <w:rsid w:val="001F76D0"/>
    <w:rsid w:val="001F76F3"/>
    <w:rsid w:val="001F77E4"/>
    <w:rsid w:val="001F7821"/>
    <w:rsid w:val="001F795F"/>
    <w:rsid w:val="001F7A41"/>
    <w:rsid w:val="001F7C91"/>
    <w:rsid w:val="001F7D4E"/>
    <w:rsid w:val="001F7E07"/>
    <w:rsid w:val="001F7EF3"/>
    <w:rsid w:val="002000DD"/>
    <w:rsid w:val="0020015E"/>
    <w:rsid w:val="002002F5"/>
    <w:rsid w:val="002003B0"/>
    <w:rsid w:val="002003B4"/>
    <w:rsid w:val="002005BD"/>
    <w:rsid w:val="00200640"/>
    <w:rsid w:val="00200768"/>
    <w:rsid w:val="0020092F"/>
    <w:rsid w:val="00200BC6"/>
    <w:rsid w:val="00200C46"/>
    <w:rsid w:val="00200F15"/>
    <w:rsid w:val="00201399"/>
    <w:rsid w:val="002015E8"/>
    <w:rsid w:val="002016D7"/>
    <w:rsid w:val="0020172D"/>
    <w:rsid w:val="00201823"/>
    <w:rsid w:val="00201C82"/>
    <w:rsid w:val="00202189"/>
    <w:rsid w:val="00202218"/>
    <w:rsid w:val="00202396"/>
    <w:rsid w:val="00202571"/>
    <w:rsid w:val="00202594"/>
    <w:rsid w:val="00202E39"/>
    <w:rsid w:val="00202F0D"/>
    <w:rsid w:val="0020354F"/>
    <w:rsid w:val="00203677"/>
    <w:rsid w:val="002038C5"/>
    <w:rsid w:val="002038D3"/>
    <w:rsid w:val="00203988"/>
    <w:rsid w:val="00203BE0"/>
    <w:rsid w:val="002044A3"/>
    <w:rsid w:val="00204708"/>
    <w:rsid w:val="002048FF"/>
    <w:rsid w:val="002049C1"/>
    <w:rsid w:val="00204B6C"/>
    <w:rsid w:val="00204FA9"/>
    <w:rsid w:val="00205001"/>
    <w:rsid w:val="00205018"/>
    <w:rsid w:val="0020547F"/>
    <w:rsid w:val="002054B8"/>
    <w:rsid w:val="002058C4"/>
    <w:rsid w:val="00205A3C"/>
    <w:rsid w:val="00205A4E"/>
    <w:rsid w:val="00205B77"/>
    <w:rsid w:val="00205C96"/>
    <w:rsid w:val="00206304"/>
    <w:rsid w:val="00206386"/>
    <w:rsid w:val="002065F5"/>
    <w:rsid w:val="002066CC"/>
    <w:rsid w:val="002066D1"/>
    <w:rsid w:val="0020683A"/>
    <w:rsid w:val="00206875"/>
    <w:rsid w:val="002070EF"/>
    <w:rsid w:val="0020743E"/>
    <w:rsid w:val="00207539"/>
    <w:rsid w:val="002076C5"/>
    <w:rsid w:val="00207C30"/>
    <w:rsid w:val="00207F39"/>
    <w:rsid w:val="00210342"/>
    <w:rsid w:val="00210675"/>
    <w:rsid w:val="00210A7E"/>
    <w:rsid w:val="00210DB2"/>
    <w:rsid w:val="002112E7"/>
    <w:rsid w:val="00211747"/>
    <w:rsid w:val="00211794"/>
    <w:rsid w:val="0021193E"/>
    <w:rsid w:val="00211B9A"/>
    <w:rsid w:val="00211ED7"/>
    <w:rsid w:val="00211F71"/>
    <w:rsid w:val="002122F2"/>
    <w:rsid w:val="002123D4"/>
    <w:rsid w:val="0021248E"/>
    <w:rsid w:val="002124A6"/>
    <w:rsid w:val="002124F9"/>
    <w:rsid w:val="00212A55"/>
    <w:rsid w:val="00212DBB"/>
    <w:rsid w:val="00212DEB"/>
    <w:rsid w:val="00212E68"/>
    <w:rsid w:val="00212F7C"/>
    <w:rsid w:val="002130E7"/>
    <w:rsid w:val="00213136"/>
    <w:rsid w:val="00213707"/>
    <w:rsid w:val="0021383E"/>
    <w:rsid w:val="00213C31"/>
    <w:rsid w:val="00213C49"/>
    <w:rsid w:val="00213CC4"/>
    <w:rsid w:val="00213CF1"/>
    <w:rsid w:val="00213F23"/>
    <w:rsid w:val="00213F70"/>
    <w:rsid w:val="002141D1"/>
    <w:rsid w:val="0021425B"/>
    <w:rsid w:val="0021434B"/>
    <w:rsid w:val="002143E5"/>
    <w:rsid w:val="002148D7"/>
    <w:rsid w:val="00214A35"/>
    <w:rsid w:val="00214AF0"/>
    <w:rsid w:val="00214B17"/>
    <w:rsid w:val="00214B6F"/>
    <w:rsid w:val="00214CAA"/>
    <w:rsid w:val="00214E3B"/>
    <w:rsid w:val="00214EA2"/>
    <w:rsid w:val="002155CD"/>
    <w:rsid w:val="00215A11"/>
    <w:rsid w:val="00215AD5"/>
    <w:rsid w:val="0021606C"/>
    <w:rsid w:val="002160C8"/>
    <w:rsid w:val="0021621A"/>
    <w:rsid w:val="00216BDE"/>
    <w:rsid w:val="00217035"/>
    <w:rsid w:val="00217514"/>
    <w:rsid w:val="00217610"/>
    <w:rsid w:val="002177A0"/>
    <w:rsid w:val="00217B9A"/>
    <w:rsid w:val="00217D0E"/>
    <w:rsid w:val="002201F0"/>
    <w:rsid w:val="00220566"/>
    <w:rsid w:val="002205B4"/>
    <w:rsid w:val="00220644"/>
    <w:rsid w:val="00220948"/>
    <w:rsid w:val="0022098F"/>
    <w:rsid w:val="00220A62"/>
    <w:rsid w:val="00220C86"/>
    <w:rsid w:val="00220E8C"/>
    <w:rsid w:val="00220FD0"/>
    <w:rsid w:val="002210BC"/>
    <w:rsid w:val="002211C8"/>
    <w:rsid w:val="00221229"/>
    <w:rsid w:val="002213F4"/>
    <w:rsid w:val="002214A5"/>
    <w:rsid w:val="00221AD0"/>
    <w:rsid w:val="002224CE"/>
    <w:rsid w:val="00222546"/>
    <w:rsid w:val="002226EB"/>
    <w:rsid w:val="002229B4"/>
    <w:rsid w:val="00222AF6"/>
    <w:rsid w:val="00222CBA"/>
    <w:rsid w:val="00222E22"/>
    <w:rsid w:val="00222F6A"/>
    <w:rsid w:val="00223265"/>
    <w:rsid w:val="0022345B"/>
    <w:rsid w:val="00223B71"/>
    <w:rsid w:val="002240F8"/>
    <w:rsid w:val="0022415C"/>
    <w:rsid w:val="0022433F"/>
    <w:rsid w:val="002246D3"/>
    <w:rsid w:val="00224B19"/>
    <w:rsid w:val="0022502F"/>
    <w:rsid w:val="0022569E"/>
    <w:rsid w:val="00225937"/>
    <w:rsid w:val="002259A3"/>
    <w:rsid w:val="00225CAC"/>
    <w:rsid w:val="00225D6D"/>
    <w:rsid w:val="00225DCC"/>
    <w:rsid w:val="002261C0"/>
    <w:rsid w:val="00226266"/>
    <w:rsid w:val="00226585"/>
    <w:rsid w:val="00226783"/>
    <w:rsid w:val="0022684F"/>
    <w:rsid w:val="0022692C"/>
    <w:rsid w:val="00226AC5"/>
    <w:rsid w:val="00227140"/>
    <w:rsid w:val="00227808"/>
    <w:rsid w:val="00227831"/>
    <w:rsid w:val="00227A34"/>
    <w:rsid w:val="00227CF3"/>
    <w:rsid w:val="00230349"/>
    <w:rsid w:val="002303AA"/>
    <w:rsid w:val="00230521"/>
    <w:rsid w:val="002306EA"/>
    <w:rsid w:val="00230A8C"/>
    <w:rsid w:val="00230B96"/>
    <w:rsid w:val="00230D9E"/>
    <w:rsid w:val="00231656"/>
    <w:rsid w:val="00231693"/>
    <w:rsid w:val="00231812"/>
    <w:rsid w:val="0023197E"/>
    <w:rsid w:val="00231995"/>
    <w:rsid w:val="00231E8E"/>
    <w:rsid w:val="00232EEC"/>
    <w:rsid w:val="0023361B"/>
    <w:rsid w:val="0023376C"/>
    <w:rsid w:val="002337B1"/>
    <w:rsid w:val="002339DA"/>
    <w:rsid w:val="00233A7F"/>
    <w:rsid w:val="00233DA3"/>
    <w:rsid w:val="00233FAD"/>
    <w:rsid w:val="00233FE0"/>
    <w:rsid w:val="00234339"/>
    <w:rsid w:val="0023468C"/>
    <w:rsid w:val="002348AB"/>
    <w:rsid w:val="0023491A"/>
    <w:rsid w:val="00234A25"/>
    <w:rsid w:val="00234C80"/>
    <w:rsid w:val="00234CE7"/>
    <w:rsid w:val="00234F0C"/>
    <w:rsid w:val="0023507D"/>
    <w:rsid w:val="00235597"/>
    <w:rsid w:val="00235674"/>
    <w:rsid w:val="002357A0"/>
    <w:rsid w:val="00235886"/>
    <w:rsid w:val="00235DB4"/>
    <w:rsid w:val="00235ED6"/>
    <w:rsid w:val="00235FD5"/>
    <w:rsid w:val="002364A6"/>
    <w:rsid w:val="0023652D"/>
    <w:rsid w:val="002366EA"/>
    <w:rsid w:val="00236958"/>
    <w:rsid w:val="00236D04"/>
    <w:rsid w:val="00236D84"/>
    <w:rsid w:val="00236DE9"/>
    <w:rsid w:val="00236DF0"/>
    <w:rsid w:val="0023701A"/>
    <w:rsid w:val="0023702A"/>
    <w:rsid w:val="00237569"/>
    <w:rsid w:val="00237619"/>
    <w:rsid w:val="002376B3"/>
    <w:rsid w:val="00237D64"/>
    <w:rsid w:val="00237DDD"/>
    <w:rsid w:val="00237E5C"/>
    <w:rsid w:val="00237EC9"/>
    <w:rsid w:val="00237EF2"/>
    <w:rsid w:val="002400B4"/>
    <w:rsid w:val="00240170"/>
    <w:rsid w:val="002402A0"/>
    <w:rsid w:val="002402CB"/>
    <w:rsid w:val="00240629"/>
    <w:rsid w:val="00240D9F"/>
    <w:rsid w:val="00240E3C"/>
    <w:rsid w:val="00240F51"/>
    <w:rsid w:val="00241010"/>
    <w:rsid w:val="00241168"/>
    <w:rsid w:val="002412E8"/>
    <w:rsid w:val="0024156B"/>
    <w:rsid w:val="00241763"/>
    <w:rsid w:val="00241826"/>
    <w:rsid w:val="0024185B"/>
    <w:rsid w:val="00241862"/>
    <w:rsid w:val="00242222"/>
    <w:rsid w:val="00242A21"/>
    <w:rsid w:val="00242AAC"/>
    <w:rsid w:val="00242EE9"/>
    <w:rsid w:val="00243261"/>
    <w:rsid w:val="00243490"/>
    <w:rsid w:val="00243AFE"/>
    <w:rsid w:val="00243C6C"/>
    <w:rsid w:val="00243CF0"/>
    <w:rsid w:val="00243DFA"/>
    <w:rsid w:val="00243E7F"/>
    <w:rsid w:val="0024403C"/>
    <w:rsid w:val="00244084"/>
    <w:rsid w:val="00244587"/>
    <w:rsid w:val="00244597"/>
    <w:rsid w:val="002446C2"/>
    <w:rsid w:val="00244711"/>
    <w:rsid w:val="002447A8"/>
    <w:rsid w:val="00244854"/>
    <w:rsid w:val="002448B0"/>
    <w:rsid w:val="002448D9"/>
    <w:rsid w:val="00244922"/>
    <w:rsid w:val="002449AB"/>
    <w:rsid w:val="00244AB0"/>
    <w:rsid w:val="00244C03"/>
    <w:rsid w:val="00244C98"/>
    <w:rsid w:val="00244D7D"/>
    <w:rsid w:val="00245478"/>
    <w:rsid w:val="00245910"/>
    <w:rsid w:val="00245CE1"/>
    <w:rsid w:val="00245DDC"/>
    <w:rsid w:val="00245E75"/>
    <w:rsid w:val="00246208"/>
    <w:rsid w:val="0024654A"/>
    <w:rsid w:val="00246609"/>
    <w:rsid w:val="0024691A"/>
    <w:rsid w:val="00246BF8"/>
    <w:rsid w:val="00246C93"/>
    <w:rsid w:val="00246DC1"/>
    <w:rsid w:val="00246EB7"/>
    <w:rsid w:val="0024722D"/>
    <w:rsid w:val="002473CB"/>
    <w:rsid w:val="00247B63"/>
    <w:rsid w:val="00247CAA"/>
    <w:rsid w:val="00247FC8"/>
    <w:rsid w:val="00250098"/>
    <w:rsid w:val="00250965"/>
    <w:rsid w:val="00250A2D"/>
    <w:rsid w:val="00250A81"/>
    <w:rsid w:val="00250AD7"/>
    <w:rsid w:val="00250B1C"/>
    <w:rsid w:val="00250BB4"/>
    <w:rsid w:val="00250BFB"/>
    <w:rsid w:val="00250E04"/>
    <w:rsid w:val="002512E7"/>
    <w:rsid w:val="00251332"/>
    <w:rsid w:val="0025185B"/>
    <w:rsid w:val="00251AE7"/>
    <w:rsid w:val="00251CFA"/>
    <w:rsid w:val="00251DED"/>
    <w:rsid w:val="0025211E"/>
    <w:rsid w:val="00252437"/>
    <w:rsid w:val="00252453"/>
    <w:rsid w:val="0025259B"/>
    <w:rsid w:val="00252C1C"/>
    <w:rsid w:val="002533EF"/>
    <w:rsid w:val="0025352B"/>
    <w:rsid w:val="00253637"/>
    <w:rsid w:val="00253810"/>
    <w:rsid w:val="00253B16"/>
    <w:rsid w:val="00253B70"/>
    <w:rsid w:val="0025410A"/>
    <w:rsid w:val="00254501"/>
    <w:rsid w:val="00254526"/>
    <w:rsid w:val="002545F1"/>
    <w:rsid w:val="00254923"/>
    <w:rsid w:val="0025498D"/>
    <w:rsid w:val="00254D30"/>
    <w:rsid w:val="00255926"/>
    <w:rsid w:val="00255969"/>
    <w:rsid w:val="002559B4"/>
    <w:rsid w:val="00255B42"/>
    <w:rsid w:val="00255C5F"/>
    <w:rsid w:val="00256286"/>
    <w:rsid w:val="002563D2"/>
    <w:rsid w:val="00256611"/>
    <w:rsid w:val="00256A22"/>
    <w:rsid w:val="00256DCB"/>
    <w:rsid w:val="002571D5"/>
    <w:rsid w:val="00257585"/>
    <w:rsid w:val="002577A6"/>
    <w:rsid w:val="0025787D"/>
    <w:rsid w:val="0025792A"/>
    <w:rsid w:val="00257949"/>
    <w:rsid w:val="00257E2A"/>
    <w:rsid w:val="00257ECF"/>
    <w:rsid w:val="00257F0E"/>
    <w:rsid w:val="00257F92"/>
    <w:rsid w:val="002601C3"/>
    <w:rsid w:val="002602A5"/>
    <w:rsid w:val="00260AC9"/>
    <w:rsid w:val="00260B34"/>
    <w:rsid w:val="00260CB8"/>
    <w:rsid w:val="00260CF7"/>
    <w:rsid w:val="00260E40"/>
    <w:rsid w:val="00261129"/>
    <w:rsid w:val="002617F7"/>
    <w:rsid w:val="00261918"/>
    <w:rsid w:val="00261FBB"/>
    <w:rsid w:val="002621C7"/>
    <w:rsid w:val="00262749"/>
    <w:rsid w:val="0026286D"/>
    <w:rsid w:val="002628D9"/>
    <w:rsid w:val="00262A31"/>
    <w:rsid w:val="00262B27"/>
    <w:rsid w:val="00262C09"/>
    <w:rsid w:val="00262E82"/>
    <w:rsid w:val="00262EB4"/>
    <w:rsid w:val="002632AA"/>
    <w:rsid w:val="0026332B"/>
    <w:rsid w:val="00263704"/>
    <w:rsid w:val="0026384A"/>
    <w:rsid w:val="00263880"/>
    <w:rsid w:val="0026397A"/>
    <w:rsid w:val="00263E36"/>
    <w:rsid w:val="00263E42"/>
    <w:rsid w:val="00263E7D"/>
    <w:rsid w:val="00263FA7"/>
    <w:rsid w:val="00264159"/>
    <w:rsid w:val="00264430"/>
    <w:rsid w:val="002649A4"/>
    <w:rsid w:val="00264D61"/>
    <w:rsid w:val="002651BF"/>
    <w:rsid w:val="002652C4"/>
    <w:rsid w:val="002655C5"/>
    <w:rsid w:val="002655FB"/>
    <w:rsid w:val="0026564D"/>
    <w:rsid w:val="00265C95"/>
    <w:rsid w:val="00265F80"/>
    <w:rsid w:val="00266386"/>
    <w:rsid w:val="00266664"/>
    <w:rsid w:val="00266998"/>
    <w:rsid w:val="00266BDF"/>
    <w:rsid w:val="002670E3"/>
    <w:rsid w:val="00267290"/>
    <w:rsid w:val="00267608"/>
    <w:rsid w:val="0026761D"/>
    <w:rsid w:val="0026773B"/>
    <w:rsid w:val="002677BB"/>
    <w:rsid w:val="00267AD1"/>
    <w:rsid w:val="00267B93"/>
    <w:rsid w:val="00270071"/>
    <w:rsid w:val="0027024C"/>
    <w:rsid w:val="002702E0"/>
    <w:rsid w:val="00270498"/>
    <w:rsid w:val="00270A8D"/>
    <w:rsid w:val="00270C08"/>
    <w:rsid w:val="00270CE9"/>
    <w:rsid w:val="00270E2A"/>
    <w:rsid w:val="00270EA1"/>
    <w:rsid w:val="00271076"/>
    <w:rsid w:val="00271098"/>
    <w:rsid w:val="002710BF"/>
    <w:rsid w:val="00271DD6"/>
    <w:rsid w:val="00271F09"/>
    <w:rsid w:val="00271F3B"/>
    <w:rsid w:val="002721A3"/>
    <w:rsid w:val="00272236"/>
    <w:rsid w:val="00272643"/>
    <w:rsid w:val="002726CB"/>
    <w:rsid w:val="00272F42"/>
    <w:rsid w:val="00273181"/>
    <w:rsid w:val="002731C4"/>
    <w:rsid w:val="00273210"/>
    <w:rsid w:val="002732F1"/>
    <w:rsid w:val="00273987"/>
    <w:rsid w:val="00273A33"/>
    <w:rsid w:val="00273D36"/>
    <w:rsid w:val="00273D7E"/>
    <w:rsid w:val="002740D0"/>
    <w:rsid w:val="002744C1"/>
    <w:rsid w:val="0027494D"/>
    <w:rsid w:val="00274E08"/>
    <w:rsid w:val="00275087"/>
    <w:rsid w:val="00275659"/>
    <w:rsid w:val="00275741"/>
    <w:rsid w:val="0027579C"/>
    <w:rsid w:val="00275A69"/>
    <w:rsid w:val="00275C54"/>
    <w:rsid w:val="00275DDA"/>
    <w:rsid w:val="00275E35"/>
    <w:rsid w:val="00276017"/>
    <w:rsid w:val="00276117"/>
    <w:rsid w:val="002761C2"/>
    <w:rsid w:val="00276254"/>
    <w:rsid w:val="002764C6"/>
    <w:rsid w:val="00276695"/>
    <w:rsid w:val="002767D4"/>
    <w:rsid w:val="00276A49"/>
    <w:rsid w:val="00276B28"/>
    <w:rsid w:val="00276B7D"/>
    <w:rsid w:val="00276CA7"/>
    <w:rsid w:val="00276D77"/>
    <w:rsid w:val="002772CA"/>
    <w:rsid w:val="00277382"/>
    <w:rsid w:val="0027750D"/>
    <w:rsid w:val="002776F4"/>
    <w:rsid w:val="00277769"/>
    <w:rsid w:val="00277793"/>
    <w:rsid w:val="00277ACD"/>
    <w:rsid w:val="00277AD2"/>
    <w:rsid w:val="00277C34"/>
    <w:rsid w:val="00277DD2"/>
    <w:rsid w:val="0028010B"/>
    <w:rsid w:val="00280234"/>
    <w:rsid w:val="002803D2"/>
    <w:rsid w:val="0028065E"/>
    <w:rsid w:val="00280852"/>
    <w:rsid w:val="00280954"/>
    <w:rsid w:val="00280ABD"/>
    <w:rsid w:val="0028127D"/>
    <w:rsid w:val="00281356"/>
    <w:rsid w:val="0028158E"/>
    <w:rsid w:val="002818E8"/>
    <w:rsid w:val="002818F4"/>
    <w:rsid w:val="00281A24"/>
    <w:rsid w:val="00281C97"/>
    <w:rsid w:val="00281F96"/>
    <w:rsid w:val="0028200B"/>
    <w:rsid w:val="0028219C"/>
    <w:rsid w:val="00282885"/>
    <w:rsid w:val="002828E2"/>
    <w:rsid w:val="00282B16"/>
    <w:rsid w:val="00282B8F"/>
    <w:rsid w:val="0028302B"/>
    <w:rsid w:val="00283064"/>
    <w:rsid w:val="00283090"/>
    <w:rsid w:val="002833B7"/>
    <w:rsid w:val="00283452"/>
    <w:rsid w:val="00283514"/>
    <w:rsid w:val="0028358F"/>
    <w:rsid w:val="002838FA"/>
    <w:rsid w:val="00283ED9"/>
    <w:rsid w:val="00283FD1"/>
    <w:rsid w:val="00284197"/>
    <w:rsid w:val="0028466C"/>
    <w:rsid w:val="00284675"/>
    <w:rsid w:val="0028471E"/>
    <w:rsid w:val="002847FB"/>
    <w:rsid w:val="00284A15"/>
    <w:rsid w:val="00284CD3"/>
    <w:rsid w:val="00285206"/>
    <w:rsid w:val="00285216"/>
    <w:rsid w:val="0028528E"/>
    <w:rsid w:val="002852CB"/>
    <w:rsid w:val="0028536A"/>
    <w:rsid w:val="002853C9"/>
    <w:rsid w:val="00285637"/>
    <w:rsid w:val="00285731"/>
    <w:rsid w:val="00285831"/>
    <w:rsid w:val="002858C2"/>
    <w:rsid w:val="00285AE6"/>
    <w:rsid w:val="00285B26"/>
    <w:rsid w:val="00285C92"/>
    <w:rsid w:val="00285E38"/>
    <w:rsid w:val="00285F99"/>
    <w:rsid w:val="0028601D"/>
    <w:rsid w:val="0028647F"/>
    <w:rsid w:val="002867C1"/>
    <w:rsid w:val="00286935"/>
    <w:rsid w:val="00286A7C"/>
    <w:rsid w:val="00286AFA"/>
    <w:rsid w:val="00286C4A"/>
    <w:rsid w:val="00286E89"/>
    <w:rsid w:val="00286FA7"/>
    <w:rsid w:val="00287250"/>
    <w:rsid w:val="002877DB"/>
    <w:rsid w:val="00287C63"/>
    <w:rsid w:val="00290275"/>
    <w:rsid w:val="002903A0"/>
    <w:rsid w:val="002903B9"/>
    <w:rsid w:val="00290527"/>
    <w:rsid w:val="00290B29"/>
    <w:rsid w:val="00290C2B"/>
    <w:rsid w:val="00291648"/>
    <w:rsid w:val="0029191F"/>
    <w:rsid w:val="002919F5"/>
    <w:rsid w:val="00291DD8"/>
    <w:rsid w:val="00292B3F"/>
    <w:rsid w:val="00292DB4"/>
    <w:rsid w:val="00292E69"/>
    <w:rsid w:val="00292F1C"/>
    <w:rsid w:val="00293162"/>
    <w:rsid w:val="00293194"/>
    <w:rsid w:val="0029346D"/>
    <w:rsid w:val="0029364B"/>
    <w:rsid w:val="002936C0"/>
    <w:rsid w:val="0029396B"/>
    <w:rsid w:val="002939D4"/>
    <w:rsid w:val="00293CEE"/>
    <w:rsid w:val="00293E4B"/>
    <w:rsid w:val="00293EBF"/>
    <w:rsid w:val="002944B5"/>
    <w:rsid w:val="0029473F"/>
    <w:rsid w:val="0029478C"/>
    <w:rsid w:val="00294B87"/>
    <w:rsid w:val="00294C3C"/>
    <w:rsid w:val="00294C6E"/>
    <w:rsid w:val="00294CC8"/>
    <w:rsid w:val="00294D8F"/>
    <w:rsid w:val="002950EF"/>
    <w:rsid w:val="002951C2"/>
    <w:rsid w:val="00295673"/>
    <w:rsid w:val="00295754"/>
    <w:rsid w:val="00295B26"/>
    <w:rsid w:val="00295EBF"/>
    <w:rsid w:val="002960F5"/>
    <w:rsid w:val="002967AB"/>
    <w:rsid w:val="002969C8"/>
    <w:rsid w:val="00296D03"/>
    <w:rsid w:val="00296EAD"/>
    <w:rsid w:val="00296FB0"/>
    <w:rsid w:val="002974DF"/>
    <w:rsid w:val="00297EFD"/>
    <w:rsid w:val="002A03FF"/>
    <w:rsid w:val="002A065B"/>
    <w:rsid w:val="002A0803"/>
    <w:rsid w:val="002A09EA"/>
    <w:rsid w:val="002A0B87"/>
    <w:rsid w:val="002A0BFD"/>
    <w:rsid w:val="002A0CC7"/>
    <w:rsid w:val="002A0EA8"/>
    <w:rsid w:val="002A0EE3"/>
    <w:rsid w:val="002A0FFA"/>
    <w:rsid w:val="002A12DE"/>
    <w:rsid w:val="002A1662"/>
    <w:rsid w:val="002A1A20"/>
    <w:rsid w:val="002A1ADA"/>
    <w:rsid w:val="002A1CB6"/>
    <w:rsid w:val="002A24CF"/>
    <w:rsid w:val="002A2AE1"/>
    <w:rsid w:val="002A2C10"/>
    <w:rsid w:val="002A30AF"/>
    <w:rsid w:val="002A30E6"/>
    <w:rsid w:val="002A30EA"/>
    <w:rsid w:val="002A3267"/>
    <w:rsid w:val="002A33C5"/>
    <w:rsid w:val="002A35BC"/>
    <w:rsid w:val="002A37DA"/>
    <w:rsid w:val="002A3DC0"/>
    <w:rsid w:val="002A41C6"/>
    <w:rsid w:val="002A4391"/>
    <w:rsid w:val="002A443A"/>
    <w:rsid w:val="002A4674"/>
    <w:rsid w:val="002A4A6C"/>
    <w:rsid w:val="002A4B5A"/>
    <w:rsid w:val="002A5140"/>
    <w:rsid w:val="002A5164"/>
    <w:rsid w:val="002A5199"/>
    <w:rsid w:val="002A54BD"/>
    <w:rsid w:val="002A561D"/>
    <w:rsid w:val="002A58AF"/>
    <w:rsid w:val="002A5992"/>
    <w:rsid w:val="002A5AFE"/>
    <w:rsid w:val="002A5EBA"/>
    <w:rsid w:val="002A61BB"/>
    <w:rsid w:val="002A705C"/>
    <w:rsid w:val="002A73B0"/>
    <w:rsid w:val="002A7408"/>
    <w:rsid w:val="002A743E"/>
    <w:rsid w:val="002A747A"/>
    <w:rsid w:val="002A75C6"/>
    <w:rsid w:val="002A765C"/>
    <w:rsid w:val="002A78F3"/>
    <w:rsid w:val="002A7974"/>
    <w:rsid w:val="002A7D1D"/>
    <w:rsid w:val="002A7D29"/>
    <w:rsid w:val="002A7D2D"/>
    <w:rsid w:val="002B001B"/>
    <w:rsid w:val="002B04C4"/>
    <w:rsid w:val="002B0921"/>
    <w:rsid w:val="002B09F1"/>
    <w:rsid w:val="002B0A03"/>
    <w:rsid w:val="002B0B9B"/>
    <w:rsid w:val="002B0D8E"/>
    <w:rsid w:val="002B0F51"/>
    <w:rsid w:val="002B0FF5"/>
    <w:rsid w:val="002B10DC"/>
    <w:rsid w:val="002B1164"/>
    <w:rsid w:val="002B1383"/>
    <w:rsid w:val="002B1461"/>
    <w:rsid w:val="002B14F6"/>
    <w:rsid w:val="002B15EE"/>
    <w:rsid w:val="002B1632"/>
    <w:rsid w:val="002B1B78"/>
    <w:rsid w:val="002B1C98"/>
    <w:rsid w:val="002B1CE3"/>
    <w:rsid w:val="002B20C5"/>
    <w:rsid w:val="002B211C"/>
    <w:rsid w:val="002B2206"/>
    <w:rsid w:val="002B228F"/>
    <w:rsid w:val="002B259E"/>
    <w:rsid w:val="002B2616"/>
    <w:rsid w:val="002B2A36"/>
    <w:rsid w:val="002B2D0C"/>
    <w:rsid w:val="002B2D59"/>
    <w:rsid w:val="002B3094"/>
    <w:rsid w:val="002B3255"/>
    <w:rsid w:val="002B337B"/>
    <w:rsid w:val="002B3567"/>
    <w:rsid w:val="002B37DC"/>
    <w:rsid w:val="002B3D1C"/>
    <w:rsid w:val="002B3EF1"/>
    <w:rsid w:val="002B3F12"/>
    <w:rsid w:val="002B3F8A"/>
    <w:rsid w:val="002B4179"/>
    <w:rsid w:val="002B4343"/>
    <w:rsid w:val="002B4358"/>
    <w:rsid w:val="002B444D"/>
    <w:rsid w:val="002B450A"/>
    <w:rsid w:val="002B4523"/>
    <w:rsid w:val="002B4B21"/>
    <w:rsid w:val="002B4B55"/>
    <w:rsid w:val="002B4B64"/>
    <w:rsid w:val="002B4F66"/>
    <w:rsid w:val="002B4F8C"/>
    <w:rsid w:val="002B50D1"/>
    <w:rsid w:val="002B5342"/>
    <w:rsid w:val="002B544C"/>
    <w:rsid w:val="002B552F"/>
    <w:rsid w:val="002B578F"/>
    <w:rsid w:val="002B5AC5"/>
    <w:rsid w:val="002B5C60"/>
    <w:rsid w:val="002B5F7F"/>
    <w:rsid w:val="002B5F94"/>
    <w:rsid w:val="002B67D4"/>
    <w:rsid w:val="002B6D54"/>
    <w:rsid w:val="002B6FDB"/>
    <w:rsid w:val="002B7766"/>
    <w:rsid w:val="002B7922"/>
    <w:rsid w:val="002B7BC0"/>
    <w:rsid w:val="002C07D3"/>
    <w:rsid w:val="002C08CC"/>
    <w:rsid w:val="002C0C4E"/>
    <w:rsid w:val="002C0DF7"/>
    <w:rsid w:val="002C12B0"/>
    <w:rsid w:val="002C1495"/>
    <w:rsid w:val="002C2680"/>
    <w:rsid w:val="002C2DC4"/>
    <w:rsid w:val="002C30C1"/>
    <w:rsid w:val="002C3105"/>
    <w:rsid w:val="002C32EC"/>
    <w:rsid w:val="002C387D"/>
    <w:rsid w:val="002C39B9"/>
    <w:rsid w:val="002C3A55"/>
    <w:rsid w:val="002C3C9F"/>
    <w:rsid w:val="002C436D"/>
    <w:rsid w:val="002C43B8"/>
    <w:rsid w:val="002C45E7"/>
    <w:rsid w:val="002C469A"/>
    <w:rsid w:val="002C4965"/>
    <w:rsid w:val="002C4989"/>
    <w:rsid w:val="002C4A37"/>
    <w:rsid w:val="002C4AAE"/>
    <w:rsid w:val="002C4ADB"/>
    <w:rsid w:val="002C4D85"/>
    <w:rsid w:val="002C4DFB"/>
    <w:rsid w:val="002C5021"/>
    <w:rsid w:val="002C506C"/>
    <w:rsid w:val="002C54BB"/>
    <w:rsid w:val="002C55F3"/>
    <w:rsid w:val="002C563B"/>
    <w:rsid w:val="002C5864"/>
    <w:rsid w:val="002C5A9C"/>
    <w:rsid w:val="002C5ABE"/>
    <w:rsid w:val="002C6317"/>
    <w:rsid w:val="002C64EB"/>
    <w:rsid w:val="002C673C"/>
    <w:rsid w:val="002C6766"/>
    <w:rsid w:val="002C6A85"/>
    <w:rsid w:val="002C6C83"/>
    <w:rsid w:val="002C7080"/>
    <w:rsid w:val="002C7292"/>
    <w:rsid w:val="002C7591"/>
    <w:rsid w:val="002C79E9"/>
    <w:rsid w:val="002C7BE0"/>
    <w:rsid w:val="002C7CBD"/>
    <w:rsid w:val="002C7D1E"/>
    <w:rsid w:val="002C7D34"/>
    <w:rsid w:val="002D00C6"/>
    <w:rsid w:val="002D015C"/>
    <w:rsid w:val="002D02F6"/>
    <w:rsid w:val="002D0359"/>
    <w:rsid w:val="002D05E5"/>
    <w:rsid w:val="002D075D"/>
    <w:rsid w:val="002D094D"/>
    <w:rsid w:val="002D0D16"/>
    <w:rsid w:val="002D0E0F"/>
    <w:rsid w:val="002D1026"/>
    <w:rsid w:val="002D139A"/>
    <w:rsid w:val="002D1806"/>
    <w:rsid w:val="002D1D32"/>
    <w:rsid w:val="002D23EA"/>
    <w:rsid w:val="002D275A"/>
    <w:rsid w:val="002D2C79"/>
    <w:rsid w:val="002D2FA8"/>
    <w:rsid w:val="002D315D"/>
    <w:rsid w:val="002D324C"/>
    <w:rsid w:val="002D32FE"/>
    <w:rsid w:val="002D332F"/>
    <w:rsid w:val="002D33B0"/>
    <w:rsid w:val="002D378A"/>
    <w:rsid w:val="002D3BA7"/>
    <w:rsid w:val="002D404D"/>
    <w:rsid w:val="002D4138"/>
    <w:rsid w:val="002D4292"/>
    <w:rsid w:val="002D4334"/>
    <w:rsid w:val="002D43D7"/>
    <w:rsid w:val="002D4687"/>
    <w:rsid w:val="002D46CC"/>
    <w:rsid w:val="002D486D"/>
    <w:rsid w:val="002D48D7"/>
    <w:rsid w:val="002D4949"/>
    <w:rsid w:val="002D49C2"/>
    <w:rsid w:val="002D4C5B"/>
    <w:rsid w:val="002D4D6F"/>
    <w:rsid w:val="002D5417"/>
    <w:rsid w:val="002D54DA"/>
    <w:rsid w:val="002D579C"/>
    <w:rsid w:val="002D58B1"/>
    <w:rsid w:val="002D58F0"/>
    <w:rsid w:val="002D59A1"/>
    <w:rsid w:val="002D5A9A"/>
    <w:rsid w:val="002D5CF1"/>
    <w:rsid w:val="002D5F0E"/>
    <w:rsid w:val="002D624E"/>
    <w:rsid w:val="002D6400"/>
    <w:rsid w:val="002D645A"/>
    <w:rsid w:val="002D6684"/>
    <w:rsid w:val="002D6763"/>
    <w:rsid w:val="002D6966"/>
    <w:rsid w:val="002D696D"/>
    <w:rsid w:val="002D69B2"/>
    <w:rsid w:val="002D6E19"/>
    <w:rsid w:val="002D6F1A"/>
    <w:rsid w:val="002D7052"/>
    <w:rsid w:val="002D7056"/>
    <w:rsid w:val="002D72C7"/>
    <w:rsid w:val="002D78B4"/>
    <w:rsid w:val="002D794E"/>
    <w:rsid w:val="002D7BA7"/>
    <w:rsid w:val="002D7D5F"/>
    <w:rsid w:val="002D7EEF"/>
    <w:rsid w:val="002E00AD"/>
    <w:rsid w:val="002E035E"/>
    <w:rsid w:val="002E03FE"/>
    <w:rsid w:val="002E04ED"/>
    <w:rsid w:val="002E0555"/>
    <w:rsid w:val="002E064D"/>
    <w:rsid w:val="002E06DF"/>
    <w:rsid w:val="002E08E1"/>
    <w:rsid w:val="002E09A6"/>
    <w:rsid w:val="002E0BA6"/>
    <w:rsid w:val="002E0D00"/>
    <w:rsid w:val="002E106E"/>
    <w:rsid w:val="002E14D1"/>
    <w:rsid w:val="002E18B2"/>
    <w:rsid w:val="002E1B2A"/>
    <w:rsid w:val="002E1C15"/>
    <w:rsid w:val="002E1F80"/>
    <w:rsid w:val="002E1F90"/>
    <w:rsid w:val="002E2470"/>
    <w:rsid w:val="002E268E"/>
    <w:rsid w:val="002E26A5"/>
    <w:rsid w:val="002E2762"/>
    <w:rsid w:val="002E28CB"/>
    <w:rsid w:val="002E2A1D"/>
    <w:rsid w:val="002E2B6C"/>
    <w:rsid w:val="002E2CCD"/>
    <w:rsid w:val="002E2DA6"/>
    <w:rsid w:val="002E2F19"/>
    <w:rsid w:val="002E3155"/>
    <w:rsid w:val="002E34C5"/>
    <w:rsid w:val="002E3796"/>
    <w:rsid w:val="002E37F6"/>
    <w:rsid w:val="002E3A8D"/>
    <w:rsid w:val="002E3C01"/>
    <w:rsid w:val="002E3C25"/>
    <w:rsid w:val="002E3F02"/>
    <w:rsid w:val="002E3F2D"/>
    <w:rsid w:val="002E4425"/>
    <w:rsid w:val="002E47C6"/>
    <w:rsid w:val="002E4A69"/>
    <w:rsid w:val="002E4A8D"/>
    <w:rsid w:val="002E4FBF"/>
    <w:rsid w:val="002E5003"/>
    <w:rsid w:val="002E50E9"/>
    <w:rsid w:val="002E5109"/>
    <w:rsid w:val="002E5123"/>
    <w:rsid w:val="002E51DA"/>
    <w:rsid w:val="002E533F"/>
    <w:rsid w:val="002E55D9"/>
    <w:rsid w:val="002E586E"/>
    <w:rsid w:val="002E5DA6"/>
    <w:rsid w:val="002E6042"/>
    <w:rsid w:val="002E629C"/>
    <w:rsid w:val="002E642B"/>
    <w:rsid w:val="002E6715"/>
    <w:rsid w:val="002E68A3"/>
    <w:rsid w:val="002E68DE"/>
    <w:rsid w:val="002E6CB7"/>
    <w:rsid w:val="002E6E62"/>
    <w:rsid w:val="002E745E"/>
    <w:rsid w:val="002E7628"/>
    <w:rsid w:val="002E7A37"/>
    <w:rsid w:val="002E7C0E"/>
    <w:rsid w:val="002E7CEE"/>
    <w:rsid w:val="002F0951"/>
    <w:rsid w:val="002F0AB6"/>
    <w:rsid w:val="002F0EFE"/>
    <w:rsid w:val="002F0F96"/>
    <w:rsid w:val="002F10B7"/>
    <w:rsid w:val="002F121D"/>
    <w:rsid w:val="002F19C4"/>
    <w:rsid w:val="002F1B2C"/>
    <w:rsid w:val="002F1B75"/>
    <w:rsid w:val="002F1BD5"/>
    <w:rsid w:val="002F1F99"/>
    <w:rsid w:val="002F1F9D"/>
    <w:rsid w:val="002F2140"/>
    <w:rsid w:val="002F23C6"/>
    <w:rsid w:val="002F2829"/>
    <w:rsid w:val="002F29BB"/>
    <w:rsid w:val="002F2BA8"/>
    <w:rsid w:val="002F2DF9"/>
    <w:rsid w:val="002F3A90"/>
    <w:rsid w:val="002F410D"/>
    <w:rsid w:val="002F523A"/>
    <w:rsid w:val="002F545B"/>
    <w:rsid w:val="002F5597"/>
    <w:rsid w:val="002F56DF"/>
    <w:rsid w:val="002F5882"/>
    <w:rsid w:val="002F59E2"/>
    <w:rsid w:val="002F619B"/>
    <w:rsid w:val="002F6363"/>
    <w:rsid w:val="002F6D35"/>
    <w:rsid w:val="002F6D53"/>
    <w:rsid w:val="002F6E5E"/>
    <w:rsid w:val="002F6E9E"/>
    <w:rsid w:val="002F764B"/>
    <w:rsid w:val="002F7A77"/>
    <w:rsid w:val="002F7E80"/>
    <w:rsid w:val="002F7F74"/>
    <w:rsid w:val="0030004B"/>
    <w:rsid w:val="00300288"/>
    <w:rsid w:val="00300643"/>
    <w:rsid w:val="00300CAF"/>
    <w:rsid w:val="00300DC8"/>
    <w:rsid w:val="003013F3"/>
    <w:rsid w:val="00301516"/>
    <w:rsid w:val="00301CB7"/>
    <w:rsid w:val="00301CCD"/>
    <w:rsid w:val="00301D08"/>
    <w:rsid w:val="003022E3"/>
    <w:rsid w:val="00302412"/>
    <w:rsid w:val="00302686"/>
    <w:rsid w:val="00302C3D"/>
    <w:rsid w:val="00302D20"/>
    <w:rsid w:val="00302D50"/>
    <w:rsid w:val="00303007"/>
    <w:rsid w:val="003030F6"/>
    <w:rsid w:val="003031DF"/>
    <w:rsid w:val="00303221"/>
    <w:rsid w:val="0030325A"/>
    <w:rsid w:val="00303962"/>
    <w:rsid w:val="00303BF5"/>
    <w:rsid w:val="003041D7"/>
    <w:rsid w:val="00304214"/>
    <w:rsid w:val="003045C2"/>
    <w:rsid w:val="003046B4"/>
    <w:rsid w:val="003047DE"/>
    <w:rsid w:val="00304F34"/>
    <w:rsid w:val="00305055"/>
    <w:rsid w:val="0030523A"/>
    <w:rsid w:val="0030541A"/>
    <w:rsid w:val="00305775"/>
    <w:rsid w:val="003058D0"/>
    <w:rsid w:val="00305941"/>
    <w:rsid w:val="0030596F"/>
    <w:rsid w:val="003063DC"/>
    <w:rsid w:val="00306417"/>
    <w:rsid w:val="0030661F"/>
    <w:rsid w:val="0030666C"/>
    <w:rsid w:val="003069D0"/>
    <w:rsid w:val="00306C07"/>
    <w:rsid w:val="00306ED8"/>
    <w:rsid w:val="00307188"/>
    <w:rsid w:val="00307255"/>
    <w:rsid w:val="00307274"/>
    <w:rsid w:val="003072C2"/>
    <w:rsid w:val="00307465"/>
    <w:rsid w:val="003076A4"/>
    <w:rsid w:val="003076EC"/>
    <w:rsid w:val="00307A11"/>
    <w:rsid w:val="00307A3E"/>
    <w:rsid w:val="00307DF7"/>
    <w:rsid w:val="00310063"/>
    <w:rsid w:val="003101EA"/>
    <w:rsid w:val="003101FE"/>
    <w:rsid w:val="00310408"/>
    <w:rsid w:val="00310474"/>
    <w:rsid w:val="0031060E"/>
    <w:rsid w:val="0031086D"/>
    <w:rsid w:val="00310CE8"/>
    <w:rsid w:val="00310D83"/>
    <w:rsid w:val="00310E0F"/>
    <w:rsid w:val="00310EA5"/>
    <w:rsid w:val="00310EEB"/>
    <w:rsid w:val="00311640"/>
    <w:rsid w:val="00311CF0"/>
    <w:rsid w:val="00312409"/>
    <w:rsid w:val="003124EE"/>
    <w:rsid w:val="00312700"/>
    <w:rsid w:val="0031272E"/>
    <w:rsid w:val="00312A62"/>
    <w:rsid w:val="00312A78"/>
    <w:rsid w:val="00312A95"/>
    <w:rsid w:val="00312B8B"/>
    <w:rsid w:val="00312BBD"/>
    <w:rsid w:val="00312CC6"/>
    <w:rsid w:val="00312CE0"/>
    <w:rsid w:val="00312FE9"/>
    <w:rsid w:val="00313021"/>
    <w:rsid w:val="0031318F"/>
    <w:rsid w:val="00313298"/>
    <w:rsid w:val="0031342A"/>
    <w:rsid w:val="0031347B"/>
    <w:rsid w:val="00313738"/>
    <w:rsid w:val="00313A11"/>
    <w:rsid w:val="00313B65"/>
    <w:rsid w:val="00313BE9"/>
    <w:rsid w:val="00313D16"/>
    <w:rsid w:val="00313D1B"/>
    <w:rsid w:val="00313D68"/>
    <w:rsid w:val="00313D6A"/>
    <w:rsid w:val="00314002"/>
    <w:rsid w:val="00314166"/>
    <w:rsid w:val="0031419F"/>
    <w:rsid w:val="00314466"/>
    <w:rsid w:val="003144AB"/>
    <w:rsid w:val="00314BB7"/>
    <w:rsid w:val="00314BD9"/>
    <w:rsid w:val="00314C8F"/>
    <w:rsid w:val="00315213"/>
    <w:rsid w:val="003152BE"/>
    <w:rsid w:val="00315454"/>
    <w:rsid w:val="0031551B"/>
    <w:rsid w:val="00315756"/>
    <w:rsid w:val="00315784"/>
    <w:rsid w:val="003158C9"/>
    <w:rsid w:val="00315AE9"/>
    <w:rsid w:val="00315BF4"/>
    <w:rsid w:val="00315E17"/>
    <w:rsid w:val="00315E9E"/>
    <w:rsid w:val="00315FA1"/>
    <w:rsid w:val="003162E0"/>
    <w:rsid w:val="0031632B"/>
    <w:rsid w:val="00316513"/>
    <w:rsid w:val="00316602"/>
    <w:rsid w:val="00316EE9"/>
    <w:rsid w:val="0031701B"/>
    <w:rsid w:val="0031715F"/>
    <w:rsid w:val="00317297"/>
    <w:rsid w:val="003172FD"/>
    <w:rsid w:val="00317584"/>
    <w:rsid w:val="00317ABB"/>
    <w:rsid w:val="00320156"/>
    <w:rsid w:val="003201BF"/>
    <w:rsid w:val="003204B8"/>
    <w:rsid w:val="0032054E"/>
    <w:rsid w:val="003205CF"/>
    <w:rsid w:val="0032089B"/>
    <w:rsid w:val="00320BA0"/>
    <w:rsid w:val="00320C56"/>
    <w:rsid w:val="00321070"/>
    <w:rsid w:val="00321189"/>
    <w:rsid w:val="003212F5"/>
    <w:rsid w:val="003217FF"/>
    <w:rsid w:val="00321E90"/>
    <w:rsid w:val="00322040"/>
    <w:rsid w:val="00322151"/>
    <w:rsid w:val="00322264"/>
    <w:rsid w:val="0032247F"/>
    <w:rsid w:val="003225F8"/>
    <w:rsid w:val="00322891"/>
    <w:rsid w:val="003228C0"/>
    <w:rsid w:val="00322A8F"/>
    <w:rsid w:val="00322C71"/>
    <w:rsid w:val="00322D2C"/>
    <w:rsid w:val="00322E6B"/>
    <w:rsid w:val="00322EDD"/>
    <w:rsid w:val="003230CC"/>
    <w:rsid w:val="003231A7"/>
    <w:rsid w:val="00323835"/>
    <w:rsid w:val="0032396F"/>
    <w:rsid w:val="00323A8E"/>
    <w:rsid w:val="00323AED"/>
    <w:rsid w:val="00323B10"/>
    <w:rsid w:val="00323B35"/>
    <w:rsid w:val="00323B66"/>
    <w:rsid w:val="00323D11"/>
    <w:rsid w:val="00323D98"/>
    <w:rsid w:val="00323DE3"/>
    <w:rsid w:val="00323FC7"/>
    <w:rsid w:val="003240A5"/>
    <w:rsid w:val="00324263"/>
    <w:rsid w:val="00324297"/>
    <w:rsid w:val="003247B7"/>
    <w:rsid w:val="0032491C"/>
    <w:rsid w:val="00324BEE"/>
    <w:rsid w:val="00324C64"/>
    <w:rsid w:val="00324E7F"/>
    <w:rsid w:val="00324ED2"/>
    <w:rsid w:val="00324F33"/>
    <w:rsid w:val="00325051"/>
    <w:rsid w:val="0032514B"/>
    <w:rsid w:val="00325720"/>
    <w:rsid w:val="0032588E"/>
    <w:rsid w:val="00325C84"/>
    <w:rsid w:val="00325CEE"/>
    <w:rsid w:val="00325EFA"/>
    <w:rsid w:val="00326175"/>
    <w:rsid w:val="003261F3"/>
    <w:rsid w:val="00326577"/>
    <w:rsid w:val="00326D7D"/>
    <w:rsid w:val="00326F53"/>
    <w:rsid w:val="00327050"/>
    <w:rsid w:val="00327100"/>
    <w:rsid w:val="003273A0"/>
    <w:rsid w:val="00327860"/>
    <w:rsid w:val="0032791B"/>
    <w:rsid w:val="00327E8C"/>
    <w:rsid w:val="003300AD"/>
    <w:rsid w:val="003303F2"/>
    <w:rsid w:val="003306E0"/>
    <w:rsid w:val="00330BC7"/>
    <w:rsid w:val="00330E7F"/>
    <w:rsid w:val="00331121"/>
    <w:rsid w:val="00331138"/>
    <w:rsid w:val="003312E0"/>
    <w:rsid w:val="00331366"/>
    <w:rsid w:val="003314B3"/>
    <w:rsid w:val="00331665"/>
    <w:rsid w:val="00331666"/>
    <w:rsid w:val="003316EE"/>
    <w:rsid w:val="00331926"/>
    <w:rsid w:val="00331B84"/>
    <w:rsid w:val="00331C5B"/>
    <w:rsid w:val="00331DF6"/>
    <w:rsid w:val="00331E7D"/>
    <w:rsid w:val="003323DB"/>
    <w:rsid w:val="00332D47"/>
    <w:rsid w:val="0033303A"/>
    <w:rsid w:val="0033306F"/>
    <w:rsid w:val="00333164"/>
    <w:rsid w:val="003332B5"/>
    <w:rsid w:val="00333380"/>
    <w:rsid w:val="003336F4"/>
    <w:rsid w:val="00333732"/>
    <w:rsid w:val="00333752"/>
    <w:rsid w:val="003338DF"/>
    <w:rsid w:val="00333C38"/>
    <w:rsid w:val="003347FB"/>
    <w:rsid w:val="00334867"/>
    <w:rsid w:val="00334A29"/>
    <w:rsid w:val="00334C6A"/>
    <w:rsid w:val="00334E5D"/>
    <w:rsid w:val="00334EBE"/>
    <w:rsid w:val="0033524E"/>
    <w:rsid w:val="003354F6"/>
    <w:rsid w:val="003356E2"/>
    <w:rsid w:val="003357F0"/>
    <w:rsid w:val="00335865"/>
    <w:rsid w:val="003358BD"/>
    <w:rsid w:val="00335E05"/>
    <w:rsid w:val="00335ECF"/>
    <w:rsid w:val="003360B8"/>
    <w:rsid w:val="003364B9"/>
    <w:rsid w:val="00336824"/>
    <w:rsid w:val="00336A35"/>
    <w:rsid w:val="00336B37"/>
    <w:rsid w:val="00336D50"/>
    <w:rsid w:val="00336F87"/>
    <w:rsid w:val="00337289"/>
    <w:rsid w:val="003372FB"/>
    <w:rsid w:val="003377C4"/>
    <w:rsid w:val="0033792D"/>
    <w:rsid w:val="00337D4D"/>
    <w:rsid w:val="00337FA1"/>
    <w:rsid w:val="00340279"/>
    <w:rsid w:val="003402A3"/>
    <w:rsid w:val="003409BB"/>
    <w:rsid w:val="00340C1A"/>
    <w:rsid w:val="00340D1C"/>
    <w:rsid w:val="00340F87"/>
    <w:rsid w:val="003410C0"/>
    <w:rsid w:val="00341381"/>
    <w:rsid w:val="00341457"/>
    <w:rsid w:val="00341CAD"/>
    <w:rsid w:val="00341D7F"/>
    <w:rsid w:val="00341D83"/>
    <w:rsid w:val="00342075"/>
    <w:rsid w:val="003422E5"/>
    <w:rsid w:val="0034237F"/>
    <w:rsid w:val="003423A8"/>
    <w:rsid w:val="00342A2D"/>
    <w:rsid w:val="00342D4A"/>
    <w:rsid w:val="00342E31"/>
    <w:rsid w:val="00342ED5"/>
    <w:rsid w:val="00342EEA"/>
    <w:rsid w:val="003431E9"/>
    <w:rsid w:val="00343204"/>
    <w:rsid w:val="003436DD"/>
    <w:rsid w:val="00343A31"/>
    <w:rsid w:val="00343E7A"/>
    <w:rsid w:val="00343F56"/>
    <w:rsid w:val="00343FF7"/>
    <w:rsid w:val="003440C3"/>
    <w:rsid w:val="00344202"/>
    <w:rsid w:val="00344264"/>
    <w:rsid w:val="00344436"/>
    <w:rsid w:val="003445BD"/>
    <w:rsid w:val="00344A82"/>
    <w:rsid w:val="00344B43"/>
    <w:rsid w:val="00344DA2"/>
    <w:rsid w:val="00344FC4"/>
    <w:rsid w:val="0034522D"/>
    <w:rsid w:val="0034585E"/>
    <w:rsid w:val="00345D60"/>
    <w:rsid w:val="00345E81"/>
    <w:rsid w:val="003460AB"/>
    <w:rsid w:val="0034611B"/>
    <w:rsid w:val="00346256"/>
    <w:rsid w:val="00346542"/>
    <w:rsid w:val="003466CA"/>
    <w:rsid w:val="00346ABF"/>
    <w:rsid w:val="00346E89"/>
    <w:rsid w:val="00347383"/>
    <w:rsid w:val="00347453"/>
    <w:rsid w:val="003474E9"/>
    <w:rsid w:val="00347BDA"/>
    <w:rsid w:val="00347C52"/>
    <w:rsid w:val="00347C6C"/>
    <w:rsid w:val="00347C89"/>
    <w:rsid w:val="00347E4D"/>
    <w:rsid w:val="003501B5"/>
    <w:rsid w:val="00350506"/>
    <w:rsid w:val="0035050C"/>
    <w:rsid w:val="00350629"/>
    <w:rsid w:val="00350860"/>
    <w:rsid w:val="00350863"/>
    <w:rsid w:val="00350934"/>
    <w:rsid w:val="0035098E"/>
    <w:rsid w:val="00350A3B"/>
    <w:rsid w:val="00350E76"/>
    <w:rsid w:val="0035117A"/>
    <w:rsid w:val="003511EC"/>
    <w:rsid w:val="0035149C"/>
    <w:rsid w:val="00351A04"/>
    <w:rsid w:val="00351B2C"/>
    <w:rsid w:val="00351E6F"/>
    <w:rsid w:val="00351EFF"/>
    <w:rsid w:val="00352563"/>
    <w:rsid w:val="003525FB"/>
    <w:rsid w:val="00352874"/>
    <w:rsid w:val="00352A53"/>
    <w:rsid w:val="00352A80"/>
    <w:rsid w:val="00352F65"/>
    <w:rsid w:val="0035307D"/>
    <w:rsid w:val="0035314D"/>
    <w:rsid w:val="00353859"/>
    <w:rsid w:val="00353AE7"/>
    <w:rsid w:val="00353B26"/>
    <w:rsid w:val="00353E82"/>
    <w:rsid w:val="00354160"/>
    <w:rsid w:val="003541F8"/>
    <w:rsid w:val="003542BB"/>
    <w:rsid w:val="0035439B"/>
    <w:rsid w:val="00354774"/>
    <w:rsid w:val="003549AF"/>
    <w:rsid w:val="00354A3F"/>
    <w:rsid w:val="00354A5C"/>
    <w:rsid w:val="00354A74"/>
    <w:rsid w:val="00354CEB"/>
    <w:rsid w:val="00354CF5"/>
    <w:rsid w:val="00354E24"/>
    <w:rsid w:val="00354FBA"/>
    <w:rsid w:val="003551BD"/>
    <w:rsid w:val="00355277"/>
    <w:rsid w:val="0035543A"/>
    <w:rsid w:val="003557CA"/>
    <w:rsid w:val="00355867"/>
    <w:rsid w:val="003559CA"/>
    <w:rsid w:val="00355D35"/>
    <w:rsid w:val="00355E7C"/>
    <w:rsid w:val="00355F18"/>
    <w:rsid w:val="00355F1B"/>
    <w:rsid w:val="00355FF4"/>
    <w:rsid w:val="00356273"/>
    <w:rsid w:val="00356526"/>
    <w:rsid w:val="0035669F"/>
    <w:rsid w:val="00356778"/>
    <w:rsid w:val="003568E6"/>
    <w:rsid w:val="00356BA5"/>
    <w:rsid w:val="00357193"/>
    <w:rsid w:val="00357D7F"/>
    <w:rsid w:val="00360071"/>
    <w:rsid w:val="003600A7"/>
    <w:rsid w:val="00360123"/>
    <w:rsid w:val="003607A9"/>
    <w:rsid w:val="003607AF"/>
    <w:rsid w:val="003607B3"/>
    <w:rsid w:val="00360D8E"/>
    <w:rsid w:val="00360E3B"/>
    <w:rsid w:val="003613A6"/>
    <w:rsid w:val="00361614"/>
    <w:rsid w:val="00361930"/>
    <w:rsid w:val="003619F4"/>
    <w:rsid w:val="00361A46"/>
    <w:rsid w:val="00361A60"/>
    <w:rsid w:val="00361AD4"/>
    <w:rsid w:val="00361C37"/>
    <w:rsid w:val="00361CEF"/>
    <w:rsid w:val="00362445"/>
    <w:rsid w:val="0036254B"/>
    <w:rsid w:val="003626CE"/>
    <w:rsid w:val="003628BA"/>
    <w:rsid w:val="00362A71"/>
    <w:rsid w:val="00362D21"/>
    <w:rsid w:val="00363025"/>
    <w:rsid w:val="003630BC"/>
    <w:rsid w:val="0036317C"/>
    <w:rsid w:val="00363B09"/>
    <w:rsid w:val="00363BE6"/>
    <w:rsid w:val="00363C6D"/>
    <w:rsid w:val="00363D03"/>
    <w:rsid w:val="00363D6D"/>
    <w:rsid w:val="00364616"/>
    <w:rsid w:val="00364930"/>
    <w:rsid w:val="00364ACA"/>
    <w:rsid w:val="00364C07"/>
    <w:rsid w:val="00365957"/>
    <w:rsid w:val="00365EE0"/>
    <w:rsid w:val="00366054"/>
    <w:rsid w:val="00366098"/>
    <w:rsid w:val="00366140"/>
    <w:rsid w:val="00366427"/>
    <w:rsid w:val="003665BA"/>
    <w:rsid w:val="00366844"/>
    <w:rsid w:val="00366E01"/>
    <w:rsid w:val="00367242"/>
    <w:rsid w:val="0036742F"/>
    <w:rsid w:val="0036756A"/>
    <w:rsid w:val="003675A4"/>
    <w:rsid w:val="0036774C"/>
    <w:rsid w:val="003677D8"/>
    <w:rsid w:val="00367AD6"/>
    <w:rsid w:val="00367B00"/>
    <w:rsid w:val="00367D98"/>
    <w:rsid w:val="00367F6B"/>
    <w:rsid w:val="00367FB4"/>
    <w:rsid w:val="003702A4"/>
    <w:rsid w:val="003704F9"/>
    <w:rsid w:val="003706AB"/>
    <w:rsid w:val="0037085B"/>
    <w:rsid w:val="00370C07"/>
    <w:rsid w:val="00370DA7"/>
    <w:rsid w:val="00370FE8"/>
    <w:rsid w:val="00371157"/>
    <w:rsid w:val="003712BC"/>
    <w:rsid w:val="003713F1"/>
    <w:rsid w:val="00371C1B"/>
    <w:rsid w:val="00371ED1"/>
    <w:rsid w:val="00372288"/>
    <w:rsid w:val="003722F3"/>
    <w:rsid w:val="003724ED"/>
    <w:rsid w:val="003725D3"/>
    <w:rsid w:val="0037270E"/>
    <w:rsid w:val="00372A3F"/>
    <w:rsid w:val="00372B5B"/>
    <w:rsid w:val="00372DB6"/>
    <w:rsid w:val="00373440"/>
    <w:rsid w:val="00373680"/>
    <w:rsid w:val="00373829"/>
    <w:rsid w:val="00373957"/>
    <w:rsid w:val="00373A7A"/>
    <w:rsid w:val="00373A89"/>
    <w:rsid w:val="00373AA2"/>
    <w:rsid w:val="00373AD9"/>
    <w:rsid w:val="00373B60"/>
    <w:rsid w:val="00373C2D"/>
    <w:rsid w:val="00373D9E"/>
    <w:rsid w:val="00374252"/>
    <w:rsid w:val="0037482C"/>
    <w:rsid w:val="00374C10"/>
    <w:rsid w:val="003759CF"/>
    <w:rsid w:val="00375C7B"/>
    <w:rsid w:val="00375E69"/>
    <w:rsid w:val="00375EB2"/>
    <w:rsid w:val="003767A2"/>
    <w:rsid w:val="003768BD"/>
    <w:rsid w:val="0037696A"/>
    <w:rsid w:val="00376A2A"/>
    <w:rsid w:val="00376B75"/>
    <w:rsid w:val="00376B8F"/>
    <w:rsid w:val="00376E6C"/>
    <w:rsid w:val="00377182"/>
    <w:rsid w:val="00377749"/>
    <w:rsid w:val="003778A2"/>
    <w:rsid w:val="00377935"/>
    <w:rsid w:val="00377D89"/>
    <w:rsid w:val="00377F7A"/>
    <w:rsid w:val="00377FDE"/>
    <w:rsid w:val="0038024F"/>
    <w:rsid w:val="0038028B"/>
    <w:rsid w:val="0038038B"/>
    <w:rsid w:val="0038045A"/>
    <w:rsid w:val="00380513"/>
    <w:rsid w:val="00380809"/>
    <w:rsid w:val="00380C27"/>
    <w:rsid w:val="00380D92"/>
    <w:rsid w:val="003811A9"/>
    <w:rsid w:val="00381203"/>
    <w:rsid w:val="003813F3"/>
    <w:rsid w:val="003816EF"/>
    <w:rsid w:val="003819F0"/>
    <w:rsid w:val="00381C84"/>
    <w:rsid w:val="00381DDE"/>
    <w:rsid w:val="003822EA"/>
    <w:rsid w:val="0038235E"/>
    <w:rsid w:val="0038236A"/>
    <w:rsid w:val="003824CF"/>
    <w:rsid w:val="0038256C"/>
    <w:rsid w:val="00382601"/>
    <w:rsid w:val="0038274A"/>
    <w:rsid w:val="003827E8"/>
    <w:rsid w:val="00382807"/>
    <w:rsid w:val="0038289A"/>
    <w:rsid w:val="00382994"/>
    <w:rsid w:val="003829A7"/>
    <w:rsid w:val="00383156"/>
    <w:rsid w:val="00383326"/>
    <w:rsid w:val="003834C5"/>
    <w:rsid w:val="00383587"/>
    <w:rsid w:val="003835CA"/>
    <w:rsid w:val="003836BE"/>
    <w:rsid w:val="00383948"/>
    <w:rsid w:val="00383956"/>
    <w:rsid w:val="00383B4B"/>
    <w:rsid w:val="0038429D"/>
    <w:rsid w:val="0038435C"/>
    <w:rsid w:val="003846B4"/>
    <w:rsid w:val="00384916"/>
    <w:rsid w:val="00385283"/>
    <w:rsid w:val="0038572C"/>
    <w:rsid w:val="003859A9"/>
    <w:rsid w:val="003859B0"/>
    <w:rsid w:val="00385B7F"/>
    <w:rsid w:val="00385DE5"/>
    <w:rsid w:val="003860E5"/>
    <w:rsid w:val="0038656F"/>
    <w:rsid w:val="003866EF"/>
    <w:rsid w:val="0038675E"/>
    <w:rsid w:val="003867C2"/>
    <w:rsid w:val="00386A4A"/>
    <w:rsid w:val="00386C09"/>
    <w:rsid w:val="00386C5C"/>
    <w:rsid w:val="00386C84"/>
    <w:rsid w:val="00386DB9"/>
    <w:rsid w:val="00386E32"/>
    <w:rsid w:val="00386FE7"/>
    <w:rsid w:val="00387142"/>
    <w:rsid w:val="0038715D"/>
    <w:rsid w:val="0038723C"/>
    <w:rsid w:val="0038757E"/>
    <w:rsid w:val="003875F9"/>
    <w:rsid w:val="00387671"/>
    <w:rsid w:val="0038787F"/>
    <w:rsid w:val="00390212"/>
    <w:rsid w:val="0039025F"/>
    <w:rsid w:val="003903BD"/>
    <w:rsid w:val="0039060D"/>
    <w:rsid w:val="0039073A"/>
    <w:rsid w:val="00390760"/>
    <w:rsid w:val="00390F4A"/>
    <w:rsid w:val="003910DE"/>
    <w:rsid w:val="003910F4"/>
    <w:rsid w:val="0039110A"/>
    <w:rsid w:val="0039144D"/>
    <w:rsid w:val="003915A1"/>
    <w:rsid w:val="00391604"/>
    <w:rsid w:val="0039195E"/>
    <w:rsid w:val="00391FD1"/>
    <w:rsid w:val="0039227A"/>
    <w:rsid w:val="0039242B"/>
    <w:rsid w:val="003924B2"/>
    <w:rsid w:val="003929FE"/>
    <w:rsid w:val="00392B14"/>
    <w:rsid w:val="00392B38"/>
    <w:rsid w:val="00392E3C"/>
    <w:rsid w:val="00392F35"/>
    <w:rsid w:val="00393233"/>
    <w:rsid w:val="003936AE"/>
    <w:rsid w:val="003939E4"/>
    <w:rsid w:val="00393CD8"/>
    <w:rsid w:val="0039427E"/>
    <w:rsid w:val="003942BF"/>
    <w:rsid w:val="003942DE"/>
    <w:rsid w:val="00394541"/>
    <w:rsid w:val="0039476E"/>
    <w:rsid w:val="0039485A"/>
    <w:rsid w:val="00394C09"/>
    <w:rsid w:val="00394E5D"/>
    <w:rsid w:val="00394FB5"/>
    <w:rsid w:val="0039535A"/>
    <w:rsid w:val="00395BE2"/>
    <w:rsid w:val="00395E73"/>
    <w:rsid w:val="003960CD"/>
    <w:rsid w:val="003961D5"/>
    <w:rsid w:val="003962FE"/>
    <w:rsid w:val="00396348"/>
    <w:rsid w:val="003966D8"/>
    <w:rsid w:val="00396A12"/>
    <w:rsid w:val="00397374"/>
    <w:rsid w:val="0039750D"/>
    <w:rsid w:val="00397763"/>
    <w:rsid w:val="00397A53"/>
    <w:rsid w:val="003A00D1"/>
    <w:rsid w:val="003A0242"/>
    <w:rsid w:val="003A04BD"/>
    <w:rsid w:val="003A0655"/>
    <w:rsid w:val="003A0839"/>
    <w:rsid w:val="003A0D88"/>
    <w:rsid w:val="003A138F"/>
    <w:rsid w:val="003A147A"/>
    <w:rsid w:val="003A1735"/>
    <w:rsid w:val="003A174B"/>
    <w:rsid w:val="003A17B5"/>
    <w:rsid w:val="003A17D0"/>
    <w:rsid w:val="003A1C0A"/>
    <w:rsid w:val="003A1D6D"/>
    <w:rsid w:val="003A1FDD"/>
    <w:rsid w:val="003A2336"/>
    <w:rsid w:val="003A2593"/>
    <w:rsid w:val="003A259B"/>
    <w:rsid w:val="003A2742"/>
    <w:rsid w:val="003A286E"/>
    <w:rsid w:val="003A2916"/>
    <w:rsid w:val="003A2DD9"/>
    <w:rsid w:val="003A2F17"/>
    <w:rsid w:val="003A2F52"/>
    <w:rsid w:val="003A2FF9"/>
    <w:rsid w:val="003A310B"/>
    <w:rsid w:val="003A34FE"/>
    <w:rsid w:val="003A398B"/>
    <w:rsid w:val="003A3FE5"/>
    <w:rsid w:val="003A42A4"/>
    <w:rsid w:val="003A472D"/>
    <w:rsid w:val="003A477D"/>
    <w:rsid w:val="003A4899"/>
    <w:rsid w:val="003A49DA"/>
    <w:rsid w:val="003A4D92"/>
    <w:rsid w:val="003A4FAC"/>
    <w:rsid w:val="003A4FAE"/>
    <w:rsid w:val="003A53AA"/>
    <w:rsid w:val="003A57E5"/>
    <w:rsid w:val="003A580B"/>
    <w:rsid w:val="003A59CC"/>
    <w:rsid w:val="003A5B81"/>
    <w:rsid w:val="003A5C03"/>
    <w:rsid w:val="003A5D29"/>
    <w:rsid w:val="003A5EFE"/>
    <w:rsid w:val="003A609D"/>
    <w:rsid w:val="003A63B3"/>
    <w:rsid w:val="003A669F"/>
    <w:rsid w:val="003A6704"/>
    <w:rsid w:val="003A6759"/>
    <w:rsid w:val="003A6781"/>
    <w:rsid w:val="003A6B13"/>
    <w:rsid w:val="003A6B5F"/>
    <w:rsid w:val="003A6D33"/>
    <w:rsid w:val="003A706A"/>
    <w:rsid w:val="003A7340"/>
    <w:rsid w:val="003A74CD"/>
    <w:rsid w:val="003A7682"/>
    <w:rsid w:val="003A76E1"/>
    <w:rsid w:val="003A778B"/>
    <w:rsid w:val="003A79EF"/>
    <w:rsid w:val="003A7D67"/>
    <w:rsid w:val="003A7F6A"/>
    <w:rsid w:val="003B036E"/>
    <w:rsid w:val="003B0A21"/>
    <w:rsid w:val="003B0B69"/>
    <w:rsid w:val="003B0DC1"/>
    <w:rsid w:val="003B0F0E"/>
    <w:rsid w:val="003B0F6B"/>
    <w:rsid w:val="003B156F"/>
    <w:rsid w:val="003B15D0"/>
    <w:rsid w:val="003B18CD"/>
    <w:rsid w:val="003B1AB8"/>
    <w:rsid w:val="003B1AC5"/>
    <w:rsid w:val="003B1AF1"/>
    <w:rsid w:val="003B1B28"/>
    <w:rsid w:val="003B1BF0"/>
    <w:rsid w:val="003B1FCA"/>
    <w:rsid w:val="003B20A3"/>
    <w:rsid w:val="003B217B"/>
    <w:rsid w:val="003B23A8"/>
    <w:rsid w:val="003B23C1"/>
    <w:rsid w:val="003B2455"/>
    <w:rsid w:val="003B2490"/>
    <w:rsid w:val="003B2997"/>
    <w:rsid w:val="003B2EDB"/>
    <w:rsid w:val="003B2F26"/>
    <w:rsid w:val="003B2F39"/>
    <w:rsid w:val="003B2F7C"/>
    <w:rsid w:val="003B2F94"/>
    <w:rsid w:val="003B3161"/>
    <w:rsid w:val="003B326C"/>
    <w:rsid w:val="003B3509"/>
    <w:rsid w:val="003B36FC"/>
    <w:rsid w:val="003B37AD"/>
    <w:rsid w:val="003B3801"/>
    <w:rsid w:val="003B3838"/>
    <w:rsid w:val="003B38D3"/>
    <w:rsid w:val="003B3A60"/>
    <w:rsid w:val="003B3ADD"/>
    <w:rsid w:val="003B3C44"/>
    <w:rsid w:val="003B3C78"/>
    <w:rsid w:val="003B3CE1"/>
    <w:rsid w:val="003B3D75"/>
    <w:rsid w:val="003B3E74"/>
    <w:rsid w:val="003B4124"/>
    <w:rsid w:val="003B49C2"/>
    <w:rsid w:val="003B4F83"/>
    <w:rsid w:val="003B502D"/>
    <w:rsid w:val="003B51CD"/>
    <w:rsid w:val="003B51FB"/>
    <w:rsid w:val="003B55FA"/>
    <w:rsid w:val="003B58C1"/>
    <w:rsid w:val="003B5956"/>
    <w:rsid w:val="003B5B1E"/>
    <w:rsid w:val="003B5C65"/>
    <w:rsid w:val="003B5F76"/>
    <w:rsid w:val="003B62B0"/>
    <w:rsid w:val="003B62FA"/>
    <w:rsid w:val="003B6D9C"/>
    <w:rsid w:val="003B7264"/>
    <w:rsid w:val="003B72D9"/>
    <w:rsid w:val="003B7443"/>
    <w:rsid w:val="003B75FA"/>
    <w:rsid w:val="003B7678"/>
    <w:rsid w:val="003B7698"/>
    <w:rsid w:val="003B76D5"/>
    <w:rsid w:val="003B76EF"/>
    <w:rsid w:val="003B7A24"/>
    <w:rsid w:val="003B7D4B"/>
    <w:rsid w:val="003B7D7A"/>
    <w:rsid w:val="003B7F3D"/>
    <w:rsid w:val="003C06D0"/>
    <w:rsid w:val="003C0733"/>
    <w:rsid w:val="003C0E3F"/>
    <w:rsid w:val="003C1030"/>
    <w:rsid w:val="003C120D"/>
    <w:rsid w:val="003C1740"/>
    <w:rsid w:val="003C192D"/>
    <w:rsid w:val="003C1A3D"/>
    <w:rsid w:val="003C1B24"/>
    <w:rsid w:val="003C1B29"/>
    <w:rsid w:val="003C1BA3"/>
    <w:rsid w:val="003C1E48"/>
    <w:rsid w:val="003C222B"/>
    <w:rsid w:val="003C2249"/>
    <w:rsid w:val="003C2411"/>
    <w:rsid w:val="003C29ED"/>
    <w:rsid w:val="003C2C1F"/>
    <w:rsid w:val="003C2CAA"/>
    <w:rsid w:val="003C339D"/>
    <w:rsid w:val="003C34E9"/>
    <w:rsid w:val="003C39AB"/>
    <w:rsid w:val="003C39C9"/>
    <w:rsid w:val="003C409E"/>
    <w:rsid w:val="003C40C1"/>
    <w:rsid w:val="003C4124"/>
    <w:rsid w:val="003C4197"/>
    <w:rsid w:val="003C43F7"/>
    <w:rsid w:val="003C4ADA"/>
    <w:rsid w:val="003C50B8"/>
    <w:rsid w:val="003C54F3"/>
    <w:rsid w:val="003C557B"/>
    <w:rsid w:val="003C57B2"/>
    <w:rsid w:val="003C5895"/>
    <w:rsid w:val="003C5A48"/>
    <w:rsid w:val="003C5C95"/>
    <w:rsid w:val="003C5CCC"/>
    <w:rsid w:val="003C5ED1"/>
    <w:rsid w:val="003C614E"/>
    <w:rsid w:val="003C637A"/>
    <w:rsid w:val="003C6547"/>
    <w:rsid w:val="003C6590"/>
    <w:rsid w:val="003C6C81"/>
    <w:rsid w:val="003C6E1A"/>
    <w:rsid w:val="003C6E37"/>
    <w:rsid w:val="003C6FCB"/>
    <w:rsid w:val="003C7294"/>
    <w:rsid w:val="003C765B"/>
    <w:rsid w:val="003C76CD"/>
    <w:rsid w:val="003C7C65"/>
    <w:rsid w:val="003C7DA1"/>
    <w:rsid w:val="003C7EF7"/>
    <w:rsid w:val="003D03B6"/>
    <w:rsid w:val="003D053D"/>
    <w:rsid w:val="003D0A04"/>
    <w:rsid w:val="003D0D28"/>
    <w:rsid w:val="003D0D81"/>
    <w:rsid w:val="003D1031"/>
    <w:rsid w:val="003D1052"/>
    <w:rsid w:val="003D1188"/>
    <w:rsid w:val="003D145B"/>
    <w:rsid w:val="003D152C"/>
    <w:rsid w:val="003D159F"/>
    <w:rsid w:val="003D1749"/>
    <w:rsid w:val="003D1B83"/>
    <w:rsid w:val="003D1BA2"/>
    <w:rsid w:val="003D1DD1"/>
    <w:rsid w:val="003D219E"/>
    <w:rsid w:val="003D2630"/>
    <w:rsid w:val="003D2647"/>
    <w:rsid w:val="003D281E"/>
    <w:rsid w:val="003D2BF2"/>
    <w:rsid w:val="003D2E5E"/>
    <w:rsid w:val="003D3103"/>
    <w:rsid w:val="003D3143"/>
    <w:rsid w:val="003D3350"/>
    <w:rsid w:val="003D3813"/>
    <w:rsid w:val="003D3C4B"/>
    <w:rsid w:val="003D3D1C"/>
    <w:rsid w:val="003D3D86"/>
    <w:rsid w:val="003D4860"/>
    <w:rsid w:val="003D4878"/>
    <w:rsid w:val="003D4B22"/>
    <w:rsid w:val="003D4F50"/>
    <w:rsid w:val="003D51EB"/>
    <w:rsid w:val="003D54A8"/>
    <w:rsid w:val="003D589E"/>
    <w:rsid w:val="003D5AAB"/>
    <w:rsid w:val="003D5C19"/>
    <w:rsid w:val="003D5C58"/>
    <w:rsid w:val="003D5D71"/>
    <w:rsid w:val="003D61CE"/>
    <w:rsid w:val="003D620F"/>
    <w:rsid w:val="003D6529"/>
    <w:rsid w:val="003D6648"/>
    <w:rsid w:val="003D699C"/>
    <w:rsid w:val="003D6CB7"/>
    <w:rsid w:val="003D7094"/>
    <w:rsid w:val="003D7241"/>
    <w:rsid w:val="003D7549"/>
    <w:rsid w:val="003E0081"/>
    <w:rsid w:val="003E0650"/>
    <w:rsid w:val="003E075D"/>
    <w:rsid w:val="003E0CB6"/>
    <w:rsid w:val="003E0D21"/>
    <w:rsid w:val="003E0DB9"/>
    <w:rsid w:val="003E0DD5"/>
    <w:rsid w:val="003E0E0A"/>
    <w:rsid w:val="003E0FF5"/>
    <w:rsid w:val="003E11BC"/>
    <w:rsid w:val="003E11CE"/>
    <w:rsid w:val="003E181C"/>
    <w:rsid w:val="003E1903"/>
    <w:rsid w:val="003E1A1D"/>
    <w:rsid w:val="003E1BE6"/>
    <w:rsid w:val="003E1EBD"/>
    <w:rsid w:val="003E2201"/>
    <w:rsid w:val="003E2230"/>
    <w:rsid w:val="003E247F"/>
    <w:rsid w:val="003E2667"/>
    <w:rsid w:val="003E26B6"/>
    <w:rsid w:val="003E28E2"/>
    <w:rsid w:val="003E29E2"/>
    <w:rsid w:val="003E2C3D"/>
    <w:rsid w:val="003E2C9A"/>
    <w:rsid w:val="003E2D7F"/>
    <w:rsid w:val="003E2D81"/>
    <w:rsid w:val="003E2FE6"/>
    <w:rsid w:val="003E3172"/>
    <w:rsid w:val="003E34C5"/>
    <w:rsid w:val="003E3535"/>
    <w:rsid w:val="003E3A7F"/>
    <w:rsid w:val="003E3B7A"/>
    <w:rsid w:val="003E3BF6"/>
    <w:rsid w:val="003E3D47"/>
    <w:rsid w:val="003E4047"/>
    <w:rsid w:val="003E40F1"/>
    <w:rsid w:val="003E4114"/>
    <w:rsid w:val="003E45EF"/>
    <w:rsid w:val="003E4689"/>
    <w:rsid w:val="003E4D6A"/>
    <w:rsid w:val="003E4DF7"/>
    <w:rsid w:val="003E5295"/>
    <w:rsid w:val="003E52BD"/>
    <w:rsid w:val="003E538F"/>
    <w:rsid w:val="003E575D"/>
    <w:rsid w:val="003E595D"/>
    <w:rsid w:val="003E5D15"/>
    <w:rsid w:val="003E5D47"/>
    <w:rsid w:val="003E6426"/>
    <w:rsid w:val="003E6476"/>
    <w:rsid w:val="003E64A1"/>
    <w:rsid w:val="003E65B7"/>
    <w:rsid w:val="003E67BB"/>
    <w:rsid w:val="003E6954"/>
    <w:rsid w:val="003E6BC4"/>
    <w:rsid w:val="003E6C50"/>
    <w:rsid w:val="003E6C9C"/>
    <w:rsid w:val="003E73C2"/>
    <w:rsid w:val="003E75FE"/>
    <w:rsid w:val="003E7907"/>
    <w:rsid w:val="003E7A54"/>
    <w:rsid w:val="003E7B9D"/>
    <w:rsid w:val="003E7C8C"/>
    <w:rsid w:val="003E7E35"/>
    <w:rsid w:val="003E7EFE"/>
    <w:rsid w:val="003E7F9B"/>
    <w:rsid w:val="003F01D2"/>
    <w:rsid w:val="003F01E0"/>
    <w:rsid w:val="003F042F"/>
    <w:rsid w:val="003F0525"/>
    <w:rsid w:val="003F059C"/>
    <w:rsid w:val="003F06BA"/>
    <w:rsid w:val="003F0D55"/>
    <w:rsid w:val="003F12ED"/>
    <w:rsid w:val="003F1499"/>
    <w:rsid w:val="003F1A02"/>
    <w:rsid w:val="003F1B1B"/>
    <w:rsid w:val="003F1C99"/>
    <w:rsid w:val="003F201B"/>
    <w:rsid w:val="003F2037"/>
    <w:rsid w:val="003F25F0"/>
    <w:rsid w:val="003F25FB"/>
    <w:rsid w:val="003F2621"/>
    <w:rsid w:val="003F2634"/>
    <w:rsid w:val="003F28C5"/>
    <w:rsid w:val="003F296B"/>
    <w:rsid w:val="003F2AE9"/>
    <w:rsid w:val="003F2B48"/>
    <w:rsid w:val="003F2BDD"/>
    <w:rsid w:val="003F2D1E"/>
    <w:rsid w:val="003F2E66"/>
    <w:rsid w:val="003F3014"/>
    <w:rsid w:val="003F3092"/>
    <w:rsid w:val="003F3118"/>
    <w:rsid w:val="003F31DE"/>
    <w:rsid w:val="003F36F5"/>
    <w:rsid w:val="003F3806"/>
    <w:rsid w:val="003F3928"/>
    <w:rsid w:val="003F40A3"/>
    <w:rsid w:val="003F421A"/>
    <w:rsid w:val="003F444A"/>
    <w:rsid w:val="003F4453"/>
    <w:rsid w:val="003F44DB"/>
    <w:rsid w:val="003F47FC"/>
    <w:rsid w:val="003F51F6"/>
    <w:rsid w:val="003F5262"/>
    <w:rsid w:val="003F52CC"/>
    <w:rsid w:val="003F562A"/>
    <w:rsid w:val="003F56D5"/>
    <w:rsid w:val="003F5704"/>
    <w:rsid w:val="003F5786"/>
    <w:rsid w:val="003F57C6"/>
    <w:rsid w:val="003F57F4"/>
    <w:rsid w:val="003F5AA3"/>
    <w:rsid w:val="003F5C36"/>
    <w:rsid w:val="003F5D20"/>
    <w:rsid w:val="003F5D68"/>
    <w:rsid w:val="003F5F5F"/>
    <w:rsid w:val="003F6004"/>
    <w:rsid w:val="003F643E"/>
    <w:rsid w:val="003F64CD"/>
    <w:rsid w:val="003F693F"/>
    <w:rsid w:val="003F69B0"/>
    <w:rsid w:val="003F69B7"/>
    <w:rsid w:val="003F6A88"/>
    <w:rsid w:val="003F6DC7"/>
    <w:rsid w:val="003F6ECD"/>
    <w:rsid w:val="003F7063"/>
    <w:rsid w:val="003F7358"/>
    <w:rsid w:val="003F7440"/>
    <w:rsid w:val="003F76FD"/>
    <w:rsid w:val="003F775A"/>
    <w:rsid w:val="003F7CED"/>
    <w:rsid w:val="004001E1"/>
    <w:rsid w:val="00400229"/>
    <w:rsid w:val="004004C7"/>
    <w:rsid w:val="004006E7"/>
    <w:rsid w:val="004009EF"/>
    <w:rsid w:val="00400DE4"/>
    <w:rsid w:val="00400DF6"/>
    <w:rsid w:val="004010D4"/>
    <w:rsid w:val="00401537"/>
    <w:rsid w:val="0040154C"/>
    <w:rsid w:val="00401551"/>
    <w:rsid w:val="004016F7"/>
    <w:rsid w:val="00401768"/>
    <w:rsid w:val="00401805"/>
    <w:rsid w:val="00401AA2"/>
    <w:rsid w:val="00401ED0"/>
    <w:rsid w:val="0040207D"/>
    <w:rsid w:val="004022C7"/>
    <w:rsid w:val="004023A5"/>
    <w:rsid w:val="00402604"/>
    <w:rsid w:val="004026AF"/>
    <w:rsid w:val="00402A6D"/>
    <w:rsid w:val="00402B88"/>
    <w:rsid w:val="00402CF4"/>
    <w:rsid w:val="00402D98"/>
    <w:rsid w:val="00403225"/>
    <w:rsid w:val="004032BC"/>
    <w:rsid w:val="004035B0"/>
    <w:rsid w:val="004037D4"/>
    <w:rsid w:val="00403A3C"/>
    <w:rsid w:val="00403AB5"/>
    <w:rsid w:val="00403AEC"/>
    <w:rsid w:val="00403BDC"/>
    <w:rsid w:val="00403D7F"/>
    <w:rsid w:val="00403E39"/>
    <w:rsid w:val="004042A9"/>
    <w:rsid w:val="00404333"/>
    <w:rsid w:val="00404693"/>
    <w:rsid w:val="004047CF"/>
    <w:rsid w:val="004047D9"/>
    <w:rsid w:val="00404826"/>
    <w:rsid w:val="00404959"/>
    <w:rsid w:val="00404E0E"/>
    <w:rsid w:val="00405028"/>
    <w:rsid w:val="0040511F"/>
    <w:rsid w:val="004052B7"/>
    <w:rsid w:val="0040535E"/>
    <w:rsid w:val="00405374"/>
    <w:rsid w:val="004054BB"/>
    <w:rsid w:val="004054FC"/>
    <w:rsid w:val="00405813"/>
    <w:rsid w:val="004058E0"/>
    <w:rsid w:val="00405967"/>
    <w:rsid w:val="00405CB9"/>
    <w:rsid w:val="00405DCD"/>
    <w:rsid w:val="00405F02"/>
    <w:rsid w:val="004060D0"/>
    <w:rsid w:val="00406378"/>
    <w:rsid w:val="0040667F"/>
    <w:rsid w:val="00406BAF"/>
    <w:rsid w:val="00406C83"/>
    <w:rsid w:val="00406D0E"/>
    <w:rsid w:val="00407253"/>
    <w:rsid w:val="00407899"/>
    <w:rsid w:val="00407B8B"/>
    <w:rsid w:val="00407D4E"/>
    <w:rsid w:val="00407EE9"/>
    <w:rsid w:val="00407F1C"/>
    <w:rsid w:val="004103E7"/>
    <w:rsid w:val="004104AF"/>
    <w:rsid w:val="004108F8"/>
    <w:rsid w:val="00410CB8"/>
    <w:rsid w:val="00410EDF"/>
    <w:rsid w:val="00411183"/>
    <w:rsid w:val="004112FE"/>
    <w:rsid w:val="00411391"/>
    <w:rsid w:val="00411413"/>
    <w:rsid w:val="004117A5"/>
    <w:rsid w:val="004118CD"/>
    <w:rsid w:val="00411CC1"/>
    <w:rsid w:val="00411F9E"/>
    <w:rsid w:val="004125E0"/>
    <w:rsid w:val="004126B3"/>
    <w:rsid w:val="004126CE"/>
    <w:rsid w:val="004126F9"/>
    <w:rsid w:val="0041283D"/>
    <w:rsid w:val="00412B6A"/>
    <w:rsid w:val="00412B91"/>
    <w:rsid w:val="00412CCD"/>
    <w:rsid w:val="00412D67"/>
    <w:rsid w:val="004130E5"/>
    <w:rsid w:val="004132FD"/>
    <w:rsid w:val="00413645"/>
    <w:rsid w:val="004136A2"/>
    <w:rsid w:val="00413743"/>
    <w:rsid w:val="00413B73"/>
    <w:rsid w:val="00413CC6"/>
    <w:rsid w:val="00413CED"/>
    <w:rsid w:val="004140E1"/>
    <w:rsid w:val="004148E5"/>
    <w:rsid w:val="00414AE0"/>
    <w:rsid w:val="00414C41"/>
    <w:rsid w:val="00414D0F"/>
    <w:rsid w:val="00414F4C"/>
    <w:rsid w:val="004152D3"/>
    <w:rsid w:val="00415452"/>
    <w:rsid w:val="00415DA4"/>
    <w:rsid w:val="00415EFB"/>
    <w:rsid w:val="00416001"/>
    <w:rsid w:val="0041637C"/>
    <w:rsid w:val="00416B9D"/>
    <w:rsid w:val="00416DDF"/>
    <w:rsid w:val="00417008"/>
    <w:rsid w:val="004171AE"/>
    <w:rsid w:val="00417663"/>
    <w:rsid w:val="00417B5E"/>
    <w:rsid w:val="00417D71"/>
    <w:rsid w:val="0042009C"/>
    <w:rsid w:val="0042016F"/>
    <w:rsid w:val="00420214"/>
    <w:rsid w:val="004202E2"/>
    <w:rsid w:val="00420899"/>
    <w:rsid w:val="00420BCF"/>
    <w:rsid w:val="00420BF3"/>
    <w:rsid w:val="00420C85"/>
    <w:rsid w:val="00420F54"/>
    <w:rsid w:val="0042103A"/>
    <w:rsid w:val="004211C6"/>
    <w:rsid w:val="004213E1"/>
    <w:rsid w:val="004214CB"/>
    <w:rsid w:val="00421A5A"/>
    <w:rsid w:val="00421CD8"/>
    <w:rsid w:val="00421F56"/>
    <w:rsid w:val="0042203B"/>
    <w:rsid w:val="0042223E"/>
    <w:rsid w:val="004222C4"/>
    <w:rsid w:val="00422338"/>
    <w:rsid w:val="004225BA"/>
    <w:rsid w:val="004228AC"/>
    <w:rsid w:val="00422929"/>
    <w:rsid w:val="00422AB3"/>
    <w:rsid w:val="00422CD9"/>
    <w:rsid w:val="00422DC1"/>
    <w:rsid w:val="00422DED"/>
    <w:rsid w:val="0042300E"/>
    <w:rsid w:val="00423316"/>
    <w:rsid w:val="00423463"/>
    <w:rsid w:val="0042357D"/>
    <w:rsid w:val="00423612"/>
    <w:rsid w:val="00423BC2"/>
    <w:rsid w:val="00423FDC"/>
    <w:rsid w:val="00424073"/>
    <w:rsid w:val="00424462"/>
    <w:rsid w:val="004248C0"/>
    <w:rsid w:val="004249B2"/>
    <w:rsid w:val="004249BE"/>
    <w:rsid w:val="00424B36"/>
    <w:rsid w:val="00424FDE"/>
    <w:rsid w:val="004251DB"/>
    <w:rsid w:val="00425292"/>
    <w:rsid w:val="00425422"/>
    <w:rsid w:val="00425555"/>
    <w:rsid w:val="004257CA"/>
    <w:rsid w:val="004258B9"/>
    <w:rsid w:val="004258F9"/>
    <w:rsid w:val="00425CBE"/>
    <w:rsid w:val="00425E84"/>
    <w:rsid w:val="00425F4E"/>
    <w:rsid w:val="00426325"/>
    <w:rsid w:val="004267B1"/>
    <w:rsid w:val="004267D3"/>
    <w:rsid w:val="0042694E"/>
    <w:rsid w:val="004269B8"/>
    <w:rsid w:val="00426A4A"/>
    <w:rsid w:val="00426AD5"/>
    <w:rsid w:val="004270A8"/>
    <w:rsid w:val="00427197"/>
    <w:rsid w:val="004271B8"/>
    <w:rsid w:val="004274C6"/>
    <w:rsid w:val="004274F9"/>
    <w:rsid w:val="0042758F"/>
    <w:rsid w:val="004276A7"/>
    <w:rsid w:val="004277F9"/>
    <w:rsid w:val="00427841"/>
    <w:rsid w:val="00427927"/>
    <w:rsid w:val="004279F2"/>
    <w:rsid w:val="00427F54"/>
    <w:rsid w:val="00430086"/>
    <w:rsid w:val="0043042B"/>
    <w:rsid w:val="00430551"/>
    <w:rsid w:val="00430660"/>
    <w:rsid w:val="0043079A"/>
    <w:rsid w:val="00430830"/>
    <w:rsid w:val="00430869"/>
    <w:rsid w:val="00430FFE"/>
    <w:rsid w:val="00431013"/>
    <w:rsid w:val="00431232"/>
    <w:rsid w:val="004312E0"/>
    <w:rsid w:val="004312EF"/>
    <w:rsid w:val="004313B1"/>
    <w:rsid w:val="00431593"/>
    <w:rsid w:val="004315E1"/>
    <w:rsid w:val="00431789"/>
    <w:rsid w:val="0043195F"/>
    <w:rsid w:val="00431B5E"/>
    <w:rsid w:val="00431B71"/>
    <w:rsid w:val="00431BA1"/>
    <w:rsid w:val="00431CC0"/>
    <w:rsid w:val="00431E33"/>
    <w:rsid w:val="00431F30"/>
    <w:rsid w:val="00431F4F"/>
    <w:rsid w:val="00431F54"/>
    <w:rsid w:val="00432020"/>
    <w:rsid w:val="00432052"/>
    <w:rsid w:val="004325AA"/>
    <w:rsid w:val="00432916"/>
    <w:rsid w:val="00432A1C"/>
    <w:rsid w:val="0043302F"/>
    <w:rsid w:val="0043357B"/>
    <w:rsid w:val="004339F6"/>
    <w:rsid w:val="00433EA4"/>
    <w:rsid w:val="0043401B"/>
    <w:rsid w:val="00434086"/>
    <w:rsid w:val="00434173"/>
    <w:rsid w:val="004344BB"/>
    <w:rsid w:val="00434713"/>
    <w:rsid w:val="00434783"/>
    <w:rsid w:val="004348C9"/>
    <w:rsid w:val="00434B51"/>
    <w:rsid w:val="00434BD7"/>
    <w:rsid w:val="00434F90"/>
    <w:rsid w:val="00434FD5"/>
    <w:rsid w:val="00435144"/>
    <w:rsid w:val="004357F2"/>
    <w:rsid w:val="00436041"/>
    <w:rsid w:val="004366E1"/>
    <w:rsid w:val="00436802"/>
    <w:rsid w:val="004368F8"/>
    <w:rsid w:val="00436968"/>
    <w:rsid w:val="00436A16"/>
    <w:rsid w:val="00436A2A"/>
    <w:rsid w:val="00436CA9"/>
    <w:rsid w:val="00437C0C"/>
    <w:rsid w:val="00437C7E"/>
    <w:rsid w:val="00437DF4"/>
    <w:rsid w:val="00440034"/>
    <w:rsid w:val="004401AB"/>
    <w:rsid w:val="004403C7"/>
    <w:rsid w:val="00440654"/>
    <w:rsid w:val="0044065A"/>
    <w:rsid w:val="00440BB1"/>
    <w:rsid w:val="00440DD5"/>
    <w:rsid w:val="0044101E"/>
    <w:rsid w:val="0044101F"/>
    <w:rsid w:val="004410C0"/>
    <w:rsid w:val="004411CB"/>
    <w:rsid w:val="004413FC"/>
    <w:rsid w:val="004416FC"/>
    <w:rsid w:val="00441716"/>
    <w:rsid w:val="004418B2"/>
    <w:rsid w:val="00441B7C"/>
    <w:rsid w:val="00441D6A"/>
    <w:rsid w:val="00441FD5"/>
    <w:rsid w:val="004421E3"/>
    <w:rsid w:val="004424EC"/>
    <w:rsid w:val="0044254F"/>
    <w:rsid w:val="004425E7"/>
    <w:rsid w:val="004425F4"/>
    <w:rsid w:val="0044275B"/>
    <w:rsid w:val="004429A7"/>
    <w:rsid w:val="00442B76"/>
    <w:rsid w:val="00442F56"/>
    <w:rsid w:val="00443064"/>
    <w:rsid w:val="00443142"/>
    <w:rsid w:val="00443562"/>
    <w:rsid w:val="00443830"/>
    <w:rsid w:val="004439B3"/>
    <w:rsid w:val="004439E3"/>
    <w:rsid w:val="00443B64"/>
    <w:rsid w:val="00443C7D"/>
    <w:rsid w:val="00443DAC"/>
    <w:rsid w:val="0044418B"/>
    <w:rsid w:val="0044440D"/>
    <w:rsid w:val="00444661"/>
    <w:rsid w:val="00444734"/>
    <w:rsid w:val="0044475A"/>
    <w:rsid w:val="00444D58"/>
    <w:rsid w:val="00444DA6"/>
    <w:rsid w:val="00444DF0"/>
    <w:rsid w:val="00444F36"/>
    <w:rsid w:val="00445059"/>
    <w:rsid w:val="00445768"/>
    <w:rsid w:val="00445AE8"/>
    <w:rsid w:val="00445DAA"/>
    <w:rsid w:val="00445E1F"/>
    <w:rsid w:val="00445E83"/>
    <w:rsid w:val="00446004"/>
    <w:rsid w:val="004462C3"/>
    <w:rsid w:val="00446411"/>
    <w:rsid w:val="004464B4"/>
    <w:rsid w:val="004464E6"/>
    <w:rsid w:val="004466D2"/>
    <w:rsid w:val="00446A99"/>
    <w:rsid w:val="00446E92"/>
    <w:rsid w:val="00446F59"/>
    <w:rsid w:val="00446F7B"/>
    <w:rsid w:val="00447066"/>
    <w:rsid w:val="00447145"/>
    <w:rsid w:val="0044737A"/>
    <w:rsid w:val="004475B4"/>
    <w:rsid w:val="004476AA"/>
    <w:rsid w:val="004477A1"/>
    <w:rsid w:val="004477FA"/>
    <w:rsid w:val="00447808"/>
    <w:rsid w:val="0044789E"/>
    <w:rsid w:val="00447A2F"/>
    <w:rsid w:val="00450005"/>
    <w:rsid w:val="0045010E"/>
    <w:rsid w:val="00450225"/>
    <w:rsid w:val="00450251"/>
    <w:rsid w:val="004504E8"/>
    <w:rsid w:val="00450504"/>
    <w:rsid w:val="00450687"/>
    <w:rsid w:val="0045084B"/>
    <w:rsid w:val="00450DA1"/>
    <w:rsid w:val="00450FA9"/>
    <w:rsid w:val="00451685"/>
    <w:rsid w:val="00451A73"/>
    <w:rsid w:val="00451B95"/>
    <w:rsid w:val="00451EB4"/>
    <w:rsid w:val="00451F37"/>
    <w:rsid w:val="00452573"/>
    <w:rsid w:val="004530DA"/>
    <w:rsid w:val="00453525"/>
    <w:rsid w:val="004535F3"/>
    <w:rsid w:val="004537BC"/>
    <w:rsid w:val="004538C0"/>
    <w:rsid w:val="004538FB"/>
    <w:rsid w:val="00453B52"/>
    <w:rsid w:val="0045401A"/>
    <w:rsid w:val="00454447"/>
    <w:rsid w:val="00454495"/>
    <w:rsid w:val="00454660"/>
    <w:rsid w:val="004549B3"/>
    <w:rsid w:val="00454B26"/>
    <w:rsid w:val="00454FB6"/>
    <w:rsid w:val="004555CA"/>
    <w:rsid w:val="00455692"/>
    <w:rsid w:val="00455711"/>
    <w:rsid w:val="004557D8"/>
    <w:rsid w:val="00455A69"/>
    <w:rsid w:val="00455B02"/>
    <w:rsid w:val="00455CAB"/>
    <w:rsid w:val="00456035"/>
    <w:rsid w:val="0045630F"/>
    <w:rsid w:val="00456604"/>
    <w:rsid w:val="004566D9"/>
    <w:rsid w:val="004567C1"/>
    <w:rsid w:val="00456CA8"/>
    <w:rsid w:val="00456DBD"/>
    <w:rsid w:val="00456F0C"/>
    <w:rsid w:val="00456FA1"/>
    <w:rsid w:val="00457228"/>
    <w:rsid w:val="00457B17"/>
    <w:rsid w:val="00457BF5"/>
    <w:rsid w:val="00457F23"/>
    <w:rsid w:val="004600AB"/>
    <w:rsid w:val="004601BB"/>
    <w:rsid w:val="004606A6"/>
    <w:rsid w:val="00460710"/>
    <w:rsid w:val="0046102F"/>
    <w:rsid w:val="00461250"/>
    <w:rsid w:val="004612A7"/>
    <w:rsid w:val="004614CA"/>
    <w:rsid w:val="00461583"/>
    <w:rsid w:val="004616BE"/>
    <w:rsid w:val="004616F1"/>
    <w:rsid w:val="00461E42"/>
    <w:rsid w:val="00461FA9"/>
    <w:rsid w:val="0046204D"/>
    <w:rsid w:val="004620CE"/>
    <w:rsid w:val="00462475"/>
    <w:rsid w:val="00462541"/>
    <w:rsid w:val="00462764"/>
    <w:rsid w:val="004627D2"/>
    <w:rsid w:val="00462E03"/>
    <w:rsid w:val="0046301C"/>
    <w:rsid w:val="00463220"/>
    <w:rsid w:val="004632D4"/>
    <w:rsid w:val="00463425"/>
    <w:rsid w:val="004634F4"/>
    <w:rsid w:val="004635B3"/>
    <w:rsid w:val="00463707"/>
    <w:rsid w:val="00463B9E"/>
    <w:rsid w:val="00463C07"/>
    <w:rsid w:val="00463E7C"/>
    <w:rsid w:val="004642D9"/>
    <w:rsid w:val="00464330"/>
    <w:rsid w:val="00464C45"/>
    <w:rsid w:val="00464D20"/>
    <w:rsid w:val="00464EAC"/>
    <w:rsid w:val="00464F56"/>
    <w:rsid w:val="004653B3"/>
    <w:rsid w:val="004655A3"/>
    <w:rsid w:val="0046566D"/>
    <w:rsid w:val="004659A8"/>
    <w:rsid w:val="004659BC"/>
    <w:rsid w:val="00465A1E"/>
    <w:rsid w:val="00465CF5"/>
    <w:rsid w:val="00465DE6"/>
    <w:rsid w:val="00466006"/>
    <w:rsid w:val="0046642B"/>
    <w:rsid w:val="0046651B"/>
    <w:rsid w:val="00466600"/>
    <w:rsid w:val="0046660A"/>
    <w:rsid w:val="004669FB"/>
    <w:rsid w:val="00466A09"/>
    <w:rsid w:val="00466DC8"/>
    <w:rsid w:val="00466F04"/>
    <w:rsid w:val="00467403"/>
    <w:rsid w:val="004675BD"/>
    <w:rsid w:val="0046765B"/>
    <w:rsid w:val="004676E3"/>
    <w:rsid w:val="00467CF8"/>
    <w:rsid w:val="00467EDA"/>
    <w:rsid w:val="00467F6C"/>
    <w:rsid w:val="0047016E"/>
    <w:rsid w:val="004701D5"/>
    <w:rsid w:val="00470227"/>
    <w:rsid w:val="004702A6"/>
    <w:rsid w:val="00470393"/>
    <w:rsid w:val="00470BD0"/>
    <w:rsid w:val="00470D16"/>
    <w:rsid w:val="00470DD6"/>
    <w:rsid w:val="00470E4D"/>
    <w:rsid w:val="00470FE0"/>
    <w:rsid w:val="004711C6"/>
    <w:rsid w:val="004713B5"/>
    <w:rsid w:val="00471402"/>
    <w:rsid w:val="00471A01"/>
    <w:rsid w:val="00471C92"/>
    <w:rsid w:val="00471CD2"/>
    <w:rsid w:val="00471E9D"/>
    <w:rsid w:val="00471FC6"/>
    <w:rsid w:val="00472016"/>
    <w:rsid w:val="00472332"/>
    <w:rsid w:val="00472371"/>
    <w:rsid w:val="00472444"/>
    <w:rsid w:val="0047258D"/>
    <w:rsid w:val="00472693"/>
    <w:rsid w:val="004726EB"/>
    <w:rsid w:val="00472838"/>
    <w:rsid w:val="0047287F"/>
    <w:rsid w:val="00472CA8"/>
    <w:rsid w:val="00473057"/>
    <w:rsid w:val="00473077"/>
    <w:rsid w:val="0047321A"/>
    <w:rsid w:val="0047398B"/>
    <w:rsid w:val="00473A6E"/>
    <w:rsid w:val="00473ADD"/>
    <w:rsid w:val="00473B60"/>
    <w:rsid w:val="00473C1A"/>
    <w:rsid w:val="00473E20"/>
    <w:rsid w:val="00474329"/>
    <w:rsid w:val="00474382"/>
    <w:rsid w:val="0047455B"/>
    <w:rsid w:val="004749BC"/>
    <w:rsid w:val="00474B70"/>
    <w:rsid w:val="00474E93"/>
    <w:rsid w:val="004750BC"/>
    <w:rsid w:val="00475216"/>
    <w:rsid w:val="004753BD"/>
    <w:rsid w:val="004754B6"/>
    <w:rsid w:val="004757AA"/>
    <w:rsid w:val="004757D9"/>
    <w:rsid w:val="004757F1"/>
    <w:rsid w:val="00475850"/>
    <w:rsid w:val="00475872"/>
    <w:rsid w:val="00475A7A"/>
    <w:rsid w:val="00475C07"/>
    <w:rsid w:val="00475FA3"/>
    <w:rsid w:val="0047609A"/>
    <w:rsid w:val="0047611E"/>
    <w:rsid w:val="00476164"/>
    <w:rsid w:val="00476166"/>
    <w:rsid w:val="0047616B"/>
    <w:rsid w:val="0047659A"/>
    <w:rsid w:val="004766CB"/>
    <w:rsid w:val="00476CF6"/>
    <w:rsid w:val="0047702A"/>
    <w:rsid w:val="00477160"/>
    <w:rsid w:val="004771C3"/>
    <w:rsid w:val="004771D7"/>
    <w:rsid w:val="004772A6"/>
    <w:rsid w:val="00477941"/>
    <w:rsid w:val="00477AB7"/>
    <w:rsid w:val="00477C61"/>
    <w:rsid w:val="00477E60"/>
    <w:rsid w:val="00477EA8"/>
    <w:rsid w:val="00477FA5"/>
    <w:rsid w:val="00480066"/>
    <w:rsid w:val="004800CD"/>
    <w:rsid w:val="00480226"/>
    <w:rsid w:val="0048064D"/>
    <w:rsid w:val="004806F4"/>
    <w:rsid w:val="004807A8"/>
    <w:rsid w:val="00481003"/>
    <w:rsid w:val="004813A5"/>
    <w:rsid w:val="004813EC"/>
    <w:rsid w:val="004814F7"/>
    <w:rsid w:val="0048156D"/>
    <w:rsid w:val="004816A4"/>
    <w:rsid w:val="00481804"/>
    <w:rsid w:val="004818FA"/>
    <w:rsid w:val="00481A21"/>
    <w:rsid w:val="0048240F"/>
    <w:rsid w:val="004829FF"/>
    <w:rsid w:val="00482BAD"/>
    <w:rsid w:val="00482C40"/>
    <w:rsid w:val="00482DE9"/>
    <w:rsid w:val="0048304C"/>
    <w:rsid w:val="00483162"/>
    <w:rsid w:val="00483595"/>
    <w:rsid w:val="00483C25"/>
    <w:rsid w:val="00483F05"/>
    <w:rsid w:val="00483FDC"/>
    <w:rsid w:val="00484152"/>
    <w:rsid w:val="00484295"/>
    <w:rsid w:val="0048433B"/>
    <w:rsid w:val="004843BF"/>
    <w:rsid w:val="0048454D"/>
    <w:rsid w:val="004845E1"/>
    <w:rsid w:val="0048466D"/>
    <w:rsid w:val="00485358"/>
    <w:rsid w:val="004853EF"/>
    <w:rsid w:val="00485656"/>
    <w:rsid w:val="00485735"/>
    <w:rsid w:val="0048588A"/>
    <w:rsid w:val="00485937"/>
    <w:rsid w:val="00485B22"/>
    <w:rsid w:val="00485C34"/>
    <w:rsid w:val="00485D6B"/>
    <w:rsid w:val="00485E97"/>
    <w:rsid w:val="00486037"/>
    <w:rsid w:val="004865FC"/>
    <w:rsid w:val="00486EC5"/>
    <w:rsid w:val="00486F29"/>
    <w:rsid w:val="00487014"/>
    <w:rsid w:val="00487879"/>
    <w:rsid w:val="004878DB"/>
    <w:rsid w:val="00487B0A"/>
    <w:rsid w:val="00487B44"/>
    <w:rsid w:val="00487EDF"/>
    <w:rsid w:val="00487F2E"/>
    <w:rsid w:val="00487F6C"/>
    <w:rsid w:val="0049002E"/>
    <w:rsid w:val="0049011D"/>
    <w:rsid w:val="00490353"/>
    <w:rsid w:val="004906FC"/>
    <w:rsid w:val="0049077A"/>
    <w:rsid w:val="00490EEF"/>
    <w:rsid w:val="004915A2"/>
    <w:rsid w:val="0049172F"/>
    <w:rsid w:val="0049174C"/>
    <w:rsid w:val="004918FA"/>
    <w:rsid w:val="00491944"/>
    <w:rsid w:val="00491B6F"/>
    <w:rsid w:val="00491BDB"/>
    <w:rsid w:val="00491FCD"/>
    <w:rsid w:val="00491FDA"/>
    <w:rsid w:val="0049209A"/>
    <w:rsid w:val="00492268"/>
    <w:rsid w:val="0049244B"/>
    <w:rsid w:val="004926DF"/>
    <w:rsid w:val="004927E3"/>
    <w:rsid w:val="0049282C"/>
    <w:rsid w:val="00492AA3"/>
    <w:rsid w:val="00492E23"/>
    <w:rsid w:val="00492F7B"/>
    <w:rsid w:val="00493765"/>
    <w:rsid w:val="00493779"/>
    <w:rsid w:val="00493D35"/>
    <w:rsid w:val="004940CB"/>
    <w:rsid w:val="00494590"/>
    <w:rsid w:val="00494949"/>
    <w:rsid w:val="00494975"/>
    <w:rsid w:val="00494EF4"/>
    <w:rsid w:val="004950A8"/>
    <w:rsid w:val="004950AD"/>
    <w:rsid w:val="004951CE"/>
    <w:rsid w:val="0049539D"/>
    <w:rsid w:val="004954EF"/>
    <w:rsid w:val="00495636"/>
    <w:rsid w:val="00495808"/>
    <w:rsid w:val="00495848"/>
    <w:rsid w:val="004958CE"/>
    <w:rsid w:val="004959E1"/>
    <w:rsid w:val="00495A23"/>
    <w:rsid w:val="00495A95"/>
    <w:rsid w:val="00495AAD"/>
    <w:rsid w:val="00495DC6"/>
    <w:rsid w:val="00495F2E"/>
    <w:rsid w:val="0049616F"/>
    <w:rsid w:val="00496293"/>
    <w:rsid w:val="0049630B"/>
    <w:rsid w:val="004964B0"/>
    <w:rsid w:val="00496672"/>
    <w:rsid w:val="004967EE"/>
    <w:rsid w:val="004969D5"/>
    <w:rsid w:val="00496F29"/>
    <w:rsid w:val="00496F73"/>
    <w:rsid w:val="00497040"/>
    <w:rsid w:val="00497066"/>
    <w:rsid w:val="00497141"/>
    <w:rsid w:val="00497319"/>
    <w:rsid w:val="004974D2"/>
    <w:rsid w:val="00497616"/>
    <w:rsid w:val="0049783A"/>
    <w:rsid w:val="00497A14"/>
    <w:rsid w:val="00497DBB"/>
    <w:rsid w:val="004A0045"/>
    <w:rsid w:val="004A0084"/>
    <w:rsid w:val="004A0174"/>
    <w:rsid w:val="004A0504"/>
    <w:rsid w:val="004A09B5"/>
    <w:rsid w:val="004A0C62"/>
    <w:rsid w:val="004A0DED"/>
    <w:rsid w:val="004A1183"/>
    <w:rsid w:val="004A121E"/>
    <w:rsid w:val="004A133C"/>
    <w:rsid w:val="004A1459"/>
    <w:rsid w:val="004A156C"/>
    <w:rsid w:val="004A16D6"/>
    <w:rsid w:val="004A19CB"/>
    <w:rsid w:val="004A1A00"/>
    <w:rsid w:val="004A1A33"/>
    <w:rsid w:val="004A1AF7"/>
    <w:rsid w:val="004A1CDF"/>
    <w:rsid w:val="004A1D10"/>
    <w:rsid w:val="004A1F4F"/>
    <w:rsid w:val="004A23EF"/>
    <w:rsid w:val="004A2454"/>
    <w:rsid w:val="004A2882"/>
    <w:rsid w:val="004A308A"/>
    <w:rsid w:val="004A319C"/>
    <w:rsid w:val="004A3203"/>
    <w:rsid w:val="004A33EB"/>
    <w:rsid w:val="004A3598"/>
    <w:rsid w:val="004A38F3"/>
    <w:rsid w:val="004A38FA"/>
    <w:rsid w:val="004A39D3"/>
    <w:rsid w:val="004A3D3F"/>
    <w:rsid w:val="004A4016"/>
    <w:rsid w:val="004A4286"/>
    <w:rsid w:val="004A44A1"/>
    <w:rsid w:val="004A45E4"/>
    <w:rsid w:val="004A46D6"/>
    <w:rsid w:val="004A4708"/>
    <w:rsid w:val="004A47A8"/>
    <w:rsid w:val="004A480F"/>
    <w:rsid w:val="004A4A04"/>
    <w:rsid w:val="004A4B32"/>
    <w:rsid w:val="004A4D4F"/>
    <w:rsid w:val="004A501A"/>
    <w:rsid w:val="004A514F"/>
    <w:rsid w:val="004A519D"/>
    <w:rsid w:val="004A5204"/>
    <w:rsid w:val="004A5294"/>
    <w:rsid w:val="004A54BD"/>
    <w:rsid w:val="004A5508"/>
    <w:rsid w:val="004A599C"/>
    <w:rsid w:val="004A5C0D"/>
    <w:rsid w:val="004A5D84"/>
    <w:rsid w:val="004A6149"/>
    <w:rsid w:val="004A6312"/>
    <w:rsid w:val="004A64F9"/>
    <w:rsid w:val="004A6838"/>
    <w:rsid w:val="004A6CCF"/>
    <w:rsid w:val="004A6D54"/>
    <w:rsid w:val="004A700D"/>
    <w:rsid w:val="004A7142"/>
    <w:rsid w:val="004A7185"/>
    <w:rsid w:val="004A76C1"/>
    <w:rsid w:val="004A7B4C"/>
    <w:rsid w:val="004A7CC6"/>
    <w:rsid w:val="004A7E6D"/>
    <w:rsid w:val="004B0343"/>
    <w:rsid w:val="004B0344"/>
    <w:rsid w:val="004B05CD"/>
    <w:rsid w:val="004B0CA5"/>
    <w:rsid w:val="004B0D10"/>
    <w:rsid w:val="004B0DC4"/>
    <w:rsid w:val="004B1241"/>
    <w:rsid w:val="004B128E"/>
    <w:rsid w:val="004B1440"/>
    <w:rsid w:val="004B15CF"/>
    <w:rsid w:val="004B1711"/>
    <w:rsid w:val="004B17D7"/>
    <w:rsid w:val="004B1DC0"/>
    <w:rsid w:val="004B223F"/>
    <w:rsid w:val="004B2893"/>
    <w:rsid w:val="004B2916"/>
    <w:rsid w:val="004B2BF8"/>
    <w:rsid w:val="004B2C82"/>
    <w:rsid w:val="004B3237"/>
    <w:rsid w:val="004B326A"/>
    <w:rsid w:val="004B34AB"/>
    <w:rsid w:val="004B3649"/>
    <w:rsid w:val="004B37B3"/>
    <w:rsid w:val="004B38DD"/>
    <w:rsid w:val="004B3DEB"/>
    <w:rsid w:val="004B3E3D"/>
    <w:rsid w:val="004B3E3F"/>
    <w:rsid w:val="004B3EFA"/>
    <w:rsid w:val="004B4186"/>
    <w:rsid w:val="004B420F"/>
    <w:rsid w:val="004B4319"/>
    <w:rsid w:val="004B438C"/>
    <w:rsid w:val="004B47AC"/>
    <w:rsid w:val="004B4B10"/>
    <w:rsid w:val="004B4CC8"/>
    <w:rsid w:val="004B5099"/>
    <w:rsid w:val="004B50DB"/>
    <w:rsid w:val="004B51C8"/>
    <w:rsid w:val="004B5295"/>
    <w:rsid w:val="004B543B"/>
    <w:rsid w:val="004B5595"/>
    <w:rsid w:val="004B57F5"/>
    <w:rsid w:val="004B592B"/>
    <w:rsid w:val="004B5933"/>
    <w:rsid w:val="004B59C5"/>
    <w:rsid w:val="004B5C88"/>
    <w:rsid w:val="004B5D55"/>
    <w:rsid w:val="004B5FFE"/>
    <w:rsid w:val="004B6029"/>
    <w:rsid w:val="004B6030"/>
    <w:rsid w:val="004B642E"/>
    <w:rsid w:val="004B648F"/>
    <w:rsid w:val="004B6684"/>
    <w:rsid w:val="004B6B71"/>
    <w:rsid w:val="004B6C7D"/>
    <w:rsid w:val="004B6D37"/>
    <w:rsid w:val="004B6EDA"/>
    <w:rsid w:val="004B7262"/>
    <w:rsid w:val="004B74A7"/>
    <w:rsid w:val="004B75CD"/>
    <w:rsid w:val="004B772D"/>
    <w:rsid w:val="004B777D"/>
    <w:rsid w:val="004B7956"/>
    <w:rsid w:val="004B7980"/>
    <w:rsid w:val="004B7B61"/>
    <w:rsid w:val="004C0180"/>
    <w:rsid w:val="004C022D"/>
    <w:rsid w:val="004C047E"/>
    <w:rsid w:val="004C0A53"/>
    <w:rsid w:val="004C0C62"/>
    <w:rsid w:val="004C0CF9"/>
    <w:rsid w:val="004C0F47"/>
    <w:rsid w:val="004C1019"/>
    <w:rsid w:val="004C1191"/>
    <w:rsid w:val="004C11E2"/>
    <w:rsid w:val="004C1588"/>
    <w:rsid w:val="004C1BAA"/>
    <w:rsid w:val="004C1C44"/>
    <w:rsid w:val="004C1D31"/>
    <w:rsid w:val="004C1FA0"/>
    <w:rsid w:val="004C2153"/>
    <w:rsid w:val="004C2794"/>
    <w:rsid w:val="004C288A"/>
    <w:rsid w:val="004C2E90"/>
    <w:rsid w:val="004C30AD"/>
    <w:rsid w:val="004C31BC"/>
    <w:rsid w:val="004C34F6"/>
    <w:rsid w:val="004C40CB"/>
    <w:rsid w:val="004C4145"/>
    <w:rsid w:val="004C426B"/>
    <w:rsid w:val="004C4438"/>
    <w:rsid w:val="004C47A4"/>
    <w:rsid w:val="004C48A8"/>
    <w:rsid w:val="004C4A00"/>
    <w:rsid w:val="004C4B36"/>
    <w:rsid w:val="004C4D08"/>
    <w:rsid w:val="004C4D34"/>
    <w:rsid w:val="004C4EC6"/>
    <w:rsid w:val="004C4EF9"/>
    <w:rsid w:val="004C5272"/>
    <w:rsid w:val="004C530E"/>
    <w:rsid w:val="004C547F"/>
    <w:rsid w:val="004C5DC1"/>
    <w:rsid w:val="004C60CC"/>
    <w:rsid w:val="004C6125"/>
    <w:rsid w:val="004C62E5"/>
    <w:rsid w:val="004C65C1"/>
    <w:rsid w:val="004C675C"/>
    <w:rsid w:val="004C694C"/>
    <w:rsid w:val="004C6C71"/>
    <w:rsid w:val="004C6D14"/>
    <w:rsid w:val="004C7579"/>
    <w:rsid w:val="004C75BF"/>
    <w:rsid w:val="004C77B1"/>
    <w:rsid w:val="004C7AB3"/>
    <w:rsid w:val="004D01A2"/>
    <w:rsid w:val="004D0308"/>
    <w:rsid w:val="004D0980"/>
    <w:rsid w:val="004D0A2A"/>
    <w:rsid w:val="004D110C"/>
    <w:rsid w:val="004D11DF"/>
    <w:rsid w:val="004D1870"/>
    <w:rsid w:val="004D1E49"/>
    <w:rsid w:val="004D1EBE"/>
    <w:rsid w:val="004D22C3"/>
    <w:rsid w:val="004D2785"/>
    <w:rsid w:val="004D27A7"/>
    <w:rsid w:val="004D2857"/>
    <w:rsid w:val="004D293B"/>
    <w:rsid w:val="004D29DE"/>
    <w:rsid w:val="004D29E9"/>
    <w:rsid w:val="004D2A04"/>
    <w:rsid w:val="004D2A30"/>
    <w:rsid w:val="004D2A90"/>
    <w:rsid w:val="004D2DD7"/>
    <w:rsid w:val="004D2FB3"/>
    <w:rsid w:val="004D3070"/>
    <w:rsid w:val="004D30B4"/>
    <w:rsid w:val="004D3271"/>
    <w:rsid w:val="004D34A0"/>
    <w:rsid w:val="004D3A23"/>
    <w:rsid w:val="004D4068"/>
    <w:rsid w:val="004D49C9"/>
    <w:rsid w:val="004D5147"/>
    <w:rsid w:val="004D5197"/>
    <w:rsid w:val="004D51BF"/>
    <w:rsid w:val="004D549C"/>
    <w:rsid w:val="004D57F8"/>
    <w:rsid w:val="004D58A7"/>
    <w:rsid w:val="004D5936"/>
    <w:rsid w:val="004D5A92"/>
    <w:rsid w:val="004D5C51"/>
    <w:rsid w:val="004D5E54"/>
    <w:rsid w:val="004D6681"/>
    <w:rsid w:val="004D67C0"/>
    <w:rsid w:val="004D67D7"/>
    <w:rsid w:val="004D67E2"/>
    <w:rsid w:val="004D67F3"/>
    <w:rsid w:val="004D687F"/>
    <w:rsid w:val="004D6893"/>
    <w:rsid w:val="004D6A69"/>
    <w:rsid w:val="004D6A83"/>
    <w:rsid w:val="004D6FF9"/>
    <w:rsid w:val="004D7169"/>
    <w:rsid w:val="004D72AE"/>
    <w:rsid w:val="004D7404"/>
    <w:rsid w:val="004D7408"/>
    <w:rsid w:val="004D750E"/>
    <w:rsid w:val="004D77FF"/>
    <w:rsid w:val="004D7A5D"/>
    <w:rsid w:val="004D7B40"/>
    <w:rsid w:val="004D7BAE"/>
    <w:rsid w:val="004E01F9"/>
    <w:rsid w:val="004E0753"/>
    <w:rsid w:val="004E0904"/>
    <w:rsid w:val="004E0C5E"/>
    <w:rsid w:val="004E0F3F"/>
    <w:rsid w:val="004E1234"/>
    <w:rsid w:val="004E14AD"/>
    <w:rsid w:val="004E1509"/>
    <w:rsid w:val="004E15E3"/>
    <w:rsid w:val="004E182A"/>
    <w:rsid w:val="004E1C35"/>
    <w:rsid w:val="004E1CC6"/>
    <w:rsid w:val="004E1CEC"/>
    <w:rsid w:val="004E1E40"/>
    <w:rsid w:val="004E2167"/>
    <w:rsid w:val="004E2369"/>
    <w:rsid w:val="004E296F"/>
    <w:rsid w:val="004E2C50"/>
    <w:rsid w:val="004E2DB1"/>
    <w:rsid w:val="004E3054"/>
    <w:rsid w:val="004E3122"/>
    <w:rsid w:val="004E3769"/>
    <w:rsid w:val="004E3E71"/>
    <w:rsid w:val="004E406A"/>
    <w:rsid w:val="004E40FE"/>
    <w:rsid w:val="004E4115"/>
    <w:rsid w:val="004E41E7"/>
    <w:rsid w:val="004E41F6"/>
    <w:rsid w:val="004E4299"/>
    <w:rsid w:val="004E42F0"/>
    <w:rsid w:val="004E43D7"/>
    <w:rsid w:val="004E463A"/>
    <w:rsid w:val="004E46B2"/>
    <w:rsid w:val="004E52A2"/>
    <w:rsid w:val="004E53F8"/>
    <w:rsid w:val="004E562B"/>
    <w:rsid w:val="004E5CA3"/>
    <w:rsid w:val="004E5D41"/>
    <w:rsid w:val="004E5D6B"/>
    <w:rsid w:val="004E5E98"/>
    <w:rsid w:val="004E6182"/>
    <w:rsid w:val="004E630F"/>
    <w:rsid w:val="004E6461"/>
    <w:rsid w:val="004E6869"/>
    <w:rsid w:val="004E68FD"/>
    <w:rsid w:val="004E6B6E"/>
    <w:rsid w:val="004E6E86"/>
    <w:rsid w:val="004E6E8C"/>
    <w:rsid w:val="004E701E"/>
    <w:rsid w:val="004E7498"/>
    <w:rsid w:val="004E7B32"/>
    <w:rsid w:val="004E7C1D"/>
    <w:rsid w:val="004E7E0D"/>
    <w:rsid w:val="004E7F40"/>
    <w:rsid w:val="004F0124"/>
    <w:rsid w:val="004F0249"/>
    <w:rsid w:val="004F0768"/>
    <w:rsid w:val="004F0DF2"/>
    <w:rsid w:val="004F0E15"/>
    <w:rsid w:val="004F0E7D"/>
    <w:rsid w:val="004F0EB5"/>
    <w:rsid w:val="004F10A6"/>
    <w:rsid w:val="004F118B"/>
    <w:rsid w:val="004F1500"/>
    <w:rsid w:val="004F1866"/>
    <w:rsid w:val="004F1F4A"/>
    <w:rsid w:val="004F22F8"/>
    <w:rsid w:val="004F23B3"/>
    <w:rsid w:val="004F251F"/>
    <w:rsid w:val="004F2567"/>
    <w:rsid w:val="004F2828"/>
    <w:rsid w:val="004F2839"/>
    <w:rsid w:val="004F288A"/>
    <w:rsid w:val="004F2C59"/>
    <w:rsid w:val="004F3143"/>
    <w:rsid w:val="004F338D"/>
    <w:rsid w:val="004F351B"/>
    <w:rsid w:val="004F3623"/>
    <w:rsid w:val="004F375F"/>
    <w:rsid w:val="004F3879"/>
    <w:rsid w:val="004F3A92"/>
    <w:rsid w:val="004F3AB9"/>
    <w:rsid w:val="004F3F55"/>
    <w:rsid w:val="004F4437"/>
    <w:rsid w:val="004F45BE"/>
    <w:rsid w:val="004F4918"/>
    <w:rsid w:val="004F49B7"/>
    <w:rsid w:val="004F4BCF"/>
    <w:rsid w:val="004F5525"/>
    <w:rsid w:val="004F56DC"/>
    <w:rsid w:val="004F5A01"/>
    <w:rsid w:val="004F5BD8"/>
    <w:rsid w:val="004F5DC7"/>
    <w:rsid w:val="004F5EC4"/>
    <w:rsid w:val="004F5F9D"/>
    <w:rsid w:val="004F60FC"/>
    <w:rsid w:val="004F612E"/>
    <w:rsid w:val="004F65F9"/>
    <w:rsid w:val="004F67CD"/>
    <w:rsid w:val="004F67E2"/>
    <w:rsid w:val="004F67EE"/>
    <w:rsid w:val="004F689B"/>
    <w:rsid w:val="004F68CD"/>
    <w:rsid w:val="004F6AE9"/>
    <w:rsid w:val="004F6DB6"/>
    <w:rsid w:val="004F6ED1"/>
    <w:rsid w:val="004F6F12"/>
    <w:rsid w:val="004F7012"/>
    <w:rsid w:val="004F70D7"/>
    <w:rsid w:val="004F7136"/>
    <w:rsid w:val="004F73EA"/>
    <w:rsid w:val="004F748B"/>
    <w:rsid w:val="004F7878"/>
    <w:rsid w:val="004F7992"/>
    <w:rsid w:val="004F7B33"/>
    <w:rsid w:val="004F7FBB"/>
    <w:rsid w:val="0050000B"/>
    <w:rsid w:val="0050011D"/>
    <w:rsid w:val="0050017A"/>
    <w:rsid w:val="00500663"/>
    <w:rsid w:val="00500747"/>
    <w:rsid w:val="005007A7"/>
    <w:rsid w:val="00500854"/>
    <w:rsid w:val="00500A54"/>
    <w:rsid w:val="00500ADE"/>
    <w:rsid w:val="00500C57"/>
    <w:rsid w:val="00500DD9"/>
    <w:rsid w:val="00500E39"/>
    <w:rsid w:val="00500F0C"/>
    <w:rsid w:val="005010EC"/>
    <w:rsid w:val="005016D1"/>
    <w:rsid w:val="005016D5"/>
    <w:rsid w:val="0050179D"/>
    <w:rsid w:val="00501888"/>
    <w:rsid w:val="0050197D"/>
    <w:rsid w:val="00501A7F"/>
    <w:rsid w:val="00501AE6"/>
    <w:rsid w:val="00501F5B"/>
    <w:rsid w:val="0050227C"/>
    <w:rsid w:val="005025C6"/>
    <w:rsid w:val="0050295C"/>
    <w:rsid w:val="00502C1E"/>
    <w:rsid w:val="00502EA9"/>
    <w:rsid w:val="005033BC"/>
    <w:rsid w:val="0050347E"/>
    <w:rsid w:val="00503E4C"/>
    <w:rsid w:val="0050435F"/>
    <w:rsid w:val="00504412"/>
    <w:rsid w:val="0050448C"/>
    <w:rsid w:val="005046A9"/>
    <w:rsid w:val="0050470E"/>
    <w:rsid w:val="00504791"/>
    <w:rsid w:val="0050487A"/>
    <w:rsid w:val="00504978"/>
    <w:rsid w:val="00504AB6"/>
    <w:rsid w:val="00504AF4"/>
    <w:rsid w:val="00504BF5"/>
    <w:rsid w:val="00504C57"/>
    <w:rsid w:val="00504D39"/>
    <w:rsid w:val="00504FCB"/>
    <w:rsid w:val="00505043"/>
    <w:rsid w:val="00505075"/>
    <w:rsid w:val="0050525C"/>
    <w:rsid w:val="005052C7"/>
    <w:rsid w:val="005053D4"/>
    <w:rsid w:val="00505575"/>
    <w:rsid w:val="00505819"/>
    <w:rsid w:val="005058E8"/>
    <w:rsid w:val="00505918"/>
    <w:rsid w:val="00505A7A"/>
    <w:rsid w:val="00505AB7"/>
    <w:rsid w:val="00505DF6"/>
    <w:rsid w:val="005061C9"/>
    <w:rsid w:val="0050631C"/>
    <w:rsid w:val="00506516"/>
    <w:rsid w:val="0050690E"/>
    <w:rsid w:val="00506950"/>
    <w:rsid w:val="00506C55"/>
    <w:rsid w:val="00506C81"/>
    <w:rsid w:val="00506D05"/>
    <w:rsid w:val="00506E44"/>
    <w:rsid w:val="00507149"/>
    <w:rsid w:val="00507607"/>
    <w:rsid w:val="005077E3"/>
    <w:rsid w:val="0050784D"/>
    <w:rsid w:val="00507885"/>
    <w:rsid w:val="005078EC"/>
    <w:rsid w:val="00507A0E"/>
    <w:rsid w:val="00507D5D"/>
    <w:rsid w:val="00507E1A"/>
    <w:rsid w:val="00507F7D"/>
    <w:rsid w:val="00510005"/>
    <w:rsid w:val="005100D5"/>
    <w:rsid w:val="0051073C"/>
    <w:rsid w:val="00510914"/>
    <w:rsid w:val="00510939"/>
    <w:rsid w:val="00510C42"/>
    <w:rsid w:val="005111BC"/>
    <w:rsid w:val="00511225"/>
    <w:rsid w:val="00511276"/>
    <w:rsid w:val="00511426"/>
    <w:rsid w:val="005114BF"/>
    <w:rsid w:val="005116CA"/>
    <w:rsid w:val="005118EE"/>
    <w:rsid w:val="00511A11"/>
    <w:rsid w:val="00511ABA"/>
    <w:rsid w:val="00511B54"/>
    <w:rsid w:val="00512280"/>
    <w:rsid w:val="0051228D"/>
    <w:rsid w:val="0051243F"/>
    <w:rsid w:val="00512627"/>
    <w:rsid w:val="005126C5"/>
    <w:rsid w:val="00512768"/>
    <w:rsid w:val="00512879"/>
    <w:rsid w:val="005128B4"/>
    <w:rsid w:val="00512D34"/>
    <w:rsid w:val="0051313E"/>
    <w:rsid w:val="00513254"/>
    <w:rsid w:val="00513751"/>
    <w:rsid w:val="0051380A"/>
    <w:rsid w:val="005138A8"/>
    <w:rsid w:val="00513DF5"/>
    <w:rsid w:val="00514195"/>
    <w:rsid w:val="00514203"/>
    <w:rsid w:val="00514224"/>
    <w:rsid w:val="00514254"/>
    <w:rsid w:val="0051431B"/>
    <w:rsid w:val="00514465"/>
    <w:rsid w:val="005149EB"/>
    <w:rsid w:val="00514A36"/>
    <w:rsid w:val="00514B55"/>
    <w:rsid w:val="00514D06"/>
    <w:rsid w:val="00514EAD"/>
    <w:rsid w:val="00514F9C"/>
    <w:rsid w:val="00515115"/>
    <w:rsid w:val="005152C4"/>
    <w:rsid w:val="00515487"/>
    <w:rsid w:val="005154F8"/>
    <w:rsid w:val="0051552A"/>
    <w:rsid w:val="00515E9A"/>
    <w:rsid w:val="00516C4F"/>
    <w:rsid w:val="00516E49"/>
    <w:rsid w:val="00517001"/>
    <w:rsid w:val="0051764A"/>
    <w:rsid w:val="00517770"/>
    <w:rsid w:val="005179D0"/>
    <w:rsid w:val="00517A92"/>
    <w:rsid w:val="00517AC8"/>
    <w:rsid w:val="00517E21"/>
    <w:rsid w:val="00517EA5"/>
    <w:rsid w:val="00520499"/>
    <w:rsid w:val="005204E9"/>
    <w:rsid w:val="00520556"/>
    <w:rsid w:val="00520921"/>
    <w:rsid w:val="00520BAE"/>
    <w:rsid w:val="00520CAF"/>
    <w:rsid w:val="00520D2E"/>
    <w:rsid w:val="00520F6A"/>
    <w:rsid w:val="005215B9"/>
    <w:rsid w:val="005215C9"/>
    <w:rsid w:val="00521897"/>
    <w:rsid w:val="00521A9B"/>
    <w:rsid w:val="00521BD6"/>
    <w:rsid w:val="00521D0E"/>
    <w:rsid w:val="00521ECC"/>
    <w:rsid w:val="005221DD"/>
    <w:rsid w:val="00522228"/>
    <w:rsid w:val="005224B4"/>
    <w:rsid w:val="005224C5"/>
    <w:rsid w:val="005226DE"/>
    <w:rsid w:val="00522990"/>
    <w:rsid w:val="00522AD7"/>
    <w:rsid w:val="00522B90"/>
    <w:rsid w:val="00522D17"/>
    <w:rsid w:val="00522D7F"/>
    <w:rsid w:val="00522DC1"/>
    <w:rsid w:val="00522ED8"/>
    <w:rsid w:val="00522FD5"/>
    <w:rsid w:val="00523156"/>
    <w:rsid w:val="00523E9B"/>
    <w:rsid w:val="00524239"/>
    <w:rsid w:val="00524418"/>
    <w:rsid w:val="0052452A"/>
    <w:rsid w:val="00524859"/>
    <w:rsid w:val="00524879"/>
    <w:rsid w:val="00524A59"/>
    <w:rsid w:val="00524E3B"/>
    <w:rsid w:val="00524F1C"/>
    <w:rsid w:val="00524FBD"/>
    <w:rsid w:val="00524FC5"/>
    <w:rsid w:val="00524FD7"/>
    <w:rsid w:val="00525145"/>
    <w:rsid w:val="0052515B"/>
    <w:rsid w:val="005251C0"/>
    <w:rsid w:val="005252F2"/>
    <w:rsid w:val="00525411"/>
    <w:rsid w:val="0052564F"/>
    <w:rsid w:val="00525845"/>
    <w:rsid w:val="00525940"/>
    <w:rsid w:val="00525C3D"/>
    <w:rsid w:val="00525EE2"/>
    <w:rsid w:val="00525F7D"/>
    <w:rsid w:val="00525FFD"/>
    <w:rsid w:val="005261F6"/>
    <w:rsid w:val="00526356"/>
    <w:rsid w:val="00526398"/>
    <w:rsid w:val="0052660E"/>
    <w:rsid w:val="00526707"/>
    <w:rsid w:val="00526772"/>
    <w:rsid w:val="00526802"/>
    <w:rsid w:val="00526843"/>
    <w:rsid w:val="00526F09"/>
    <w:rsid w:val="005270C4"/>
    <w:rsid w:val="005271EA"/>
    <w:rsid w:val="00527500"/>
    <w:rsid w:val="005275AF"/>
    <w:rsid w:val="0052786A"/>
    <w:rsid w:val="005278A2"/>
    <w:rsid w:val="00527965"/>
    <w:rsid w:val="00527981"/>
    <w:rsid w:val="00527987"/>
    <w:rsid w:val="00527A35"/>
    <w:rsid w:val="00527FF4"/>
    <w:rsid w:val="0053008A"/>
    <w:rsid w:val="00530091"/>
    <w:rsid w:val="005300F8"/>
    <w:rsid w:val="005303D8"/>
    <w:rsid w:val="0053052D"/>
    <w:rsid w:val="0053059C"/>
    <w:rsid w:val="00530820"/>
    <w:rsid w:val="005309DE"/>
    <w:rsid w:val="005309F8"/>
    <w:rsid w:val="00530CA2"/>
    <w:rsid w:val="00530ECE"/>
    <w:rsid w:val="00531116"/>
    <w:rsid w:val="00531884"/>
    <w:rsid w:val="00531998"/>
    <w:rsid w:val="00531FC8"/>
    <w:rsid w:val="0053220C"/>
    <w:rsid w:val="00532351"/>
    <w:rsid w:val="005324D7"/>
    <w:rsid w:val="005326CF"/>
    <w:rsid w:val="005326F3"/>
    <w:rsid w:val="00532714"/>
    <w:rsid w:val="0053298B"/>
    <w:rsid w:val="00532AF4"/>
    <w:rsid w:val="00532CD0"/>
    <w:rsid w:val="00532F15"/>
    <w:rsid w:val="00533522"/>
    <w:rsid w:val="005335CF"/>
    <w:rsid w:val="00533627"/>
    <w:rsid w:val="00533BF7"/>
    <w:rsid w:val="00533CDD"/>
    <w:rsid w:val="00533E09"/>
    <w:rsid w:val="00533F45"/>
    <w:rsid w:val="00533FFC"/>
    <w:rsid w:val="0053447A"/>
    <w:rsid w:val="0053447E"/>
    <w:rsid w:val="0053487C"/>
    <w:rsid w:val="005349C0"/>
    <w:rsid w:val="005349F6"/>
    <w:rsid w:val="00534AA2"/>
    <w:rsid w:val="00534AD1"/>
    <w:rsid w:val="00534AE7"/>
    <w:rsid w:val="00534E05"/>
    <w:rsid w:val="00535484"/>
    <w:rsid w:val="0053551B"/>
    <w:rsid w:val="00535583"/>
    <w:rsid w:val="005359B6"/>
    <w:rsid w:val="00535B6C"/>
    <w:rsid w:val="00535BC4"/>
    <w:rsid w:val="00535BC8"/>
    <w:rsid w:val="00535EA1"/>
    <w:rsid w:val="005360CE"/>
    <w:rsid w:val="005360DB"/>
    <w:rsid w:val="005361F0"/>
    <w:rsid w:val="005364AE"/>
    <w:rsid w:val="00536600"/>
    <w:rsid w:val="0053673F"/>
    <w:rsid w:val="00536A66"/>
    <w:rsid w:val="00536E2D"/>
    <w:rsid w:val="00536E76"/>
    <w:rsid w:val="00536E9B"/>
    <w:rsid w:val="005370F4"/>
    <w:rsid w:val="00537191"/>
    <w:rsid w:val="00537255"/>
    <w:rsid w:val="005373D4"/>
    <w:rsid w:val="0053757A"/>
    <w:rsid w:val="00537924"/>
    <w:rsid w:val="005379FE"/>
    <w:rsid w:val="00537BC3"/>
    <w:rsid w:val="00537F77"/>
    <w:rsid w:val="0054028A"/>
    <w:rsid w:val="005402B6"/>
    <w:rsid w:val="00540601"/>
    <w:rsid w:val="00540768"/>
    <w:rsid w:val="00540C2B"/>
    <w:rsid w:val="00541000"/>
    <w:rsid w:val="005411FC"/>
    <w:rsid w:val="005418A7"/>
    <w:rsid w:val="00541996"/>
    <w:rsid w:val="00541B6E"/>
    <w:rsid w:val="00541DB7"/>
    <w:rsid w:val="00541E80"/>
    <w:rsid w:val="00542197"/>
    <w:rsid w:val="005422E9"/>
    <w:rsid w:val="0054239B"/>
    <w:rsid w:val="005428F6"/>
    <w:rsid w:val="00542ACA"/>
    <w:rsid w:val="00542BFE"/>
    <w:rsid w:val="00542CFA"/>
    <w:rsid w:val="00542E8A"/>
    <w:rsid w:val="005430D4"/>
    <w:rsid w:val="00543131"/>
    <w:rsid w:val="0054313E"/>
    <w:rsid w:val="0054315F"/>
    <w:rsid w:val="00543399"/>
    <w:rsid w:val="005435C8"/>
    <w:rsid w:val="005437F3"/>
    <w:rsid w:val="005438E8"/>
    <w:rsid w:val="0054398B"/>
    <w:rsid w:val="00543C1F"/>
    <w:rsid w:val="00543E83"/>
    <w:rsid w:val="00543FF9"/>
    <w:rsid w:val="005440C2"/>
    <w:rsid w:val="0054476C"/>
    <w:rsid w:val="00544A2B"/>
    <w:rsid w:val="00544A32"/>
    <w:rsid w:val="00544A99"/>
    <w:rsid w:val="00544B81"/>
    <w:rsid w:val="00544B9F"/>
    <w:rsid w:val="00544CC0"/>
    <w:rsid w:val="00544FE2"/>
    <w:rsid w:val="005453A9"/>
    <w:rsid w:val="005454A1"/>
    <w:rsid w:val="005457F2"/>
    <w:rsid w:val="00545939"/>
    <w:rsid w:val="00545ADB"/>
    <w:rsid w:val="00545C5E"/>
    <w:rsid w:val="00545DEB"/>
    <w:rsid w:val="0054615D"/>
    <w:rsid w:val="005465ED"/>
    <w:rsid w:val="00546779"/>
    <w:rsid w:val="00546DB2"/>
    <w:rsid w:val="00547246"/>
    <w:rsid w:val="00547784"/>
    <w:rsid w:val="00547CE5"/>
    <w:rsid w:val="00547E65"/>
    <w:rsid w:val="00547FC9"/>
    <w:rsid w:val="005501B1"/>
    <w:rsid w:val="005501D5"/>
    <w:rsid w:val="005503E5"/>
    <w:rsid w:val="005504A3"/>
    <w:rsid w:val="00550852"/>
    <w:rsid w:val="0055098C"/>
    <w:rsid w:val="00550DE6"/>
    <w:rsid w:val="005511B1"/>
    <w:rsid w:val="00551287"/>
    <w:rsid w:val="00551391"/>
    <w:rsid w:val="00551423"/>
    <w:rsid w:val="00551577"/>
    <w:rsid w:val="0055160A"/>
    <w:rsid w:val="005517D7"/>
    <w:rsid w:val="005519BB"/>
    <w:rsid w:val="00551B9C"/>
    <w:rsid w:val="00551FCA"/>
    <w:rsid w:val="005524C4"/>
    <w:rsid w:val="0055270E"/>
    <w:rsid w:val="00552956"/>
    <w:rsid w:val="00552C00"/>
    <w:rsid w:val="00552FE5"/>
    <w:rsid w:val="00553335"/>
    <w:rsid w:val="00553678"/>
    <w:rsid w:val="00553BEF"/>
    <w:rsid w:val="00553E52"/>
    <w:rsid w:val="00553F08"/>
    <w:rsid w:val="00554231"/>
    <w:rsid w:val="0055451F"/>
    <w:rsid w:val="0055452D"/>
    <w:rsid w:val="00554863"/>
    <w:rsid w:val="005548EE"/>
    <w:rsid w:val="00554A0B"/>
    <w:rsid w:val="00554B8E"/>
    <w:rsid w:val="00554FA8"/>
    <w:rsid w:val="005550F1"/>
    <w:rsid w:val="00555514"/>
    <w:rsid w:val="00555649"/>
    <w:rsid w:val="00555878"/>
    <w:rsid w:val="005558E7"/>
    <w:rsid w:val="00555A3B"/>
    <w:rsid w:val="00555A6D"/>
    <w:rsid w:val="00555DFD"/>
    <w:rsid w:val="00556017"/>
    <w:rsid w:val="005560DC"/>
    <w:rsid w:val="005561EE"/>
    <w:rsid w:val="0055624C"/>
    <w:rsid w:val="0055637C"/>
    <w:rsid w:val="00556795"/>
    <w:rsid w:val="005569A1"/>
    <w:rsid w:val="00556BD2"/>
    <w:rsid w:val="00556DE3"/>
    <w:rsid w:val="00556F8B"/>
    <w:rsid w:val="00557104"/>
    <w:rsid w:val="00557231"/>
    <w:rsid w:val="005576BC"/>
    <w:rsid w:val="00557813"/>
    <w:rsid w:val="00557DE4"/>
    <w:rsid w:val="00557E6D"/>
    <w:rsid w:val="00557EBF"/>
    <w:rsid w:val="00557FF1"/>
    <w:rsid w:val="0056004F"/>
    <w:rsid w:val="005607B1"/>
    <w:rsid w:val="00560A64"/>
    <w:rsid w:val="00560C35"/>
    <w:rsid w:val="00560C98"/>
    <w:rsid w:val="00560EE0"/>
    <w:rsid w:val="0056125F"/>
    <w:rsid w:val="00561287"/>
    <w:rsid w:val="005612F1"/>
    <w:rsid w:val="0056155F"/>
    <w:rsid w:val="00561643"/>
    <w:rsid w:val="0056188A"/>
    <w:rsid w:val="00561924"/>
    <w:rsid w:val="00561994"/>
    <w:rsid w:val="00561B51"/>
    <w:rsid w:val="00561D31"/>
    <w:rsid w:val="00561DB3"/>
    <w:rsid w:val="00561EFD"/>
    <w:rsid w:val="00562248"/>
    <w:rsid w:val="005627DA"/>
    <w:rsid w:val="00562934"/>
    <w:rsid w:val="005629F4"/>
    <w:rsid w:val="00562C85"/>
    <w:rsid w:val="00562D45"/>
    <w:rsid w:val="00562E28"/>
    <w:rsid w:val="00562E50"/>
    <w:rsid w:val="00563012"/>
    <w:rsid w:val="00563055"/>
    <w:rsid w:val="0056318D"/>
    <w:rsid w:val="00563366"/>
    <w:rsid w:val="00563404"/>
    <w:rsid w:val="0056354C"/>
    <w:rsid w:val="00563749"/>
    <w:rsid w:val="0056393C"/>
    <w:rsid w:val="005639C6"/>
    <w:rsid w:val="00563C7E"/>
    <w:rsid w:val="00563F67"/>
    <w:rsid w:val="00563FB4"/>
    <w:rsid w:val="0056407D"/>
    <w:rsid w:val="00564420"/>
    <w:rsid w:val="00564488"/>
    <w:rsid w:val="00564557"/>
    <w:rsid w:val="00564613"/>
    <w:rsid w:val="00564A90"/>
    <w:rsid w:val="00564B0E"/>
    <w:rsid w:val="00564F45"/>
    <w:rsid w:val="0056513A"/>
    <w:rsid w:val="00565362"/>
    <w:rsid w:val="00565725"/>
    <w:rsid w:val="00565D1B"/>
    <w:rsid w:val="00565F0E"/>
    <w:rsid w:val="00566330"/>
    <w:rsid w:val="0056642F"/>
    <w:rsid w:val="005664E9"/>
    <w:rsid w:val="00566513"/>
    <w:rsid w:val="0056690D"/>
    <w:rsid w:val="00566A53"/>
    <w:rsid w:val="00566B02"/>
    <w:rsid w:val="00566FCD"/>
    <w:rsid w:val="00567264"/>
    <w:rsid w:val="0056726A"/>
    <w:rsid w:val="005673A8"/>
    <w:rsid w:val="005677B6"/>
    <w:rsid w:val="005678BF"/>
    <w:rsid w:val="00567AD0"/>
    <w:rsid w:val="00567B32"/>
    <w:rsid w:val="00567FD9"/>
    <w:rsid w:val="005700EB"/>
    <w:rsid w:val="00570362"/>
    <w:rsid w:val="00570376"/>
    <w:rsid w:val="005703DC"/>
    <w:rsid w:val="00570419"/>
    <w:rsid w:val="0057042F"/>
    <w:rsid w:val="005706E4"/>
    <w:rsid w:val="00570A41"/>
    <w:rsid w:val="00570B85"/>
    <w:rsid w:val="00570B8E"/>
    <w:rsid w:val="00570C0D"/>
    <w:rsid w:val="00570F02"/>
    <w:rsid w:val="00570FD8"/>
    <w:rsid w:val="00571202"/>
    <w:rsid w:val="00571531"/>
    <w:rsid w:val="005715DB"/>
    <w:rsid w:val="005719AD"/>
    <w:rsid w:val="00571C9D"/>
    <w:rsid w:val="00571CAD"/>
    <w:rsid w:val="00571CDF"/>
    <w:rsid w:val="00571E00"/>
    <w:rsid w:val="005721F0"/>
    <w:rsid w:val="00572224"/>
    <w:rsid w:val="00572398"/>
    <w:rsid w:val="00572893"/>
    <w:rsid w:val="005728D7"/>
    <w:rsid w:val="00572D32"/>
    <w:rsid w:val="00572D3C"/>
    <w:rsid w:val="00572DAB"/>
    <w:rsid w:val="0057328B"/>
    <w:rsid w:val="00573327"/>
    <w:rsid w:val="00573504"/>
    <w:rsid w:val="00573A49"/>
    <w:rsid w:val="00573B89"/>
    <w:rsid w:val="00573E6D"/>
    <w:rsid w:val="00573EE9"/>
    <w:rsid w:val="005740BC"/>
    <w:rsid w:val="00574181"/>
    <w:rsid w:val="005741AF"/>
    <w:rsid w:val="005744AE"/>
    <w:rsid w:val="0057472C"/>
    <w:rsid w:val="0057492A"/>
    <w:rsid w:val="005749B0"/>
    <w:rsid w:val="005749CE"/>
    <w:rsid w:val="00574A06"/>
    <w:rsid w:val="00574B39"/>
    <w:rsid w:val="00574D17"/>
    <w:rsid w:val="00574EF7"/>
    <w:rsid w:val="00575026"/>
    <w:rsid w:val="0057547D"/>
    <w:rsid w:val="00575608"/>
    <w:rsid w:val="00575E5A"/>
    <w:rsid w:val="00575F04"/>
    <w:rsid w:val="0057619B"/>
    <w:rsid w:val="005761B6"/>
    <w:rsid w:val="0057669B"/>
    <w:rsid w:val="00576961"/>
    <w:rsid w:val="00576A7E"/>
    <w:rsid w:val="00576C80"/>
    <w:rsid w:val="00576CBE"/>
    <w:rsid w:val="00576CC7"/>
    <w:rsid w:val="00576D1B"/>
    <w:rsid w:val="0057738B"/>
    <w:rsid w:val="00577585"/>
    <w:rsid w:val="00577591"/>
    <w:rsid w:val="00577735"/>
    <w:rsid w:val="005778CF"/>
    <w:rsid w:val="00577A86"/>
    <w:rsid w:val="00577D0E"/>
    <w:rsid w:val="00577E16"/>
    <w:rsid w:val="00577E7E"/>
    <w:rsid w:val="00580019"/>
    <w:rsid w:val="005803F5"/>
    <w:rsid w:val="0058058A"/>
    <w:rsid w:val="0058067A"/>
    <w:rsid w:val="00580B2B"/>
    <w:rsid w:val="00580D5C"/>
    <w:rsid w:val="00580E3B"/>
    <w:rsid w:val="00581070"/>
    <w:rsid w:val="005810E0"/>
    <w:rsid w:val="005811BE"/>
    <w:rsid w:val="00581223"/>
    <w:rsid w:val="00581746"/>
    <w:rsid w:val="00581BCA"/>
    <w:rsid w:val="00581D99"/>
    <w:rsid w:val="00581F27"/>
    <w:rsid w:val="0058202A"/>
    <w:rsid w:val="005820C5"/>
    <w:rsid w:val="0058240A"/>
    <w:rsid w:val="005825C1"/>
    <w:rsid w:val="00582675"/>
    <w:rsid w:val="0058276F"/>
    <w:rsid w:val="00582799"/>
    <w:rsid w:val="00582E3D"/>
    <w:rsid w:val="0058359F"/>
    <w:rsid w:val="00583859"/>
    <w:rsid w:val="00583892"/>
    <w:rsid w:val="00583CDB"/>
    <w:rsid w:val="00584201"/>
    <w:rsid w:val="005844D4"/>
    <w:rsid w:val="0058463A"/>
    <w:rsid w:val="0058495B"/>
    <w:rsid w:val="00584B9E"/>
    <w:rsid w:val="00584C88"/>
    <w:rsid w:val="00584DEB"/>
    <w:rsid w:val="00584F6D"/>
    <w:rsid w:val="00585163"/>
    <w:rsid w:val="005851E8"/>
    <w:rsid w:val="005852A5"/>
    <w:rsid w:val="005856E8"/>
    <w:rsid w:val="00585D48"/>
    <w:rsid w:val="005860A8"/>
    <w:rsid w:val="0058610B"/>
    <w:rsid w:val="0058635C"/>
    <w:rsid w:val="005863EE"/>
    <w:rsid w:val="00586730"/>
    <w:rsid w:val="005868A5"/>
    <w:rsid w:val="00586B7D"/>
    <w:rsid w:val="00587201"/>
    <w:rsid w:val="00587365"/>
    <w:rsid w:val="00587595"/>
    <w:rsid w:val="00587A1A"/>
    <w:rsid w:val="00587DCE"/>
    <w:rsid w:val="00587F4C"/>
    <w:rsid w:val="005904B3"/>
    <w:rsid w:val="005907CA"/>
    <w:rsid w:val="0059093E"/>
    <w:rsid w:val="00590A5B"/>
    <w:rsid w:val="00590B7F"/>
    <w:rsid w:val="00590E81"/>
    <w:rsid w:val="00591168"/>
    <w:rsid w:val="0059156D"/>
    <w:rsid w:val="00591604"/>
    <w:rsid w:val="005917D3"/>
    <w:rsid w:val="005919A5"/>
    <w:rsid w:val="00591AFA"/>
    <w:rsid w:val="00591C35"/>
    <w:rsid w:val="005926CB"/>
    <w:rsid w:val="005930FA"/>
    <w:rsid w:val="0059332E"/>
    <w:rsid w:val="00593A84"/>
    <w:rsid w:val="00593C9B"/>
    <w:rsid w:val="0059438C"/>
    <w:rsid w:val="00594663"/>
    <w:rsid w:val="00594722"/>
    <w:rsid w:val="0059477A"/>
    <w:rsid w:val="00594879"/>
    <w:rsid w:val="00594994"/>
    <w:rsid w:val="00594AFA"/>
    <w:rsid w:val="00594B30"/>
    <w:rsid w:val="00594B50"/>
    <w:rsid w:val="00594C2F"/>
    <w:rsid w:val="00594C53"/>
    <w:rsid w:val="00594CA8"/>
    <w:rsid w:val="00595048"/>
    <w:rsid w:val="00595477"/>
    <w:rsid w:val="005954F8"/>
    <w:rsid w:val="00595646"/>
    <w:rsid w:val="005959CE"/>
    <w:rsid w:val="00595C6F"/>
    <w:rsid w:val="00595F72"/>
    <w:rsid w:val="00596332"/>
    <w:rsid w:val="0059636A"/>
    <w:rsid w:val="005966DE"/>
    <w:rsid w:val="00596E02"/>
    <w:rsid w:val="00596E17"/>
    <w:rsid w:val="005975E7"/>
    <w:rsid w:val="00597991"/>
    <w:rsid w:val="00597B68"/>
    <w:rsid w:val="00597CFB"/>
    <w:rsid w:val="00597F01"/>
    <w:rsid w:val="00597F05"/>
    <w:rsid w:val="005A0132"/>
    <w:rsid w:val="005A016B"/>
    <w:rsid w:val="005A0569"/>
    <w:rsid w:val="005A0752"/>
    <w:rsid w:val="005A0A46"/>
    <w:rsid w:val="005A0D65"/>
    <w:rsid w:val="005A11C6"/>
    <w:rsid w:val="005A1465"/>
    <w:rsid w:val="005A1669"/>
    <w:rsid w:val="005A16A6"/>
    <w:rsid w:val="005A1710"/>
    <w:rsid w:val="005A18EC"/>
    <w:rsid w:val="005A1A5C"/>
    <w:rsid w:val="005A1C04"/>
    <w:rsid w:val="005A1F33"/>
    <w:rsid w:val="005A1F84"/>
    <w:rsid w:val="005A2027"/>
    <w:rsid w:val="005A20D4"/>
    <w:rsid w:val="005A20DD"/>
    <w:rsid w:val="005A263F"/>
    <w:rsid w:val="005A269D"/>
    <w:rsid w:val="005A26EF"/>
    <w:rsid w:val="005A2923"/>
    <w:rsid w:val="005A2966"/>
    <w:rsid w:val="005A2DA0"/>
    <w:rsid w:val="005A2F40"/>
    <w:rsid w:val="005A2F5B"/>
    <w:rsid w:val="005A301F"/>
    <w:rsid w:val="005A3269"/>
    <w:rsid w:val="005A32AE"/>
    <w:rsid w:val="005A359C"/>
    <w:rsid w:val="005A3944"/>
    <w:rsid w:val="005A3C14"/>
    <w:rsid w:val="005A3C64"/>
    <w:rsid w:val="005A3CD9"/>
    <w:rsid w:val="005A3EE8"/>
    <w:rsid w:val="005A3F2D"/>
    <w:rsid w:val="005A3FE0"/>
    <w:rsid w:val="005A415F"/>
    <w:rsid w:val="005A4328"/>
    <w:rsid w:val="005A43CB"/>
    <w:rsid w:val="005A45E1"/>
    <w:rsid w:val="005A4BC5"/>
    <w:rsid w:val="005A4C6E"/>
    <w:rsid w:val="005A4CBD"/>
    <w:rsid w:val="005A4CF1"/>
    <w:rsid w:val="005A4D35"/>
    <w:rsid w:val="005A4D61"/>
    <w:rsid w:val="005A4D9A"/>
    <w:rsid w:val="005A5106"/>
    <w:rsid w:val="005A54D7"/>
    <w:rsid w:val="005A56AF"/>
    <w:rsid w:val="005A5BAC"/>
    <w:rsid w:val="005A5F18"/>
    <w:rsid w:val="005A5FDF"/>
    <w:rsid w:val="005A6165"/>
    <w:rsid w:val="005A64BD"/>
    <w:rsid w:val="005A66DE"/>
    <w:rsid w:val="005A677E"/>
    <w:rsid w:val="005A6923"/>
    <w:rsid w:val="005A6F64"/>
    <w:rsid w:val="005A707D"/>
    <w:rsid w:val="005A71C8"/>
    <w:rsid w:val="005A7839"/>
    <w:rsid w:val="005A7AF0"/>
    <w:rsid w:val="005A7C9D"/>
    <w:rsid w:val="005B000B"/>
    <w:rsid w:val="005B0100"/>
    <w:rsid w:val="005B05C2"/>
    <w:rsid w:val="005B073A"/>
    <w:rsid w:val="005B092E"/>
    <w:rsid w:val="005B0C2E"/>
    <w:rsid w:val="005B0EBF"/>
    <w:rsid w:val="005B0F24"/>
    <w:rsid w:val="005B10FD"/>
    <w:rsid w:val="005B1126"/>
    <w:rsid w:val="005B1356"/>
    <w:rsid w:val="005B14C3"/>
    <w:rsid w:val="005B14E0"/>
    <w:rsid w:val="005B15BB"/>
    <w:rsid w:val="005B16A2"/>
    <w:rsid w:val="005B177F"/>
    <w:rsid w:val="005B17BC"/>
    <w:rsid w:val="005B1A3A"/>
    <w:rsid w:val="005B246F"/>
    <w:rsid w:val="005B24C8"/>
    <w:rsid w:val="005B2578"/>
    <w:rsid w:val="005B25F7"/>
    <w:rsid w:val="005B28B6"/>
    <w:rsid w:val="005B299A"/>
    <w:rsid w:val="005B2B38"/>
    <w:rsid w:val="005B2D52"/>
    <w:rsid w:val="005B3251"/>
    <w:rsid w:val="005B3253"/>
    <w:rsid w:val="005B3398"/>
    <w:rsid w:val="005B3405"/>
    <w:rsid w:val="005B3436"/>
    <w:rsid w:val="005B3630"/>
    <w:rsid w:val="005B3714"/>
    <w:rsid w:val="005B37B3"/>
    <w:rsid w:val="005B37FC"/>
    <w:rsid w:val="005B3805"/>
    <w:rsid w:val="005B3D4C"/>
    <w:rsid w:val="005B40DE"/>
    <w:rsid w:val="005B421C"/>
    <w:rsid w:val="005B4291"/>
    <w:rsid w:val="005B432D"/>
    <w:rsid w:val="005B43FB"/>
    <w:rsid w:val="005B481F"/>
    <w:rsid w:val="005B4BC0"/>
    <w:rsid w:val="005B5065"/>
    <w:rsid w:val="005B5144"/>
    <w:rsid w:val="005B540D"/>
    <w:rsid w:val="005B5596"/>
    <w:rsid w:val="005B5873"/>
    <w:rsid w:val="005B59B4"/>
    <w:rsid w:val="005B5CAD"/>
    <w:rsid w:val="005B5CB8"/>
    <w:rsid w:val="005B6086"/>
    <w:rsid w:val="005B615E"/>
    <w:rsid w:val="005B61BF"/>
    <w:rsid w:val="005B6386"/>
    <w:rsid w:val="005B63C2"/>
    <w:rsid w:val="005B650D"/>
    <w:rsid w:val="005B680D"/>
    <w:rsid w:val="005B6BD0"/>
    <w:rsid w:val="005B6D83"/>
    <w:rsid w:val="005B6E74"/>
    <w:rsid w:val="005B6F3E"/>
    <w:rsid w:val="005B74B2"/>
    <w:rsid w:val="005B7551"/>
    <w:rsid w:val="005B7752"/>
    <w:rsid w:val="005B7A9B"/>
    <w:rsid w:val="005B7B52"/>
    <w:rsid w:val="005B7F5C"/>
    <w:rsid w:val="005C0316"/>
    <w:rsid w:val="005C04A1"/>
    <w:rsid w:val="005C0742"/>
    <w:rsid w:val="005C0765"/>
    <w:rsid w:val="005C0789"/>
    <w:rsid w:val="005C0A25"/>
    <w:rsid w:val="005C0BE7"/>
    <w:rsid w:val="005C0ED0"/>
    <w:rsid w:val="005C0ED6"/>
    <w:rsid w:val="005C1380"/>
    <w:rsid w:val="005C13EE"/>
    <w:rsid w:val="005C19B0"/>
    <w:rsid w:val="005C1BA7"/>
    <w:rsid w:val="005C1BBD"/>
    <w:rsid w:val="005C1C71"/>
    <w:rsid w:val="005C1CA3"/>
    <w:rsid w:val="005C1CB5"/>
    <w:rsid w:val="005C1CC3"/>
    <w:rsid w:val="005C1EBB"/>
    <w:rsid w:val="005C1EF8"/>
    <w:rsid w:val="005C1F86"/>
    <w:rsid w:val="005C1FD7"/>
    <w:rsid w:val="005C2020"/>
    <w:rsid w:val="005C20E4"/>
    <w:rsid w:val="005C2151"/>
    <w:rsid w:val="005C22A4"/>
    <w:rsid w:val="005C2342"/>
    <w:rsid w:val="005C27B2"/>
    <w:rsid w:val="005C2A5E"/>
    <w:rsid w:val="005C2C5C"/>
    <w:rsid w:val="005C2E41"/>
    <w:rsid w:val="005C3025"/>
    <w:rsid w:val="005C3148"/>
    <w:rsid w:val="005C3418"/>
    <w:rsid w:val="005C3486"/>
    <w:rsid w:val="005C392D"/>
    <w:rsid w:val="005C3A1E"/>
    <w:rsid w:val="005C3A7B"/>
    <w:rsid w:val="005C3AB9"/>
    <w:rsid w:val="005C3F99"/>
    <w:rsid w:val="005C43AE"/>
    <w:rsid w:val="005C4636"/>
    <w:rsid w:val="005C4A6B"/>
    <w:rsid w:val="005C4C0B"/>
    <w:rsid w:val="005C4C9F"/>
    <w:rsid w:val="005C4FEB"/>
    <w:rsid w:val="005C504D"/>
    <w:rsid w:val="005C50F8"/>
    <w:rsid w:val="005C54C3"/>
    <w:rsid w:val="005C54F4"/>
    <w:rsid w:val="005C55A7"/>
    <w:rsid w:val="005C588B"/>
    <w:rsid w:val="005C594B"/>
    <w:rsid w:val="005C5A23"/>
    <w:rsid w:val="005C5F9F"/>
    <w:rsid w:val="005C612D"/>
    <w:rsid w:val="005C6326"/>
    <w:rsid w:val="005C6603"/>
    <w:rsid w:val="005C6752"/>
    <w:rsid w:val="005C6B52"/>
    <w:rsid w:val="005C6E84"/>
    <w:rsid w:val="005C6EBC"/>
    <w:rsid w:val="005C6F7E"/>
    <w:rsid w:val="005C71BA"/>
    <w:rsid w:val="005C7397"/>
    <w:rsid w:val="005C74AC"/>
    <w:rsid w:val="005C759A"/>
    <w:rsid w:val="005C75E8"/>
    <w:rsid w:val="005C7634"/>
    <w:rsid w:val="005C7864"/>
    <w:rsid w:val="005C7A24"/>
    <w:rsid w:val="005C7C7A"/>
    <w:rsid w:val="005C7CAD"/>
    <w:rsid w:val="005C7E1E"/>
    <w:rsid w:val="005C7E6D"/>
    <w:rsid w:val="005D0216"/>
    <w:rsid w:val="005D036E"/>
    <w:rsid w:val="005D0422"/>
    <w:rsid w:val="005D046B"/>
    <w:rsid w:val="005D06F0"/>
    <w:rsid w:val="005D0910"/>
    <w:rsid w:val="005D0AAE"/>
    <w:rsid w:val="005D0DF0"/>
    <w:rsid w:val="005D0F68"/>
    <w:rsid w:val="005D0F7B"/>
    <w:rsid w:val="005D0FE7"/>
    <w:rsid w:val="005D10A0"/>
    <w:rsid w:val="005D118D"/>
    <w:rsid w:val="005D1204"/>
    <w:rsid w:val="005D1B1A"/>
    <w:rsid w:val="005D1BD8"/>
    <w:rsid w:val="005D1D71"/>
    <w:rsid w:val="005D1DD9"/>
    <w:rsid w:val="005D1FE5"/>
    <w:rsid w:val="005D2441"/>
    <w:rsid w:val="005D256D"/>
    <w:rsid w:val="005D25C3"/>
    <w:rsid w:val="005D269E"/>
    <w:rsid w:val="005D27A7"/>
    <w:rsid w:val="005D28F5"/>
    <w:rsid w:val="005D2A05"/>
    <w:rsid w:val="005D2A41"/>
    <w:rsid w:val="005D2C7E"/>
    <w:rsid w:val="005D2CE8"/>
    <w:rsid w:val="005D2E1C"/>
    <w:rsid w:val="005D2EE0"/>
    <w:rsid w:val="005D2F20"/>
    <w:rsid w:val="005D2F40"/>
    <w:rsid w:val="005D3292"/>
    <w:rsid w:val="005D32FA"/>
    <w:rsid w:val="005D3A03"/>
    <w:rsid w:val="005D3C07"/>
    <w:rsid w:val="005D3DDC"/>
    <w:rsid w:val="005D3F5A"/>
    <w:rsid w:val="005D4CF7"/>
    <w:rsid w:val="005D4E15"/>
    <w:rsid w:val="005D4F41"/>
    <w:rsid w:val="005D50EC"/>
    <w:rsid w:val="005D5306"/>
    <w:rsid w:val="005D53D5"/>
    <w:rsid w:val="005D565E"/>
    <w:rsid w:val="005D5BA0"/>
    <w:rsid w:val="005D5CCC"/>
    <w:rsid w:val="005D6055"/>
    <w:rsid w:val="005D61CF"/>
    <w:rsid w:val="005D64C6"/>
    <w:rsid w:val="005D65DD"/>
    <w:rsid w:val="005D6643"/>
    <w:rsid w:val="005D6707"/>
    <w:rsid w:val="005D67D0"/>
    <w:rsid w:val="005D68E9"/>
    <w:rsid w:val="005D6C8F"/>
    <w:rsid w:val="005D6D33"/>
    <w:rsid w:val="005D6D43"/>
    <w:rsid w:val="005D6DC0"/>
    <w:rsid w:val="005D6FC2"/>
    <w:rsid w:val="005D7374"/>
    <w:rsid w:val="005D7641"/>
    <w:rsid w:val="005D7906"/>
    <w:rsid w:val="005D7A01"/>
    <w:rsid w:val="005D7A22"/>
    <w:rsid w:val="005D7BAB"/>
    <w:rsid w:val="005D7D33"/>
    <w:rsid w:val="005E0057"/>
    <w:rsid w:val="005E0073"/>
    <w:rsid w:val="005E01AF"/>
    <w:rsid w:val="005E0373"/>
    <w:rsid w:val="005E05C7"/>
    <w:rsid w:val="005E067E"/>
    <w:rsid w:val="005E0818"/>
    <w:rsid w:val="005E08C3"/>
    <w:rsid w:val="005E10FD"/>
    <w:rsid w:val="005E15A1"/>
    <w:rsid w:val="005E184C"/>
    <w:rsid w:val="005E1BE6"/>
    <w:rsid w:val="005E21F8"/>
    <w:rsid w:val="005E2302"/>
    <w:rsid w:val="005E2318"/>
    <w:rsid w:val="005E24BA"/>
    <w:rsid w:val="005E28C6"/>
    <w:rsid w:val="005E2CFA"/>
    <w:rsid w:val="005E2E6E"/>
    <w:rsid w:val="005E3210"/>
    <w:rsid w:val="005E3522"/>
    <w:rsid w:val="005E363C"/>
    <w:rsid w:val="005E36B5"/>
    <w:rsid w:val="005E3CB9"/>
    <w:rsid w:val="005E3D18"/>
    <w:rsid w:val="005E3DBD"/>
    <w:rsid w:val="005E3FAF"/>
    <w:rsid w:val="005E40EA"/>
    <w:rsid w:val="005E42A2"/>
    <w:rsid w:val="005E43F5"/>
    <w:rsid w:val="005E4495"/>
    <w:rsid w:val="005E44BC"/>
    <w:rsid w:val="005E44C1"/>
    <w:rsid w:val="005E45CF"/>
    <w:rsid w:val="005E4661"/>
    <w:rsid w:val="005E46FA"/>
    <w:rsid w:val="005E479E"/>
    <w:rsid w:val="005E47D2"/>
    <w:rsid w:val="005E4BE7"/>
    <w:rsid w:val="005E4CFB"/>
    <w:rsid w:val="005E529F"/>
    <w:rsid w:val="005E546F"/>
    <w:rsid w:val="005E54C5"/>
    <w:rsid w:val="005E5505"/>
    <w:rsid w:val="005E583E"/>
    <w:rsid w:val="005E5AEB"/>
    <w:rsid w:val="005E5B37"/>
    <w:rsid w:val="005E5B72"/>
    <w:rsid w:val="005E5F39"/>
    <w:rsid w:val="005E620A"/>
    <w:rsid w:val="005E6296"/>
    <w:rsid w:val="005E63B9"/>
    <w:rsid w:val="005E63DD"/>
    <w:rsid w:val="005E6476"/>
    <w:rsid w:val="005E65C3"/>
    <w:rsid w:val="005E673F"/>
    <w:rsid w:val="005E6A2F"/>
    <w:rsid w:val="005E6C15"/>
    <w:rsid w:val="005E6D54"/>
    <w:rsid w:val="005E6F2E"/>
    <w:rsid w:val="005E7059"/>
    <w:rsid w:val="005E778E"/>
    <w:rsid w:val="005E7B31"/>
    <w:rsid w:val="005E7B57"/>
    <w:rsid w:val="005E7CB6"/>
    <w:rsid w:val="005F031C"/>
    <w:rsid w:val="005F071B"/>
    <w:rsid w:val="005F075A"/>
    <w:rsid w:val="005F0A2D"/>
    <w:rsid w:val="005F0DBB"/>
    <w:rsid w:val="005F0F24"/>
    <w:rsid w:val="005F11C1"/>
    <w:rsid w:val="005F1219"/>
    <w:rsid w:val="005F140F"/>
    <w:rsid w:val="005F15B9"/>
    <w:rsid w:val="005F1C7C"/>
    <w:rsid w:val="005F2079"/>
    <w:rsid w:val="005F21CC"/>
    <w:rsid w:val="005F21F9"/>
    <w:rsid w:val="005F2243"/>
    <w:rsid w:val="005F224B"/>
    <w:rsid w:val="005F2354"/>
    <w:rsid w:val="005F27E4"/>
    <w:rsid w:val="005F294A"/>
    <w:rsid w:val="005F29E7"/>
    <w:rsid w:val="005F2AFE"/>
    <w:rsid w:val="005F2D63"/>
    <w:rsid w:val="005F2F18"/>
    <w:rsid w:val="005F2FDA"/>
    <w:rsid w:val="005F3153"/>
    <w:rsid w:val="005F37BA"/>
    <w:rsid w:val="005F3A6E"/>
    <w:rsid w:val="005F3C04"/>
    <w:rsid w:val="005F3F5A"/>
    <w:rsid w:val="005F43DF"/>
    <w:rsid w:val="005F44F3"/>
    <w:rsid w:val="005F4529"/>
    <w:rsid w:val="005F46FD"/>
    <w:rsid w:val="005F4A1F"/>
    <w:rsid w:val="005F4C84"/>
    <w:rsid w:val="005F4FCF"/>
    <w:rsid w:val="005F508F"/>
    <w:rsid w:val="005F51A4"/>
    <w:rsid w:val="005F5223"/>
    <w:rsid w:val="005F5304"/>
    <w:rsid w:val="005F572E"/>
    <w:rsid w:val="005F5927"/>
    <w:rsid w:val="005F5A16"/>
    <w:rsid w:val="005F5B09"/>
    <w:rsid w:val="005F5E08"/>
    <w:rsid w:val="005F5F8B"/>
    <w:rsid w:val="005F6177"/>
    <w:rsid w:val="005F6626"/>
    <w:rsid w:val="005F66C4"/>
    <w:rsid w:val="005F6899"/>
    <w:rsid w:val="005F68BE"/>
    <w:rsid w:val="005F738B"/>
    <w:rsid w:val="005F74EA"/>
    <w:rsid w:val="005F7A6E"/>
    <w:rsid w:val="005F7C1E"/>
    <w:rsid w:val="005F7C4A"/>
    <w:rsid w:val="006001B0"/>
    <w:rsid w:val="006001D0"/>
    <w:rsid w:val="00600695"/>
    <w:rsid w:val="006007B9"/>
    <w:rsid w:val="00600853"/>
    <w:rsid w:val="00600874"/>
    <w:rsid w:val="00600A54"/>
    <w:rsid w:val="00600C92"/>
    <w:rsid w:val="00600D12"/>
    <w:rsid w:val="00600D1D"/>
    <w:rsid w:val="00600D2E"/>
    <w:rsid w:val="0060118A"/>
    <w:rsid w:val="0060123E"/>
    <w:rsid w:val="006013EF"/>
    <w:rsid w:val="00601448"/>
    <w:rsid w:val="0060144B"/>
    <w:rsid w:val="006016DC"/>
    <w:rsid w:val="00601855"/>
    <w:rsid w:val="00601AAD"/>
    <w:rsid w:val="00602083"/>
    <w:rsid w:val="00602097"/>
    <w:rsid w:val="00602631"/>
    <w:rsid w:val="006027CB"/>
    <w:rsid w:val="0060291C"/>
    <w:rsid w:val="00602CE6"/>
    <w:rsid w:val="0060308A"/>
    <w:rsid w:val="006032F7"/>
    <w:rsid w:val="00603602"/>
    <w:rsid w:val="00603CBD"/>
    <w:rsid w:val="00603F87"/>
    <w:rsid w:val="00604004"/>
    <w:rsid w:val="00604462"/>
    <w:rsid w:val="006044AD"/>
    <w:rsid w:val="00604DEF"/>
    <w:rsid w:val="006053FC"/>
    <w:rsid w:val="00605E63"/>
    <w:rsid w:val="00605F73"/>
    <w:rsid w:val="00606142"/>
    <w:rsid w:val="006065D5"/>
    <w:rsid w:val="006068BF"/>
    <w:rsid w:val="00606A69"/>
    <w:rsid w:val="00606C2F"/>
    <w:rsid w:val="00606C54"/>
    <w:rsid w:val="0060702B"/>
    <w:rsid w:val="00607501"/>
    <w:rsid w:val="00607628"/>
    <w:rsid w:val="006079D8"/>
    <w:rsid w:val="00607B5D"/>
    <w:rsid w:val="00607D3E"/>
    <w:rsid w:val="00607DCE"/>
    <w:rsid w:val="0061014F"/>
    <w:rsid w:val="00610298"/>
    <w:rsid w:val="006105A1"/>
    <w:rsid w:val="00610869"/>
    <w:rsid w:val="00610875"/>
    <w:rsid w:val="00610A83"/>
    <w:rsid w:val="00610C05"/>
    <w:rsid w:val="00610D54"/>
    <w:rsid w:val="00610E94"/>
    <w:rsid w:val="00610FC8"/>
    <w:rsid w:val="00610FD7"/>
    <w:rsid w:val="006110C8"/>
    <w:rsid w:val="00611214"/>
    <w:rsid w:val="006113B3"/>
    <w:rsid w:val="006118E1"/>
    <w:rsid w:val="00611AE6"/>
    <w:rsid w:val="00611EAC"/>
    <w:rsid w:val="0061257D"/>
    <w:rsid w:val="0061267C"/>
    <w:rsid w:val="006128B1"/>
    <w:rsid w:val="006129CF"/>
    <w:rsid w:val="0061308F"/>
    <w:rsid w:val="006136A5"/>
    <w:rsid w:val="00613944"/>
    <w:rsid w:val="00613B38"/>
    <w:rsid w:val="00613E4D"/>
    <w:rsid w:val="00613EB6"/>
    <w:rsid w:val="00613EF3"/>
    <w:rsid w:val="00613F0A"/>
    <w:rsid w:val="0061453C"/>
    <w:rsid w:val="00614692"/>
    <w:rsid w:val="0061484E"/>
    <w:rsid w:val="00614BC1"/>
    <w:rsid w:val="00614E06"/>
    <w:rsid w:val="00615650"/>
    <w:rsid w:val="00615897"/>
    <w:rsid w:val="00615DC8"/>
    <w:rsid w:val="00616235"/>
    <w:rsid w:val="006163A9"/>
    <w:rsid w:val="00616405"/>
    <w:rsid w:val="00616439"/>
    <w:rsid w:val="00616942"/>
    <w:rsid w:val="006169F1"/>
    <w:rsid w:val="0061705B"/>
    <w:rsid w:val="00617082"/>
    <w:rsid w:val="00617236"/>
    <w:rsid w:val="006176CF"/>
    <w:rsid w:val="006176F6"/>
    <w:rsid w:val="00617926"/>
    <w:rsid w:val="00617B10"/>
    <w:rsid w:val="00617D07"/>
    <w:rsid w:val="00617EEB"/>
    <w:rsid w:val="006200CE"/>
    <w:rsid w:val="00620387"/>
    <w:rsid w:val="0062044B"/>
    <w:rsid w:val="00620475"/>
    <w:rsid w:val="00620644"/>
    <w:rsid w:val="0062070D"/>
    <w:rsid w:val="00620B46"/>
    <w:rsid w:val="00620B65"/>
    <w:rsid w:val="00620BEF"/>
    <w:rsid w:val="00620C70"/>
    <w:rsid w:val="00620CE9"/>
    <w:rsid w:val="00621010"/>
    <w:rsid w:val="0062114B"/>
    <w:rsid w:val="00621335"/>
    <w:rsid w:val="006213C8"/>
    <w:rsid w:val="006215ED"/>
    <w:rsid w:val="00621983"/>
    <w:rsid w:val="00621A51"/>
    <w:rsid w:val="00621AF2"/>
    <w:rsid w:val="00621CA3"/>
    <w:rsid w:val="00621CE8"/>
    <w:rsid w:val="00621F2D"/>
    <w:rsid w:val="00622035"/>
    <w:rsid w:val="00622134"/>
    <w:rsid w:val="00622464"/>
    <w:rsid w:val="006226D8"/>
    <w:rsid w:val="00622FCF"/>
    <w:rsid w:val="00623096"/>
    <w:rsid w:val="00623716"/>
    <w:rsid w:val="00623CD7"/>
    <w:rsid w:val="00623F1B"/>
    <w:rsid w:val="00623FFD"/>
    <w:rsid w:val="006240B9"/>
    <w:rsid w:val="006244E0"/>
    <w:rsid w:val="00624527"/>
    <w:rsid w:val="00624577"/>
    <w:rsid w:val="00624807"/>
    <w:rsid w:val="006249DF"/>
    <w:rsid w:val="00624C2A"/>
    <w:rsid w:val="00624CC1"/>
    <w:rsid w:val="00624D91"/>
    <w:rsid w:val="00624E5D"/>
    <w:rsid w:val="00625260"/>
    <w:rsid w:val="0062553D"/>
    <w:rsid w:val="006255F9"/>
    <w:rsid w:val="006257E8"/>
    <w:rsid w:val="00625A0B"/>
    <w:rsid w:val="00626170"/>
    <w:rsid w:val="00626270"/>
    <w:rsid w:val="006263BB"/>
    <w:rsid w:val="006264D9"/>
    <w:rsid w:val="00626507"/>
    <w:rsid w:val="0062654E"/>
    <w:rsid w:val="00626786"/>
    <w:rsid w:val="00626840"/>
    <w:rsid w:val="006268AA"/>
    <w:rsid w:val="00626AC5"/>
    <w:rsid w:val="00627095"/>
    <w:rsid w:val="00627239"/>
    <w:rsid w:val="0062789A"/>
    <w:rsid w:val="00627A67"/>
    <w:rsid w:val="00627AD1"/>
    <w:rsid w:val="00630138"/>
    <w:rsid w:val="00630196"/>
    <w:rsid w:val="006302C9"/>
    <w:rsid w:val="006303E9"/>
    <w:rsid w:val="00630461"/>
    <w:rsid w:val="006307B7"/>
    <w:rsid w:val="00630804"/>
    <w:rsid w:val="00630C90"/>
    <w:rsid w:val="00630E7F"/>
    <w:rsid w:val="00630F4C"/>
    <w:rsid w:val="00630F87"/>
    <w:rsid w:val="00631315"/>
    <w:rsid w:val="00631425"/>
    <w:rsid w:val="006315B9"/>
    <w:rsid w:val="00631695"/>
    <w:rsid w:val="00631B82"/>
    <w:rsid w:val="00631F31"/>
    <w:rsid w:val="0063214F"/>
    <w:rsid w:val="00632672"/>
    <w:rsid w:val="00632ADB"/>
    <w:rsid w:val="00632C1A"/>
    <w:rsid w:val="0063313B"/>
    <w:rsid w:val="00633414"/>
    <w:rsid w:val="00633611"/>
    <w:rsid w:val="006336D1"/>
    <w:rsid w:val="00633724"/>
    <w:rsid w:val="006338ED"/>
    <w:rsid w:val="00633BE3"/>
    <w:rsid w:val="00633C16"/>
    <w:rsid w:val="00633F70"/>
    <w:rsid w:val="00634081"/>
    <w:rsid w:val="006340F0"/>
    <w:rsid w:val="00634143"/>
    <w:rsid w:val="0063495B"/>
    <w:rsid w:val="00634AEB"/>
    <w:rsid w:val="00634C08"/>
    <w:rsid w:val="00634CB2"/>
    <w:rsid w:val="00634D14"/>
    <w:rsid w:val="006350CB"/>
    <w:rsid w:val="006351B4"/>
    <w:rsid w:val="006355DF"/>
    <w:rsid w:val="006359A8"/>
    <w:rsid w:val="00635A50"/>
    <w:rsid w:val="00635B86"/>
    <w:rsid w:val="00635C42"/>
    <w:rsid w:val="00635F07"/>
    <w:rsid w:val="006364B7"/>
    <w:rsid w:val="00636820"/>
    <w:rsid w:val="006369F6"/>
    <w:rsid w:val="00636C3B"/>
    <w:rsid w:val="00636C83"/>
    <w:rsid w:val="00636FD3"/>
    <w:rsid w:val="00637480"/>
    <w:rsid w:val="0063755C"/>
    <w:rsid w:val="006376E4"/>
    <w:rsid w:val="00637919"/>
    <w:rsid w:val="00637A7E"/>
    <w:rsid w:val="00637F86"/>
    <w:rsid w:val="00640064"/>
    <w:rsid w:val="006402A6"/>
    <w:rsid w:val="0064052F"/>
    <w:rsid w:val="00640587"/>
    <w:rsid w:val="00640799"/>
    <w:rsid w:val="0064091F"/>
    <w:rsid w:val="00640A9A"/>
    <w:rsid w:val="00640D74"/>
    <w:rsid w:val="00640EF8"/>
    <w:rsid w:val="00640FA1"/>
    <w:rsid w:val="006419DA"/>
    <w:rsid w:val="00641A2A"/>
    <w:rsid w:val="00641B6D"/>
    <w:rsid w:val="00641E06"/>
    <w:rsid w:val="00641E15"/>
    <w:rsid w:val="00641E5C"/>
    <w:rsid w:val="00641FCD"/>
    <w:rsid w:val="00642555"/>
    <w:rsid w:val="006425DB"/>
    <w:rsid w:val="00642654"/>
    <w:rsid w:val="00642A2F"/>
    <w:rsid w:val="00642DE5"/>
    <w:rsid w:val="00642E92"/>
    <w:rsid w:val="006430BF"/>
    <w:rsid w:val="006433E8"/>
    <w:rsid w:val="00643437"/>
    <w:rsid w:val="00643706"/>
    <w:rsid w:val="00643752"/>
    <w:rsid w:val="00643C69"/>
    <w:rsid w:val="00643DDD"/>
    <w:rsid w:val="00643DF2"/>
    <w:rsid w:val="00643FB7"/>
    <w:rsid w:val="006442D0"/>
    <w:rsid w:val="006443DA"/>
    <w:rsid w:val="0064450E"/>
    <w:rsid w:val="00644726"/>
    <w:rsid w:val="006447CE"/>
    <w:rsid w:val="00644AD0"/>
    <w:rsid w:val="00645129"/>
    <w:rsid w:val="00645328"/>
    <w:rsid w:val="006455C1"/>
    <w:rsid w:val="00645A18"/>
    <w:rsid w:val="00645DBD"/>
    <w:rsid w:val="00646087"/>
    <w:rsid w:val="006462F2"/>
    <w:rsid w:val="00646542"/>
    <w:rsid w:val="006465D2"/>
    <w:rsid w:val="00646670"/>
    <w:rsid w:val="006468BF"/>
    <w:rsid w:val="00646A01"/>
    <w:rsid w:val="00646A83"/>
    <w:rsid w:val="00646B52"/>
    <w:rsid w:val="006470B8"/>
    <w:rsid w:val="00647378"/>
    <w:rsid w:val="0064744D"/>
    <w:rsid w:val="006474D5"/>
    <w:rsid w:val="0064781F"/>
    <w:rsid w:val="00647A57"/>
    <w:rsid w:val="00647B07"/>
    <w:rsid w:val="00647B27"/>
    <w:rsid w:val="00647D74"/>
    <w:rsid w:val="00647D7F"/>
    <w:rsid w:val="00647EAC"/>
    <w:rsid w:val="00647EEA"/>
    <w:rsid w:val="0065007B"/>
    <w:rsid w:val="0065011F"/>
    <w:rsid w:val="006502C9"/>
    <w:rsid w:val="00650473"/>
    <w:rsid w:val="006506AE"/>
    <w:rsid w:val="00650E0C"/>
    <w:rsid w:val="006510CB"/>
    <w:rsid w:val="0065129C"/>
    <w:rsid w:val="006514D5"/>
    <w:rsid w:val="00651653"/>
    <w:rsid w:val="0065182A"/>
    <w:rsid w:val="006518C5"/>
    <w:rsid w:val="006518D0"/>
    <w:rsid w:val="00651C3C"/>
    <w:rsid w:val="00651DE7"/>
    <w:rsid w:val="00651F0D"/>
    <w:rsid w:val="0065217E"/>
    <w:rsid w:val="00652182"/>
    <w:rsid w:val="006521D8"/>
    <w:rsid w:val="006523C0"/>
    <w:rsid w:val="0065272D"/>
    <w:rsid w:val="006529D8"/>
    <w:rsid w:val="00652A5D"/>
    <w:rsid w:val="00652BA0"/>
    <w:rsid w:val="00652D34"/>
    <w:rsid w:val="00652F49"/>
    <w:rsid w:val="00652FFC"/>
    <w:rsid w:val="00653465"/>
    <w:rsid w:val="006536DD"/>
    <w:rsid w:val="0065373F"/>
    <w:rsid w:val="006538F1"/>
    <w:rsid w:val="006539EB"/>
    <w:rsid w:val="00653B01"/>
    <w:rsid w:val="00653CE7"/>
    <w:rsid w:val="00653FEA"/>
    <w:rsid w:val="00654446"/>
    <w:rsid w:val="00654514"/>
    <w:rsid w:val="006546B7"/>
    <w:rsid w:val="00654888"/>
    <w:rsid w:val="00654A6F"/>
    <w:rsid w:val="00655650"/>
    <w:rsid w:val="006559D4"/>
    <w:rsid w:val="00656004"/>
    <w:rsid w:val="00656138"/>
    <w:rsid w:val="0065615A"/>
    <w:rsid w:val="006563D0"/>
    <w:rsid w:val="0065649A"/>
    <w:rsid w:val="006565BF"/>
    <w:rsid w:val="0065691F"/>
    <w:rsid w:val="00656971"/>
    <w:rsid w:val="00656A49"/>
    <w:rsid w:val="00656AD3"/>
    <w:rsid w:val="00656B56"/>
    <w:rsid w:val="00656BA7"/>
    <w:rsid w:val="00656CF6"/>
    <w:rsid w:val="00656DDE"/>
    <w:rsid w:val="0065712A"/>
    <w:rsid w:val="0065726A"/>
    <w:rsid w:val="0065734E"/>
    <w:rsid w:val="00657A41"/>
    <w:rsid w:val="00657A8E"/>
    <w:rsid w:val="00657AB1"/>
    <w:rsid w:val="00657B12"/>
    <w:rsid w:val="00657CE4"/>
    <w:rsid w:val="00657E5D"/>
    <w:rsid w:val="00660637"/>
    <w:rsid w:val="0066089B"/>
    <w:rsid w:val="00660A16"/>
    <w:rsid w:val="00660AA6"/>
    <w:rsid w:val="00660F48"/>
    <w:rsid w:val="00661478"/>
    <w:rsid w:val="00661502"/>
    <w:rsid w:val="00661639"/>
    <w:rsid w:val="0066163A"/>
    <w:rsid w:val="00661DE4"/>
    <w:rsid w:val="006623DF"/>
    <w:rsid w:val="0066244C"/>
    <w:rsid w:val="006626F8"/>
    <w:rsid w:val="00662779"/>
    <w:rsid w:val="00662820"/>
    <w:rsid w:val="006629B9"/>
    <w:rsid w:val="00662BBF"/>
    <w:rsid w:val="00662BF6"/>
    <w:rsid w:val="00663004"/>
    <w:rsid w:val="00663117"/>
    <w:rsid w:val="00663495"/>
    <w:rsid w:val="00663763"/>
    <w:rsid w:val="00663867"/>
    <w:rsid w:val="006638E2"/>
    <w:rsid w:val="00663EF2"/>
    <w:rsid w:val="00663FC0"/>
    <w:rsid w:val="006643AD"/>
    <w:rsid w:val="00664409"/>
    <w:rsid w:val="00664747"/>
    <w:rsid w:val="006649DE"/>
    <w:rsid w:val="00664B18"/>
    <w:rsid w:val="00664DA3"/>
    <w:rsid w:val="00665076"/>
    <w:rsid w:val="006655E1"/>
    <w:rsid w:val="00665634"/>
    <w:rsid w:val="0066596F"/>
    <w:rsid w:val="00665A6F"/>
    <w:rsid w:val="00666120"/>
    <w:rsid w:val="0066621A"/>
    <w:rsid w:val="0066621D"/>
    <w:rsid w:val="00666248"/>
    <w:rsid w:val="00666570"/>
    <w:rsid w:val="00666677"/>
    <w:rsid w:val="00666904"/>
    <w:rsid w:val="00666EFA"/>
    <w:rsid w:val="006670BF"/>
    <w:rsid w:val="006672AB"/>
    <w:rsid w:val="00667304"/>
    <w:rsid w:val="006673AD"/>
    <w:rsid w:val="006673EE"/>
    <w:rsid w:val="0066748A"/>
    <w:rsid w:val="006675B6"/>
    <w:rsid w:val="00667888"/>
    <w:rsid w:val="00667967"/>
    <w:rsid w:val="00667A04"/>
    <w:rsid w:val="00667D1C"/>
    <w:rsid w:val="00667D5C"/>
    <w:rsid w:val="006700F0"/>
    <w:rsid w:val="00670174"/>
    <w:rsid w:val="00670359"/>
    <w:rsid w:val="00670894"/>
    <w:rsid w:val="006709D2"/>
    <w:rsid w:val="00670A54"/>
    <w:rsid w:val="00670C44"/>
    <w:rsid w:val="00670DD4"/>
    <w:rsid w:val="00670F2C"/>
    <w:rsid w:val="00670FD3"/>
    <w:rsid w:val="0067108F"/>
    <w:rsid w:val="006710E2"/>
    <w:rsid w:val="00671347"/>
    <w:rsid w:val="006714F9"/>
    <w:rsid w:val="006717DB"/>
    <w:rsid w:val="00671B09"/>
    <w:rsid w:val="00671B83"/>
    <w:rsid w:val="00671B9B"/>
    <w:rsid w:val="00671DFB"/>
    <w:rsid w:val="00671F31"/>
    <w:rsid w:val="006720BE"/>
    <w:rsid w:val="006725AF"/>
    <w:rsid w:val="00672A17"/>
    <w:rsid w:val="00673173"/>
    <w:rsid w:val="006734A0"/>
    <w:rsid w:val="00673793"/>
    <w:rsid w:val="0067397E"/>
    <w:rsid w:val="00673AB1"/>
    <w:rsid w:val="00673B34"/>
    <w:rsid w:val="00673CBB"/>
    <w:rsid w:val="00673D9B"/>
    <w:rsid w:val="00673F39"/>
    <w:rsid w:val="006743B0"/>
    <w:rsid w:val="006743B5"/>
    <w:rsid w:val="006745D2"/>
    <w:rsid w:val="0067461B"/>
    <w:rsid w:val="0067476E"/>
    <w:rsid w:val="006748A8"/>
    <w:rsid w:val="00674B8A"/>
    <w:rsid w:val="00674D3B"/>
    <w:rsid w:val="00674D9E"/>
    <w:rsid w:val="00675037"/>
    <w:rsid w:val="00675374"/>
    <w:rsid w:val="00675520"/>
    <w:rsid w:val="0067568C"/>
    <w:rsid w:val="0067596F"/>
    <w:rsid w:val="00675A0D"/>
    <w:rsid w:val="00675BB9"/>
    <w:rsid w:val="00675C2B"/>
    <w:rsid w:val="00675D4A"/>
    <w:rsid w:val="00675E49"/>
    <w:rsid w:val="0067617F"/>
    <w:rsid w:val="006768DD"/>
    <w:rsid w:val="00676A3A"/>
    <w:rsid w:val="00676B1D"/>
    <w:rsid w:val="00676CAC"/>
    <w:rsid w:val="00676D3D"/>
    <w:rsid w:val="00677296"/>
    <w:rsid w:val="006772C1"/>
    <w:rsid w:val="006776B6"/>
    <w:rsid w:val="00677871"/>
    <w:rsid w:val="006779D9"/>
    <w:rsid w:val="00677A1F"/>
    <w:rsid w:val="00677AAD"/>
    <w:rsid w:val="00677B1B"/>
    <w:rsid w:val="00677F3B"/>
    <w:rsid w:val="00680143"/>
    <w:rsid w:val="0068017A"/>
    <w:rsid w:val="0068017D"/>
    <w:rsid w:val="0068026D"/>
    <w:rsid w:val="00680B41"/>
    <w:rsid w:val="00680F3A"/>
    <w:rsid w:val="00681396"/>
    <w:rsid w:val="0068183F"/>
    <w:rsid w:val="00681874"/>
    <w:rsid w:val="00681C1E"/>
    <w:rsid w:val="00681E7A"/>
    <w:rsid w:val="00682076"/>
    <w:rsid w:val="006820AB"/>
    <w:rsid w:val="00682123"/>
    <w:rsid w:val="0068217C"/>
    <w:rsid w:val="00682197"/>
    <w:rsid w:val="006822F3"/>
    <w:rsid w:val="006828EE"/>
    <w:rsid w:val="006829AC"/>
    <w:rsid w:val="00682BD4"/>
    <w:rsid w:val="006830F8"/>
    <w:rsid w:val="00683245"/>
    <w:rsid w:val="0068325C"/>
    <w:rsid w:val="006835D1"/>
    <w:rsid w:val="00683B9E"/>
    <w:rsid w:val="006841C3"/>
    <w:rsid w:val="0068423C"/>
    <w:rsid w:val="00684360"/>
    <w:rsid w:val="006846F8"/>
    <w:rsid w:val="0068481A"/>
    <w:rsid w:val="00684861"/>
    <w:rsid w:val="00684B7E"/>
    <w:rsid w:val="00684EAB"/>
    <w:rsid w:val="00685117"/>
    <w:rsid w:val="00685518"/>
    <w:rsid w:val="0068552A"/>
    <w:rsid w:val="0068564C"/>
    <w:rsid w:val="00685873"/>
    <w:rsid w:val="0068598D"/>
    <w:rsid w:val="00685B45"/>
    <w:rsid w:val="00685CEB"/>
    <w:rsid w:val="00685D9B"/>
    <w:rsid w:val="00685DE5"/>
    <w:rsid w:val="00686020"/>
    <w:rsid w:val="00686095"/>
    <w:rsid w:val="00686317"/>
    <w:rsid w:val="00686360"/>
    <w:rsid w:val="00686591"/>
    <w:rsid w:val="006867AF"/>
    <w:rsid w:val="00686834"/>
    <w:rsid w:val="006869BF"/>
    <w:rsid w:val="00686A99"/>
    <w:rsid w:val="00686AD0"/>
    <w:rsid w:val="00686B1A"/>
    <w:rsid w:val="0068712A"/>
    <w:rsid w:val="00687191"/>
    <w:rsid w:val="006872CE"/>
    <w:rsid w:val="00687393"/>
    <w:rsid w:val="006873C2"/>
    <w:rsid w:val="00687418"/>
    <w:rsid w:val="00687910"/>
    <w:rsid w:val="0068792D"/>
    <w:rsid w:val="00687D99"/>
    <w:rsid w:val="00687E66"/>
    <w:rsid w:val="00690065"/>
    <w:rsid w:val="0069047B"/>
    <w:rsid w:val="00690743"/>
    <w:rsid w:val="006908C9"/>
    <w:rsid w:val="006909CA"/>
    <w:rsid w:val="00690A5C"/>
    <w:rsid w:val="00690AA4"/>
    <w:rsid w:val="00690B9E"/>
    <w:rsid w:val="00690C4B"/>
    <w:rsid w:val="00690EA2"/>
    <w:rsid w:val="006914C6"/>
    <w:rsid w:val="00691593"/>
    <w:rsid w:val="006915CA"/>
    <w:rsid w:val="00691BB5"/>
    <w:rsid w:val="00692180"/>
    <w:rsid w:val="006921F8"/>
    <w:rsid w:val="0069227E"/>
    <w:rsid w:val="006922AD"/>
    <w:rsid w:val="00692712"/>
    <w:rsid w:val="00692881"/>
    <w:rsid w:val="00692A6D"/>
    <w:rsid w:val="00692AAE"/>
    <w:rsid w:val="00692C42"/>
    <w:rsid w:val="00692CD7"/>
    <w:rsid w:val="00692DEB"/>
    <w:rsid w:val="00692DED"/>
    <w:rsid w:val="006931AF"/>
    <w:rsid w:val="0069328B"/>
    <w:rsid w:val="006933E8"/>
    <w:rsid w:val="0069378B"/>
    <w:rsid w:val="00693C92"/>
    <w:rsid w:val="00693D1A"/>
    <w:rsid w:val="006941F2"/>
    <w:rsid w:val="0069477E"/>
    <w:rsid w:val="006947E8"/>
    <w:rsid w:val="006948D4"/>
    <w:rsid w:val="00694A11"/>
    <w:rsid w:val="00694C14"/>
    <w:rsid w:val="00694CAA"/>
    <w:rsid w:val="00694DAE"/>
    <w:rsid w:val="00694E22"/>
    <w:rsid w:val="00694FF5"/>
    <w:rsid w:val="00695177"/>
    <w:rsid w:val="006952C2"/>
    <w:rsid w:val="006954B0"/>
    <w:rsid w:val="0069554A"/>
    <w:rsid w:val="006957B5"/>
    <w:rsid w:val="006958FF"/>
    <w:rsid w:val="00695A5E"/>
    <w:rsid w:val="00695B20"/>
    <w:rsid w:val="00695CAC"/>
    <w:rsid w:val="006960A1"/>
    <w:rsid w:val="006965DF"/>
    <w:rsid w:val="006966A3"/>
    <w:rsid w:val="006966BD"/>
    <w:rsid w:val="00696E2C"/>
    <w:rsid w:val="00696E91"/>
    <w:rsid w:val="00696F63"/>
    <w:rsid w:val="006972EE"/>
    <w:rsid w:val="006974AD"/>
    <w:rsid w:val="0069763E"/>
    <w:rsid w:val="006976A5"/>
    <w:rsid w:val="00697884"/>
    <w:rsid w:val="006978D2"/>
    <w:rsid w:val="006979B3"/>
    <w:rsid w:val="006A00A3"/>
    <w:rsid w:val="006A01B5"/>
    <w:rsid w:val="006A03E0"/>
    <w:rsid w:val="006A04B8"/>
    <w:rsid w:val="006A0555"/>
    <w:rsid w:val="006A05C4"/>
    <w:rsid w:val="006A0674"/>
    <w:rsid w:val="006A08CD"/>
    <w:rsid w:val="006A08F7"/>
    <w:rsid w:val="006A0D3E"/>
    <w:rsid w:val="006A0D6E"/>
    <w:rsid w:val="006A0EC2"/>
    <w:rsid w:val="006A0ED3"/>
    <w:rsid w:val="006A0FE5"/>
    <w:rsid w:val="006A1082"/>
    <w:rsid w:val="006A11AD"/>
    <w:rsid w:val="006A1364"/>
    <w:rsid w:val="006A1BFE"/>
    <w:rsid w:val="006A22D5"/>
    <w:rsid w:val="006A25CA"/>
    <w:rsid w:val="006A26B7"/>
    <w:rsid w:val="006A2A8D"/>
    <w:rsid w:val="006A2B31"/>
    <w:rsid w:val="006A2BDD"/>
    <w:rsid w:val="006A2C6A"/>
    <w:rsid w:val="006A2C6E"/>
    <w:rsid w:val="006A2D39"/>
    <w:rsid w:val="006A2D57"/>
    <w:rsid w:val="006A2DD5"/>
    <w:rsid w:val="006A32E7"/>
    <w:rsid w:val="006A330C"/>
    <w:rsid w:val="006A33A3"/>
    <w:rsid w:val="006A3544"/>
    <w:rsid w:val="006A3577"/>
    <w:rsid w:val="006A35D1"/>
    <w:rsid w:val="006A373F"/>
    <w:rsid w:val="006A37E9"/>
    <w:rsid w:val="006A3871"/>
    <w:rsid w:val="006A3918"/>
    <w:rsid w:val="006A3B06"/>
    <w:rsid w:val="006A3EAD"/>
    <w:rsid w:val="006A3F3B"/>
    <w:rsid w:val="006A4181"/>
    <w:rsid w:val="006A4209"/>
    <w:rsid w:val="006A432B"/>
    <w:rsid w:val="006A4403"/>
    <w:rsid w:val="006A47CE"/>
    <w:rsid w:val="006A4918"/>
    <w:rsid w:val="006A49D2"/>
    <w:rsid w:val="006A49EE"/>
    <w:rsid w:val="006A4C58"/>
    <w:rsid w:val="006A4EBB"/>
    <w:rsid w:val="006A4F93"/>
    <w:rsid w:val="006A530E"/>
    <w:rsid w:val="006A53A2"/>
    <w:rsid w:val="006A5496"/>
    <w:rsid w:val="006A54B8"/>
    <w:rsid w:val="006A55FF"/>
    <w:rsid w:val="006A5A9C"/>
    <w:rsid w:val="006A5EAC"/>
    <w:rsid w:val="006A62C3"/>
    <w:rsid w:val="006A636C"/>
    <w:rsid w:val="006A643E"/>
    <w:rsid w:val="006A661F"/>
    <w:rsid w:val="006A67DD"/>
    <w:rsid w:val="006A6F93"/>
    <w:rsid w:val="006A6FBC"/>
    <w:rsid w:val="006A7030"/>
    <w:rsid w:val="006A72A9"/>
    <w:rsid w:val="006A7424"/>
    <w:rsid w:val="006A74E4"/>
    <w:rsid w:val="006A7672"/>
    <w:rsid w:val="006A76CA"/>
    <w:rsid w:val="006A7E58"/>
    <w:rsid w:val="006B0271"/>
    <w:rsid w:val="006B03CE"/>
    <w:rsid w:val="006B0449"/>
    <w:rsid w:val="006B0ADF"/>
    <w:rsid w:val="006B0B47"/>
    <w:rsid w:val="006B0C4C"/>
    <w:rsid w:val="006B0C6C"/>
    <w:rsid w:val="006B0F2C"/>
    <w:rsid w:val="006B1250"/>
    <w:rsid w:val="006B16FE"/>
    <w:rsid w:val="006B1841"/>
    <w:rsid w:val="006B1C4E"/>
    <w:rsid w:val="006B1CD2"/>
    <w:rsid w:val="006B1D55"/>
    <w:rsid w:val="006B1E2F"/>
    <w:rsid w:val="006B253D"/>
    <w:rsid w:val="006B256C"/>
    <w:rsid w:val="006B2DC8"/>
    <w:rsid w:val="006B3546"/>
    <w:rsid w:val="006B3638"/>
    <w:rsid w:val="006B376E"/>
    <w:rsid w:val="006B37FE"/>
    <w:rsid w:val="006B3905"/>
    <w:rsid w:val="006B391A"/>
    <w:rsid w:val="006B3A49"/>
    <w:rsid w:val="006B3A84"/>
    <w:rsid w:val="006B3BE8"/>
    <w:rsid w:val="006B3D09"/>
    <w:rsid w:val="006B3DEA"/>
    <w:rsid w:val="006B3ECC"/>
    <w:rsid w:val="006B3FF7"/>
    <w:rsid w:val="006B4252"/>
    <w:rsid w:val="006B4587"/>
    <w:rsid w:val="006B46DC"/>
    <w:rsid w:val="006B4753"/>
    <w:rsid w:val="006B4AB7"/>
    <w:rsid w:val="006B4B19"/>
    <w:rsid w:val="006B4B67"/>
    <w:rsid w:val="006B4BA5"/>
    <w:rsid w:val="006B4D9F"/>
    <w:rsid w:val="006B4E88"/>
    <w:rsid w:val="006B53B0"/>
    <w:rsid w:val="006B53F6"/>
    <w:rsid w:val="006B5577"/>
    <w:rsid w:val="006B559F"/>
    <w:rsid w:val="006B5646"/>
    <w:rsid w:val="006B5820"/>
    <w:rsid w:val="006B5861"/>
    <w:rsid w:val="006B5E77"/>
    <w:rsid w:val="006B604A"/>
    <w:rsid w:val="006B6113"/>
    <w:rsid w:val="006B63EC"/>
    <w:rsid w:val="006B6460"/>
    <w:rsid w:val="006B6777"/>
    <w:rsid w:val="006B726C"/>
    <w:rsid w:val="006B7272"/>
    <w:rsid w:val="006B7330"/>
    <w:rsid w:val="006B7502"/>
    <w:rsid w:val="006B752B"/>
    <w:rsid w:val="006B7B34"/>
    <w:rsid w:val="006B7E97"/>
    <w:rsid w:val="006B7F2E"/>
    <w:rsid w:val="006B7F99"/>
    <w:rsid w:val="006B7FB7"/>
    <w:rsid w:val="006C00B0"/>
    <w:rsid w:val="006C013B"/>
    <w:rsid w:val="006C0205"/>
    <w:rsid w:val="006C071F"/>
    <w:rsid w:val="006C08C4"/>
    <w:rsid w:val="006C0A1B"/>
    <w:rsid w:val="006C0EFD"/>
    <w:rsid w:val="006C0FD0"/>
    <w:rsid w:val="006C101B"/>
    <w:rsid w:val="006C1270"/>
    <w:rsid w:val="006C12D0"/>
    <w:rsid w:val="006C13FE"/>
    <w:rsid w:val="006C192A"/>
    <w:rsid w:val="006C1BAF"/>
    <w:rsid w:val="006C1C75"/>
    <w:rsid w:val="006C1E42"/>
    <w:rsid w:val="006C208A"/>
    <w:rsid w:val="006C20D2"/>
    <w:rsid w:val="006C2598"/>
    <w:rsid w:val="006C2A9F"/>
    <w:rsid w:val="006C2AD0"/>
    <w:rsid w:val="006C2B93"/>
    <w:rsid w:val="006C2C1A"/>
    <w:rsid w:val="006C2E24"/>
    <w:rsid w:val="006C2EE7"/>
    <w:rsid w:val="006C3341"/>
    <w:rsid w:val="006C359B"/>
    <w:rsid w:val="006C35FF"/>
    <w:rsid w:val="006C36BF"/>
    <w:rsid w:val="006C37A6"/>
    <w:rsid w:val="006C3855"/>
    <w:rsid w:val="006C3C41"/>
    <w:rsid w:val="006C3CD3"/>
    <w:rsid w:val="006C3E2E"/>
    <w:rsid w:val="006C3E8B"/>
    <w:rsid w:val="006C407D"/>
    <w:rsid w:val="006C4252"/>
    <w:rsid w:val="006C44FD"/>
    <w:rsid w:val="006C4850"/>
    <w:rsid w:val="006C48BA"/>
    <w:rsid w:val="006C4B06"/>
    <w:rsid w:val="006C4C48"/>
    <w:rsid w:val="006C4FCF"/>
    <w:rsid w:val="006C5BA6"/>
    <w:rsid w:val="006C5F66"/>
    <w:rsid w:val="006C5F90"/>
    <w:rsid w:val="006C6338"/>
    <w:rsid w:val="006C64B4"/>
    <w:rsid w:val="006C6BBA"/>
    <w:rsid w:val="006C6CD5"/>
    <w:rsid w:val="006C6E53"/>
    <w:rsid w:val="006C6E64"/>
    <w:rsid w:val="006C6EBA"/>
    <w:rsid w:val="006C6EF0"/>
    <w:rsid w:val="006C6FDE"/>
    <w:rsid w:val="006C70D4"/>
    <w:rsid w:val="006C71D4"/>
    <w:rsid w:val="006C73A7"/>
    <w:rsid w:val="006D0037"/>
    <w:rsid w:val="006D005B"/>
    <w:rsid w:val="006D019B"/>
    <w:rsid w:val="006D041C"/>
    <w:rsid w:val="006D04A0"/>
    <w:rsid w:val="006D04D6"/>
    <w:rsid w:val="006D0536"/>
    <w:rsid w:val="006D0569"/>
    <w:rsid w:val="006D05E4"/>
    <w:rsid w:val="006D085F"/>
    <w:rsid w:val="006D0DE8"/>
    <w:rsid w:val="006D0FE4"/>
    <w:rsid w:val="006D104D"/>
    <w:rsid w:val="006D11EE"/>
    <w:rsid w:val="006D1548"/>
    <w:rsid w:val="006D1598"/>
    <w:rsid w:val="006D1808"/>
    <w:rsid w:val="006D1890"/>
    <w:rsid w:val="006D1A52"/>
    <w:rsid w:val="006D1ACB"/>
    <w:rsid w:val="006D1BBB"/>
    <w:rsid w:val="006D2096"/>
    <w:rsid w:val="006D2122"/>
    <w:rsid w:val="006D222D"/>
    <w:rsid w:val="006D222F"/>
    <w:rsid w:val="006D2558"/>
    <w:rsid w:val="006D26FC"/>
    <w:rsid w:val="006D287D"/>
    <w:rsid w:val="006D296A"/>
    <w:rsid w:val="006D2DB9"/>
    <w:rsid w:val="006D2DEB"/>
    <w:rsid w:val="006D2E53"/>
    <w:rsid w:val="006D3409"/>
    <w:rsid w:val="006D3814"/>
    <w:rsid w:val="006D3896"/>
    <w:rsid w:val="006D3A75"/>
    <w:rsid w:val="006D3BA8"/>
    <w:rsid w:val="006D40C0"/>
    <w:rsid w:val="006D4E2F"/>
    <w:rsid w:val="006D4E41"/>
    <w:rsid w:val="006D52DC"/>
    <w:rsid w:val="006D558B"/>
    <w:rsid w:val="006D57C9"/>
    <w:rsid w:val="006D59C7"/>
    <w:rsid w:val="006D5DB2"/>
    <w:rsid w:val="006D5DD5"/>
    <w:rsid w:val="006D5EEE"/>
    <w:rsid w:val="006D5F66"/>
    <w:rsid w:val="006D6076"/>
    <w:rsid w:val="006D6286"/>
    <w:rsid w:val="006D6360"/>
    <w:rsid w:val="006D650E"/>
    <w:rsid w:val="006D692B"/>
    <w:rsid w:val="006D697E"/>
    <w:rsid w:val="006D6BB0"/>
    <w:rsid w:val="006D6DE5"/>
    <w:rsid w:val="006D6F33"/>
    <w:rsid w:val="006D6F74"/>
    <w:rsid w:val="006D7071"/>
    <w:rsid w:val="006D734A"/>
    <w:rsid w:val="006D773E"/>
    <w:rsid w:val="006D77AC"/>
    <w:rsid w:val="006D78C7"/>
    <w:rsid w:val="006D7A0E"/>
    <w:rsid w:val="006D7BED"/>
    <w:rsid w:val="006D7CE1"/>
    <w:rsid w:val="006D7E0E"/>
    <w:rsid w:val="006D7FBF"/>
    <w:rsid w:val="006E011E"/>
    <w:rsid w:val="006E0A38"/>
    <w:rsid w:val="006E0A48"/>
    <w:rsid w:val="006E0B59"/>
    <w:rsid w:val="006E0C91"/>
    <w:rsid w:val="006E10DB"/>
    <w:rsid w:val="006E1107"/>
    <w:rsid w:val="006E126C"/>
    <w:rsid w:val="006E20EA"/>
    <w:rsid w:val="006E2183"/>
    <w:rsid w:val="006E23AF"/>
    <w:rsid w:val="006E2602"/>
    <w:rsid w:val="006E27CD"/>
    <w:rsid w:val="006E2A7D"/>
    <w:rsid w:val="006E2AC9"/>
    <w:rsid w:val="006E2BE9"/>
    <w:rsid w:val="006E2F5C"/>
    <w:rsid w:val="006E31B8"/>
    <w:rsid w:val="006E3305"/>
    <w:rsid w:val="006E3736"/>
    <w:rsid w:val="006E38B7"/>
    <w:rsid w:val="006E3D81"/>
    <w:rsid w:val="006E3E83"/>
    <w:rsid w:val="006E403B"/>
    <w:rsid w:val="006E439A"/>
    <w:rsid w:val="006E448C"/>
    <w:rsid w:val="006E49DB"/>
    <w:rsid w:val="006E4B32"/>
    <w:rsid w:val="006E4C29"/>
    <w:rsid w:val="006E4C54"/>
    <w:rsid w:val="006E4F53"/>
    <w:rsid w:val="006E501D"/>
    <w:rsid w:val="006E51CE"/>
    <w:rsid w:val="006E5205"/>
    <w:rsid w:val="006E534A"/>
    <w:rsid w:val="006E560C"/>
    <w:rsid w:val="006E5753"/>
    <w:rsid w:val="006E5755"/>
    <w:rsid w:val="006E614B"/>
    <w:rsid w:val="006E62AD"/>
    <w:rsid w:val="006E63DE"/>
    <w:rsid w:val="006E6417"/>
    <w:rsid w:val="006E64DC"/>
    <w:rsid w:val="006E6550"/>
    <w:rsid w:val="006E6ABD"/>
    <w:rsid w:val="006E6D13"/>
    <w:rsid w:val="006E6E27"/>
    <w:rsid w:val="006E6ED0"/>
    <w:rsid w:val="006E724D"/>
    <w:rsid w:val="006E7260"/>
    <w:rsid w:val="006E769B"/>
    <w:rsid w:val="006E76AC"/>
    <w:rsid w:val="006E7880"/>
    <w:rsid w:val="006E7A1E"/>
    <w:rsid w:val="006E7C3A"/>
    <w:rsid w:val="006E7D26"/>
    <w:rsid w:val="006F009F"/>
    <w:rsid w:val="006F0245"/>
    <w:rsid w:val="006F0415"/>
    <w:rsid w:val="006F0B40"/>
    <w:rsid w:val="006F0B46"/>
    <w:rsid w:val="006F0BCB"/>
    <w:rsid w:val="006F0D5E"/>
    <w:rsid w:val="006F0D86"/>
    <w:rsid w:val="006F0DD3"/>
    <w:rsid w:val="006F1158"/>
    <w:rsid w:val="006F12E6"/>
    <w:rsid w:val="006F12EA"/>
    <w:rsid w:val="006F152D"/>
    <w:rsid w:val="006F15FB"/>
    <w:rsid w:val="006F19EE"/>
    <w:rsid w:val="006F1B53"/>
    <w:rsid w:val="006F1B88"/>
    <w:rsid w:val="006F1C33"/>
    <w:rsid w:val="006F2028"/>
    <w:rsid w:val="006F2092"/>
    <w:rsid w:val="006F2142"/>
    <w:rsid w:val="006F2243"/>
    <w:rsid w:val="006F2A26"/>
    <w:rsid w:val="006F2C24"/>
    <w:rsid w:val="006F2C7C"/>
    <w:rsid w:val="006F2E1E"/>
    <w:rsid w:val="006F317F"/>
    <w:rsid w:val="006F36EE"/>
    <w:rsid w:val="006F3812"/>
    <w:rsid w:val="006F3B05"/>
    <w:rsid w:val="006F3B3C"/>
    <w:rsid w:val="006F4120"/>
    <w:rsid w:val="006F41CA"/>
    <w:rsid w:val="006F46EE"/>
    <w:rsid w:val="006F4711"/>
    <w:rsid w:val="006F4790"/>
    <w:rsid w:val="006F47EC"/>
    <w:rsid w:val="006F48FD"/>
    <w:rsid w:val="006F49BD"/>
    <w:rsid w:val="006F4AA6"/>
    <w:rsid w:val="006F4B8B"/>
    <w:rsid w:val="006F4D39"/>
    <w:rsid w:val="006F4F16"/>
    <w:rsid w:val="006F4FA9"/>
    <w:rsid w:val="006F4FB4"/>
    <w:rsid w:val="006F5325"/>
    <w:rsid w:val="006F53CB"/>
    <w:rsid w:val="006F57B0"/>
    <w:rsid w:val="006F5912"/>
    <w:rsid w:val="006F5E72"/>
    <w:rsid w:val="006F5F5C"/>
    <w:rsid w:val="006F5F95"/>
    <w:rsid w:val="006F6125"/>
    <w:rsid w:val="006F63EB"/>
    <w:rsid w:val="006F6538"/>
    <w:rsid w:val="006F673C"/>
    <w:rsid w:val="006F67C5"/>
    <w:rsid w:val="006F6894"/>
    <w:rsid w:val="006F6B5F"/>
    <w:rsid w:val="006F6F8C"/>
    <w:rsid w:val="006F71E3"/>
    <w:rsid w:val="006F72A6"/>
    <w:rsid w:val="006F74C6"/>
    <w:rsid w:val="006F78B4"/>
    <w:rsid w:val="006F7B76"/>
    <w:rsid w:val="006F7BB2"/>
    <w:rsid w:val="006F7CB9"/>
    <w:rsid w:val="006F7E55"/>
    <w:rsid w:val="006F7E73"/>
    <w:rsid w:val="006F7FEF"/>
    <w:rsid w:val="007000EC"/>
    <w:rsid w:val="007004CA"/>
    <w:rsid w:val="00700D2E"/>
    <w:rsid w:val="00701163"/>
    <w:rsid w:val="00701268"/>
    <w:rsid w:val="0070135B"/>
    <w:rsid w:val="00701670"/>
    <w:rsid w:val="007018C0"/>
    <w:rsid w:val="0070194B"/>
    <w:rsid w:val="007019D3"/>
    <w:rsid w:val="007019FA"/>
    <w:rsid w:val="00701B3D"/>
    <w:rsid w:val="00701C6B"/>
    <w:rsid w:val="00701C93"/>
    <w:rsid w:val="0070208B"/>
    <w:rsid w:val="00702493"/>
    <w:rsid w:val="00702646"/>
    <w:rsid w:val="00702A23"/>
    <w:rsid w:val="00702B82"/>
    <w:rsid w:val="0070304E"/>
    <w:rsid w:val="007031B2"/>
    <w:rsid w:val="0070330F"/>
    <w:rsid w:val="00703413"/>
    <w:rsid w:val="0070356B"/>
    <w:rsid w:val="00703A6E"/>
    <w:rsid w:val="00703EF8"/>
    <w:rsid w:val="007040B6"/>
    <w:rsid w:val="0070419B"/>
    <w:rsid w:val="007041F6"/>
    <w:rsid w:val="00704326"/>
    <w:rsid w:val="00704575"/>
    <w:rsid w:val="00704652"/>
    <w:rsid w:val="00704684"/>
    <w:rsid w:val="00704BBF"/>
    <w:rsid w:val="00704D4F"/>
    <w:rsid w:val="00704E27"/>
    <w:rsid w:val="00704ECA"/>
    <w:rsid w:val="00705315"/>
    <w:rsid w:val="0070531F"/>
    <w:rsid w:val="0070535B"/>
    <w:rsid w:val="00705622"/>
    <w:rsid w:val="00705650"/>
    <w:rsid w:val="007057B5"/>
    <w:rsid w:val="00705866"/>
    <w:rsid w:val="00705BBA"/>
    <w:rsid w:val="00705DA7"/>
    <w:rsid w:val="00705E85"/>
    <w:rsid w:val="00706385"/>
    <w:rsid w:val="00706599"/>
    <w:rsid w:val="007066EC"/>
    <w:rsid w:val="00706967"/>
    <w:rsid w:val="00706AC0"/>
    <w:rsid w:val="00706B5B"/>
    <w:rsid w:val="00706B8B"/>
    <w:rsid w:val="00706C13"/>
    <w:rsid w:val="00706C72"/>
    <w:rsid w:val="00706CC3"/>
    <w:rsid w:val="00706FA5"/>
    <w:rsid w:val="00707052"/>
    <w:rsid w:val="007070AB"/>
    <w:rsid w:val="0070730A"/>
    <w:rsid w:val="00707B85"/>
    <w:rsid w:val="00707E02"/>
    <w:rsid w:val="0071002C"/>
    <w:rsid w:val="00710224"/>
    <w:rsid w:val="0071059F"/>
    <w:rsid w:val="0071066B"/>
    <w:rsid w:val="0071095E"/>
    <w:rsid w:val="007109E8"/>
    <w:rsid w:val="00710E4A"/>
    <w:rsid w:val="0071133C"/>
    <w:rsid w:val="00711365"/>
    <w:rsid w:val="00711416"/>
    <w:rsid w:val="00711427"/>
    <w:rsid w:val="00711451"/>
    <w:rsid w:val="0071164A"/>
    <w:rsid w:val="007117CE"/>
    <w:rsid w:val="007119B0"/>
    <w:rsid w:val="00711C63"/>
    <w:rsid w:val="00711C7C"/>
    <w:rsid w:val="00711D28"/>
    <w:rsid w:val="00711D50"/>
    <w:rsid w:val="00711EC5"/>
    <w:rsid w:val="007122EA"/>
    <w:rsid w:val="007124C0"/>
    <w:rsid w:val="00712A8E"/>
    <w:rsid w:val="00712AB9"/>
    <w:rsid w:val="00712B59"/>
    <w:rsid w:val="00712C34"/>
    <w:rsid w:val="00712E03"/>
    <w:rsid w:val="0071307A"/>
    <w:rsid w:val="00713272"/>
    <w:rsid w:val="007132DB"/>
    <w:rsid w:val="00713559"/>
    <w:rsid w:val="007136F2"/>
    <w:rsid w:val="0071372E"/>
    <w:rsid w:val="00713822"/>
    <w:rsid w:val="007139A7"/>
    <w:rsid w:val="00713A59"/>
    <w:rsid w:val="00713A74"/>
    <w:rsid w:val="00713AC3"/>
    <w:rsid w:val="00713B0B"/>
    <w:rsid w:val="00714351"/>
    <w:rsid w:val="00714495"/>
    <w:rsid w:val="00714516"/>
    <w:rsid w:val="007149E4"/>
    <w:rsid w:val="00714B5D"/>
    <w:rsid w:val="00714D97"/>
    <w:rsid w:val="00714DF9"/>
    <w:rsid w:val="00715120"/>
    <w:rsid w:val="007152AE"/>
    <w:rsid w:val="007157CD"/>
    <w:rsid w:val="007158B2"/>
    <w:rsid w:val="007159D1"/>
    <w:rsid w:val="007159E6"/>
    <w:rsid w:val="00715E7D"/>
    <w:rsid w:val="0071625D"/>
    <w:rsid w:val="0071637E"/>
    <w:rsid w:val="007166B5"/>
    <w:rsid w:val="00716A26"/>
    <w:rsid w:val="00716B96"/>
    <w:rsid w:val="00716C95"/>
    <w:rsid w:val="007171B1"/>
    <w:rsid w:val="007177DA"/>
    <w:rsid w:val="00717CF3"/>
    <w:rsid w:val="00717CFA"/>
    <w:rsid w:val="00717D7E"/>
    <w:rsid w:val="007200DC"/>
    <w:rsid w:val="00720158"/>
    <w:rsid w:val="00720199"/>
    <w:rsid w:val="007203ED"/>
    <w:rsid w:val="00720AC9"/>
    <w:rsid w:val="00720B3A"/>
    <w:rsid w:val="00720B6F"/>
    <w:rsid w:val="00720C60"/>
    <w:rsid w:val="00720CCB"/>
    <w:rsid w:val="00720E64"/>
    <w:rsid w:val="00720FAA"/>
    <w:rsid w:val="00720FF5"/>
    <w:rsid w:val="007210F2"/>
    <w:rsid w:val="007217E7"/>
    <w:rsid w:val="0072181A"/>
    <w:rsid w:val="00721A74"/>
    <w:rsid w:val="00721AAB"/>
    <w:rsid w:val="00721C0D"/>
    <w:rsid w:val="00721CBF"/>
    <w:rsid w:val="00721DF3"/>
    <w:rsid w:val="00721F27"/>
    <w:rsid w:val="00721F72"/>
    <w:rsid w:val="0072200D"/>
    <w:rsid w:val="00722302"/>
    <w:rsid w:val="007224E1"/>
    <w:rsid w:val="00722712"/>
    <w:rsid w:val="00722A36"/>
    <w:rsid w:val="00722BF5"/>
    <w:rsid w:val="00722CA5"/>
    <w:rsid w:val="00723767"/>
    <w:rsid w:val="00723912"/>
    <w:rsid w:val="00723C5B"/>
    <w:rsid w:val="00723D85"/>
    <w:rsid w:val="00724279"/>
    <w:rsid w:val="0072460B"/>
    <w:rsid w:val="0072481A"/>
    <w:rsid w:val="0072484D"/>
    <w:rsid w:val="00724CB8"/>
    <w:rsid w:val="00724D6E"/>
    <w:rsid w:val="00724D74"/>
    <w:rsid w:val="00724EA9"/>
    <w:rsid w:val="00725002"/>
    <w:rsid w:val="00725325"/>
    <w:rsid w:val="007257E6"/>
    <w:rsid w:val="00725ADA"/>
    <w:rsid w:val="00725B43"/>
    <w:rsid w:val="00725BD5"/>
    <w:rsid w:val="00725C69"/>
    <w:rsid w:val="00725D8F"/>
    <w:rsid w:val="00725DCE"/>
    <w:rsid w:val="00725F01"/>
    <w:rsid w:val="00725F0A"/>
    <w:rsid w:val="0072615B"/>
    <w:rsid w:val="00726458"/>
    <w:rsid w:val="00726863"/>
    <w:rsid w:val="007268CA"/>
    <w:rsid w:val="00726BCC"/>
    <w:rsid w:val="00726CB4"/>
    <w:rsid w:val="00726DD7"/>
    <w:rsid w:val="00726EBA"/>
    <w:rsid w:val="00726EF8"/>
    <w:rsid w:val="00727074"/>
    <w:rsid w:val="00727196"/>
    <w:rsid w:val="00727227"/>
    <w:rsid w:val="007273B8"/>
    <w:rsid w:val="00727A94"/>
    <w:rsid w:val="00727BAC"/>
    <w:rsid w:val="00727C31"/>
    <w:rsid w:val="00727CCB"/>
    <w:rsid w:val="00727D57"/>
    <w:rsid w:val="00727DFE"/>
    <w:rsid w:val="00727E39"/>
    <w:rsid w:val="007300AE"/>
    <w:rsid w:val="007304EA"/>
    <w:rsid w:val="00730507"/>
    <w:rsid w:val="007307D4"/>
    <w:rsid w:val="00730853"/>
    <w:rsid w:val="00730B87"/>
    <w:rsid w:val="00730BFF"/>
    <w:rsid w:val="00730E3E"/>
    <w:rsid w:val="00730EF8"/>
    <w:rsid w:val="00731347"/>
    <w:rsid w:val="007317E7"/>
    <w:rsid w:val="007318B0"/>
    <w:rsid w:val="00731950"/>
    <w:rsid w:val="007319C0"/>
    <w:rsid w:val="00731ABF"/>
    <w:rsid w:val="00731AD5"/>
    <w:rsid w:val="00731B3B"/>
    <w:rsid w:val="0073232E"/>
    <w:rsid w:val="00732DCF"/>
    <w:rsid w:val="00733107"/>
    <w:rsid w:val="00733178"/>
    <w:rsid w:val="00733533"/>
    <w:rsid w:val="007339A4"/>
    <w:rsid w:val="00733AD4"/>
    <w:rsid w:val="00733AF2"/>
    <w:rsid w:val="00733B13"/>
    <w:rsid w:val="00733B57"/>
    <w:rsid w:val="00733C5D"/>
    <w:rsid w:val="00734036"/>
    <w:rsid w:val="007346A4"/>
    <w:rsid w:val="00734883"/>
    <w:rsid w:val="0073500A"/>
    <w:rsid w:val="007358B1"/>
    <w:rsid w:val="0073599A"/>
    <w:rsid w:val="00735C14"/>
    <w:rsid w:val="00735CBC"/>
    <w:rsid w:val="00735D59"/>
    <w:rsid w:val="00735E43"/>
    <w:rsid w:val="00735EAF"/>
    <w:rsid w:val="00735EB5"/>
    <w:rsid w:val="00735F0E"/>
    <w:rsid w:val="00736525"/>
    <w:rsid w:val="00736601"/>
    <w:rsid w:val="00736807"/>
    <w:rsid w:val="007369B8"/>
    <w:rsid w:val="00736CA2"/>
    <w:rsid w:val="00736CC6"/>
    <w:rsid w:val="00736DC8"/>
    <w:rsid w:val="00737223"/>
    <w:rsid w:val="0073739B"/>
    <w:rsid w:val="007373E2"/>
    <w:rsid w:val="007375E2"/>
    <w:rsid w:val="0073790B"/>
    <w:rsid w:val="00737A43"/>
    <w:rsid w:val="00737E2A"/>
    <w:rsid w:val="00737FEA"/>
    <w:rsid w:val="00740014"/>
    <w:rsid w:val="007400E5"/>
    <w:rsid w:val="00740263"/>
    <w:rsid w:val="0074030C"/>
    <w:rsid w:val="00740487"/>
    <w:rsid w:val="00740741"/>
    <w:rsid w:val="00740BF2"/>
    <w:rsid w:val="00740ECF"/>
    <w:rsid w:val="00740ED8"/>
    <w:rsid w:val="00741036"/>
    <w:rsid w:val="00741108"/>
    <w:rsid w:val="00741338"/>
    <w:rsid w:val="00741539"/>
    <w:rsid w:val="0074153C"/>
    <w:rsid w:val="00741C33"/>
    <w:rsid w:val="00741DE5"/>
    <w:rsid w:val="00742085"/>
    <w:rsid w:val="007421B4"/>
    <w:rsid w:val="00742211"/>
    <w:rsid w:val="007423B0"/>
    <w:rsid w:val="00742877"/>
    <w:rsid w:val="00742A15"/>
    <w:rsid w:val="00742EA5"/>
    <w:rsid w:val="00742EB7"/>
    <w:rsid w:val="00742F0E"/>
    <w:rsid w:val="00742FF8"/>
    <w:rsid w:val="00743106"/>
    <w:rsid w:val="0074318B"/>
    <w:rsid w:val="007431CB"/>
    <w:rsid w:val="007431DA"/>
    <w:rsid w:val="00743CD8"/>
    <w:rsid w:val="0074409F"/>
    <w:rsid w:val="007440AC"/>
    <w:rsid w:val="0074415E"/>
    <w:rsid w:val="007448F0"/>
    <w:rsid w:val="00744949"/>
    <w:rsid w:val="00744A71"/>
    <w:rsid w:val="00744B64"/>
    <w:rsid w:val="00744E1C"/>
    <w:rsid w:val="00744F09"/>
    <w:rsid w:val="00744F15"/>
    <w:rsid w:val="00744FFC"/>
    <w:rsid w:val="00745768"/>
    <w:rsid w:val="00745CD5"/>
    <w:rsid w:val="00745EBC"/>
    <w:rsid w:val="0074605F"/>
    <w:rsid w:val="0074634C"/>
    <w:rsid w:val="007464B2"/>
    <w:rsid w:val="007465AE"/>
    <w:rsid w:val="007465DA"/>
    <w:rsid w:val="007469E4"/>
    <w:rsid w:val="00746A51"/>
    <w:rsid w:val="00746BE4"/>
    <w:rsid w:val="00746C13"/>
    <w:rsid w:val="00747036"/>
    <w:rsid w:val="007470A7"/>
    <w:rsid w:val="0074729B"/>
    <w:rsid w:val="0074745C"/>
    <w:rsid w:val="00747604"/>
    <w:rsid w:val="00747636"/>
    <w:rsid w:val="007478CF"/>
    <w:rsid w:val="007478D3"/>
    <w:rsid w:val="007478EE"/>
    <w:rsid w:val="00747A4C"/>
    <w:rsid w:val="00747DFE"/>
    <w:rsid w:val="0075006D"/>
    <w:rsid w:val="0075022D"/>
    <w:rsid w:val="007503E4"/>
    <w:rsid w:val="007506F1"/>
    <w:rsid w:val="007507BE"/>
    <w:rsid w:val="00750F6F"/>
    <w:rsid w:val="007513A9"/>
    <w:rsid w:val="00751486"/>
    <w:rsid w:val="007516CA"/>
    <w:rsid w:val="00751A61"/>
    <w:rsid w:val="00751B26"/>
    <w:rsid w:val="00751D3B"/>
    <w:rsid w:val="00751D91"/>
    <w:rsid w:val="0075238F"/>
    <w:rsid w:val="007523BA"/>
    <w:rsid w:val="0075269D"/>
    <w:rsid w:val="0075280E"/>
    <w:rsid w:val="00752857"/>
    <w:rsid w:val="00752A2C"/>
    <w:rsid w:val="00753408"/>
    <w:rsid w:val="007534EF"/>
    <w:rsid w:val="0075391F"/>
    <w:rsid w:val="00753990"/>
    <w:rsid w:val="00753B3C"/>
    <w:rsid w:val="00753BDC"/>
    <w:rsid w:val="00753CF8"/>
    <w:rsid w:val="00753D9C"/>
    <w:rsid w:val="00753EA2"/>
    <w:rsid w:val="00753ECB"/>
    <w:rsid w:val="00754117"/>
    <w:rsid w:val="007544D1"/>
    <w:rsid w:val="00754644"/>
    <w:rsid w:val="0075470C"/>
    <w:rsid w:val="00754802"/>
    <w:rsid w:val="0075514E"/>
    <w:rsid w:val="007551C0"/>
    <w:rsid w:val="007555CF"/>
    <w:rsid w:val="00755787"/>
    <w:rsid w:val="007557B3"/>
    <w:rsid w:val="007558AE"/>
    <w:rsid w:val="00755D29"/>
    <w:rsid w:val="00755FD8"/>
    <w:rsid w:val="00755FDD"/>
    <w:rsid w:val="007560E1"/>
    <w:rsid w:val="007564E9"/>
    <w:rsid w:val="00756506"/>
    <w:rsid w:val="0075660F"/>
    <w:rsid w:val="00756A25"/>
    <w:rsid w:val="00756BA4"/>
    <w:rsid w:val="00756EF5"/>
    <w:rsid w:val="0075705F"/>
    <w:rsid w:val="007572AC"/>
    <w:rsid w:val="00757C1B"/>
    <w:rsid w:val="00757C82"/>
    <w:rsid w:val="007602A3"/>
    <w:rsid w:val="00760322"/>
    <w:rsid w:val="0076034F"/>
    <w:rsid w:val="007603FD"/>
    <w:rsid w:val="00760439"/>
    <w:rsid w:val="0076045F"/>
    <w:rsid w:val="00760666"/>
    <w:rsid w:val="0076092D"/>
    <w:rsid w:val="00760B6D"/>
    <w:rsid w:val="00760CED"/>
    <w:rsid w:val="00760F21"/>
    <w:rsid w:val="00760F60"/>
    <w:rsid w:val="00761119"/>
    <w:rsid w:val="007613D6"/>
    <w:rsid w:val="007616A6"/>
    <w:rsid w:val="0076176A"/>
    <w:rsid w:val="007617AA"/>
    <w:rsid w:val="00761999"/>
    <w:rsid w:val="00761A51"/>
    <w:rsid w:val="00761AD6"/>
    <w:rsid w:val="00761B39"/>
    <w:rsid w:val="00761B3F"/>
    <w:rsid w:val="00761D29"/>
    <w:rsid w:val="00761F52"/>
    <w:rsid w:val="007627C2"/>
    <w:rsid w:val="007627D7"/>
    <w:rsid w:val="0076293D"/>
    <w:rsid w:val="00762A03"/>
    <w:rsid w:val="00762A40"/>
    <w:rsid w:val="00762A7E"/>
    <w:rsid w:val="00762BBB"/>
    <w:rsid w:val="00762C9A"/>
    <w:rsid w:val="00762CEE"/>
    <w:rsid w:val="00762D3C"/>
    <w:rsid w:val="00762DF7"/>
    <w:rsid w:val="00762E6E"/>
    <w:rsid w:val="00762FA5"/>
    <w:rsid w:val="007631F5"/>
    <w:rsid w:val="0076353F"/>
    <w:rsid w:val="00763894"/>
    <w:rsid w:val="00763993"/>
    <w:rsid w:val="00763B1E"/>
    <w:rsid w:val="007644DE"/>
    <w:rsid w:val="007647E6"/>
    <w:rsid w:val="0076491E"/>
    <w:rsid w:val="00764CEB"/>
    <w:rsid w:val="00764D49"/>
    <w:rsid w:val="00764F4A"/>
    <w:rsid w:val="0076529B"/>
    <w:rsid w:val="0076548E"/>
    <w:rsid w:val="007654F8"/>
    <w:rsid w:val="0076557A"/>
    <w:rsid w:val="00765772"/>
    <w:rsid w:val="0076583B"/>
    <w:rsid w:val="00765B54"/>
    <w:rsid w:val="00765CB7"/>
    <w:rsid w:val="00765DE1"/>
    <w:rsid w:val="00765E27"/>
    <w:rsid w:val="0076620A"/>
    <w:rsid w:val="007662F0"/>
    <w:rsid w:val="0076666D"/>
    <w:rsid w:val="007668A6"/>
    <w:rsid w:val="00766951"/>
    <w:rsid w:val="00766ACB"/>
    <w:rsid w:val="00766C59"/>
    <w:rsid w:val="00766D31"/>
    <w:rsid w:val="00767069"/>
    <w:rsid w:val="007672D5"/>
    <w:rsid w:val="0076773D"/>
    <w:rsid w:val="00767BD4"/>
    <w:rsid w:val="00767CBD"/>
    <w:rsid w:val="00767E11"/>
    <w:rsid w:val="00767EBC"/>
    <w:rsid w:val="00770267"/>
    <w:rsid w:val="007705E9"/>
    <w:rsid w:val="00770680"/>
    <w:rsid w:val="00770939"/>
    <w:rsid w:val="007709AA"/>
    <w:rsid w:val="00770E6C"/>
    <w:rsid w:val="007713AA"/>
    <w:rsid w:val="00771480"/>
    <w:rsid w:val="00771716"/>
    <w:rsid w:val="00771834"/>
    <w:rsid w:val="00771EE1"/>
    <w:rsid w:val="00772170"/>
    <w:rsid w:val="007724A2"/>
    <w:rsid w:val="00772560"/>
    <w:rsid w:val="00772749"/>
    <w:rsid w:val="007728E3"/>
    <w:rsid w:val="007729C3"/>
    <w:rsid w:val="00772E2B"/>
    <w:rsid w:val="00773330"/>
    <w:rsid w:val="00773334"/>
    <w:rsid w:val="0077335A"/>
    <w:rsid w:val="00773567"/>
    <w:rsid w:val="0077397B"/>
    <w:rsid w:val="00773B3A"/>
    <w:rsid w:val="00773B86"/>
    <w:rsid w:val="00773C5D"/>
    <w:rsid w:val="00773CC5"/>
    <w:rsid w:val="007745C7"/>
    <w:rsid w:val="00774A2B"/>
    <w:rsid w:val="00774D04"/>
    <w:rsid w:val="007754D6"/>
    <w:rsid w:val="00775527"/>
    <w:rsid w:val="00775656"/>
    <w:rsid w:val="007759BD"/>
    <w:rsid w:val="00775ACB"/>
    <w:rsid w:val="00775E0C"/>
    <w:rsid w:val="007765E6"/>
    <w:rsid w:val="00776662"/>
    <w:rsid w:val="00776780"/>
    <w:rsid w:val="007767B3"/>
    <w:rsid w:val="00776938"/>
    <w:rsid w:val="00776AE0"/>
    <w:rsid w:val="007774B4"/>
    <w:rsid w:val="007774B9"/>
    <w:rsid w:val="0077779E"/>
    <w:rsid w:val="007777BD"/>
    <w:rsid w:val="007777E9"/>
    <w:rsid w:val="00777826"/>
    <w:rsid w:val="00777A6C"/>
    <w:rsid w:val="00777B52"/>
    <w:rsid w:val="00777BCD"/>
    <w:rsid w:val="00777C2E"/>
    <w:rsid w:val="007800E7"/>
    <w:rsid w:val="007800FD"/>
    <w:rsid w:val="007802CF"/>
    <w:rsid w:val="00780628"/>
    <w:rsid w:val="0078075B"/>
    <w:rsid w:val="007808EC"/>
    <w:rsid w:val="0078097B"/>
    <w:rsid w:val="00780B91"/>
    <w:rsid w:val="00780F29"/>
    <w:rsid w:val="00781119"/>
    <w:rsid w:val="0078116E"/>
    <w:rsid w:val="0078161B"/>
    <w:rsid w:val="00781635"/>
    <w:rsid w:val="0078174E"/>
    <w:rsid w:val="007818A6"/>
    <w:rsid w:val="00781B38"/>
    <w:rsid w:val="00781BA5"/>
    <w:rsid w:val="00782259"/>
    <w:rsid w:val="007822E1"/>
    <w:rsid w:val="0078246F"/>
    <w:rsid w:val="007826C8"/>
    <w:rsid w:val="00782E1C"/>
    <w:rsid w:val="00782EC4"/>
    <w:rsid w:val="0078309A"/>
    <w:rsid w:val="0078320F"/>
    <w:rsid w:val="00783279"/>
    <w:rsid w:val="00783334"/>
    <w:rsid w:val="00783392"/>
    <w:rsid w:val="007833BA"/>
    <w:rsid w:val="00783549"/>
    <w:rsid w:val="0078356E"/>
    <w:rsid w:val="0078358E"/>
    <w:rsid w:val="007835E8"/>
    <w:rsid w:val="00783926"/>
    <w:rsid w:val="00783B2F"/>
    <w:rsid w:val="00783D76"/>
    <w:rsid w:val="00783E69"/>
    <w:rsid w:val="00783ECA"/>
    <w:rsid w:val="00783F13"/>
    <w:rsid w:val="0078411D"/>
    <w:rsid w:val="00784518"/>
    <w:rsid w:val="007846C8"/>
    <w:rsid w:val="00784751"/>
    <w:rsid w:val="00784A26"/>
    <w:rsid w:val="00784B07"/>
    <w:rsid w:val="00784CBF"/>
    <w:rsid w:val="00784ED1"/>
    <w:rsid w:val="0078502C"/>
    <w:rsid w:val="0078548A"/>
    <w:rsid w:val="007854CC"/>
    <w:rsid w:val="00785B71"/>
    <w:rsid w:val="00785E6A"/>
    <w:rsid w:val="0078626C"/>
    <w:rsid w:val="007865D8"/>
    <w:rsid w:val="007869D5"/>
    <w:rsid w:val="007875B4"/>
    <w:rsid w:val="00787980"/>
    <w:rsid w:val="00787BA5"/>
    <w:rsid w:val="00787C68"/>
    <w:rsid w:val="00790448"/>
    <w:rsid w:val="007905E0"/>
    <w:rsid w:val="007908A6"/>
    <w:rsid w:val="0079095E"/>
    <w:rsid w:val="00790D1D"/>
    <w:rsid w:val="00790EC2"/>
    <w:rsid w:val="0079109F"/>
    <w:rsid w:val="0079122E"/>
    <w:rsid w:val="00791651"/>
    <w:rsid w:val="00791926"/>
    <w:rsid w:val="00791A38"/>
    <w:rsid w:val="00791FF4"/>
    <w:rsid w:val="00792097"/>
    <w:rsid w:val="0079226F"/>
    <w:rsid w:val="00792285"/>
    <w:rsid w:val="007922BB"/>
    <w:rsid w:val="007924C5"/>
    <w:rsid w:val="00792B2F"/>
    <w:rsid w:val="00792BE6"/>
    <w:rsid w:val="00792FF8"/>
    <w:rsid w:val="00793228"/>
    <w:rsid w:val="0079333A"/>
    <w:rsid w:val="00793ECE"/>
    <w:rsid w:val="00793FF7"/>
    <w:rsid w:val="007940C1"/>
    <w:rsid w:val="0079469D"/>
    <w:rsid w:val="00794F21"/>
    <w:rsid w:val="00795203"/>
    <w:rsid w:val="00795953"/>
    <w:rsid w:val="00795990"/>
    <w:rsid w:val="00795F20"/>
    <w:rsid w:val="00796371"/>
    <w:rsid w:val="0079644D"/>
    <w:rsid w:val="00796651"/>
    <w:rsid w:val="0079688F"/>
    <w:rsid w:val="00796A44"/>
    <w:rsid w:val="00796BE9"/>
    <w:rsid w:val="00796C17"/>
    <w:rsid w:val="00797062"/>
    <w:rsid w:val="007970EB"/>
    <w:rsid w:val="00797248"/>
    <w:rsid w:val="0079735A"/>
    <w:rsid w:val="007973C8"/>
    <w:rsid w:val="00797605"/>
    <w:rsid w:val="00797701"/>
    <w:rsid w:val="00797772"/>
    <w:rsid w:val="00797B27"/>
    <w:rsid w:val="00797D9E"/>
    <w:rsid w:val="007A061B"/>
    <w:rsid w:val="007A08E0"/>
    <w:rsid w:val="007A09DA"/>
    <w:rsid w:val="007A0B65"/>
    <w:rsid w:val="007A0DC7"/>
    <w:rsid w:val="007A0FEE"/>
    <w:rsid w:val="007A12C5"/>
    <w:rsid w:val="007A1537"/>
    <w:rsid w:val="007A154C"/>
    <w:rsid w:val="007A18C5"/>
    <w:rsid w:val="007A18D4"/>
    <w:rsid w:val="007A1C08"/>
    <w:rsid w:val="007A1FEB"/>
    <w:rsid w:val="007A208C"/>
    <w:rsid w:val="007A258D"/>
    <w:rsid w:val="007A26DB"/>
    <w:rsid w:val="007A2791"/>
    <w:rsid w:val="007A2948"/>
    <w:rsid w:val="007A2C99"/>
    <w:rsid w:val="007A2F6C"/>
    <w:rsid w:val="007A30D1"/>
    <w:rsid w:val="007A31C0"/>
    <w:rsid w:val="007A368D"/>
    <w:rsid w:val="007A3A5A"/>
    <w:rsid w:val="007A40DF"/>
    <w:rsid w:val="007A410D"/>
    <w:rsid w:val="007A4161"/>
    <w:rsid w:val="007A4633"/>
    <w:rsid w:val="007A4645"/>
    <w:rsid w:val="007A47DE"/>
    <w:rsid w:val="007A487F"/>
    <w:rsid w:val="007A48F0"/>
    <w:rsid w:val="007A521D"/>
    <w:rsid w:val="007A55FB"/>
    <w:rsid w:val="007A5631"/>
    <w:rsid w:val="007A5726"/>
    <w:rsid w:val="007A585D"/>
    <w:rsid w:val="007A5968"/>
    <w:rsid w:val="007A5A01"/>
    <w:rsid w:val="007A5AD7"/>
    <w:rsid w:val="007A5CD6"/>
    <w:rsid w:val="007A5DAB"/>
    <w:rsid w:val="007A5E91"/>
    <w:rsid w:val="007A5FD3"/>
    <w:rsid w:val="007A610D"/>
    <w:rsid w:val="007A62A0"/>
    <w:rsid w:val="007A6578"/>
    <w:rsid w:val="007A6679"/>
    <w:rsid w:val="007A6691"/>
    <w:rsid w:val="007A6867"/>
    <w:rsid w:val="007A6D2F"/>
    <w:rsid w:val="007A6E2B"/>
    <w:rsid w:val="007A6E98"/>
    <w:rsid w:val="007A73B9"/>
    <w:rsid w:val="007A74CB"/>
    <w:rsid w:val="007A7610"/>
    <w:rsid w:val="007A773A"/>
    <w:rsid w:val="007A7C79"/>
    <w:rsid w:val="007A7D03"/>
    <w:rsid w:val="007A7F9B"/>
    <w:rsid w:val="007B0185"/>
    <w:rsid w:val="007B02F1"/>
    <w:rsid w:val="007B0557"/>
    <w:rsid w:val="007B06AF"/>
    <w:rsid w:val="007B0789"/>
    <w:rsid w:val="007B081F"/>
    <w:rsid w:val="007B0CFE"/>
    <w:rsid w:val="007B0E9F"/>
    <w:rsid w:val="007B104D"/>
    <w:rsid w:val="007B1550"/>
    <w:rsid w:val="007B193F"/>
    <w:rsid w:val="007B197E"/>
    <w:rsid w:val="007B207B"/>
    <w:rsid w:val="007B215B"/>
    <w:rsid w:val="007B229C"/>
    <w:rsid w:val="007B2351"/>
    <w:rsid w:val="007B25BA"/>
    <w:rsid w:val="007B2666"/>
    <w:rsid w:val="007B2824"/>
    <w:rsid w:val="007B2A12"/>
    <w:rsid w:val="007B2DD4"/>
    <w:rsid w:val="007B30C5"/>
    <w:rsid w:val="007B316C"/>
    <w:rsid w:val="007B330C"/>
    <w:rsid w:val="007B3574"/>
    <w:rsid w:val="007B35D2"/>
    <w:rsid w:val="007B394D"/>
    <w:rsid w:val="007B39F8"/>
    <w:rsid w:val="007B3A70"/>
    <w:rsid w:val="007B4126"/>
    <w:rsid w:val="007B41FB"/>
    <w:rsid w:val="007B43AB"/>
    <w:rsid w:val="007B4715"/>
    <w:rsid w:val="007B477A"/>
    <w:rsid w:val="007B48B6"/>
    <w:rsid w:val="007B4947"/>
    <w:rsid w:val="007B4993"/>
    <w:rsid w:val="007B49B7"/>
    <w:rsid w:val="007B4A05"/>
    <w:rsid w:val="007B4B15"/>
    <w:rsid w:val="007B4C13"/>
    <w:rsid w:val="007B5055"/>
    <w:rsid w:val="007B5173"/>
    <w:rsid w:val="007B5271"/>
    <w:rsid w:val="007B583D"/>
    <w:rsid w:val="007B5AB1"/>
    <w:rsid w:val="007B5B18"/>
    <w:rsid w:val="007B5DC5"/>
    <w:rsid w:val="007B5F0D"/>
    <w:rsid w:val="007B601C"/>
    <w:rsid w:val="007B64AC"/>
    <w:rsid w:val="007B6993"/>
    <w:rsid w:val="007B6DFF"/>
    <w:rsid w:val="007B7061"/>
    <w:rsid w:val="007B7753"/>
    <w:rsid w:val="007C0130"/>
    <w:rsid w:val="007C013E"/>
    <w:rsid w:val="007C04E7"/>
    <w:rsid w:val="007C0526"/>
    <w:rsid w:val="007C07C4"/>
    <w:rsid w:val="007C0DBF"/>
    <w:rsid w:val="007C0EE2"/>
    <w:rsid w:val="007C0FEE"/>
    <w:rsid w:val="007C1037"/>
    <w:rsid w:val="007C1382"/>
    <w:rsid w:val="007C15E8"/>
    <w:rsid w:val="007C1843"/>
    <w:rsid w:val="007C1948"/>
    <w:rsid w:val="007C1B5D"/>
    <w:rsid w:val="007C1DA1"/>
    <w:rsid w:val="007C1EEB"/>
    <w:rsid w:val="007C1EFA"/>
    <w:rsid w:val="007C1FE6"/>
    <w:rsid w:val="007C235B"/>
    <w:rsid w:val="007C2406"/>
    <w:rsid w:val="007C26B0"/>
    <w:rsid w:val="007C2860"/>
    <w:rsid w:val="007C2A03"/>
    <w:rsid w:val="007C2DAD"/>
    <w:rsid w:val="007C2E38"/>
    <w:rsid w:val="007C2FE3"/>
    <w:rsid w:val="007C3112"/>
    <w:rsid w:val="007C312D"/>
    <w:rsid w:val="007C33AC"/>
    <w:rsid w:val="007C3A88"/>
    <w:rsid w:val="007C3B4B"/>
    <w:rsid w:val="007C3B8B"/>
    <w:rsid w:val="007C3BD2"/>
    <w:rsid w:val="007C3C0A"/>
    <w:rsid w:val="007C3C3C"/>
    <w:rsid w:val="007C3F8F"/>
    <w:rsid w:val="007C4616"/>
    <w:rsid w:val="007C4632"/>
    <w:rsid w:val="007C4830"/>
    <w:rsid w:val="007C4C74"/>
    <w:rsid w:val="007C4FAC"/>
    <w:rsid w:val="007C5170"/>
    <w:rsid w:val="007C5CEE"/>
    <w:rsid w:val="007C5D76"/>
    <w:rsid w:val="007C5F5F"/>
    <w:rsid w:val="007C5FAB"/>
    <w:rsid w:val="007C61E3"/>
    <w:rsid w:val="007C6270"/>
    <w:rsid w:val="007C62FD"/>
    <w:rsid w:val="007C632B"/>
    <w:rsid w:val="007C6358"/>
    <w:rsid w:val="007C638E"/>
    <w:rsid w:val="007C644F"/>
    <w:rsid w:val="007C66AD"/>
    <w:rsid w:val="007C685C"/>
    <w:rsid w:val="007C6D39"/>
    <w:rsid w:val="007C6F0B"/>
    <w:rsid w:val="007C700C"/>
    <w:rsid w:val="007C7443"/>
    <w:rsid w:val="007C7616"/>
    <w:rsid w:val="007C7873"/>
    <w:rsid w:val="007C7926"/>
    <w:rsid w:val="007C7AF3"/>
    <w:rsid w:val="007C7B1A"/>
    <w:rsid w:val="007C7BC4"/>
    <w:rsid w:val="007C7D75"/>
    <w:rsid w:val="007C7FFA"/>
    <w:rsid w:val="007D004D"/>
    <w:rsid w:val="007D022A"/>
    <w:rsid w:val="007D03A8"/>
    <w:rsid w:val="007D04B5"/>
    <w:rsid w:val="007D08BB"/>
    <w:rsid w:val="007D0AAE"/>
    <w:rsid w:val="007D0B2C"/>
    <w:rsid w:val="007D0C47"/>
    <w:rsid w:val="007D0D81"/>
    <w:rsid w:val="007D1114"/>
    <w:rsid w:val="007D149B"/>
    <w:rsid w:val="007D1501"/>
    <w:rsid w:val="007D198A"/>
    <w:rsid w:val="007D1AA5"/>
    <w:rsid w:val="007D1B50"/>
    <w:rsid w:val="007D1BEF"/>
    <w:rsid w:val="007D221F"/>
    <w:rsid w:val="007D263D"/>
    <w:rsid w:val="007D27CE"/>
    <w:rsid w:val="007D2854"/>
    <w:rsid w:val="007D28B3"/>
    <w:rsid w:val="007D2E97"/>
    <w:rsid w:val="007D3035"/>
    <w:rsid w:val="007D3242"/>
    <w:rsid w:val="007D36DB"/>
    <w:rsid w:val="007D399D"/>
    <w:rsid w:val="007D39AF"/>
    <w:rsid w:val="007D3ADA"/>
    <w:rsid w:val="007D3D94"/>
    <w:rsid w:val="007D411D"/>
    <w:rsid w:val="007D415B"/>
    <w:rsid w:val="007D4185"/>
    <w:rsid w:val="007D4262"/>
    <w:rsid w:val="007D4267"/>
    <w:rsid w:val="007D4722"/>
    <w:rsid w:val="007D49C4"/>
    <w:rsid w:val="007D51D0"/>
    <w:rsid w:val="007D52ED"/>
    <w:rsid w:val="007D5A40"/>
    <w:rsid w:val="007D5B02"/>
    <w:rsid w:val="007D5CE6"/>
    <w:rsid w:val="007D5EB0"/>
    <w:rsid w:val="007D60AA"/>
    <w:rsid w:val="007D6165"/>
    <w:rsid w:val="007D627A"/>
    <w:rsid w:val="007D65C5"/>
    <w:rsid w:val="007D674F"/>
    <w:rsid w:val="007D68C6"/>
    <w:rsid w:val="007D6B65"/>
    <w:rsid w:val="007D6B7A"/>
    <w:rsid w:val="007D6D48"/>
    <w:rsid w:val="007D701D"/>
    <w:rsid w:val="007D71BF"/>
    <w:rsid w:val="007D7221"/>
    <w:rsid w:val="007D7228"/>
    <w:rsid w:val="007D725E"/>
    <w:rsid w:val="007D728B"/>
    <w:rsid w:val="007D763A"/>
    <w:rsid w:val="007D77D5"/>
    <w:rsid w:val="007D7FD1"/>
    <w:rsid w:val="007E003D"/>
    <w:rsid w:val="007E0097"/>
    <w:rsid w:val="007E02F9"/>
    <w:rsid w:val="007E05DB"/>
    <w:rsid w:val="007E0644"/>
    <w:rsid w:val="007E0F18"/>
    <w:rsid w:val="007E0FF5"/>
    <w:rsid w:val="007E12CC"/>
    <w:rsid w:val="007E1D21"/>
    <w:rsid w:val="007E1D40"/>
    <w:rsid w:val="007E213C"/>
    <w:rsid w:val="007E2940"/>
    <w:rsid w:val="007E2C6F"/>
    <w:rsid w:val="007E2EAF"/>
    <w:rsid w:val="007E305F"/>
    <w:rsid w:val="007E3071"/>
    <w:rsid w:val="007E3C05"/>
    <w:rsid w:val="007E3D54"/>
    <w:rsid w:val="007E3D7C"/>
    <w:rsid w:val="007E3DD5"/>
    <w:rsid w:val="007E4159"/>
    <w:rsid w:val="007E44C7"/>
    <w:rsid w:val="007E4719"/>
    <w:rsid w:val="007E4797"/>
    <w:rsid w:val="007E4B88"/>
    <w:rsid w:val="007E4D4F"/>
    <w:rsid w:val="007E4F04"/>
    <w:rsid w:val="007E52C5"/>
    <w:rsid w:val="007E541E"/>
    <w:rsid w:val="007E55DC"/>
    <w:rsid w:val="007E572A"/>
    <w:rsid w:val="007E5857"/>
    <w:rsid w:val="007E59E7"/>
    <w:rsid w:val="007E5A2B"/>
    <w:rsid w:val="007E5E11"/>
    <w:rsid w:val="007E68B4"/>
    <w:rsid w:val="007E6944"/>
    <w:rsid w:val="007E6AC1"/>
    <w:rsid w:val="007E6B43"/>
    <w:rsid w:val="007E7207"/>
    <w:rsid w:val="007E72C2"/>
    <w:rsid w:val="007E7338"/>
    <w:rsid w:val="007E788B"/>
    <w:rsid w:val="007E7B95"/>
    <w:rsid w:val="007E7DAB"/>
    <w:rsid w:val="007E7F92"/>
    <w:rsid w:val="007F00E3"/>
    <w:rsid w:val="007F0198"/>
    <w:rsid w:val="007F03C4"/>
    <w:rsid w:val="007F094D"/>
    <w:rsid w:val="007F0B0F"/>
    <w:rsid w:val="007F0F0B"/>
    <w:rsid w:val="007F11BE"/>
    <w:rsid w:val="007F13F5"/>
    <w:rsid w:val="007F14F1"/>
    <w:rsid w:val="007F15DC"/>
    <w:rsid w:val="007F1C0D"/>
    <w:rsid w:val="007F249C"/>
    <w:rsid w:val="007F2677"/>
    <w:rsid w:val="007F2888"/>
    <w:rsid w:val="007F29AC"/>
    <w:rsid w:val="007F2AE2"/>
    <w:rsid w:val="007F2FBE"/>
    <w:rsid w:val="007F2FE8"/>
    <w:rsid w:val="007F3028"/>
    <w:rsid w:val="007F327B"/>
    <w:rsid w:val="007F3322"/>
    <w:rsid w:val="007F35DA"/>
    <w:rsid w:val="007F37D6"/>
    <w:rsid w:val="007F38B7"/>
    <w:rsid w:val="007F3C7D"/>
    <w:rsid w:val="007F3DD9"/>
    <w:rsid w:val="007F3F37"/>
    <w:rsid w:val="007F3F97"/>
    <w:rsid w:val="007F41A7"/>
    <w:rsid w:val="007F4253"/>
    <w:rsid w:val="007F4402"/>
    <w:rsid w:val="007F4573"/>
    <w:rsid w:val="007F49D0"/>
    <w:rsid w:val="007F4ADB"/>
    <w:rsid w:val="007F4C57"/>
    <w:rsid w:val="007F4C5C"/>
    <w:rsid w:val="007F5092"/>
    <w:rsid w:val="007F56A0"/>
    <w:rsid w:val="007F5D76"/>
    <w:rsid w:val="007F5E10"/>
    <w:rsid w:val="007F5E5E"/>
    <w:rsid w:val="007F60FA"/>
    <w:rsid w:val="007F62F3"/>
    <w:rsid w:val="007F63C5"/>
    <w:rsid w:val="007F6D34"/>
    <w:rsid w:val="007F6D4A"/>
    <w:rsid w:val="007F6F37"/>
    <w:rsid w:val="007F72B1"/>
    <w:rsid w:val="007F7542"/>
    <w:rsid w:val="007F788C"/>
    <w:rsid w:val="007F7D14"/>
    <w:rsid w:val="00800073"/>
    <w:rsid w:val="00800867"/>
    <w:rsid w:val="008008CC"/>
    <w:rsid w:val="00800A80"/>
    <w:rsid w:val="00800C5C"/>
    <w:rsid w:val="00801025"/>
    <w:rsid w:val="008012EE"/>
    <w:rsid w:val="0080151E"/>
    <w:rsid w:val="008016B0"/>
    <w:rsid w:val="00801761"/>
    <w:rsid w:val="008018BE"/>
    <w:rsid w:val="00801933"/>
    <w:rsid w:val="00801A06"/>
    <w:rsid w:val="00801A48"/>
    <w:rsid w:val="00801B9F"/>
    <w:rsid w:val="00802334"/>
    <w:rsid w:val="00802371"/>
    <w:rsid w:val="00802446"/>
    <w:rsid w:val="00802A6A"/>
    <w:rsid w:val="00802B72"/>
    <w:rsid w:val="00802D9F"/>
    <w:rsid w:val="00802DDF"/>
    <w:rsid w:val="00802E38"/>
    <w:rsid w:val="008033DE"/>
    <w:rsid w:val="00803716"/>
    <w:rsid w:val="00803ACF"/>
    <w:rsid w:val="00803BC7"/>
    <w:rsid w:val="00803C1C"/>
    <w:rsid w:val="00803DCE"/>
    <w:rsid w:val="00803EA9"/>
    <w:rsid w:val="0080400C"/>
    <w:rsid w:val="008045B6"/>
    <w:rsid w:val="00804712"/>
    <w:rsid w:val="00804806"/>
    <w:rsid w:val="008048CB"/>
    <w:rsid w:val="00804996"/>
    <w:rsid w:val="00804B7C"/>
    <w:rsid w:val="00804EFD"/>
    <w:rsid w:val="0080536E"/>
    <w:rsid w:val="00805572"/>
    <w:rsid w:val="00805612"/>
    <w:rsid w:val="00805D32"/>
    <w:rsid w:val="00805E1F"/>
    <w:rsid w:val="0080626D"/>
    <w:rsid w:val="008063A2"/>
    <w:rsid w:val="008064F8"/>
    <w:rsid w:val="00806BD1"/>
    <w:rsid w:val="00806C39"/>
    <w:rsid w:val="0080705A"/>
    <w:rsid w:val="00807191"/>
    <w:rsid w:val="00807417"/>
    <w:rsid w:val="00807857"/>
    <w:rsid w:val="00807A02"/>
    <w:rsid w:val="00807A19"/>
    <w:rsid w:val="00807BB5"/>
    <w:rsid w:val="00807D44"/>
    <w:rsid w:val="00807DDC"/>
    <w:rsid w:val="00807E2D"/>
    <w:rsid w:val="00807F21"/>
    <w:rsid w:val="008101EF"/>
    <w:rsid w:val="008103BE"/>
    <w:rsid w:val="00810637"/>
    <w:rsid w:val="00810AB3"/>
    <w:rsid w:val="0081105E"/>
    <w:rsid w:val="00811628"/>
    <w:rsid w:val="008116CE"/>
    <w:rsid w:val="00811828"/>
    <w:rsid w:val="00811B4A"/>
    <w:rsid w:val="00811CE6"/>
    <w:rsid w:val="00811D2D"/>
    <w:rsid w:val="00811E9A"/>
    <w:rsid w:val="00811F62"/>
    <w:rsid w:val="0081208A"/>
    <w:rsid w:val="008121C0"/>
    <w:rsid w:val="008127A9"/>
    <w:rsid w:val="008127E5"/>
    <w:rsid w:val="00812993"/>
    <w:rsid w:val="00812B69"/>
    <w:rsid w:val="00812BCC"/>
    <w:rsid w:val="00812C22"/>
    <w:rsid w:val="00812EA8"/>
    <w:rsid w:val="00813140"/>
    <w:rsid w:val="008131C8"/>
    <w:rsid w:val="008132E5"/>
    <w:rsid w:val="00813392"/>
    <w:rsid w:val="00813514"/>
    <w:rsid w:val="00813576"/>
    <w:rsid w:val="0081371A"/>
    <w:rsid w:val="0081393E"/>
    <w:rsid w:val="00813A4D"/>
    <w:rsid w:val="00813B5E"/>
    <w:rsid w:val="00813BB8"/>
    <w:rsid w:val="00813E5A"/>
    <w:rsid w:val="00814097"/>
    <w:rsid w:val="008141EA"/>
    <w:rsid w:val="00814783"/>
    <w:rsid w:val="00814D1C"/>
    <w:rsid w:val="00814E74"/>
    <w:rsid w:val="00815136"/>
    <w:rsid w:val="00815137"/>
    <w:rsid w:val="008155C6"/>
    <w:rsid w:val="00815900"/>
    <w:rsid w:val="008159F8"/>
    <w:rsid w:val="00815A02"/>
    <w:rsid w:val="00815D8F"/>
    <w:rsid w:val="00815F24"/>
    <w:rsid w:val="008161B5"/>
    <w:rsid w:val="0081652A"/>
    <w:rsid w:val="008167FC"/>
    <w:rsid w:val="00816EBB"/>
    <w:rsid w:val="00817213"/>
    <w:rsid w:val="00817323"/>
    <w:rsid w:val="00817331"/>
    <w:rsid w:val="00817389"/>
    <w:rsid w:val="0081738C"/>
    <w:rsid w:val="008176E9"/>
    <w:rsid w:val="00817A0B"/>
    <w:rsid w:val="00817A6E"/>
    <w:rsid w:val="00817FA9"/>
    <w:rsid w:val="0082009C"/>
    <w:rsid w:val="0082009F"/>
    <w:rsid w:val="008201BB"/>
    <w:rsid w:val="0082020D"/>
    <w:rsid w:val="00820738"/>
    <w:rsid w:val="008208B7"/>
    <w:rsid w:val="00820CAB"/>
    <w:rsid w:val="00820CB6"/>
    <w:rsid w:val="0082140A"/>
    <w:rsid w:val="00821533"/>
    <w:rsid w:val="00821945"/>
    <w:rsid w:val="00821ADA"/>
    <w:rsid w:val="00821B2F"/>
    <w:rsid w:val="00821D79"/>
    <w:rsid w:val="00821F02"/>
    <w:rsid w:val="0082214B"/>
    <w:rsid w:val="00822172"/>
    <w:rsid w:val="00822269"/>
    <w:rsid w:val="00822321"/>
    <w:rsid w:val="00822578"/>
    <w:rsid w:val="0082271D"/>
    <w:rsid w:val="0082285A"/>
    <w:rsid w:val="00822AA4"/>
    <w:rsid w:val="00822B2F"/>
    <w:rsid w:val="00822C40"/>
    <w:rsid w:val="00822D52"/>
    <w:rsid w:val="0082315E"/>
    <w:rsid w:val="0082357B"/>
    <w:rsid w:val="00823753"/>
    <w:rsid w:val="00823820"/>
    <w:rsid w:val="00823828"/>
    <w:rsid w:val="00823CA3"/>
    <w:rsid w:val="00823CA6"/>
    <w:rsid w:val="00824010"/>
    <w:rsid w:val="00824052"/>
    <w:rsid w:val="008241A4"/>
    <w:rsid w:val="0082422C"/>
    <w:rsid w:val="008244D6"/>
    <w:rsid w:val="008245B2"/>
    <w:rsid w:val="008245F4"/>
    <w:rsid w:val="008249C8"/>
    <w:rsid w:val="008255C6"/>
    <w:rsid w:val="008258F8"/>
    <w:rsid w:val="008258F9"/>
    <w:rsid w:val="00825A34"/>
    <w:rsid w:val="00825A8D"/>
    <w:rsid w:val="00825F2E"/>
    <w:rsid w:val="00825F77"/>
    <w:rsid w:val="00825FD1"/>
    <w:rsid w:val="008260C4"/>
    <w:rsid w:val="0082618C"/>
    <w:rsid w:val="0082639B"/>
    <w:rsid w:val="00826402"/>
    <w:rsid w:val="0082642E"/>
    <w:rsid w:val="00826554"/>
    <w:rsid w:val="008265E4"/>
    <w:rsid w:val="00826756"/>
    <w:rsid w:val="00826AA2"/>
    <w:rsid w:val="00826C70"/>
    <w:rsid w:val="0082709F"/>
    <w:rsid w:val="00827472"/>
    <w:rsid w:val="00827668"/>
    <w:rsid w:val="008277AD"/>
    <w:rsid w:val="0082784B"/>
    <w:rsid w:val="00827C60"/>
    <w:rsid w:val="0083024A"/>
    <w:rsid w:val="00830A0B"/>
    <w:rsid w:val="00830A14"/>
    <w:rsid w:val="00830BD0"/>
    <w:rsid w:val="008310B4"/>
    <w:rsid w:val="0083118A"/>
    <w:rsid w:val="0083154A"/>
    <w:rsid w:val="0083184E"/>
    <w:rsid w:val="00831AC5"/>
    <w:rsid w:val="00831B7A"/>
    <w:rsid w:val="00831B99"/>
    <w:rsid w:val="00831C15"/>
    <w:rsid w:val="00831CC9"/>
    <w:rsid w:val="00831D01"/>
    <w:rsid w:val="00831D4E"/>
    <w:rsid w:val="00831E01"/>
    <w:rsid w:val="008320E8"/>
    <w:rsid w:val="008322CD"/>
    <w:rsid w:val="008323CA"/>
    <w:rsid w:val="008324D7"/>
    <w:rsid w:val="00832523"/>
    <w:rsid w:val="0083299F"/>
    <w:rsid w:val="00832C50"/>
    <w:rsid w:val="00832E86"/>
    <w:rsid w:val="00833222"/>
    <w:rsid w:val="00833245"/>
    <w:rsid w:val="008335CF"/>
    <w:rsid w:val="00833606"/>
    <w:rsid w:val="00833729"/>
    <w:rsid w:val="008337E2"/>
    <w:rsid w:val="00833840"/>
    <w:rsid w:val="00833D9C"/>
    <w:rsid w:val="00834018"/>
    <w:rsid w:val="00834222"/>
    <w:rsid w:val="008342AF"/>
    <w:rsid w:val="008345C8"/>
    <w:rsid w:val="008349A3"/>
    <w:rsid w:val="00834C44"/>
    <w:rsid w:val="0083524D"/>
    <w:rsid w:val="00835A1C"/>
    <w:rsid w:val="00835F45"/>
    <w:rsid w:val="00835F66"/>
    <w:rsid w:val="00836282"/>
    <w:rsid w:val="00836E1D"/>
    <w:rsid w:val="008370EE"/>
    <w:rsid w:val="00837105"/>
    <w:rsid w:val="00837142"/>
    <w:rsid w:val="008373FE"/>
    <w:rsid w:val="00837652"/>
    <w:rsid w:val="008378DE"/>
    <w:rsid w:val="00837A79"/>
    <w:rsid w:val="00837CB3"/>
    <w:rsid w:val="00840168"/>
    <w:rsid w:val="00840340"/>
    <w:rsid w:val="00840570"/>
    <w:rsid w:val="008406A3"/>
    <w:rsid w:val="008407FA"/>
    <w:rsid w:val="008408E6"/>
    <w:rsid w:val="00840955"/>
    <w:rsid w:val="0084097E"/>
    <w:rsid w:val="00840A2E"/>
    <w:rsid w:val="00840FB1"/>
    <w:rsid w:val="00841012"/>
    <w:rsid w:val="0084148B"/>
    <w:rsid w:val="008415EB"/>
    <w:rsid w:val="0084197B"/>
    <w:rsid w:val="0084198C"/>
    <w:rsid w:val="0084208A"/>
    <w:rsid w:val="008421CE"/>
    <w:rsid w:val="00842659"/>
    <w:rsid w:val="0084275A"/>
    <w:rsid w:val="0084280B"/>
    <w:rsid w:val="00842AFC"/>
    <w:rsid w:val="00842CE4"/>
    <w:rsid w:val="00842F36"/>
    <w:rsid w:val="00842F53"/>
    <w:rsid w:val="008430CE"/>
    <w:rsid w:val="00843294"/>
    <w:rsid w:val="008433A0"/>
    <w:rsid w:val="00843605"/>
    <w:rsid w:val="00843607"/>
    <w:rsid w:val="00843817"/>
    <w:rsid w:val="0084382D"/>
    <w:rsid w:val="00843963"/>
    <w:rsid w:val="00843964"/>
    <w:rsid w:val="00843A87"/>
    <w:rsid w:val="00844384"/>
    <w:rsid w:val="0084443D"/>
    <w:rsid w:val="008445CC"/>
    <w:rsid w:val="00844720"/>
    <w:rsid w:val="00844AA5"/>
    <w:rsid w:val="00844AC0"/>
    <w:rsid w:val="00844CE7"/>
    <w:rsid w:val="00844D91"/>
    <w:rsid w:val="0084519D"/>
    <w:rsid w:val="008460D5"/>
    <w:rsid w:val="008462A7"/>
    <w:rsid w:val="008463CE"/>
    <w:rsid w:val="00846463"/>
    <w:rsid w:val="0084658E"/>
    <w:rsid w:val="00846701"/>
    <w:rsid w:val="0084673A"/>
    <w:rsid w:val="00846993"/>
    <w:rsid w:val="00846CBB"/>
    <w:rsid w:val="008471DF"/>
    <w:rsid w:val="00847401"/>
    <w:rsid w:val="00847467"/>
    <w:rsid w:val="00847693"/>
    <w:rsid w:val="008476D1"/>
    <w:rsid w:val="00847E8E"/>
    <w:rsid w:val="00847E8F"/>
    <w:rsid w:val="00847F07"/>
    <w:rsid w:val="0085000F"/>
    <w:rsid w:val="0085014E"/>
    <w:rsid w:val="0085048B"/>
    <w:rsid w:val="00850753"/>
    <w:rsid w:val="0085087B"/>
    <w:rsid w:val="00850969"/>
    <w:rsid w:val="00850AB9"/>
    <w:rsid w:val="00850CDE"/>
    <w:rsid w:val="00850D21"/>
    <w:rsid w:val="008511B6"/>
    <w:rsid w:val="00851FA0"/>
    <w:rsid w:val="00851FC3"/>
    <w:rsid w:val="00852037"/>
    <w:rsid w:val="0085236D"/>
    <w:rsid w:val="00852775"/>
    <w:rsid w:val="008529CD"/>
    <w:rsid w:val="00852E2F"/>
    <w:rsid w:val="00852E8D"/>
    <w:rsid w:val="00853215"/>
    <w:rsid w:val="008532D9"/>
    <w:rsid w:val="008532F7"/>
    <w:rsid w:val="0085345E"/>
    <w:rsid w:val="008534EB"/>
    <w:rsid w:val="008537ED"/>
    <w:rsid w:val="00853A7B"/>
    <w:rsid w:val="0085417F"/>
    <w:rsid w:val="00854262"/>
    <w:rsid w:val="00854263"/>
    <w:rsid w:val="008545FA"/>
    <w:rsid w:val="008546EE"/>
    <w:rsid w:val="0085475F"/>
    <w:rsid w:val="00854768"/>
    <w:rsid w:val="00854EC3"/>
    <w:rsid w:val="008550D6"/>
    <w:rsid w:val="008552F3"/>
    <w:rsid w:val="008553C3"/>
    <w:rsid w:val="00855780"/>
    <w:rsid w:val="00855A0F"/>
    <w:rsid w:val="00855C68"/>
    <w:rsid w:val="00855E4C"/>
    <w:rsid w:val="00855F8C"/>
    <w:rsid w:val="0085602C"/>
    <w:rsid w:val="008564E7"/>
    <w:rsid w:val="008566BF"/>
    <w:rsid w:val="008567C2"/>
    <w:rsid w:val="00856806"/>
    <w:rsid w:val="00856A05"/>
    <w:rsid w:val="00856A70"/>
    <w:rsid w:val="0085727C"/>
    <w:rsid w:val="008575D8"/>
    <w:rsid w:val="00857791"/>
    <w:rsid w:val="008578EE"/>
    <w:rsid w:val="008578F0"/>
    <w:rsid w:val="00857958"/>
    <w:rsid w:val="00857A23"/>
    <w:rsid w:val="00857B17"/>
    <w:rsid w:val="00857CA3"/>
    <w:rsid w:val="008602E4"/>
    <w:rsid w:val="00860389"/>
    <w:rsid w:val="00860524"/>
    <w:rsid w:val="0086073F"/>
    <w:rsid w:val="00860B08"/>
    <w:rsid w:val="00860BB2"/>
    <w:rsid w:val="00860C4E"/>
    <w:rsid w:val="00860D7C"/>
    <w:rsid w:val="00861187"/>
    <w:rsid w:val="008611C7"/>
    <w:rsid w:val="0086153C"/>
    <w:rsid w:val="008617F2"/>
    <w:rsid w:val="00861821"/>
    <w:rsid w:val="008620A2"/>
    <w:rsid w:val="008624D2"/>
    <w:rsid w:val="008624D3"/>
    <w:rsid w:val="00862640"/>
    <w:rsid w:val="00862B32"/>
    <w:rsid w:val="00863045"/>
    <w:rsid w:val="0086318E"/>
    <w:rsid w:val="008634C9"/>
    <w:rsid w:val="00863571"/>
    <w:rsid w:val="008635B5"/>
    <w:rsid w:val="008635D3"/>
    <w:rsid w:val="00863ABA"/>
    <w:rsid w:val="00863B85"/>
    <w:rsid w:val="00863E05"/>
    <w:rsid w:val="00863EC4"/>
    <w:rsid w:val="00864175"/>
    <w:rsid w:val="0086427F"/>
    <w:rsid w:val="00864419"/>
    <w:rsid w:val="00864479"/>
    <w:rsid w:val="008645D5"/>
    <w:rsid w:val="0086468C"/>
    <w:rsid w:val="00864900"/>
    <w:rsid w:val="00864B6B"/>
    <w:rsid w:val="00864CC9"/>
    <w:rsid w:val="00864D4E"/>
    <w:rsid w:val="00864E2B"/>
    <w:rsid w:val="00864E6A"/>
    <w:rsid w:val="00864EAD"/>
    <w:rsid w:val="00864EB7"/>
    <w:rsid w:val="008657EC"/>
    <w:rsid w:val="0086591C"/>
    <w:rsid w:val="008659A7"/>
    <w:rsid w:val="00865C8A"/>
    <w:rsid w:val="0086614E"/>
    <w:rsid w:val="00866895"/>
    <w:rsid w:val="008668C7"/>
    <w:rsid w:val="00866907"/>
    <w:rsid w:val="00866996"/>
    <w:rsid w:val="00866C6E"/>
    <w:rsid w:val="00866FAF"/>
    <w:rsid w:val="0086704C"/>
    <w:rsid w:val="00867065"/>
    <w:rsid w:val="00867109"/>
    <w:rsid w:val="0086734A"/>
    <w:rsid w:val="008673CC"/>
    <w:rsid w:val="0086782C"/>
    <w:rsid w:val="00867A14"/>
    <w:rsid w:val="00867BBD"/>
    <w:rsid w:val="00867C4B"/>
    <w:rsid w:val="00867E42"/>
    <w:rsid w:val="008700A1"/>
    <w:rsid w:val="008700FA"/>
    <w:rsid w:val="0087057F"/>
    <w:rsid w:val="0087083F"/>
    <w:rsid w:val="0087087B"/>
    <w:rsid w:val="008709E2"/>
    <w:rsid w:val="00870BEC"/>
    <w:rsid w:val="00870EA5"/>
    <w:rsid w:val="008711E3"/>
    <w:rsid w:val="00871999"/>
    <w:rsid w:val="00871A04"/>
    <w:rsid w:val="00871AD8"/>
    <w:rsid w:val="00871B72"/>
    <w:rsid w:val="008722B1"/>
    <w:rsid w:val="00872376"/>
    <w:rsid w:val="00872683"/>
    <w:rsid w:val="008727EC"/>
    <w:rsid w:val="00872882"/>
    <w:rsid w:val="0087296B"/>
    <w:rsid w:val="00872D9A"/>
    <w:rsid w:val="00872DB7"/>
    <w:rsid w:val="00873320"/>
    <w:rsid w:val="0087363B"/>
    <w:rsid w:val="00873664"/>
    <w:rsid w:val="00873706"/>
    <w:rsid w:val="00873910"/>
    <w:rsid w:val="00873A9E"/>
    <w:rsid w:val="00873CAF"/>
    <w:rsid w:val="00874182"/>
    <w:rsid w:val="008742A4"/>
    <w:rsid w:val="0087440B"/>
    <w:rsid w:val="008745C7"/>
    <w:rsid w:val="0087461C"/>
    <w:rsid w:val="00874787"/>
    <w:rsid w:val="00874856"/>
    <w:rsid w:val="00874B4E"/>
    <w:rsid w:val="00874C9C"/>
    <w:rsid w:val="00874CFB"/>
    <w:rsid w:val="00875060"/>
    <w:rsid w:val="0087512B"/>
    <w:rsid w:val="008752A3"/>
    <w:rsid w:val="00875420"/>
    <w:rsid w:val="008755FA"/>
    <w:rsid w:val="008756AB"/>
    <w:rsid w:val="008759DE"/>
    <w:rsid w:val="00875AB8"/>
    <w:rsid w:val="0087651E"/>
    <w:rsid w:val="00876713"/>
    <w:rsid w:val="0087683C"/>
    <w:rsid w:val="00876D17"/>
    <w:rsid w:val="00877177"/>
    <w:rsid w:val="008773F9"/>
    <w:rsid w:val="008774D4"/>
    <w:rsid w:val="00877701"/>
    <w:rsid w:val="0087772D"/>
    <w:rsid w:val="0087779D"/>
    <w:rsid w:val="008778C0"/>
    <w:rsid w:val="00877C2F"/>
    <w:rsid w:val="00880101"/>
    <w:rsid w:val="008802A6"/>
    <w:rsid w:val="00880500"/>
    <w:rsid w:val="008805CF"/>
    <w:rsid w:val="008808A7"/>
    <w:rsid w:val="008809C2"/>
    <w:rsid w:val="00880A04"/>
    <w:rsid w:val="00880E44"/>
    <w:rsid w:val="00880F2C"/>
    <w:rsid w:val="0088112C"/>
    <w:rsid w:val="0088134D"/>
    <w:rsid w:val="008817C4"/>
    <w:rsid w:val="00881A12"/>
    <w:rsid w:val="00881BAF"/>
    <w:rsid w:val="00881BE8"/>
    <w:rsid w:val="00881DC8"/>
    <w:rsid w:val="00881F7C"/>
    <w:rsid w:val="00882159"/>
    <w:rsid w:val="008823D1"/>
    <w:rsid w:val="008826E1"/>
    <w:rsid w:val="00882788"/>
    <w:rsid w:val="00882E28"/>
    <w:rsid w:val="00882FAF"/>
    <w:rsid w:val="00883056"/>
    <w:rsid w:val="00883194"/>
    <w:rsid w:val="00883339"/>
    <w:rsid w:val="008833D8"/>
    <w:rsid w:val="008835D7"/>
    <w:rsid w:val="00883B93"/>
    <w:rsid w:val="00883DD6"/>
    <w:rsid w:val="00883EA8"/>
    <w:rsid w:val="008842CE"/>
    <w:rsid w:val="00884870"/>
    <w:rsid w:val="00884ABB"/>
    <w:rsid w:val="00884BDF"/>
    <w:rsid w:val="00884DF7"/>
    <w:rsid w:val="00884F22"/>
    <w:rsid w:val="0088509A"/>
    <w:rsid w:val="008850C0"/>
    <w:rsid w:val="008850FF"/>
    <w:rsid w:val="0088520A"/>
    <w:rsid w:val="00885255"/>
    <w:rsid w:val="008852A3"/>
    <w:rsid w:val="008854C1"/>
    <w:rsid w:val="0088565E"/>
    <w:rsid w:val="00885A70"/>
    <w:rsid w:val="00885C13"/>
    <w:rsid w:val="00885C27"/>
    <w:rsid w:val="00885C40"/>
    <w:rsid w:val="00885D87"/>
    <w:rsid w:val="00885DDD"/>
    <w:rsid w:val="00886111"/>
    <w:rsid w:val="008864A9"/>
    <w:rsid w:val="0088653C"/>
    <w:rsid w:val="008867DE"/>
    <w:rsid w:val="00886989"/>
    <w:rsid w:val="00886E5E"/>
    <w:rsid w:val="00886F8E"/>
    <w:rsid w:val="00887040"/>
    <w:rsid w:val="008878A0"/>
    <w:rsid w:val="00887CAF"/>
    <w:rsid w:val="00887D68"/>
    <w:rsid w:val="00887E4A"/>
    <w:rsid w:val="00887F9B"/>
    <w:rsid w:val="0089025C"/>
    <w:rsid w:val="0089043C"/>
    <w:rsid w:val="0089044B"/>
    <w:rsid w:val="008908CD"/>
    <w:rsid w:val="008908DA"/>
    <w:rsid w:val="00890AA0"/>
    <w:rsid w:val="00890C07"/>
    <w:rsid w:val="00890C14"/>
    <w:rsid w:val="00890EAA"/>
    <w:rsid w:val="00890F21"/>
    <w:rsid w:val="008911A1"/>
    <w:rsid w:val="008915C9"/>
    <w:rsid w:val="0089162D"/>
    <w:rsid w:val="00891EAD"/>
    <w:rsid w:val="00892025"/>
    <w:rsid w:val="00892147"/>
    <w:rsid w:val="008921A3"/>
    <w:rsid w:val="00892212"/>
    <w:rsid w:val="008923E4"/>
    <w:rsid w:val="008926E5"/>
    <w:rsid w:val="00892974"/>
    <w:rsid w:val="0089297D"/>
    <w:rsid w:val="00892A7B"/>
    <w:rsid w:val="00892B2D"/>
    <w:rsid w:val="00892E36"/>
    <w:rsid w:val="00892E51"/>
    <w:rsid w:val="0089301E"/>
    <w:rsid w:val="008934C6"/>
    <w:rsid w:val="00893563"/>
    <w:rsid w:val="008935F4"/>
    <w:rsid w:val="008936F4"/>
    <w:rsid w:val="00893718"/>
    <w:rsid w:val="0089395A"/>
    <w:rsid w:val="008939F5"/>
    <w:rsid w:val="00893DE7"/>
    <w:rsid w:val="00893EA3"/>
    <w:rsid w:val="00893F0C"/>
    <w:rsid w:val="008949CA"/>
    <w:rsid w:val="00894C4F"/>
    <w:rsid w:val="00894CE5"/>
    <w:rsid w:val="00894DA5"/>
    <w:rsid w:val="00894E2F"/>
    <w:rsid w:val="0089512A"/>
    <w:rsid w:val="008951EC"/>
    <w:rsid w:val="0089534A"/>
    <w:rsid w:val="00895432"/>
    <w:rsid w:val="00896722"/>
    <w:rsid w:val="008968A2"/>
    <w:rsid w:val="00896BF9"/>
    <w:rsid w:val="00896F15"/>
    <w:rsid w:val="00896FFD"/>
    <w:rsid w:val="00897238"/>
    <w:rsid w:val="0089754B"/>
    <w:rsid w:val="008A02E3"/>
    <w:rsid w:val="008A042A"/>
    <w:rsid w:val="008A07F9"/>
    <w:rsid w:val="008A0CCA"/>
    <w:rsid w:val="008A0F0C"/>
    <w:rsid w:val="008A1209"/>
    <w:rsid w:val="008A1337"/>
    <w:rsid w:val="008A17F9"/>
    <w:rsid w:val="008A19F4"/>
    <w:rsid w:val="008A1A21"/>
    <w:rsid w:val="008A1B43"/>
    <w:rsid w:val="008A1C14"/>
    <w:rsid w:val="008A1E64"/>
    <w:rsid w:val="008A1FFE"/>
    <w:rsid w:val="008A2292"/>
    <w:rsid w:val="008A22D1"/>
    <w:rsid w:val="008A28E6"/>
    <w:rsid w:val="008A2F7E"/>
    <w:rsid w:val="008A3301"/>
    <w:rsid w:val="008A341D"/>
    <w:rsid w:val="008A392B"/>
    <w:rsid w:val="008A40E9"/>
    <w:rsid w:val="008A43F8"/>
    <w:rsid w:val="008A46B7"/>
    <w:rsid w:val="008A47E6"/>
    <w:rsid w:val="008A4880"/>
    <w:rsid w:val="008A48AA"/>
    <w:rsid w:val="008A4ABC"/>
    <w:rsid w:val="008A4AEE"/>
    <w:rsid w:val="008A4B75"/>
    <w:rsid w:val="008A4B81"/>
    <w:rsid w:val="008A4BBB"/>
    <w:rsid w:val="008A4E83"/>
    <w:rsid w:val="008A4F22"/>
    <w:rsid w:val="008A4F88"/>
    <w:rsid w:val="008A5406"/>
    <w:rsid w:val="008A54BB"/>
    <w:rsid w:val="008A5819"/>
    <w:rsid w:val="008A585F"/>
    <w:rsid w:val="008A588E"/>
    <w:rsid w:val="008A58D9"/>
    <w:rsid w:val="008A5938"/>
    <w:rsid w:val="008A59E9"/>
    <w:rsid w:val="008A5ABD"/>
    <w:rsid w:val="008A5BDB"/>
    <w:rsid w:val="008A5C42"/>
    <w:rsid w:val="008A5F3E"/>
    <w:rsid w:val="008A5FFE"/>
    <w:rsid w:val="008A6197"/>
    <w:rsid w:val="008A65F7"/>
    <w:rsid w:val="008A6612"/>
    <w:rsid w:val="008A66A8"/>
    <w:rsid w:val="008A66AB"/>
    <w:rsid w:val="008A6E24"/>
    <w:rsid w:val="008A6E6B"/>
    <w:rsid w:val="008A7244"/>
    <w:rsid w:val="008A728D"/>
    <w:rsid w:val="008A72B7"/>
    <w:rsid w:val="008A747B"/>
    <w:rsid w:val="008A782D"/>
    <w:rsid w:val="008A7BA7"/>
    <w:rsid w:val="008A7CD0"/>
    <w:rsid w:val="008A7CD2"/>
    <w:rsid w:val="008B00D1"/>
    <w:rsid w:val="008B0356"/>
    <w:rsid w:val="008B047C"/>
    <w:rsid w:val="008B0D8D"/>
    <w:rsid w:val="008B0DF0"/>
    <w:rsid w:val="008B10C6"/>
    <w:rsid w:val="008B14B4"/>
    <w:rsid w:val="008B151C"/>
    <w:rsid w:val="008B1692"/>
    <w:rsid w:val="008B17B0"/>
    <w:rsid w:val="008B17ED"/>
    <w:rsid w:val="008B18C7"/>
    <w:rsid w:val="008B1D75"/>
    <w:rsid w:val="008B1D95"/>
    <w:rsid w:val="008B1F30"/>
    <w:rsid w:val="008B1FD8"/>
    <w:rsid w:val="008B20EE"/>
    <w:rsid w:val="008B2103"/>
    <w:rsid w:val="008B2239"/>
    <w:rsid w:val="008B22F9"/>
    <w:rsid w:val="008B236B"/>
    <w:rsid w:val="008B24CD"/>
    <w:rsid w:val="008B27FB"/>
    <w:rsid w:val="008B28C6"/>
    <w:rsid w:val="008B2B52"/>
    <w:rsid w:val="008B2CAA"/>
    <w:rsid w:val="008B2E63"/>
    <w:rsid w:val="008B2E74"/>
    <w:rsid w:val="008B2FBE"/>
    <w:rsid w:val="008B31F5"/>
    <w:rsid w:val="008B348C"/>
    <w:rsid w:val="008B3909"/>
    <w:rsid w:val="008B3A14"/>
    <w:rsid w:val="008B3A3D"/>
    <w:rsid w:val="008B3AEC"/>
    <w:rsid w:val="008B3E8A"/>
    <w:rsid w:val="008B402B"/>
    <w:rsid w:val="008B4073"/>
    <w:rsid w:val="008B409D"/>
    <w:rsid w:val="008B40BD"/>
    <w:rsid w:val="008B40DD"/>
    <w:rsid w:val="008B436F"/>
    <w:rsid w:val="008B445D"/>
    <w:rsid w:val="008B44F6"/>
    <w:rsid w:val="008B45C1"/>
    <w:rsid w:val="008B4890"/>
    <w:rsid w:val="008B4917"/>
    <w:rsid w:val="008B4ED7"/>
    <w:rsid w:val="008B4F68"/>
    <w:rsid w:val="008B5006"/>
    <w:rsid w:val="008B50EF"/>
    <w:rsid w:val="008B5223"/>
    <w:rsid w:val="008B52B4"/>
    <w:rsid w:val="008B5362"/>
    <w:rsid w:val="008B541B"/>
    <w:rsid w:val="008B59BD"/>
    <w:rsid w:val="008B59CD"/>
    <w:rsid w:val="008B5F98"/>
    <w:rsid w:val="008B6061"/>
    <w:rsid w:val="008B6902"/>
    <w:rsid w:val="008B69BA"/>
    <w:rsid w:val="008B69DC"/>
    <w:rsid w:val="008B6ADD"/>
    <w:rsid w:val="008B6C23"/>
    <w:rsid w:val="008B7020"/>
    <w:rsid w:val="008B7138"/>
    <w:rsid w:val="008B7319"/>
    <w:rsid w:val="008B7474"/>
    <w:rsid w:val="008B74E6"/>
    <w:rsid w:val="008B797D"/>
    <w:rsid w:val="008B7A07"/>
    <w:rsid w:val="008B7A4C"/>
    <w:rsid w:val="008B7AAF"/>
    <w:rsid w:val="008B7B7F"/>
    <w:rsid w:val="008B7F8F"/>
    <w:rsid w:val="008C01CE"/>
    <w:rsid w:val="008C024B"/>
    <w:rsid w:val="008C04A6"/>
    <w:rsid w:val="008C0AD8"/>
    <w:rsid w:val="008C105E"/>
    <w:rsid w:val="008C1B02"/>
    <w:rsid w:val="008C1C42"/>
    <w:rsid w:val="008C1E15"/>
    <w:rsid w:val="008C2187"/>
    <w:rsid w:val="008C223B"/>
    <w:rsid w:val="008C22A0"/>
    <w:rsid w:val="008C2598"/>
    <w:rsid w:val="008C269C"/>
    <w:rsid w:val="008C280F"/>
    <w:rsid w:val="008C29F5"/>
    <w:rsid w:val="008C2A3D"/>
    <w:rsid w:val="008C2BB9"/>
    <w:rsid w:val="008C3039"/>
    <w:rsid w:val="008C3166"/>
    <w:rsid w:val="008C3181"/>
    <w:rsid w:val="008C32D3"/>
    <w:rsid w:val="008C3436"/>
    <w:rsid w:val="008C3505"/>
    <w:rsid w:val="008C38AD"/>
    <w:rsid w:val="008C3AA6"/>
    <w:rsid w:val="008C3AEA"/>
    <w:rsid w:val="008C3CF2"/>
    <w:rsid w:val="008C3E3E"/>
    <w:rsid w:val="008C3ED6"/>
    <w:rsid w:val="008C3F10"/>
    <w:rsid w:val="008C3FB8"/>
    <w:rsid w:val="008C4196"/>
    <w:rsid w:val="008C4E12"/>
    <w:rsid w:val="008C4E7D"/>
    <w:rsid w:val="008C5046"/>
    <w:rsid w:val="008C509B"/>
    <w:rsid w:val="008C5759"/>
    <w:rsid w:val="008C583C"/>
    <w:rsid w:val="008C5B00"/>
    <w:rsid w:val="008C5BEC"/>
    <w:rsid w:val="008C5C36"/>
    <w:rsid w:val="008C6153"/>
    <w:rsid w:val="008C6549"/>
    <w:rsid w:val="008C6663"/>
    <w:rsid w:val="008C6748"/>
    <w:rsid w:val="008C679E"/>
    <w:rsid w:val="008C6822"/>
    <w:rsid w:val="008C71EB"/>
    <w:rsid w:val="008C72DB"/>
    <w:rsid w:val="008C735F"/>
    <w:rsid w:val="008C7424"/>
    <w:rsid w:val="008C7448"/>
    <w:rsid w:val="008C76CD"/>
    <w:rsid w:val="008C7B1F"/>
    <w:rsid w:val="008C7B5B"/>
    <w:rsid w:val="008C7EC5"/>
    <w:rsid w:val="008C7EDA"/>
    <w:rsid w:val="008D0089"/>
    <w:rsid w:val="008D01EE"/>
    <w:rsid w:val="008D02F5"/>
    <w:rsid w:val="008D088B"/>
    <w:rsid w:val="008D08F9"/>
    <w:rsid w:val="008D0B9A"/>
    <w:rsid w:val="008D0C79"/>
    <w:rsid w:val="008D0DA8"/>
    <w:rsid w:val="008D0F01"/>
    <w:rsid w:val="008D0FAC"/>
    <w:rsid w:val="008D10FF"/>
    <w:rsid w:val="008D11CB"/>
    <w:rsid w:val="008D124F"/>
    <w:rsid w:val="008D1312"/>
    <w:rsid w:val="008D1494"/>
    <w:rsid w:val="008D14A7"/>
    <w:rsid w:val="008D1633"/>
    <w:rsid w:val="008D19C9"/>
    <w:rsid w:val="008D1A13"/>
    <w:rsid w:val="008D1B24"/>
    <w:rsid w:val="008D1E9B"/>
    <w:rsid w:val="008D21B1"/>
    <w:rsid w:val="008D22B3"/>
    <w:rsid w:val="008D237E"/>
    <w:rsid w:val="008D2F56"/>
    <w:rsid w:val="008D334F"/>
    <w:rsid w:val="008D4048"/>
    <w:rsid w:val="008D41C9"/>
    <w:rsid w:val="008D4207"/>
    <w:rsid w:val="008D429F"/>
    <w:rsid w:val="008D435E"/>
    <w:rsid w:val="008D455B"/>
    <w:rsid w:val="008D4967"/>
    <w:rsid w:val="008D4A5B"/>
    <w:rsid w:val="008D4AD9"/>
    <w:rsid w:val="008D4D35"/>
    <w:rsid w:val="008D4EAC"/>
    <w:rsid w:val="008D4F64"/>
    <w:rsid w:val="008D51FE"/>
    <w:rsid w:val="008D54D4"/>
    <w:rsid w:val="008D5A56"/>
    <w:rsid w:val="008D5C19"/>
    <w:rsid w:val="008D5D18"/>
    <w:rsid w:val="008D61E4"/>
    <w:rsid w:val="008D638A"/>
    <w:rsid w:val="008D63F4"/>
    <w:rsid w:val="008D640B"/>
    <w:rsid w:val="008D64AE"/>
    <w:rsid w:val="008D6722"/>
    <w:rsid w:val="008D68B8"/>
    <w:rsid w:val="008D6928"/>
    <w:rsid w:val="008D69BA"/>
    <w:rsid w:val="008D6C77"/>
    <w:rsid w:val="008D707C"/>
    <w:rsid w:val="008D742D"/>
    <w:rsid w:val="008D747A"/>
    <w:rsid w:val="008D748E"/>
    <w:rsid w:val="008D74BC"/>
    <w:rsid w:val="008D7540"/>
    <w:rsid w:val="008D77D6"/>
    <w:rsid w:val="008D7825"/>
    <w:rsid w:val="008D7FA8"/>
    <w:rsid w:val="008E01DD"/>
    <w:rsid w:val="008E0661"/>
    <w:rsid w:val="008E088D"/>
    <w:rsid w:val="008E0BD0"/>
    <w:rsid w:val="008E0C11"/>
    <w:rsid w:val="008E0F4D"/>
    <w:rsid w:val="008E1301"/>
    <w:rsid w:val="008E14C6"/>
    <w:rsid w:val="008E1582"/>
    <w:rsid w:val="008E1762"/>
    <w:rsid w:val="008E1889"/>
    <w:rsid w:val="008E19D2"/>
    <w:rsid w:val="008E1B13"/>
    <w:rsid w:val="008E1E52"/>
    <w:rsid w:val="008E1ED1"/>
    <w:rsid w:val="008E22F8"/>
    <w:rsid w:val="008E245C"/>
    <w:rsid w:val="008E24EA"/>
    <w:rsid w:val="008E2690"/>
    <w:rsid w:val="008E2B05"/>
    <w:rsid w:val="008E2C93"/>
    <w:rsid w:val="008E3434"/>
    <w:rsid w:val="008E3595"/>
    <w:rsid w:val="008E360A"/>
    <w:rsid w:val="008E37FB"/>
    <w:rsid w:val="008E3967"/>
    <w:rsid w:val="008E3CF5"/>
    <w:rsid w:val="008E3F11"/>
    <w:rsid w:val="008E4040"/>
    <w:rsid w:val="008E404E"/>
    <w:rsid w:val="008E40DC"/>
    <w:rsid w:val="008E4225"/>
    <w:rsid w:val="008E43BE"/>
    <w:rsid w:val="008E4929"/>
    <w:rsid w:val="008E4E05"/>
    <w:rsid w:val="008E51DA"/>
    <w:rsid w:val="008E53B9"/>
    <w:rsid w:val="008E5D69"/>
    <w:rsid w:val="008E5F48"/>
    <w:rsid w:val="008E5FDA"/>
    <w:rsid w:val="008E60B6"/>
    <w:rsid w:val="008E615F"/>
    <w:rsid w:val="008E6AD2"/>
    <w:rsid w:val="008E6B8E"/>
    <w:rsid w:val="008E6C1A"/>
    <w:rsid w:val="008E6C45"/>
    <w:rsid w:val="008E6C7F"/>
    <w:rsid w:val="008E6FF3"/>
    <w:rsid w:val="008E70C2"/>
    <w:rsid w:val="008E714C"/>
    <w:rsid w:val="008E73F0"/>
    <w:rsid w:val="008E7B3F"/>
    <w:rsid w:val="008E7BDE"/>
    <w:rsid w:val="008E7F1A"/>
    <w:rsid w:val="008E7FBD"/>
    <w:rsid w:val="008F020F"/>
    <w:rsid w:val="008F04AA"/>
    <w:rsid w:val="008F04ED"/>
    <w:rsid w:val="008F062E"/>
    <w:rsid w:val="008F068E"/>
    <w:rsid w:val="008F06D9"/>
    <w:rsid w:val="008F06E9"/>
    <w:rsid w:val="008F0743"/>
    <w:rsid w:val="008F0752"/>
    <w:rsid w:val="008F0FF4"/>
    <w:rsid w:val="008F102F"/>
    <w:rsid w:val="008F1559"/>
    <w:rsid w:val="008F15FC"/>
    <w:rsid w:val="008F16A2"/>
    <w:rsid w:val="008F16DF"/>
    <w:rsid w:val="008F1754"/>
    <w:rsid w:val="008F1790"/>
    <w:rsid w:val="008F180D"/>
    <w:rsid w:val="008F1E1E"/>
    <w:rsid w:val="008F1ED8"/>
    <w:rsid w:val="008F23B6"/>
    <w:rsid w:val="008F2475"/>
    <w:rsid w:val="008F24D0"/>
    <w:rsid w:val="008F26CC"/>
    <w:rsid w:val="008F2ACD"/>
    <w:rsid w:val="008F2C4C"/>
    <w:rsid w:val="008F2CFE"/>
    <w:rsid w:val="008F2F4E"/>
    <w:rsid w:val="008F2FB7"/>
    <w:rsid w:val="008F2FF8"/>
    <w:rsid w:val="008F35C5"/>
    <w:rsid w:val="008F36BD"/>
    <w:rsid w:val="008F3761"/>
    <w:rsid w:val="008F3882"/>
    <w:rsid w:val="008F395A"/>
    <w:rsid w:val="008F3A4D"/>
    <w:rsid w:val="008F3BC5"/>
    <w:rsid w:val="008F3CDA"/>
    <w:rsid w:val="008F42D7"/>
    <w:rsid w:val="008F43CC"/>
    <w:rsid w:val="008F4503"/>
    <w:rsid w:val="008F4B14"/>
    <w:rsid w:val="008F4DA0"/>
    <w:rsid w:val="008F5595"/>
    <w:rsid w:val="008F5762"/>
    <w:rsid w:val="008F5A44"/>
    <w:rsid w:val="008F5AC9"/>
    <w:rsid w:val="008F5B10"/>
    <w:rsid w:val="008F5CE5"/>
    <w:rsid w:val="008F6085"/>
    <w:rsid w:val="008F6089"/>
    <w:rsid w:val="008F6596"/>
    <w:rsid w:val="008F6C64"/>
    <w:rsid w:val="008F6E28"/>
    <w:rsid w:val="008F716E"/>
    <w:rsid w:val="008F7318"/>
    <w:rsid w:val="008F7374"/>
    <w:rsid w:val="008F7564"/>
    <w:rsid w:val="008F7802"/>
    <w:rsid w:val="008F7929"/>
    <w:rsid w:val="008F7C55"/>
    <w:rsid w:val="008F7EA3"/>
    <w:rsid w:val="008F7F94"/>
    <w:rsid w:val="008F7FBC"/>
    <w:rsid w:val="0090007D"/>
    <w:rsid w:val="0090031B"/>
    <w:rsid w:val="009006EC"/>
    <w:rsid w:val="009007B3"/>
    <w:rsid w:val="009008B1"/>
    <w:rsid w:val="00900B0F"/>
    <w:rsid w:val="00900BC5"/>
    <w:rsid w:val="009017F4"/>
    <w:rsid w:val="009017F5"/>
    <w:rsid w:val="00901A6D"/>
    <w:rsid w:val="00901A89"/>
    <w:rsid w:val="00901BB4"/>
    <w:rsid w:val="00901E3B"/>
    <w:rsid w:val="0090208E"/>
    <w:rsid w:val="00902272"/>
    <w:rsid w:val="00902546"/>
    <w:rsid w:val="009026C5"/>
    <w:rsid w:val="00902794"/>
    <w:rsid w:val="009029E8"/>
    <w:rsid w:val="00902B31"/>
    <w:rsid w:val="00902B3F"/>
    <w:rsid w:val="0090306A"/>
    <w:rsid w:val="009032A5"/>
    <w:rsid w:val="009032AC"/>
    <w:rsid w:val="009032CF"/>
    <w:rsid w:val="00903A10"/>
    <w:rsid w:val="00903AD8"/>
    <w:rsid w:val="00903DA7"/>
    <w:rsid w:val="00903ED2"/>
    <w:rsid w:val="00904349"/>
    <w:rsid w:val="00904A25"/>
    <w:rsid w:val="0090514F"/>
    <w:rsid w:val="009053F1"/>
    <w:rsid w:val="0090540D"/>
    <w:rsid w:val="0090546C"/>
    <w:rsid w:val="00905739"/>
    <w:rsid w:val="00905AC3"/>
    <w:rsid w:val="00905C0A"/>
    <w:rsid w:val="00905D2D"/>
    <w:rsid w:val="00905D4E"/>
    <w:rsid w:val="00905FDE"/>
    <w:rsid w:val="009062DC"/>
    <w:rsid w:val="0090669A"/>
    <w:rsid w:val="00906782"/>
    <w:rsid w:val="009069CD"/>
    <w:rsid w:val="00906FF6"/>
    <w:rsid w:val="00907208"/>
    <w:rsid w:val="009073D4"/>
    <w:rsid w:val="009075EC"/>
    <w:rsid w:val="00907852"/>
    <w:rsid w:val="009078C2"/>
    <w:rsid w:val="00907A7F"/>
    <w:rsid w:val="00910122"/>
    <w:rsid w:val="0091018C"/>
    <w:rsid w:val="00910197"/>
    <w:rsid w:val="00910254"/>
    <w:rsid w:val="0091059D"/>
    <w:rsid w:val="0091094C"/>
    <w:rsid w:val="00910F05"/>
    <w:rsid w:val="00910F6F"/>
    <w:rsid w:val="009110BA"/>
    <w:rsid w:val="009113FB"/>
    <w:rsid w:val="0091150D"/>
    <w:rsid w:val="009115EF"/>
    <w:rsid w:val="0091188C"/>
    <w:rsid w:val="009118E7"/>
    <w:rsid w:val="00911A13"/>
    <w:rsid w:val="00911A6D"/>
    <w:rsid w:val="00911AA7"/>
    <w:rsid w:val="00911C3D"/>
    <w:rsid w:val="00911FF4"/>
    <w:rsid w:val="009123CB"/>
    <w:rsid w:val="0091253B"/>
    <w:rsid w:val="009127AB"/>
    <w:rsid w:val="00912D95"/>
    <w:rsid w:val="00912EDF"/>
    <w:rsid w:val="00912F97"/>
    <w:rsid w:val="00912FE1"/>
    <w:rsid w:val="0091333C"/>
    <w:rsid w:val="0091341B"/>
    <w:rsid w:val="00913624"/>
    <w:rsid w:val="00913B03"/>
    <w:rsid w:val="00913CA3"/>
    <w:rsid w:val="00913FC1"/>
    <w:rsid w:val="009140F6"/>
    <w:rsid w:val="00914284"/>
    <w:rsid w:val="009142E5"/>
    <w:rsid w:val="00914455"/>
    <w:rsid w:val="0091463E"/>
    <w:rsid w:val="00914775"/>
    <w:rsid w:val="0091493A"/>
    <w:rsid w:val="00914A92"/>
    <w:rsid w:val="00914BA8"/>
    <w:rsid w:val="00914D8C"/>
    <w:rsid w:val="00914DB7"/>
    <w:rsid w:val="00914EF6"/>
    <w:rsid w:val="00914F24"/>
    <w:rsid w:val="00914FD9"/>
    <w:rsid w:val="009152B4"/>
    <w:rsid w:val="00915488"/>
    <w:rsid w:val="009154F5"/>
    <w:rsid w:val="0091551E"/>
    <w:rsid w:val="00915691"/>
    <w:rsid w:val="009157D8"/>
    <w:rsid w:val="00915D10"/>
    <w:rsid w:val="00915D93"/>
    <w:rsid w:val="0091611C"/>
    <w:rsid w:val="00916545"/>
    <w:rsid w:val="00916606"/>
    <w:rsid w:val="00916608"/>
    <w:rsid w:val="00916662"/>
    <w:rsid w:val="009174AB"/>
    <w:rsid w:val="00917AAE"/>
    <w:rsid w:val="0092018A"/>
    <w:rsid w:val="009202B9"/>
    <w:rsid w:val="00920466"/>
    <w:rsid w:val="009208C6"/>
    <w:rsid w:val="00920A4F"/>
    <w:rsid w:val="00920E56"/>
    <w:rsid w:val="00920FAB"/>
    <w:rsid w:val="00920FBF"/>
    <w:rsid w:val="0092124A"/>
    <w:rsid w:val="0092148B"/>
    <w:rsid w:val="0092175E"/>
    <w:rsid w:val="00921B38"/>
    <w:rsid w:val="00921C79"/>
    <w:rsid w:val="00921CB2"/>
    <w:rsid w:val="00921EB0"/>
    <w:rsid w:val="0092230F"/>
    <w:rsid w:val="009223B3"/>
    <w:rsid w:val="0092276F"/>
    <w:rsid w:val="00922799"/>
    <w:rsid w:val="00922A53"/>
    <w:rsid w:val="00922FE2"/>
    <w:rsid w:val="009230E0"/>
    <w:rsid w:val="00923170"/>
    <w:rsid w:val="00923377"/>
    <w:rsid w:val="00923547"/>
    <w:rsid w:val="00923F83"/>
    <w:rsid w:val="00924003"/>
    <w:rsid w:val="00924079"/>
    <w:rsid w:val="009240B3"/>
    <w:rsid w:val="00924230"/>
    <w:rsid w:val="00924600"/>
    <w:rsid w:val="00924BEE"/>
    <w:rsid w:val="00924F56"/>
    <w:rsid w:val="009251DE"/>
    <w:rsid w:val="00925389"/>
    <w:rsid w:val="009253A9"/>
    <w:rsid w:val="009253BB"/>
    <w:rsid w:val="00925658"/>
    <w:rsid w:val="009256F2"/>
    <w:rsid w:val="0092575B"/>
    <w:rsid w:val="0092576F"/>
    <w:rsid w:val="00925822"/>
    <w:rsid w:val="009258AE"/>
    <w:rsid w:val="00925A4B"/>
    <w:rsid w:val="00925A9C"/>
    <w:rsid w:val="00925BE3"/>
    <w:rsid w:val="00925CF5"/>
    <w:rsid w:val="00925E38"/>
    <w:rsid w:val="00926479"/>
    <w:rsid w:val="00926491"/>
    <w:rsid w:val="00926528"/>
    <w:rsid w:val="00926534"/>
    <w:rsid w:val="009266B6"/>
    <w:rsid w:val="00926701"/>
    <w:rsid w:val="0092689E"/>
    <w:rsid w:val="0092695B"/>
    <w:rsid w:val="00926F23"/>
    <w:rsid w:val="009279D1"/>
    <w:rsid w:val="009279E6"/>
    <w:rsid w:val="00927A54"/>
    <w:rsid w:val="00927DA3"/>
    <w:rsid w:val="00927F6F"/>
    <w:rsid w:val="0093011E"/>
    <w:rsid w:val="00930162"/>
    <w:rsid w:val="0093022A"/>
    <w:rsid w:val="0093041F"/>
    <w:rsid w:val="009305AC"/>
    <w:rsid w:val="009305AD"/>
    <w:rsid w:val="00930845"/>
    <w:rsid w:val="00930856"/>
    <w:rsid w:val="00930ACB"/>
    <w:rsid w:val="00930D54"/>
    <w:rsid w:val="00930E2B"/>
    <w:rsid w:val="00930FC6"/>
    <w:rsid w:val="0093107C"/>
    <w:rsid w:val="00931308"/>
    <w:rsid w:val="0093131D"/>
    <w:rsid w:val="00931381"/>
    <w:rsid w:val="009314AD"/>
    <w:rsid w:val="009315A9"/>
    <w:rsid w:val="009315D0"/>
    <w:rsid w:val="009318DC"/>
    <w:rsid w:val="00931CB2"/>
    <w:rsid w:val="00931D81"/>
    <w:rsid w:val="00931E3B"/>
    <w:rsid w:val="00931EAB"/>
    <w:rsid w:val="00931FF9"/>
    <w:rsid w:val="00931FFF"/>
    <w:rsid w:val="009321EC"/>
    <w:rsid w:val="009321F0"/>
    <w:rsid w:val="00932240"/>
    <w:rsid w:val="009322C3"/>
    <w:rsid w:val="009323CD"/>
    <w:rsid w:val="0093245F"/>
    <w:rsid w:val="0093273B"/>
    <w:rsid w:val="00932D5A"/>
    <w:rsid w:val="00932E05"/>
    <w:rsid w:val="00933051"/>
    <w:rsid w:val="0093324D"/>
    <w:rsid w:val="00933929"/>
    <w:rsid w:val="00933979"/>
    <w:rsid w:val="009339AD"/>
    <w:rsid w:val="009339EB"/>
    <w:rsid w:val="00933A93"/>
    <w:rsid w:val="00933B8E"/>
    <w:rsid w:val="00933C32"/>
    <w:rsid w:val="00933EDD"/>
    <w:rsid w:val="009345D8"/>
    <w:rsid w:val="00934608"/>
    <w:rsid w:val="009347D5"/>
    <w:rsid w:val="00934930"/>
    <w:rsid w:val="00934F55"/>
    <w:rsid w:val="00935018"/>
    <w:rsid w:val="00935037"/>
    <w:rsid w:val="009352CC"/>
    <w:rsid w:val="0093562A"/>
    <w:rsid w:val="009359E6"/>
    <w:rsid w:val="00935AD6"/>
    <w:rsid w:val="00935E90"/>
    <w:rsid w:val="00935EEE"/>
    <w:rsid w:val="00936175"/>
    <w:rsid w:val="00936495"/>
    <w:rsid w:val="00936A4D"/>
    <w:rsid w:val="00936C78"/>
    <w:rsid w:val="00936E97"/>
    <w:rsid w:val="0093713A"/>
    <w:rsid w:val="009373FB"/>
    <w:rsid w:val="0093747B"/>
    <w:rsid w:val="00937488"/>
    <w:rsid w:val="00937ACC"/>
    <w:rsid w:val="00937BB8"/>
    <w:rsid w:val="00937BBA"/>
    <w:rsid w:val="009401F3"/>
    <w:rsid w:val="0094026E"/>
    <w:rsid w:val="009403C9"/>
    <w:rsid w:val="00940432"/>
    <w:rsid w:val="0094096E"/>
    <w:rsid w:val="00940EC0"/>
    <w:rsid w:val="00940F46"/>
    <w:rsid w:val="00941047"/>
    <w:rsid w:val="00941274"/>
    <w:rsid w:val="009412A6"/>
    <w:rsid w:val="009412CC"/>
    <w:rsid w:val="00941A91"/>
    <w:rsid w:val="00941AC6"/>
    <w:rsid w:val="00941F6A"/>
    <w:rsid w:val="009420A8"/>
    <w:rsid w:val="0094210C"/>
    <w:rsid w:val="00942310"/>
    <w:rsid w:val="00942364"/>
    <w:rsid w:val="009425A0"/>
    <w:rsid w:val="0094260E"/>
    <w:rsid w:val="00942BE5"/>
    <w:rsid w:val="0094305A"/>
    <w:rsid w:val="009430BA"/>
    <w:rsid w:val="00943411"/>
    <w:rsid w:val="0094360A"/>
    <w:rsid w:val="009436A2"/>
    <w:rsid w:val="00943B16"/>
    <w:rsid w:val="00943EA0"/>
    <w:rsid w:val="00943F46"/>
    <w:rsid w:val="009441A2"/>
    <w:rsid w:val="00944605"/>
    <w:rsid w:val="009447F6"/>
    <w:rsid w:val="00944B18"/>
    <w:rsid w:val="00944CCD"/>
    <w:rsid w:val="00944F80"/>
    <w:rsid w:val="009452E9"/>
    <w:rsid w:val="00945607"/>
    <w:rsid w:val="009458A2"/>
    <w:rsid w:val="00945BD8"/>
    <w:rsid w:val="00945C26"/>
    <w:rsid w:val="00945FCB"/>
    <w:rsid w:val="009461E6"/>
    <w:rsid w:val="00946744"/>
    <w:rsid w:val="009468D0"/>
    <w:rsid w:val="00946990"/>
    <w:rsid w:val="00946DEB"/>
    <w:rsid w:val="00946FF3"/>
    <w:rsid w:val="0094709E"/>
    <w:rsid w:val="00947104"/>
    <w:rsid w:val="009475CD"/>
    <w:rsid w:val="0094760C"/>
    <w:rsid w:val="00947854"/>
    <w:rsid w:val="00947980"/>
    <w:rsid w:val="00947ADF"/>
    <w:rsid w:val="009502D3"/>
    <w:rsid w:val="009502E4"/>
    <w:rsid w:val="0095039E"/>
    <w:rsid w:val="0095040D"/>
    <w:rsid w:val="009505B8"/>
    <w:rsid w:val="009505C4"/>
    <w:rsid w:val="009505EA"/>
    <w:rsid w:val="009508DC"/>
    <w:rsid w:val="00950C90"/>
    <w:rsid w:val="00950F4E"/>
    <w:rsid w:val="00951052"/>
    <w:rsid w:val="0095125E"/>
    <w:rsid w:val="0095157E"/>
    <w:rsid w:val="009515EA"/>
    <w:rsid w:val="0095161E"/>
    <w:rsid w:val="009516C8"/>
    <w:rsid w:val="009518AD"/>
    <w:rsid w:val="009518B1"/>
    <w:rsid w:val="0095199C"/>
    <w:rsid w:val="009519C7"/>
    <w:rsid w:val="00951DDC"/>
    <w:rsid w:val="00951E0D"/>
    <w:rsid w:val="0095219F"/>
    <w:rsid w:val="009521A9"/>
    <w:rsid w:val="0095249B"/>
    <w:rsid w:val="0095288B"/>
    <w:rsid w:val="009529B1"/>
    <w:rsid w:val="00952B56"/>
    <w:rsid w:val="00952FCF"/>
    <w:rsid w:val="00952FF0"/>
    <w:rsid w:val="00953256"/>
    <w:rsid w:val="00953702"/>
    <w:rsid w:val="00953B46"/>
    <w:rsid w:val="0095451C"/>
    <w:rsid w:val="0095472B"/>
    <w:rsid w:val="00954769"/>
    <w:rsid w:val="00954851"/>
    <w:rsid w:val="00954939"/>
    <w:rsid w:val="00954D8F"/>
    <w:rsid w:val="00954DDD"/>
    <w:rsid w:val="00954EB4"/>
    <w:rsid w:val="00954EDF"/>
    <w:rsid w:val="0095503D"/>
    <w:rsid w:val="00955149"/>
    <w:rsid w:val="009559A0"/>
    <w:rsid w:val="0095628B"/>
    <w:rsid w:val="0095645F"/>
    <w:rsid w:val="009564BB"/>
    <w:rsid w:val="009566F4"/>
    <w:rsid w:val="00956B6D"/>
    <w:rsid w:val="00956CB2"/>
    <w:rsid w:val="00956E93"/>
    <w:rsid w:val="009571E0"/>
    <w:rsid w:val="009572D4"/>
    <w:rsid w:val="0095731B"/>
    <w:rsid w:val="00957492"/>
    <w:rsid w:val="0095761D"/>
    <w:rsid w:val="0095762A"/>
    <w:rsid w:val="0095769C"/>
    <w:rsid w:val="00957892"/>
    <w:rsid w:val="009578E6"/>
    <w:rsid w:val="00957928"/>
    <w:rsid w:val="00957C8E"/>
    <w:rsid w:val="00957CEE"/>
    <w:rsid w:val="00957D38"/>
    <w:rsid w:val="00957F80"/>
    <w:rsid w:val="00960296"/>
    <w:rsid w:val="009604D1"/>
    <w:rsid w:val="0096089A"/>
    <w:rsid w:val="00960CAD"/>
    <w:rsid w:val="00960F4D"/>
    <w:rsid w:val="00960F73"/>
    <w:rsid w:val="0096139B"/>
    <w:rsid w:val="00961A66"/>
    <w:rsid w:val="00961AC7"/>
    <w:rsid w:val="00961DFE"/>
    <w:rsid w:val="00962085"/>
    <w:rsid w:val="0096223B"/>
    <w:rsid w:val="00962554"/>
    <w:rsid w:val="009626B3"/>
    <w:rsid w:val="009627AA"/>
    <w:rsid w:val="00962C7E"/>
    <w:rsid w:val="00962CA0"/>
    <w:rsid w:val="00962F98"/>
    <w:rsid w:val="00962FAD"/>
    <w:rsid w:val="009634C2"/>
    <w:rsid w:val="00964053"/>
    <w:rsid w:val="00964310"/>
    <w:rsid w:val="00964412"/>
    <w:rsid w:val="0096442F"/>
    <w:rsid w:val="009645E4"/>
    <w:rsid w:val="00964831"/>
    <w:rsid w:val="009649C3"/>
    <w:rsid w:val="00964A7E"/>
    <w:rsid w:val="009652EE"/>
    <w:rsid w:val="009653C6"/>
    <w:rsid w:val="00965848"/>
    <w:rsid w:val="00965CAE"/>
    <w:rsid w:val="00965D06"/>
    <w:rsid w:val="00965D5A"/>
    <w:rsid w:val="00965FA9"/>
    <w:rsid w:val="009660B7"/>
    <w:rsid w:val="0096660B"/>
    <w:rsid w:val="00966A1B"/>
    <w:rsid w:val="00966A37"/>
    <w:rsid w:val="00966ABC"/>
    <w:rsid w:val="00966D0D"/>
    <w:rsid w:val="00966F18"/>
    <w:rsid w:val="00966F66"/>
    <w:rsid w:val="00966FC5"/>
    <w:rsid w:val="00967476"/>
    <w:rsid w:val="00967B58"/>
    <w:rsid w:val="00967BD4"/>
    <w:rsid w:val="00967DC2"/>
    <w:rsid w:val="009701E6"/>
    <w:rsid w:val="009702C0"/>
    <w:rsid w:val="0097049B"/>
    <w:rsid w:val="00970549"/>
    <w:rsid w:val="009705BF"/>
    <w:rsid w:val="009705F1"/>
    <w:rsid w:val="0097065E"/>
    <w:rsid w:val="0097102C"/>
    <w:rsid w:val="0097151D"/>
    <w:rsid w:val="0097169A"/>
    <w:rsid w:val="009716D3"/>
    <w:rsid w:val="009718D6"/>
    <w:rsid w:val="00971952"/>
    <w:rsid w:val="00971B96"/>
    <w:rsid w:val="00971FBA"/>
    <w:rsid w:val="009720EE"/>
    <w:rsid w:val="00972141"/>
    <w:rsid w:val="00972653"/>
    <w:rsid w:val="0097278A"/>
    <w:rsid w:val="00972F38"/>
    <w:rsid w:val="00972FC4"/>
    <w:rsid w:val="009734A9"/>
    <w:rsid w:val="009736CB"/>
    <w:rsid w:val="009736D3"/>
    <w:rsid w:val="0097373A"/>
    <w:rsid w:val="009739BA"/>
    <w:rsid w:val="00973CA9"/>
    <w:rsid w:val="00973DBE"/>
    <w:rsid w:val="009740FF"/>
    <w:rsid w:val="0097440B"/>
    <w:rsid w:val="009744CD"/>
    <w:rsid w:val="00974836"/>
    <w:rsid w:val="00974915"/>
    <w:rsid w:val="0097492E"/>
    <w:rsid w:val="00974936"/>
    <w:rsid w:val="00974984"/>
    <w:rsid w:val="00974D3C"/>
    <w:rsid w:val="00974EF7"/>
    <w:rsid w:val="00974F7A"/>
    <w:rsid w:val="0097575E"/>
    <w:rsid w:val="009757DB"/>
    <w:rsid w:val="00975A47"/>
    <w:rsid w:val="00975AB1"/>
    <w:rsid w:val="00975D45"/>
    <w:rsid w:val="00975E9C"/>
    <w:rsid w:val="00976186"/>
    <w:rsid w:val="00976264"/>
    <w:rsid w:val="00976268"/>
    <w:rsid w:val="00976311"/>
    <w:rsid w:val="0097683D"/>
    <w:rsid w:val="00976B94"/>
    <w:rsid w:val="00976F82"/>
    <w:rsid w:val="00977030"/>
    <w:rsid w:val="00977A92"/>
    <w:rsid w:val="00980D2E"/>
    <w:rsid w:val="00980DD3"/>
    <w:rsid w:val="00980E69"/>
    <w:rsid w:val="00981024"/>
    <w:rsid w:val="0098102D"/>
    <w:rsid w:val="0098163F"/>
    <w:rsid w:val="00981743"/>
    <w:rsid w:val="009819FD"/>
    <w:rsid w:val="00981A44"/>
    <w:rsid w:val="00981ED6"/>
    <w:rsid w:val="00981F12"/>
    <w:rsid w:val="009822DE"/>
    <w:rsid w:val="00982388"/>
    <w:rsid w:val="00982835"/>
    <w:rsid w:val="0098289D"/>
    <w:rsid w:val="00982A42"/>
    <w:rsid w:val="00982A50"/>
    <w:rsid w:val="00982CAA"/>
    <w:rsid w:val="00982F3B"/>
    <w:rsid w:val="00983626"/>
    <w:rsid w:val="00983999"/>
    <w:rsid w:val="00983D2D"/>
    <w:rsid w:val="00984491"/>
    <w:rsid w:val="00984515"/>
    <w:rsid w:val="009846FB"/>
    <w:rsid w:val="0098473B"/>
    <w:rsid w:val="0098489F"/>
    <w:rsid w:val="00984949"/>
    <w:rsid w:val="00984AD8"/>
    <w:rsid w:val="00984C4D"/>
    <w:rsid w:val="0098520B"/>
    <w:rsid w:val="009853AE"/>
    <w:rsid w:val="009853D9"/>
    <w:rsid w:val="00985697"/>
    <w:rsid w:val="00985979"/>
    <w:rsid w:val="00985A10"/>
    <w:rsid w:val="00985A4F"/>
    <w:rsid w:val="00985B05"/>
    <w:rsid w:val="00985B58"/>
    <w:rsid w:val="00986394"/>
    <w:rsid w:val="0098680B"/>
    <w:rsid w:val="0098697E"/>
    <w:rsid w:val="00986A68"/>
    <w:rsid w:val="00986C88"/>
    <w:rsid w:val="00986E96"/>
    <w:rsid w:val="00987113"/>
    <w:rsid w:val="00987156"/>
    <w:rsid w:val="00987524"/>
    <w:rsid w:val="00987959"/>
    <w:rsid w:val="00987B70"/>
    <w:rsid w:val="00987C37"/>
    <w:rsid w:val="00987C49"/>
    <w:rsid w:val="00987DD2"/>
    <w:rsid w:val="00987F81"/>
    <w:rsid w:val="00990076"/>
    <w:rsid w:val="00990256"/>
    <w:rsid w:val="0099036E"/>
    <w:rsid w:val="00990566"/>
    <w:rsid w:val="00990634"/>
    <w:rsid w:val="00990844"/>
    <w:rsid w:val="00990ECF"/>
    <w:rsid w:val="00990F2A"/>
    <w:rsid w:val="00991039"/>
    <w:rsid w:val="00991108"/>
    <w:rsid w:val="00991272"/>
    <w:rsid w:val="00991274"/>
    <w:rsid w:val="00991881"/>
    <w:rsid w:val="00992115"/>
    <w:rsid w:val="00992293"/>
    <w:rsid w:val="0099236B"/>
    <w:rsid w:val="009924FD"/>
    <w:rsid w:val="009925FE"/>
    <w:rsid w:val="009928E5"/>
    <w:rsid w:val="009928E9"/>
    <w:rsid w:val="009929AD"/>
    <w:rsid w:val="00992BC6"/>
    <w:rsid w:val="00992CB6"/>
    <w:rsid w:val="00993012"/>
    <w:rsid w:val="00993227"/>
    <w:rsid w:val="009937C0"/>
    <w:rsid w:val="00993CE0"/>
    <w:rsid w:val="00994381"/>
    <w:rsid w:val="00994556"/>
    <w:rsid w:val="009947CE"/>
    <w:rsid w:val="00994873"/>
    <w:rsid w:val="00994CEE"/>
    <w:rsid w:val="00994EFA"/>
    <w:rsid w:val="00995341"/>
    <w:rsid w:val="00995552"/>
    <w:rsid w:val="009957ED"/>
    <w:rsid w:val="009958E0"/>
    <w:rsid w:val="00995AE8"/>
    <w:rsid w:val="00995B32"/>
    <w:rsid w:val="00995EC7"/>
    <w:rsid w:val="009962AD"/>
    <w:rsid w:val="0099638F"/>
    <w:rsid w:val="00996392"/>
    <w:rsid w:val="0099649A"/>
    <w:rsid w:val="009964FF"/>
    <w:rsid w:val="00996F78"/>
    <w:rsid w:val="00997055"/>
    <w:rsid w:val="009970A3"/>
    <w:rsid w:val="009970F8"/>
    <w:rsid w:val="00997559"/>
    <w:rsid w:val="00997980"/>
    <w:rsid w:val="00997B03"/>
    <w:rsid w:val="009A06C6"/>
    <w:rsid w:val="009A0AA7"/>
    <w:rsid w:val="009A0BA9"/>
    <w:rsid w:val="009A0BAF"/>
    <w:rsid w:val="009A1013"/>
    <w:rsid w:val="009A1430"/>
    <w:rsid w:val="009A146A"/>
    <w:rsid w:val="009A159A"/>
    <w:rsid w:val="009A15EC"/>
    <w:rsid w:val="009A1858"/>
    <w:rsid w:val="009A1D4C"/>
    <w:rsid w:val="009A1F1D"/>
    <w:rsid w:val="009A2059"/>
    <w:rsid w:val="009A220F"/>
    <w:rsid w:val="009A22D3"/>
    <w:rsid w:val="009A2867"/>
    <w:rsid w:val="009A2B66"/>
    <w:rsid w:val="009A2E6E"/>
    <w:rsid w:val="009A3031"/>
    <w:rsid w:val="009A31A1"/>
    <w:rsid w:val="009A31A4"/>
    <w:rsid w:val="009A336B"/>
    <w:rsid w:val="009A34C3"/>
    <w:rsid w:val="009A399E"/>
    <w:rsid w:val="009A3E8B"/>
    <w:rsid w:val="009A3EAA"/>
    <w:rsid w:val="009A3F6F"/>
    <w:rsid w:val="009A405B"/>
    <w:rsid w:val="009A4075"/>
    <w:rsid w:val="009A446A"/>
    <w:rsid w:val="009A44C8"/>
    <w:rsid w:val="009A482F"/>
    <w:rsid w:val="009A4873"/>
    <w:rsid w:val="009A4BA6"/>
    <w:rsid w:val="009A4E1D"/>
    <w:rsid w:val="009A4EDE"/>
    <w:rsid w:val="009A50BA"/>
    <w:rsid w:val="009A510E"/>
    <w:rsid w:val="009A5122"/>
    <w:rsid w:val="009A52B5"/>
    <w:rsid w:val="009A534B"/>
    <w:rsid w:val="009A56C5"/>
    <w:rsid w:val="009A599E"/>
    <w:rsid w:val="009A5DCF"/>
    <w:rsid w:val="009A604D"/>
    <w:rsid w:val="009A6A41"/>
    <w:rsid w:val="009A7376"/>
    <w:rsid w:val="009A74BE"/>
    <w:rsid w:val="009A759F"/>
    <w:rsid w:val="009A78E1"/>
    <w:rsid w:val="009A7A57"/>
    <w:rsid w:val="009A7B18"/>
    <w:rsid w:val="009A7CC5"/>
    <w:rsid w:val="009A7EA2"/>
    <w:rsid w:val="009A7FFE"/>
    <w:rsid w:val="009B0295"/>
    <w:rsid w:val="009B03B1"/>
    <w:rsid w:val="009B0785"/>
    <w:rsid w:val="009B07E1"/>
    <w:rsid w:val="009B0905"/>
    <w:rsid w:val="009B0A70"/>
    <w:rsid w:val="009B0A9F"/>
    <w:rsid w:val="009B0C8D"/>
    <w:rsid w:val="009B103C"/>
    <w:rsid w:val="009B1717"/>
    <w:rsid w:val="009B1D80"/>
    <w:rsid w:val="009B1E54"/>
    <w:rsid w:val="009B207E"/>
    <w:rsid w:val="009B2326"/>
    <w:rsid w:val="009B24B8"/>
    <w:rsid w:val="009B2778"/>
    <w:rsid w:val="009B2810"/>
    <w:rsid w:val="009B29E4"/>
    <w:rsid w:val="009B2C68"/>
    <w:rsid w:val="009B2CD7"/>
    <w:rsid w:val="009B2CF1"/>
    <w:rsid w:val="009B2EFB"/>
    <w:rsid w:val="009B30FB"/>
    <w:rsid w:val="009B33D4"/>
    <w:rsid w:val="009B33DA"/>
    <w:rsid w:val="009B3468"/>
    <w:rsid w:val="009B39CF"/>
    <w:rsid w:val="009B3B49"/>
    <w:rsid w:val="009B3E5B"/>
    <w:rsid w:val="009B3F5A"/>
    <w:rsid w:val="009B3F86"/>
    <w:rsid w:val="009B3FA2"/>
    <w:rsid w:val="009B444A"/>
    <w:rsid w:val="009B467A"/>
    <w:rsid w:val="009B4979"/>
    <w:rsid w:val="009B4B04"/>
    <w:rsid w:val="009B4BB3"/>
    <w:rsid w:val="009B4C80"/>
    <w:rsid w:val="009B521D"/>
    <w:rsid w:val="009B528F"/>
    <w:rsid w:val="009B53DF"/>
    <w:rsid w:val="009B5706"/>
    <w:rsid w:val="009B58C9"/>
    <w:rsid w:val="009B5A0C"/>
    <w:rsid w:val="009B5B10"/>
    <w:rsid w:val="009B5B13"/>
    <w:rsid w:val="009B5B25"/>
    <w:rsid w:val="009B5B7E"/>
    <w:rsid w:val="009B5CCB"/>
    <w:rsid w:val="009B5CCD"/>
    <w:rsid w:val="009B5D71"/>
    <w:rsid w:val="009B67BA"/>
    <w:rsid w:val="009B6DBE"/>
    <w:rsid w:val="009B6E71"/>
    <w:rsid w:val="009B738E"/>
    <w:rsid w:val="009B73FD"/>
    <w:rsid w:val="009B74D5"/>
    <w:rsid w:val="009B75A5"/>
    <w:rsid w:val="009B76E7"/>
    <w:rsid w:val="009B7748"/>
    <w:rsid w:val="009B7967"/>
    <w:rsid w:val="009B79BD"/>
    <w:rsid w:val="009B7BD3"/>
    <w:rsid w:val="009B7CC0"/>
    <w:rsid w:val="009B7DFC"/>
    <w:rsid w:val="009C0014"/>
    <w:rsid w:val="009C0069"/>
    <w:rsid w:val="009C0242"/>
    <w:rsid w:val="009C07EA"/>
    <w:rsid w:val="009C0875"/>
    <w:rsid w:val="009C0A3E"/>
    <w:rsid w:val="009C0D68"/>
    <w:rsid w:val="009C0F14"/>
    <w:rsid w:val="009C1047"/>
    <w:rsid w:val="009C129D"/>
    <w:rsid w:val="009C144D"/>
    <w:rsid w:val="009C1464"/>
    <w:rsid w:val="009C14FA"/>
    <w:rsid w:val="009C1638"/>
    <w:rsid w:val="009C1AE8"/>
    <w:rsid w:val="009C1EE7"/>
    <w:rsid w:val="009C1F60"/>
    <w:rsid w:val="009C2351"/>
    <w:rsid w:val="009C23C3"/>
    <w:rsid w:val="009C293C"/>
    <w:rsid w:val="009C2ACB"/>
    <w:rsid w:val="009C2B5E"/>
    <w:rsid w:val="009C2C85"/>
    <w:rsid w:val="009C2D29"/>
    <w:rsid w:val="009C2E3B"/>
    <w:rsid w:val="009C2E44"/>
    <w:rsid w:val="009C2EF6"/>
    <w:rsid w:val="009C3103"/>
    <w:rsid w:val="009C3180"/>
    <w:rsid w:val="009C3469"/>
    <w:rsid w:val="009C38C0"/>
    <w:rsid w:val="009C3ACF"/>
    <w:rsid w:val="009C40D2"/>
    <w:rsid w:val="009C4288"/>
    <w:rsid w:val="009C4B0A"/>
    <w:rsid w:val="009C4EF0"/>
    <w:rsid w:val="009C5369"/>
    <w:rsid w:val="009C56E0"/>
    <w:rsid w:val="009C5B81"/>
    <w:rsid w:val="009C5DDF"/>
    <w:rsid w:val="009C63BD"/>
    <w:rsid w:val="009C63C6"/>
    <w:rsid w:val="009C6636"/>
    <w:rsid w:val="009C6A79"/>
    <w:rsid w:val="009C6CB6"/>
    <w:rsid w:val="009C7194"/>
    <w:rsid w:val="009C7354"/>
    <w:rsid w:val="009C7421"/>
    <w:rsid w:val="009C75FB"/>
    <w:rsid w:val="009C782B"/>
    <w:rsid w:val="009C7830"/>
    <w:rsid w:val="009C7ABF"/>
    <w:rsid w:val="009C7B80"/>
    <w:rsid w:val="009C7C1F"/>
    <w:rsid w:val="009C7DCA"/>
    <w:rsid w:val="009D022C"/>
    <w:rsid w:val="009D0297"/>
    <w:rsid w:val="009D051A"/>
    <w:rsid w:val="009D0591"/>
    <w:rsid w:val="009D0841"/>
    <w:rsid w:val="009D097C"/>
    <w:rsid w:val="009D09A3"/>
    <w:rsid w:val="009D0AF8"/>
    <w:rsid w:val="009D0B0D"/>
    <w:rsid w:val="009D0B51"/>
    <w:rsid w:val="009D0BBD"/>
    <w:rsid w:val="009D1026"/>
    <w:rsid w:val="009D1956"/>
    <w:rsid w:val="009D1B36"/>
    <w:rsid w:val="009D1E59"/>
    <w:rsid w:val="009D1E62"/>
    <w:rsid w:val="009D1E97"/>
    <w:rsid w:val="009D20C8"/>
    <w:rsid w:val="009D20E8"/>
    <w:rsid w:val="009D23D8"/>
    <w:rsid w:val="009D23F5"/>
    <w:rsid w:val="009D25E0"/>
    <w:rsid w:val="009D26A8"/>
    <w:rsid w:val="009D272D"/>
    <w:rsid w:val="009D27FF"/>
    <w:rsid w:val="009D2AFF"/>
    <w:rsid w:val="009D2B62"/>
    <w:rsid w:val="009D2C19"/>
    <w:rsid w:val="009D2C49"/>
    <w:rsid w:val="009D2D63"/>
    <w:rsid w:val="009D2EFA"/>
    <w:rsid w:val="009D325F"/>
    <w:rsid w:val="009D34F4"/>
    <w:rsid w:val="009D3673"/>
    <w:rsid w:val="009D37D2"/>
    <w:rsid w:val="009D40CD"/>
    <w:rsid w:val="009D410C"/>
    <w:rsid w:val="009D416A"/>
    <w:rsid w:val="009D4171"/>
    <w:rsid w:val="009D454C"/>
    <w:rsid w:val="009D45DB"/>
    <w:rsid w:val="009D45E7"/>
    <w:rsid w:val="009D4625"/>
    <w:rsid w:val="009D467E"/>
    <w:rsid w:val="009D4701"/>
    <w:rsid w:val="009D4742"/>
    <w:rsid w:val="009D4863"/>
    <w:rsid w:val="009D494D"/>
    <w:rsid w:val="009D4EC0"/>
    <w:rsid w:val="009D53F5"/>
    <w:rsid w:val="009D5682"/>
    <w:rsid w:val="009D58B2"/>
    <w:rsid w:val="009D5A56"/>
    <w:rsid w:val="009D5C71"/>
    <w:rsid w:val="009D5C9D"/>
    <w:rsid w:val="009D5EED"/>
    <w:rsid w:val="009D6098"/>
    <w:rsid w:val="009D60D8"/>
    <w:rsid w:val="009D626F"/>
    <w:rsid w:val="009D6274"/>
    <w:rsid w:val="009D649E"/>
    <w:rsid w:val="009D67BF"/>
    <w:rsid w:val="009D68F4"/>
    <w:rsid w:val="009D6C24"/>
    <w:rsid w:val="009D6E29"/>
    <w:rsid w:val="009D6EA3"/>
    <w:rsid w:val="009D74A6"/>
    <w:rsid w:val="009D7529"/>
    <w:rsid w:val="009D75F5"/>
    <w:rsid w:val="009D7A3E"/>
    <w:rsid w:val="009D7AE9"/>
    <w:rsid w:val="009D7B2C"/>
    <w:rsid w:val="009D7BD5"/>
    <w:rsid w:val="009D7CED"/>
    <w:rsid w:val="009E0154"/>
    <w:rsid w:val="009E01EA"/>
    <w:rsid w:val="009E01FA"/>
    <w:rsid w:val="009E038F"/>
    <w:rsid w:val="009E04F8"/>
    <w:rsid w:val="009E0569"/>
    <w:rsid w:val="009E05F0"/>
    <w:rsid w:val="009E06A0"/>
    <w:rsid w:val="009E072D"/>
    <w:rsid w:val="009E08BB"/>
    <w:rsid w:val="009E0953"/>
    <w:rsid w:val="009E0C85"/>
    <w:rsid w:val="009E0C92"/>
    <w:rsid w:val="009E0DF6"/>
    <w:rsid w:val="009E12CD"/>
    <w:rsid w:val="009E12D5"/>
    <w:rsid w:val="009E13FE"/>
    <w:rsid w:val="009E1478"/>
    <w:rsid w:val="009E1750"/>
    <w:rsid w:val="009E1890"/>
    <w:rsid w:val="009E19AB"/>
    <w:rsid w:val="009E1E7B"/>
    <w:rsid w:val="009E1F6F"/>
    <w:rsid w:val="009E1FBE"/>
    <w:rsid w:val="009E2154"/>
    <w:rsid w:val="009E2295"/>
    <w:rsid w:val="009E24D5"/>
    <w:rsid w:val="009E2652"/>
    <w:rsid w:val="009E294C"/>
    <w:rsid w:val="009E2975"/>
    <w:rsid w:val="009E2BED"/>
    <w:rsid w:val="009E2C5C"/>
    <w:rsid w:val="009E301A"/>
    <w:rsid w:val="009E33E7"/>
    <w:rsid w:val="009E3448"/>
    <w:rsid w:val="009E3527"/>
    <w:rsid w:val="009E354C"/>
    <w:rsid w:val="009E3659"/>
    <w:rsid w:val="009E3780"/>
    <w:rsid w:val="009E3838"/>
    <w:rsid w:val="009E38FB"/>
    <w:rsid w:val="009E3DD2"/>
    <w:rsid w:val="009E3F79"/>
    <w:rsid w:val="009E446C"/>
    <w:rsid w:val="009E4EA8"/>
    <w:rsid w:val="009E4F39"/>
    <w:rsid w:val="009E5017"/>
    <w:rsid w:val="009E56BF"/>
    <w:rsid w:val="009E5A72"/>
    <w:rsid w:val="009E5BCF"/>
    <w:rsid w:val="009E5E7F"/>
    <w:rsid w:val="009E5F8C"/>
    <w:rsid w:val="009E632B"/>
    <w:rsid w:val="009E657B"/>
    <w:rsid w:val="009E68CE"/>
    <w:rsid w:val="009E6AB5"/>
    <w:rsid w:val="009E6CCC"/>
    <w:rsid w:val="009E6DDB"/>
    <w:rsid w:val="009E6F17"/>
    <w:rsid w:val="009E6F29"/>
    <w:rsid w:val="009E7297"/>
    <w:rsid w:val="009E7777"/>
    <w:rsid w:val="009E7935"/>
    <w:rsid w:val="009E7F3E"/>
    <w:rsid w:val="009F0250"/>
    <w:rsid w:val="009F031E"/>
    <w:rsid w:val="009F0557"/>
    <w:rsid w:val="009F06EA"/>
    <w:rsid w:val="009F0848"/>
    <w:rsid w:val="009F0AAD"/>
    <w:rsid w:val="009F0BE5"/>
    <w:rsid w:val="009F0D44"/>
    <w:rsid w:val="009F0F78"/>
    <w:rsid w:val="009F10E8"/>
    <w:rsid w:val="009F1139"/>
    <w:rsid w:val="009F1183"/>
    <w:rsid w:val="009F138B"/>
    <w:rsid w:val="009F145C"/>
    <w:rsid w:val="009F164A"/>
    <w:rsid w:val="009F1B96"/>
    <w:rsid w:val="009F1D6C"/>
    <w:rsid w:val="009F2027"/>
    <w:rsid w:val="009F26B0"/>
    <w:rsid w:val="009F2CEE"/>
    <w:rsid w:val="009F2D00"/>
    <w:rsid w:val="009F2D1E"/>
    <w:rsid w:val="009F33E4"/>
    <w:rsid w:val="009F35C5"/>
    <w:rsid w:val="009F35CA"/>
    <w:rsid w:val="009F365D"/>
    <w:rsid w:val="009F3858"/>
    <w:rsid w:val="009F43A3"/>
    <w:rsid w:val="009F4634"/>
    <w:rsid w:val="009F4CA9"/>
    <w:rsid w:val="009F4F7C"/>
    <w:rsid w:val="009F50BC"/>
    <w:rsid w:val="009F52ED"/>
    <w:rsid w:val="009F5A15"/>
    <w:rsid w:val="009F5E0E"/>
    <w:rsid w:val="009F5F8D"/>
    <w:rsid w:val="009F5FEB"/>
    <w:rsid w:val="009F62B6"/>
    <w:rsid w:val="009F62F3"/>
    <w:rsid w:val="009F678A"/>
    <w:rsid w:val="009F6939"/>
    <w:rsid w:val="009F6A01"/>
    <w:rsid w:val="009F6A16"/>
    <w:rsid w:val="009F6E91"/>
    <w:rsid w:val="009F7055"/>
    <w:rsid w:val="009F725E"/>
    <w:rsid w:val="009F73A9"/>
    <w:rsid w:val="009F76CC"/>
    <w:rsid w:val="009F7A57"/>
    <w:rsid w:val="009F7A91"/>
    <w:rsid w:val="009F7B9A"/>
    <w:rsid w:val="009F7E5D"/>
    <w:rsid w:val="009F7F5A"/>
    <w:rsid w:val="00A00405"/>
    <w:rsid w:val="00A00DE0"/>
    <w:rsid w:val="00A00E1A"/>
    <w:rsid w:val="00A011FE"/>
    <w:rsid w:val="00A012D6"/>
    <w:rsid w:val="00A016D2"/>
    <w:rsid w:val="00A01793"/>
    <w:rsid w:val="00A01B48"/>
    <w:rsid w:val="00A01B5C"/>
    <w:rsid w:val="00A01C7D"/>
    <w:rsid w:val="00A01D19"/>
    <w:rsid w:val="00A01DA1"/>
    <w:rsid w:val="00A01FC0"/>
    <w:rsid w:val="00A027F0"/>
    <w:rsid w:val="00A02826"/>
    <w:rsid w:val="00A028D0"/>
    <w:rsid w:val="00A028F5"/>
    <w:rsid w:val="00A02F03"/>
    <w:rsid w:val="00A03044"/>
    <w:rsid w:val="00A032FA"/>
    <w:rsid w:val="00A035F8"/>
    <w:rsid w:val="00A039DE"/>
    <w:rsid w:val="00A03ACB"/>
    <w:rsid w:val="00A03FC5"/>
    <w:rsid w:val="00A0421F"/>
    <w:rsid w:val="00A045DC"/>
    <w:rsid w:val="00A0492B"/>
    <w:rsid w:val="00A04B54"/>
    <w:rsid w:val="00A04C49"/>
    <w:rsid w:val="00A04E6B"/>
    <w:rsid w:val="00A04F33"/>
    <w:rsid w:val="00A051EA"/>
    <w:rsid w:val="00A0533E"/>
    <w:rsid w:val="00A0538B"/>
    <w:rsid w:val="00A05BAE"/>
    <w:rsid w:val="00A05D28"/>
    <w:rsid w:val="00A05F2B"/>
    <w:rsid w:val="00A05F80"/>
    <w:rsid w:val="00A06408"/>
    <w:rsid w:val="00A0655A"/>
    <w:rsid w:val="00A06697"/>
    <w:rsid w:val="00A067C5"/>
    <w:rsid w:val="00A06832"/>
    <w:rsid w:val="00A06AE3"/>
    <w:rsid w:val="00A06C8A"/>
    <w:rsid w:val="00A06F14"/>
    <w:rsid w:val="00A07264"/>
    <w:rsid w:val="00A07348"/>
    <w:rsid w:val="00A07478"/>
    <w:rsid w:val="00A078A8"/>
    <w:rsid w:val="00A07E16"/>
    <w:rsid w:val="00A07F52"/>
    <w:rsid w:val="00A1056F"/>
    <w:rsid w:val="00A1092E"/>
    <w:rsid w:val="00A109C6"/>
    <w:rsid w:val="00A10C53"/>
    <w:rsid w:val="00A10C56"/>
    <w:rsid w:val="00A10D13"/>
    <w:rsid w:val="00A10EAE"/>
    <w:rsid w:val="00A110C8"/>
    <w:rsid w:val="00A110FE"/>
    <w:rsid w:val="00A11107"/>
    <w:rsid w:val="00A11144"/>
    <w:rsid w:val="00A111A2"/>
    <w:rsid w:val="00A111AF"/>
    <w:rsid w:val="00A116F4"/>
    <w:rsid w:val="00A11960"/>
    <w:rsid w:val="00A11A3B"/>
    <w:rsid w:val="00A11A63"/>
    <w:rsid w:val="00A11E11"/>
    <w:rsid w:val="00A11E91"/>
    <w:rsid w:val="00A12175"/>
    <w:rsid w:val="00A123D7"/>
    <w:rsid w:val="00A12442"/>
    <w:rsid w:val="00A124EC"/>
    <w:rsid w:val="00A12707"/>
    <w:rsid w:val="00A12730"/>
    <w:rsid w:val="00A12821"/>
    <w:rsid w:val="00A12841"/>
    <w:rsid w:val="00A12AEC"/>
    <w:rsid w:val="00A13598"/>
    <w:rsid w:val="00A13B7D"/>
    <w:rsid w:val="00A13C9F"/>
    <w:rsid w:val="00A144AD"/>
    <w:rsid w:val="00A14996"/>
    <w:rsid w:val="00A14B37"/>
    <w:rsid w:val="00A14C04"/>
    <w:rsid w:val="00A14CE3"/>
    <w:rsid w:val="00A14F46"/>
    <w:rsid w:val="00A14FE9"/>
    <w:rsid w:val="00A1553D"/>
    <w:rsid w:val="00A15701"/>
    <w:rsid w:val="00A15BEA"/>
    <w:rsid w:val="00A15E0A"/>
    <w:rsid w:val="00A15E34"/>
    <w:rsid w:val="00A16128"/>
    <w:rsid w:val="00A162B5"/>
    <w:rsid w:val="00A167D4"/>
    <w:rsid w:val="00A16905"/>
    <w:rsid w:val="00A16969"/>
    <w:rsid w:val="00A16B84"/>
    <w:rsid w:val="00A16BEB"/>
    <w:rsid w:val="00A16D7B"/>
    <w:rsid w:val="00A1714F"/>
    <w:rsid w:val="00A171F0"/>
    <w:rsid w:val="00A1749F"/>
    <w:rsid w:val="00A175BA"/>
    <w:rsid w:val="00A175DD"/>
    <w:rsid w:val="00A17B73"/>
    <w:rsid w:val="00A17D01"/>
    <w:rsid w:val="00A17D46"/>
    <w:rsid w:val="00A17DBA"/>
    <w:rsid w:val="00A206D9"/>
    <w:rsid w:val="00A20C78"/>
    <w:rsid w:val="00A20D10"/>
    <w:rsid w:val="00A20EAA"/>
    <w:rsid w:val="00A20F37"/>
    <w:rsid w:val="00A2107F"/>
    <w:rsid w:val="00A213B6"/>
    <w:rsid w:val="00A21A3E"/>
    <w:rsid w:val="00A21EE9"/>
    <w:rsid w:val="00A22348"/>
    <w:rsid w:val="00A22358"/>
    <w:rsid w:val="00A224DB"/>
    <w:rsid w:val="00A225D7"/>
    <w:rsid w:val="00A225F4"/>
    <w:rsid w:val="00A22630"/>
    <w:rsid w:val="00A22751"/>
    <w:rsid w:val="00A22807"/>
    <w:rsid w:val="00A22983"/>
    <w:rsid w:val="00A229EB"/>
    <w:rsid w:val="00A22ACF"/>
    <w:rsid w:val="00A22D7E"/>
    <w:rsid w:val="00A22EAC"/>
    <w:rsid w:val="00A2305E"/>
    <w:rsid w:val="00A2333D"/>
    <w:rsid w:val="00A23688"/>
    <w:rsid w:val="00A23CC6"/>
    <w:rsid w:val="00A23D73"/>
    <w:rsid w:val="00A23DF5"/>
    <w:rsid w:val="00A23E14"/>
    <w:rsid w:val="00A2456E"/>
    <w:rsid w:val="00A24DF3"/>
    <w:rsid w:val="00A251AB"/>
    <w:rsid w:val="00A2526E"/>
    <w:rsid w:val="00A25A45"/>
    <w:rsid w:val="00A25B0F"/>
    <w:rsid w:val="00A25B68"/>
    <w:rsid w:val="00A25D3B"/>
    <w:rsid w:val="00A25ED7"/>
    <w:rsid w:val="00A25FE6"/>
    <w:rsid w:val="00A26770"/>
    <w:rsid w:val="00A267C3"/>
    <w:rsid w:val="00A26871"/>
    <w:rsid w:val="00A26A34"/>
    <w:rsid w:val="00A26C57"/>
    <w:rsid w:val="00A26ED4"/>
    <w:rsid w:val="00A2708B"/>
    <w:rsid w:val="00A27115"/>
    <w:rsid w:val="00A271FB"/>
    <w:rsid w:val="00A278B7"/>
    <w:rsid w:val="00A27AEC"/>
    <w:rsid w:val="00A27B32"/>
    <w:rsid w:val="00A27CD4"/>
    <w:rsid w:val="00A301F6"/>
    <w:rsid w:val="00A30265"/>
    <w:rsid w:val="00A302DC"/>
    <w:rsid w:val="00A3057D"/>
    <w:rsid w:val="00A30A32"/>
    <w:rsid w:val="00A30F52"/>
    <w:rsid w:val="00A30FA5"/>
    <w:rsid w:val="00A31377"/>
    <w:rsid w:val="00A31541"/>
    <w:rsid w:val="00A3176A"/>
    <w:rsid w:val="00A3183A"/>
    <w:rsid w:val="00A31B20"/>
    <w:rsid w:val="00A31F8E"/>
    <w:rsid w:val="00A3234B"/>
    <w:rsid w:val="00A32466"/>
    <w:rsid w:val="00A324A9"/>
    <w:rsid w:val="00A324AA"/>
    <w:rsid w:val="00A3281A"/>
    <w:rsid w:val="00A32964"/>
    <w:rsid w:val="00A32977"/>
    <w:rsid w:val="00A32D8F"/>
    <w:rsid w:val="00A32E75"/>
    <w:rsid w:val="00A3304C"/>
    <w:rsid w:val="00A333B5"/>
    <w:rsid w:val="00A3351D"/>
    <w:rsid w:val="00A33618"/>
    <w:rsid w:val="00A338D6"/>
    <w:rsid w:val="00A33924"/>
    <w:rsid w:val="00A33C5A"/>
    <w:rsid w:val="00A33D8E"/>
    <w:rsid w:val="00A34357"/>
    <w:rsid w:val="00A345A9"/>
    <w:rsid w:val="00A345BD"/>
    <w:rsid w:val="00A34705"/>
    <w:rsid w:val="00A34A1A"/>
    <w:rsid w:val="00A34EC0"/>
    <w:rsid w:val="00A34FD8"/>
    <w:rsid w:val="00A352BD"/>
    <w:rsid w:val="00A354DC"/>
    <w:rsid w:val="00A3571C"/>
    <w:rsid w:val="00A35DE5"/>
    <w:rsid w:val="00A35ECF"/>
    <w:rsid w:val="00A35F7B"/>
    <w:rsid w:val="00A3616F"/>
    <w:rsid w:val="00A36264"/>
    <w:rsid w:val="00A3652B"/>
    <w:rsid w:val="00A36677"/>
    <w:rsid w:val="00A366E1"/>
    <w:rsid w:val="00A36B9C"/>
    <w:rsid w:val="00A36E34"/>
    <w:rsid w:val="00A36E5C"/>
    <w:rsid w:val="00A372C9"/>
    <w:rsid w:val="00A373C9"/>
    <w:rsid w:val="00A375D4"/>
    <w:rsid w:val="00A3773B"/>
    <w:rsid w:val="00A37A61"/>
    <w:rsid w:val="00A37A7D"/>
    <w:rsid w:val="00A37CA6"/>
    <w:rsid w:val="00A37F8C"/>
    <w:rsid w:val="00A40118"/>
    <w:rsid w:val="00A401C4"/>
    <w:rsid w:val="00A4050C"/>
    <w:rsid w:val="00A40573"/>
    <w:rsid w:val="00A408C4"/>
    <w:rsid w:val="00A408EB"/>
    <w:rsid w:val="00A40BEA"/>
    <w:rsid w:val="00A40CFC"/>
    <w:rsid w:val="00A40DA0"/>
    <w:rsid w:val="00A411F9"/>
    <w:rsid w:val="00A41360"/>
    <w:rsid w:val="00A41519"/>
    <w:rsid w:val="00A418E8"/>
    <w:rsid w:val="00A41A51"/>
    <w:rsid w:val="00A41B43"/>
    <w:rsid w:val="00A41B82"/>
    <w:rsid w:val="00A41CF9"/>
    <w:rsid w:val="00A41F5B"/>
    <w:rsid w:val="00A42173"/>
    <w:rsid w:val="00A421EC"/>
    <w:rsid w:val="00A423BA"/>
    <w:rsid w:val="00A42403"/>
    <w:rsid w:val="00A42442"/>
    <w:rsid w:val="00A4259B"/>
    <w:rsid w:val="00A4263C"/>
    <w:rsid w:val="00A42721"/>
    <w:rsid w:val="00A428C2"/>
    <w:rsid w:val="00A429A5"/>
    <w:rsid w:val="00A42F77"/>
    <w:rsid w:val="00A43029"/>
    <w:rsid w:val="00A4315C"/>
    <w:rsid w:val="00A432EA"/>
    <w:rsid w:val="00A435AF"/>
    <w:rsid w:val="00A43845"/>
    <w:rsid w:val="00A43C02"/>
    <w:rsid w:val="00A43F93"/>
    <w:rsid w:val="00A440AC"/>
    <w:rsid w:val="00A4421D"/>
    <w:rsid w:val="00A442C9"/>
    <w:rsid w:val="00A44B55"/>
    <w:rsid w:val="00A44B7E"/>
    <w:rsid w:val="00A44C4A"/>
    <w:rsid w:val="00A453AE"/>
    <w:rsid w:val="00A45D49"/>
    <w:rsid w:val="00A460E7"/>
    <w:rsid w:val="00A46218"/>
    <w:rsid w:val="00A463A7"/>
    <w:rsid w:val="00A4640E"/>
    <w:rsid w:val="00A46AE3"/>
    <w:rsid w:val="00A46C49"/>
    <w:rsid w:val="00A46C6A"/>
    <w:rsid w:val="00A46CB4"/>
    <w:rsid w:val="00A4723C"/>
    <w:rsid w:val="00A472DD"/>
    <w:rsid w:val="00A47796"/>
    <w:rsid w:val="00A478A5"/>
    <w:rsid w:val="00A47C93"/>
    <w:rsid w:val="00A47D2E"/>
    <w:rsid w:val="00A47E06"/>
    <w:rsid w:val="00A47E2A"/>
    <w:rsid w:val="00A47F01"/>
    <w:rsid w:val="00A50280"/>
    <w:rsid w:val="00A5087A"/>
    <w:rsid w:val="00A50A56"/>
    <w:rsid w:val="00A50A6F"/>
    <w:rsid w:val="00A511DE"/>
    <w:rsid w:val="00A51370"/>
    <w:rsid w:val="00A515E6"/>
    <w:rsid w:val="00A51797"/>
    <w:rsid w:val="00A51D75"/>
    <w:rsid w:val="00A5268D"/>
    <w:rsid w:val="00A52D79"/>
    <w:rsid w:val="00A52DED"/>
    <w:rsid w:val="00A52FA7"/>
    <w:rsid w:val="00A52FBF"/>
    <w:rsid w:val="00A53091"/>
    <w:rsid w:val="00A532EE"/>
    <w:rsid w:val="00A53712"/>
    <w:rsid w:val="00A539C0"/>
    <w:rsid w:val="00A53B4C"/>
    <w:rsid w:val="00A53C2F"/>
    <w:rsid w:val="00A543E0"/>
    <w:rsid w:val="00A544B7"/>
    <w:rsid w:val="00A54590"/>
    <w:rsid w:val="00A545BB"/>
    <w:rsid w:val="00A54688"/>
    <w:rsid w:val="00A54A99"/>
    <w:rsid w:val="00A54BCB"/>
    <w:rsid w:val="00A54CE1"/>
    <w:rsid w:val="00A55007"/>
    <w:rsid w:val="00A5524D"/>
    <w:rsid w:val="00A553D8"/>
    <w:rsid w:val="00A5546B"/>
    <w:rsid w:val="00A555C4"/>
    <w:rsid w:val="00A55834"/>
    <w:rsid w:val="00A5595B"/>
    <w:rsid w:val="00A55970"/>
    <w:rsid w:val="00A55EAC"/>
    <w:rsid w:val="00A56246"/>
    <w:rsid w:val="00A56414"/>
    <w:rsid w:val="00A567FC"/>
    <w:rsid w:val="00A56952"/>
    <w:rsid w:val="00A56C69"/>
    <w:rsid w:val="00A56C92"/>
    <w:rsid w:val="00A56DE9"/>
    <w:rsid w:val="00A56EA0"/>
    <w:rsid w:val="00A56F55"/>
    <w:rsid w:val="00A5729C"/>
    <w:rsid w:val="00A573A4"/>
    <w:rsid w:val="00A57926"/>
    <w:rsid w:val="00A57AE7"/>
    <w:rsid w:val="00A60381"/>
    <w:rsid w:val="00A6095E"/>
    <w:rsid w:val="00A60A12"/>
    <w:rsid w:val="00A60AFC"/>
    <w:rsid w:val="00A60BB9"/>
    <w:rsid w:val="00A60D9C"/>
    <w:rsid w:val="00A60DA9"/>
    <w:rsid w:val="00A60E67"/>
    <w:rsid w:val="00A610CD"/>
    <w:rsid w:val="00A610E8"/>
    <w:rsid w:val="00A61222"/>
    <w:rsid w:val="00A615CA"/>
    <w:rsid w:val="00A6189C"/>
    <w:rsid w:val="00A61CED"/>
    <w:rsid w:val="00A61F34"/>
    <w:rsid w:val="00A62291"/>
    <w:rsid w:val="00A622E8"/>
    <w:rsid w:val="00A62455"/>
    <w:rsid w:val="00A624FC"/>
    <w:rsid w:val="00A6281D"/>
    <w:rsid w:val="00A629CA"/>
    <w:rsid w:val="00A629EB"/>
    <w:rsid w:val="00A629F1"/>
    <w:rsid w:val="00A62C3E"/>
    <w:rsid w:val="00A62C7C"/>
    <w:rsid w:val="00A632FD"/>
    <w:rsid w:val="00A635A2"/>
    <w:rsid w:val="00A635B6"/>
    <w:rsid w:val="00A635B7"/>
    <w:rsid w:val="00A638FE"/>
    <w:rsid w:val="00A6392E"/>
    <w:rsid w:val="00A63A55"/>
    <w:rsid w:val="00A63D6D"/>
    <w:rsid w:val="00A63F5B"/>
    <w:rsid w:val="00A6406C"/>
    <w:rsid w:val="00A64109"/>
    <w:rsid w:val="00A6499E"/>
    <w:rsid w:val="00A64BED"/>
    <w:rsid w:val="00A64FA6"/>
    <w:rsid w:val="00A652F1"/>
    <w:rsid w:val="00A6536A"/>
    <w:rsid w:val="00A654BE"/>
    <w:rsid w:val="00A654E3"/>
    <w:rsid w:val="00A65DE3"/>
    <w:rsid w:val="00A65F28"/>
    <w:rsid w:val="00A6601E"/>
    <w:rsid w:val="00A661BC"/>
    <w:rsid w:val="00A6623E"/>
    <w:rsid w:val="00A66425"/>
    <w:rsid w:val="00A66698"/>
    <w:rsid w:val="00A668AF"/>
    <w:rsid w:val="00A66B2C"/>
    <w:rsid w:val="00A66BBB"/>
    <w:rsid w:val="00A66C1A"/>
    <w:rsid w:val="00A66CE7"/>
    <w:rsid w:val="00A6750E"/>
    <w:rsid w:val="00A677F2"/>
    <w:rsid w:val="00A70264"/>
    <w:rsid w:val="00A703F1"/>
    <w:rsid w:val="00A70573"/>
    <w:rsid w:val="00A705D9"/>
    <w:rsid w:val="00A706CD"/>
    <w:rsid w:val="00A70776"/>
    <w:rsid w:val="00A70895"/>
    <w:rsid w:val="00A70A1E"/>
    <w:rsid w:val="00A70D56"/>
    <w:rsid w:val="00A70EB4"/>
    <w:rsid w:val="00A70FF7"/>
    <w:rsid w:val="00A7139E"/>
    <w:rsid w:val="00A715FC"/>
    <w:rsid w:val="00A71760"/>
    <w:rsid w:val="00A71B35"/>
    <w:rsid w:val="00A71C7A"/>
    <w:rsid w:val="00A71D95"/>
    <w:rsid w:val="00A71F21"/>
    <w:rsid w:val="00A71FB1"/>
    <w:rsid w:val="00A7203D"/>
    <w:rsid w:val="00A722B0"/>
    <w:rsid w:val="00A722D1"/>
    <w:rsid w:val="00A724CD"/>
    <w:rsid w:val="00A72699"/>
    <w:rsid w:val="00A727AC"/>
    <w:rsid w:val="00A72A4F"/>
    <w:rsid w:val="00A72B57"/>
    <w:rsid w:val="00A730F6"/>
    <w:rsid w:val="00A7361F"/>
    <w:rsid w:val="00A738DD"/>
    <w:rsid w:val="00A73FD5"/>
    <w:rsid w:val="00A73FFF"/>
    <w:rsid w:val="00A74138"/>
    <w:rsid w:val="00A741FA"/>
    <w:rsid w:val="00A7444F"/>
    <w:rsid w:val="00A74538"/>
    <w:rsid w:val="00A74643"/>
    <w:rsid w:val="00A747D8"/>
    <w:rsid w:val="00A74898"/>
    <w:rsid w:val="00A74D92"/>
    <w:rsid w:val="00A74DBE"/>
    <w:rsid w:val="00A74E44"/>
    <w:rsid w:val="00A74FA2"/>
    <w:rsid w:val="00A7523C"/>
    <w:rsid w:val="00A7575B"/>
    <w:rsid w:val="00A757A1"/>
    <w:rsid w:val="00A75858"/>
    <w:rsid w:val="00A761FA"/>
    <w:rsid w:val="00A76588"/>
    <w:rsid w:val="00A769D8"/>
    <w:rsid w:val="00A76A39"/>
    <w:rsid w:val="00A76B41"/>
    <w:rsid w:val="00A76E3D"/>
    <w:rsid w:val="00A76F05"/>
    <w:rsid w:val="00A7708D"/>
    <w:rsid w:val="00A7738D"/>
    <w:rsid w:val="00A774CC"/>
    <w:rsid w:val="00A775C9"/>
    <w:rsid w:val="00A776AA"/>
    <w:rsid w:val="00A77C3C"/>
    <w:rsid w:val="00A77F31"/>
    <w:rsid w:val="00A80215"/>
    <w:rsid w:val="00A803BB"/>
    <w:rsid w:val="00A805F2"/>
    <w:rsid w:val="00A80679"/>
    <w:rsid w:val="00A808C0"/>
    <w:rsid w:val="00A80A72"/>
    <w:rsid w:val="00A80BB6"/>
    <w:rsid w:val="00A80BD5"/>
    <w:rsid w:val="00A810CD"/>
    <w:rsid w:val="00A81350"/>
    <w:rsid w:val="00A81358"/>
    <w:rsid w:val="00A817D4"/>
    <w:rsid w:val="00A818E4"/>
    <w:rsid w:val="00A81BEC"/>
    <w:rsid w:val="00A82047"/>
    <w:rsid w:val="00A82194"/>
    <w:rsid w:val="00A8234D"/>
    <w:rsid w:val="00A823B0"/>
    <w:rsid w:val="00A82433"/>
    <w:rsid w:val="00A82596"/>
    <w:rsid w:val="00A8260A"/>
    <w:rsid w:val="00A826D7"/>
    <w:rsid w:val="00A8282B"/>
    <w:rsid w:val="00A82945"/>
    <w:rsid w:val="00A82AB1"/>
    <w:rsid w:val="00A82BDA"/>
    <w:rsid w:val="00A83071"/>
    <w:rsid w:val="00A83223"/>
    <w:rsid w:val="00A8333F"/>
    <w:rsid w:val="00A83677"/>
    <w:rsid w:val="00A83D55"/>
    <w:rsid w:val="00A840CE"/>
    <w:rsid w:val="00A842CC"/>
    <w:rsid w:val="00A842F5"/>
    <w:rsid w:val="00A846E4"/>
    <w:rsid w:val="00A84736"/>
    <w:rsid w:val="00A8481A"/>
    <w:rsid w:val="00A84B37"/>
    <w:rsid w:val="00A85021"/>
    <w:rsid w:val="00A8571B"/>
    <w:rsid w:val="00A85740"/>
    <w:rsid w:val="00A8583B"/>
    <w:rsid w:val="00A85940"/>
    <w:rsid w:val="00A85F44"/>
    <w:rsid w:val="00A85F89"/>
    <w:rsid w:val="00A86407"/>
    <w:rsid w:val="00A8645A"/>
    <w:rsid w:val="00A8669A"/>
    <w:rsid w:val="00A86751"/>
    <w:rsid w:val="00A86AD6"/>
    <w:rsid w:val="00A86D05"/>
    <w:rsid w:val="00A86D4E"/>
    <w:rsid w:val="00A86E11"/>
    <w:rsid w:val="00A86FEE"/>
    <w:rsid w:val="00A87026"/>
    <w:rsid w:val="00A87569"/>
    <w:rsid w:val="00A8780E"/>
    <w:rsid w:val="00A87865"/>
    <w:rsid w:val="00A87ADD"/>
    <w:rsid w:val="00A9054F"/>
    <w:rsid w:val="00A90686"/>
    <w:rsid w:val="00A90690"/>
    <w:rsid w:val="00A91262"/>
    <w:rsid w:val="00A9145E"/>
    <w:rsid w:val="00A91568"/>
    <w:rsid w:val="00A916F7"/>
    <w:rsid w:val="00A91C96"/>
    <w:rsid w:val="00A91EF5"/>
    <w:rsid w:val="00A91F06"/>
    <w:rsid w:val="00A92316"/>
    <w:rsid w:val="00A92329"/>
    <w:rsid w:val="00A9256B"/>
    <w:rsid w:val="00A92A4F"/>
    <w:rsid w:val="00A92B62"/>
    <w:rsid w:val="00A92BAC"/>
    <w:rsid w:val="00A92E3F"/>
    <w:rsid w:val="00A93895"/>
    <w:rsid w:val="00A93A25"/>
    <w:rsid w:val="00A94165"/>
    <w:rsid w:val="00A943F6"/>
    <w:rsid w:val="00A94BB1"/>
    <w:rsid w:val="00A94C99"/>
    <w:rsid w:val="00A94D61"/>
    <w:rsid w:val="00A94D92"/>
    <w:rsid w:val="00A94F65"/>
    <w:rsid w:val="00A954B6"/>
    <w:rsid w:val="00A95747"/>
    <w:rsid w:val="00A95795"/>
    <w:rsid w:val="00A95924"/>
    <w:rsid w:val="00A95BAD"/>
    <w:rsid w:val="00A95C2F"/>
    <w:rsid w:val="00A95D45"/>
    <w:rsid w:val="00A95ED9"/>
    <w:rsid w:val="00A96349"/>
    <w:rsid w:val="00A96922"/>
    <w:rsid w:val="00A96C35"/>
    <w:rsid w:val="00A96E8D"/>
    <w:rsid w:val="00A973F5"/>
    <w:rsid w:val="00A97569"/>
    <w:rsid w:val="00A978E7"/>
    <w:rsid w:val="00A97D88"/>
    <w:rsid w:val="00AA0136"/>
    <w:rsid w:val="00AA02CD"/>
    <w:rsid w:val="00AA0477"/>
    <w:rsid w:val="00AA08D2"/>
    <w:rsid w:val="00AA10D5"/>
    <w:rsid w:val="00AA11A5"/>
    <w:rsid w:val="00AA12DB"/>
    <w:rsid w:val="00AA15E0"/>
    <w:rsid w:val="00AA170E"/>
    <w:rsid w:val="00AA1B9A"/>
    <w:rsid w:val="00AA1BCB"/>
    <w:rsid w:val="00AA1BE2"/>
    <w:rsid w:val="00AA1D49"/>
    <w:rsid w:val="00AA1E33"/>
    <w:rsid w:val="00AA20E3"/>
    <w:rsid w:val="00AA20FC"/>
    <w:rsid w:val="00AA24BB"/>
    <w:rsid w:val="00AA252C"/>
    <w:rsid w:val="00AA25DB"/>
    <w:rsid w:val="00AA26D8"/>
    <w:rsid w:val="00AA293F"/>
    <w:rsid w:val="00AA29C0"/>
    <w:rsid w:val="00AA325E"/>
    <w:rsid w:val="00AA32FB"/>
    <w:rsid w:val="00AA331E"/>
    <w:rsid w:val="00AA3600"/>
    <w:rsid w:val="00AA38D1"/>
    <w:rsid w:val="00AA3DA5"/>
    <w:rsid w:val="00AA3E5F"/>
    <w:rsid w:val="00AA3EA2"/>
    <w:rsid w:val="00AA4160"/>
    <w:rsid w:val="00AA44A7"/>
    <w:rsid w:val="00AA44DB"/>
    <w:rsid w:val="00AA4575"/>
    <w:rsid w:val="00AA4673"/>
    <w:rsid w:val="00AA47A5"/>
    <w:rsid w:val="00AA4AC0"/>
    <w:rsid w:val="00AA4C45"/>
    <w:rsid w:val="00AA4D24"/>
    <w:rsid w:val="00AA4DE8"/>
    <w:rsid w:val="00AA4E79"/>
    <w:rsid w:val="00AA4EBC"/>
    <w:rsid w:val="00AA530B"/>
    <w:rsid w:val="00AA599E"/>
    <w:rsid w:val="00AA5E19"/>
    <w:rsid w:val="00AA5F68"/>
    <w:rsid w:val="00AA601E"/>
    <w:rsid w:val="00AA60F1"/>
    <w:rsid w:val="00AA6214"/>
    <w:rsid w:val="00AA624C"/>
    <w:rsid w:val="00AA6343"/>
    <w:rsid w:val="00AA64B2"/>
    <w:rsid w:val="00AA6629"/>
    <w:rsid w:val="00AA6659"/>
    <w:rsid w:val="00AA6662"/>
    <w:rsid w:val="00AA66FD"/>
    <w:rsid w:val="00AA6B61"/>
    <w:rsid w:val="00AA717D"/>
    <w:rsid w:val="00AA7222"/>
    <w:rsid w:val="00AA732C"/>
    <w:rsid w:val="00AA7436"/>
    <w:rsid w:val="00AA74F2"/>
    <w:rsid w:val="00AA754F"/>
    <w:rsid w:val="00AA761C"/>
    <w:rsid w:val="00AA78C4"/>
    <w:rsid w:val="00AA7A6F"/>
    <w:rsid w:val="00AA7A92"/>
    <w:rsid w:val="00AA7B09"/>
    <w:rsid w:val="00AA7D60"/>
    <w:rsid w:val="00AA7D79"/>
    <w:rsid w:val="00AA7F12"/>
    <w:rsid w:val="00AB0104"/>
    <w:rsid w:val="00AB02A9"/>
    <w:rsid w:val="00AB0890"/>
    <w:rsid w:val="00AB0D18"/>
    <w:rsid w:val="00AB0F42"/>
    <w:rsid w:val="00AB0F81"/>
    <w:rsid w:val="00AB17F3"/>
    <w:rsid w:val="00AB1A33"/>
    <w:rsid w:val="00AB1DE2"/>
    <w:rsid w:val="00AB1DE6"/>
    <w:rsid w:val="00AB1F11"/>
    <w:rsid w:val="00AB2098"/>
    <w:rsid w:val="00AB2423"/>
    <w:rsid w:val="00AB24CD"/>
    <w:rsid w:val="00AB27D9"/>
    <w:rsid w:val="00AB28CF"/>
    <w:rsid w:val="00AB2ED3"/>
    <w:rsid w:val="00AB3100"/>
    <w:rsid w:val="00AB3332"/>
    <w:rsid w:val="00AB3723"/>
    <w:rsid w:val="00AB3B1E"/>
    <w:rsid w:val="00AB3F69"/>
    <w:rsid w:val="00AB3FC3"/>
    <w:rsid w:val="00AB4035"/>
    <w:rsid w:val="00AB416C"/>
    <w:rsid w:val="00AB4196"/>
    <w:rsid w:val="00AB457A"/>
    <w:rsid w:val="00AB4692"/>
    <w:rsid w:val="00AB46E8"/>
    <w:rsid w:val="00AB48FE"/>
    <w:rsid w:val="00AB4CCC"/>
    <w:rsid w:val="00AB4D55"/>
    <w:rsid w:val="00AB4D9D"/>
    <w:rsid w:val="00AB5021"/>
    <w:rsid w:val="00AB511D"/>
    <w:rsid w:val="00AB519A"/>
    <w:rsid w:val="00AB5235"/>
    <w:rsid w:val="00AB52ED"/>
    <w:rsid w:val="00AB543D"/>
    <w:rsid w:val="00AB54ED"/>
    <w:rsid w:val="00AB5595"/>
    <w:rsid w:val="00AB564D"/>
    <w:rsid w:val="00AB56DB"/>
    <w:rsid w:val="00AB58C5"/>
    <w:rsid w:val="00AB5BC4"/>
    <w:rsid w:val="00AB607C"/>
    <w:rsid w:val="00AB61CE"/>
    <w:rsid w:val="00AB6229"/>
    <w:rsid w:val="00AB6787"/>
    <w:rsid w:val="00AB6899"/>
    <w:rsid w:val="00AB6AFF"/>
    <w:rsid w:val="00AB6B19"/>
    <w:rsid w:val="00AB6B56"/>
    <w:rsid w:val="00AB6B6F"/>
    <w:rsid w:val="00AB6CD4"/>
    <w:rsid w:val="00AB72F8"/>
    <w:rsid w:val="00AB74AC"/>
    <w:rsid w:val="00AB773F"/>
    <w:rsid w:val="00AB7835"/>
    <w:rsid w:val="00AB7ADA"/>
    <w:rsid w:val="00AB7BE3"/>
    <w:rsid w:val="00AB7C10"/>
    <w:rsid w:val="00AB7DF1"/>
    <w:rsid w:val="00AC01CF"/>
    <w:rsid w:val="00AC0216"/>
    <w:rsid w:val="00AC0395"/>
    <w:rsid w:val="00AC03AA"/>
    <w:rsid w:val="00AC04BB"/>
    <w:rsid w:val="00AC08BE"/>
    <w:rsid w:val="00AC0AB8"/>
    <w:rsid w:val="00AC0D70"/>
    <w:rsid w:val="00AC0F4A"/>
    <w:rsid w:val="00AC1170"/>
    <w:rsid w:val="00AC123F"/>
    <w:rsid w:val="00AC157F"/>
    <w:rsid w:val="00AC17E7"/>
    <w:rsid w:val="00AC186F"/>
    <w:rsid w:val="00AC18A7"/>
    <w:rsid w:val="00AC1C75"/>
    <w:rsid w:val="00AC1D41"/>
    <w:rsid w:val="00AC1D85"/>
    <w:rsid w:val="00AC1E58"/>
    <w:rsid w:val="00AC1EDD"/>
    <w:rsid w:val="00AC1F99"/>
    <w:rsid w:val="00AC2280"/>
    <w:rsid w:val="00AC22A5"/>
    <w:rsid w:val="00AC22DC"/>
    <w:rsid w:val="00AC2393"/>
    <w:rsid w:val="00AC2637"/>
    <w:rsid w:val="00AC2D58"/>
    <w:rsid w:val="00AC2DAC"/>
    <w:rsid w:val="00AC30E7"/>
    <w:rsid w:val="00AC32F2"/>
    <w:rsid w:val="00AC3A62"/>
    <w:rsid w:val="00AC3AAA"/>
    <w:rsid w:val="00AC3BC9"/>
    <w:rsid w:val="00AC3C56"/>
    <w:rsid w:val="00AC3CCB"/>
    <w:rsid w:val="00AC3F86"/>
    <w:rsid w:val="00AC3FA1"/>
    <w:rsid w:val="00AC3FFF"/>
    <w:rsid w:val="00AC409D"/>
    <w:rsid w:val="00AC40E3"/>
    <w:rsid w:val="00AC4106"/>
    <w:rsid w:val="00AC4569"/>
    <w:rsid w:val="00AC4649"/>
    <w:rsid w:val="00AC4907"/>
    <w:rsid w:val="00AC4987"/>
    <w:rsid w:val="00AC4A8B"/>
    <w:rsid w:val="00AC4AC9"/>
    <w:rsid w:val="00AC4C51"/>
    <w:rsid w:val="00AC4E38"/>
    <w:rsid w:val="00AC4ED8"/>
    <w:rsid w:val="00AC535C"/>
    <w:rsid w:val="00AC53A3"/>
    <w:rsid w:val="00AC561F"/>
    <w:rsid w:val="00AC57FF"/>
    <w:rsid w:val="00AC5B73"/>
    <w:rsid w:val="00AC5C03"/>
    <w:rsid w:val="00AC6419"/>
    <w:rsid w:val="00AC6796"/>
    <w:rsid w:val="00AC6999"/>
    <w:rsid w:val="00AC6A46"/>
    <w:rsid w:val="00AC6B17"/>
    <w:rsid w:val="00AC6DCE"/>
    <w:rsid w:val="00AC6F36"/>
    <w:rsid w:val="00AC7026"/>
    <w:rsid w:val="00AC7250"/>
    <w:rsid w:val="00AC7404"/>
    <w:rsid w:val="00AC743F"/>
    <w:rsid w:val="00AC74B0"/>
    <w:rsid w:val="00AC7519"/>
    <w:rsid w:val="00AC758E"/>
    <w:rsid w:val="00AC79CF"/>
    <w:rsid w:val="00AC7BC9"/>
    <w:rsid w:val="00AD0A91"/>
    <w:rsid w:val="00AD0D18"/>
    <w:rsid w:val="00AD1333"/>
    <w:rsid w:val="00AD157A"/>
    <w:rsid w:val="00AD1675"/>
    <w:rsid w:val="00AD1781"/>
    <w:rsid w:val="00AD17A8"/>
    <w:rsid w:val="00AD1A8F"/>
    <w:rsid w:val="00AD22C3"/>
    <w:rsid w:val="00AD26B8"/>
    <w:rsid w:val="00AD2795"/>
    <w:rsid w:val="00AD2AF4"/>
    <w:rsid w:val="00AD2EA3"/>
    <w:rsid w:val="00AD2EBB"/>
    <w:rsid w:val="00AD300E"/>
    <w:rsid w:val="00AD3428"/>
    <w:rsid w:val="00AD3490"/>
    <w:rsid w:val="00AD37A2"/>
    <w:rsid w:val="00AD3ECF"/>
    <w:rsid w:val="00AD42E8"/>
    <w:rsid w:val="00AD4861"/>
    <w:rsid w:val="00AD49AC"/>
    <w:rsid w:val="00AD4AC6"/>
    <w:rsid w:val="00AD4B0D"/>
    <w:rsid w:val="00AD4B77"/>
    <w:rsid w:val="00AD4C14"/>
    <w:rsid w:val="00AD4C31"/>
    <w:rsid w:val="00AD50B7"/>
    <w:rsid w:val="00AD5632"/>
    <w:rsid w:val="00AD5807"/>
    <w:rsid w:val="00AD586E"/>
    <w:rsid w:val="00AD5BD2"/>
    <w:rsid w:val="00AD678D"/>
    <w:rsid w:val="00AD698F"/>
    <w:rsid w:val="00AD6B34"/>
    <w:rsid w:val="00AD6B5B"/>
    <w:rsid w:val="00AD6BD2"/>
    <w:rsid w:val="00AD6BF2"/>
    <w:rsid w:val="00AD72A7"/>
    <w:rsid w:val="00AD72D6"/>
    <w:rsid w:val="00AD75AF"/>
    <w:rsid w:val="00AD77F7"/>
    <w:rsid w:val="00AD7914"/>
    <w:rsid w:val="00AD7A1A"/>
    <w:rsid w:val="00AD7D77"/>
    <w:rsid w:val="00AD7DA3"/>
    <w:rsid w:val="00AD7F43"/>
    <w:rsid w:val="00AE0087"/>
    <w:rsid w:val="00AE01AE"/>
    <w:rsid w:val="00AE028B"/>
    <w:rsid w:val="00AE02B4"/>
    <w:rsid w:val="00AE0A6B"/>
    <w:rsid w:val="00AE0E11"/>
    <w:rsid w:val="00AE0F09"/>
    <w:rsid w:val="00AE1057"/>
    <w:rsid w:val="00AE11A2"/>
    <w:rsid w:val="00AE11A4"/>
    <w:rsid w:val="00AE1A69"/>
    <w:rsid w:val="00AE1ACF"/>
    <w:rsid w:val="00AE1C8C"/>
    <w:rsid w:val="00AE1CFC"/>
    <w:rsid w:val="00AE1D74"/>
    <w:rsid w:val="00AE1DB1"/>
    <w:rsid w:val="00AE2141"/>
    <w:rsid w:val="00AE24A3"/>
    <w:rsid w:val="00AE2576"/>
    <w:rsid w:val="00AE2652"/>
    <w:rsid w:val="00AE2BB8"/>
    <w:rsid w:val="00AE2BF4"/>
    <w:rsid w:val="00AE2C50"/>
    <w:rsid w:val="00AE2D92"/>
    <w:rsid w:val="00AE2EB4"/>
    <w:rsid w:val="00AE2FE4"/>
    <w:rsid w:val="00AE361F"/>
    <w:rsid w:val="00AE37CF"/>
    <w:rsid w:val="00AE3956"/>
    <w:rsid w:val="00AE3C61"/>
    <w:rsid w:val="00AE3C70"/>
    <w:rsid w:val="00AE3F14"/>
    <w:rsid w:val="00AE4681"/>
    <w:rsid w:val="00AE4B48"/>
    <w:rsid w:val="00AE4B54"/>
    <w:rsid w:val="00AE4CF6"/>
    <w:rsid w:val="00AE4DAB"/>
    <w:rsid w:val="00AE53F0"/>
    <w:rsid w:val="00AE55A1"/>
    <w:rsid w:val="00AE58B7"/>
    <w:rsid w:val="00AE5B14"/>
    <w:rsid w:val="00AE5BD3"/>
    <w:rsid w:val="00AE5C00"/>
    <w:rsid w:val="00AE5C13"/>
    <w:rsid w:val="00AE628E"/>
    <w:rsid w:val="00AE645B"/>
    <w:rsid w:val="00AE6460"/>
    <w:rsid w:val="00AE6500"/>
    <w:rsid w:val="00AE67A1"/>
    <w:rsid w:val="00AE68CE"/>
    <w:rsid w:val="00AE6A44"/>
    <w:rsid w:val="00AE7711"/>
    <w:rsid w:val="00AE7714"/>
    <w:rsid w:val="00AE771A"/>
    <w:rsid w:val="00AE788E"/>
    <w:rsid w:val="00AE7D2A"/>
    <w:rsid w:val="00AE7E53"/>
    <w:rsid w:val="00AE7E5A"/>
    <w:rsid w:val="00AE7E6F"/>
    <w:rsid w:val="00AF0399"/>
    <w:rsid w:val="00AF0875"/>
    <w:rsid w:val="00AF090F"/>
    <w:rsid w:val="00AF0C40"/>
    <w:rsid w:val="00AF0FD0"/>
    <w:rsid w:val="00AF12FA"/>
    <w:rsid w:val="00AF1431"/>
    <w:rsid w:val="00AF1435"/>
    <w:rsid w:val="00AF1470"/>
    <w:rsid w:val="00AF1EE9"/>
    <w:rsid w:val="00AF2016"/>
    <w:rsid w:val="00AF2032"/>
    <w:rsid w:val="00AF20E4"/>
    <w:rsid w:val="00AF2108"/>
    <w:rsid w:val="00AF214C"/>
    <w:rsid w:val="00AF2221"/>
    <w:rsid w:val="00AF23D1"/>
    <w:rsid w:val="00AF250D"/>
    <w:rsid w:val="00AF255D"/>
    <w:rsid w:val="00AF256F"/>
    <w:rsid w:val="00AF2934"/>
    <w:rsid w:val="00AF2948"/>
    <w:rsid w:val="00AF2B66"/>
    <w:rsid w:val="00AF2BF6"/>
    <w:rsid w:val="00AF2CD5"/>
    <w:rsid w:val="00AF2E66"/>
    <w:rsid w:val="00AF3077"/>
    <w:rsid w:val="00AF3181"/>
    <w:rsid w:val="00AF362B"/>
    <w:rsid w:val="00AF367E"/>
    <w:rsid w:val="00AF36D4"/>
    <w:rsid w:val="00AF3896"/>
    <w:rsid w:val="00AF3EFA"/>
    <w:rsid w:val="00AF3FFC"/>
    <w:rsid w:val="00AF41CA"/>
    <w:rsid w:val="00AF42D1"/>
    <w:rsid w:val="00AF4587"/>
    <w:rsid w:val="00AF463D"/>
    <w:rsid w:val="00AF4686"/>
    <w:rsid w:val="00AF469F"/>
    <w:rsid w:val="00AF49E8"/>
    <w:rsid w:val="00AF4A0C"/>
    <w:rsid w:val="00AF4EBE"/>
    <w:rsid w:val="00AF4EC7"/>
    <w:rsid w:val="00AF5079"/>
    <w:rsid w:val="00AF50CF"/>
    <w:rsid w:val="00AF51D2"/>
    <w:rsid w:val="00AF528E"/>
    <w:rsid w:val="00AF54EB"/>
    <w:rsid w:val="00AF5948"/>
    <w:rsid w:val="00AF5EF4"/>
    <w:rsid w:val="00AF5F95"/>
    <w:rsid w:val="00AF6114"/>
    <w:rsid w:val="00AF613C"/>
    <w:rsid w:val="00AF6296"/>
    <w:rsid w:val="00AF68CC"/>
    <w:rsid w:val="00AF69E2"/>
    <w:rsid w:val="00AF6A3F"/>
    <w:rsid w:val="00AF6DFF"/>
    <w:rsid w:val="00AF702B"/>
    <w:rsid w:val="00AF7909"/>
    <w:rsid w:val="00AF7977"/>
    <w:rsid w:val="00AF7A12"/>
    <w:rsid w:val="00AF7AC6"/>
    <w:rsid w:val="00B0014A"/>
    <w:rsid w:val="00B001B3"/>
    <w:rsid w:val="00B004BA"/>
    <w:rsid w:val="00B0083E"/>
    <w:rsid w:val="00B009CB"/>
    <w:rsid w:val="00B009E3"/>
    <w:rsid w:val="00B00A02"/>
    <w:rsid w:val="00B00A74"/>
    <w:rsid w:val="00B00B8C"/>
    <w:rsid w:val="00B0116E"/>
    <w:rsid w:val="00B01359"/>
    <w:rsid w:val="00B0146D"/>
    <w:rsid w:val="00B014A9"/>
    <w:rsid w:val="00B014BC"/>
    <w:rsid w:val="00B0172E"/>
    <w:rsid w:val="00B01CB8"/>
    <w:rsid w:val="00B01DA5"/>
    <w:rsid w:val="00B01EF4"/>
    <w:rsid w:val="00B01F6D"/>
    <w:rsid w:val="00B025CC"/>
    <w:rsid w:val="00B0277D"/>
    <w:rsid w:val="00B0284E"/>
    <w:rsid w:val="00B028B3"/>
    <w:rsid w:val="00B029E7"/>
    <w:rsid w:val="00B02C5B"/>
    <w:rsid w:val="00B030C0"/>
    <w:rsid w:val="00B03114"/>
    <w:rsid w:val="00B032F3"/>
    <w:rsid w:val="00B0353D"/>
    <w:rsid w:val="00B037B1"/>
    <w:rsid w:val="00B038CD"/>
    <w:rsid w:val="00B03A03"/>
    <w:rsid w:val="00B03A99"/>
    <w:rsid w:val="00B03F3D"/>
    <w:rsid w:val="00B04148"/>
    <w:rsid w:val="00B0456C"/>
    <w:rsid w:val="00B045CE"/>
    <w:rsid w:val="00B046E0"/>
    <w:rsid w:val="00B04CAA"/>
    <w:rsid w:val="00B04D1B"/>
    <w:rsid w:val="00B04F52"/>
    <w:rsid w:val="00B0518F"/>
    <w:rsid w:val="00B05263"/>
    <w:rsid w:val="00B052A9"/>
    <w:rsid w:val="00B05925"/>
    <w:rsid w:val="00B05DD5"/>
    <w:rsid w:val="00B06401"/>
    <w:rsid w:val="00B0640C"/>
    <w:rsid w:val="00B06467"/>
    <w:rsid w:val="00B06953"/>
    <w:rsid w:val="00B06A83"/>
    <w:rsid w:val="00B06E87"/>
    <w:rsid w:val="00B06F59"/>
    <w:rsid w:val="00B07218"/>
    <w:rsid w:val="00B07633"/>
    <w:rsid w:val="00B07B99"/>
    <w:rsid w:val="00B07E9E"/>
    <w:rsid w:val="00B07F47"/>
    <w:rsid w:val="00B10004"/>
    <w:rsid w:val="00B10292"/>
    <w:rsid w:val="00B102CE"/>
    <w:rsid w:val="00B1052F"/>
    <w:rsid w:val="00B10595"/>
    <w:rsid w:val="00B10AA5"/>
    <w:rsid w:val="00B10B3C"/>
    <w:rsid w:val="00B10F9A"/>
    <w:rsid w:val="00B116E7"/>
    <w:rsid w:val="00B11F61"/>
    <w:rsid w:val="00B123B9"/>
    <w:rsid w:val="00B12F22"/>
    <w:rsid w:val="00B130A2"/>
    <w:rsid w:val="00B13A41"/>
    <w:rsid w:val="00B13B0B"/>
    <w:rsid w:val="00B13EB5"/>
    <w:rsid w:val="00B1402B"/>
    <w:rsid w:val="00B14063"/>
    <w:rsid w:val="00B1435B"/>
    <w:rsid w:val="00B143AC"/>
    <w:rsid w:val="00B144FA"/>
    <w:rsid w:val="00B146F2"/>
    <w:rsid w:val="00B14777"/>
    <w:rsid w:val="00B14F1E"/>
    <w:rsid w:val="00B15044"/>
    <w:rsid w:val="00B15078"/>
    <w:rsid w:val="00B15089"/>
    <w:rsid w:val="00B150D1"/>
    <w:rsid w:val="00B1514E"/>
    <w:rsid w:val="00B15313"/>
    <w:rsid w:val="00B15354"/>
    <w:rsid w:val="00B154E8"/>
    <w:rsid w:val="00B15674"/>
    <w:rsid w:val="00B156BA"/>
    <w:rsid w:val="00B157D0"/>
    <w:rsid w:val="00B15A69"/>
    <w:rsid w:val="00B15C22"/>
    <w:rsid w:val="00B16260"/>
    <w:rsid w:val="00B1630E"/>
    <w:rsid w:val="00B16511"/>
    <w:rsid w:val="00B16583"/>
    <w:rsid w:val="00B16765"/>
    <w:rsid w:val="00B16E7A"/>
    <w:rsid w:val="00B16EAD"/>
    <w:rsid w:val="00B1700E"/>
    <w:rsid w:val="00B17068"/>
    <w:rsid w:val="00B1706A"/>
    <w:rsid w:val="00B170AC"/>
    <w:rsid w:val="00B173D4"/>
    <w:rsid w:val="00B17586"/>
    <w:rsid w:val="00B1773E"/>
    <w:rsid w:val="00B178CE"/>
    <w:rsid w:val="00B17959"/>
    <w:rsid w:val="00B17BC0"/>
    <w:rsid w:val="00B17DDE"/>
    <w:rsid w:val="00B200B6"/>
    <w:rsid w:val="00B208B4"/>
    <w:rsid w:val="00B20E8C"/>
    <w:rsid w:val="00B2102F"/>
    <w:rsid w:val="00B214F9"/>
    <w:rsid w:val="00B2154D"/>
    <w:rsid w:val="00B2160F"/>
    <w:rsid w:val="00B2161F"/>
    <w:rsid w:val="00B21952"/>
    <w:rsid w:val="00B21D46"/>
    <w:rsid w:val="00B2265F"/>
    <w:rsid w:val="00B22D97"/>
    <w:rsid w:val="00B23017"/>
    <w:rsid w:val="00B23246"/>
    <w:rsid w:val="00B23447"/>
    <w:rsid w:val="00B23626"/>
    <w:rsid w:val="00B238EE"/>
    <w:rsid w:val="00B23AC2"/>
    <w:rsid w:val="00B23FBE"/>
    <w:rsid w:val="00B23FD7"/>
    <w:rsid w:val="00B2403E"/>
    <w:rsid w:val="00B24174"/>
    <w:rsid w:val="00B24492"/>
    <w:rsid w:val="00B24639"/>
    <w:rsid w:val="00B24760"/>
    <w:rsid w:val="00B24CA2"/>
    <w:rsid w:val="00B24EE6"/>
    <w:rsid w:val="00B2553A"/>
    <w:rsid w:val="00B255D6"/>
    <w:rsid w:val="00B25975"/>
    <w:rsid w:val="00B25A76"/>
    <w:rsid w:val="00B25E78"/>
    <w:rsid w:val="00B2611A"/>
    <w:rsid w:val="00B262C6"/>
    <w:rsid w:val="00B264E8"/>
    <w:rsid w:val="00B265C3"/>
    <w:rsid w:val="00B266E4"/>
    <w:rsid w:val="00B26A63"/>
    <w:rsid w:val="00B270AE"/>
    <w:rsid w:val="00B271E7"/>
    <w:rsid w:val="00B273EB"/>
    <w:rsid w:val="00B274BE"/>
    <w:rsid w:val="00B277FE"/>
    <w:rsid w:val="00B27924"/>
    <w:rsid w:val="00B27963"/>
    <w:rsid w:val="00B279B6"/>
    <w:rsid w:val="00B27FE0"/>
    <w:rsid w:val="00B302E1"/>
    <w:rsid w:val="00B3036C"/>
    <w:rsid w:val="00B304D2"/>
    <w:rsid w:val="00B30554"/>
    <w:rsid w:val="00B305C2"/>
    <w:rsid w:val="00B3066F"/>
    <w:rsid w:val="00B30A6C"/>
    <w:rsid w:val="00B30BAE"/>
    <w:rsid w:val="00B30E73"/>
    <w:rsid w:val="00B30FB6"/>
    <w:rsid w:val="00B31076"/>
    <w:rsid w:val="00B31225"/>
    <w:rsid w:val="00B3132A"/>
    <w:rsid w:val="00B31550"/>
    <w:rsid w:val="00B3174F"/>
    <w:rsid w:val="00B31771"/>
    <w:rsid w:val="00B319F2"/>
    <w:rsid w:val="00B31E4D"/>
    <w:rsid w:val="00B31FC8"/>
    <w:rsid w:val="00B32056"/>
    <w:rsid w:val="00B323A4"/>
    <w:rsid w:val="00B3250C"/>
    <w:rsid w:val="00B325F0"/>
    <w:rsid w:val="00B328B7"/>
    <w:rsid w:val="00B32AD6"/>
    <w:rsid w:val="00B32D7F"/>
    <w:rsid w:val="00B32DE0"/>
    <w:rsid w:val="00B32F9D"/>
    <w:rsid w:val="00B332C5"/>
    <w:rsid w:val="00B334C6"/>
    <w:rsid w:val="00B3352E"/>
    <w:rsid w:val="00B335E4"/>
    <w:rsid w:val="00B3364B"/>
    <w:rsid w:val="00B33A50"/>
    <w:rsid w:val="00B33B72"/>
    <w:rsid w:val="00B33E92"/>
    <w:rsid w:val="00B341CB"/>
    <w:rsid w:val="00B34593"/>
    <w:rsid w:val="00B35279"/>
    <w:rsid w:val="00B355B3"/>
    <w:rsid w:val="00B3579F"/>
    <w:rsid w:val="00B3586F"/>
    <w:rsid w:val="00B358C5"/>
    <w:rsid w:val="00B35A6E"/>
    <w:rsid w:val="00B35DC0"/>
    <w:rsid w:val="00B35F41"/>
    <w:rsid w:val="00B360F9"/>
    <w:rsid w:val="00B361B7"/>
    <w:rsid w:val="00B365C0"/>
    <w:rsid w:val="00B366D8"/>
    <w:rsid w:val="00B36A85"/>
    <w:rsid w:val="00B36A92"/>
    <w:rsid w:val="00B36F3C"/>
    <w:rsid w:val="00B3712E"/>
    <w:rsid w:val="00B37203"/>
    <w:rsid w:val="00B372F6"/>
    <w:rsid w:val="00B37584"/>
    <w:rsid w:val="00B375F8"/>
    <w:rsid w:val="00B37632"/>
    <w:rsid w:val="00B377FF"/>
    <w:rsid w:val="00B37852"/>
    <w:rsid w:val="00B37945"/>
    <w:rsid w:val="00B37B4D"/>
    <w:rsid w:val="00B37B8A"/>
    <w:rsid w:val="00B37E79"/>
    <w:rsid w:val="00B37FE9"/>
    <w:rsid w:val="00B400C9"/>
    <w:rsid w:val="00B4026C"/>
    <w:rsid w:val="00B40317"/>
    <w:rsid w:val="00B403E7"/>
    <w:rsid w:val="00B403F6"/>
    <w:rsid w:val="00B4047F"/>
    <w:rsid w:val="00B405AF"/>
    <w:rsid w:val="00B4068E"/>
    <w:rsid w:val="00B409E2"/>
    <w:rsid w:val="00B41419"/>
    <w:rsid w:val="00B4154E"/>
    <w:rsid w:val="00B4155B"/>
    <w:rsid w:val="00B41838"/>
    <w:rsid w:val="00B41BB3"/>
    <w:rsid w:val="00B41E09"/>
    <w:rsid w:val="00B420B8"/>
    <w:rsid w:val="00B42131"/>
    <w:rsid w:val="00B42143"/>
    <w:rsid w:val="00B421E8"/>
    <w:rsid w:val="00B42B00"/>
    <w:rsid w:val="00B42C7B"/>
    <w:rsid w:val="00B42D9D"/>
    <w:rsid w:val="00B42EEF"/>
    <w:rsid w:val="00B42F6C"/>
    <w:rsid w:val="00B42FA9"/>
    <w:rsid w:val="00B43023"/>
    <w:rsid w:val="00B43145"/>
    <w:rsid w:val="00B43252"/>
    <w:rsid w:val="00B434EA"/>
    <w:rsid w:val="00B4353B"/>
    <w:rsid w:val="00B437C7"/>
    <w:rsid w:val="00B438FE"/>
    <w:rsid w:val="00B43B49"/>
    <w:rsid w:val="00B43CDB"/>
    <w:rsid w:val="00B43D12"/>
    <w:rsid w:val="00B43DBE"/>
    <w:rsid w:val="00B44258"/>
    <w:rsid w:val="00B443AE"/>
    <w:rsid w:val="00B4442A"/>
    <w:rsid w:val="00B44864"/>
    <w:rsid w:val="00B4494C"/>
    <w:rsid w:val="00B449F3"/>
    <w:rsid w:val="00B44BF9"/>
    <w:rsid w:val="00B4510F"/>
    <w:rsid w:val="00B45330"/>
    <w:rsid w:val="00B453BD"/>
    <w:rsid w:val="00B45415"/>
    <w:rsid w:val="00B45669"/>
    <w:rsid w:val="00B46025"/>
    <w:rsid w:val="00B46441"/>
    <w:rsid w:val="00B4669C"/>
    <w:rsid w:val="00B46778"/>
    <w:rsid w:val="00B467C9"/>
    <w:rsid w:val="00B467F5"/>
    <w:rsid w:val="00B468F8"/>
    <w:rsid w:val="00B46926"/>
    <w:rsid w:val="00B46C5F"/>
    <w:rsid w:val="00B47106"/>
    <w:rsid w:val="00B47373"/>
    <w:rsid w:val="00B473E6"/>
    <w:rsid w:val="00B476DA"/>
    <w:rsid w:val="00B47F49"/>
    <w:rsid w:val="00B47F7B"/>
    <w:rsid w:val="00B50050"/>
    <w:rsid w:val="00B50180"/>
    <w:rsid w:val="00B507A8"/>
    <w:rsid w:val="00B50B6F"/>
    <w:rsid w:val="00B50BC9"/>
    <w:rsid w:val="00B50E56"/>
    <w:rsid w:val="00B50E98"/>
    <w:rsid w:val="00B50EFB"/>
    <w:rsid w:val="00B50FA1"/>
    <w:rsid w:val="00B5135A"/>
    <w:rsid w:val="00B514B7"/>
    <w:rsid w:val="00B51C0F"/>
    <w:rsid w:val="00B51E89"/>
    <w:rsid w:val="00B51F1A"/>
    <w:rsid w:val="00B52341"/>
    <w:rsid w:val="00B526C1"/>
    <w:rsid w:val="00B52819"/>
    <w:rsid w:val="00B52C2F"/>
    <w:rsid w:val="00B52EEC"/>
    <w:rsid w:val="00B52F19"/>
    <w:rsid w:val="00B52F57"/>
    <w:rsid w:val="00B52F8A"/>
    <w:rsid w:val="00B52FC1"/>
    <w:rsid w:val="00B530C7"/>
    <w:rsid w:val="00B532E8"/>
    <w:rsid w:val="00B53302"/>
    <w:rsid w:val="00B533DB"/>
    <w:rsid w:val="00B5342C"/>
    <w:rsid w:val="00B537C9"/>
    <w:rsid w:val="00B537FD"/>
    <w:rsid w:val="00B538A4"/>
    <w:rsid w:val="00B539E5"/>
    <w:rsid w:val="00B53B28"/>
    <w:rsid w:val="00B53CFC"/>
    <w:rsid w:val="00B53DEF"/>
    <w:rsid w:val="00B54392"/>
    <w:rsid w:val="00B543A2"/>
    <w:rsid w:val="00B54693"/>
    <w:rsid w:val="00B54AD0"/>
    <w:rsid w:val="00B54BC5"/>
    <w:rsid w:val="00B54C10"/>
    <w:rsid w:val="00B54E06"/>
    <w:rsid w:val="00B55067"/>
    <w:rsid w:val="00B55345"/>
    <w:rsid w:val="00B555FA"/>
    <w:rsid w:val="00B55605"/>
    <w:rsid w:val="00B5592E"/>
    <w:rsid w:val="00B55936"/>
    <w:rsid w:val="00B55AD2"/>
    <w:rsid w:val="00B55B12"/>
    <w:rsid w:val="00B55E7A"/>
    <w:rsid w:val="00B5651C"/>
    <w:rsid w:val="00B5651F"/>
    <w:rsid w:val="00B5654D"/>
    <w:rsid w:val="00B567A6"/>
    <w:rsid w:val="00B56969"/>
    <w:rsid w:val="00B569B0"/>
    <w:rsid w:val="00B56B28"/>
    <w:rsid w:val="00B56CB1"/>
    <w:rsid w:val="00B56D8E"/>
    <w:rsid w:val="00B56DF3"/>
    <w:rsid w:val="00B57072"/>
    <w:rsid w:val="00B5716A"/>
    <w:rsid w:val="00B57408"/>
    <w:rsid w:val="00B57476"/>
    <w:rsid w:val="00B57495"/>
    <w:rsid w:val="00B57AD1"/>
    <w:rsid w:val="00B57B17"/>
    <w:rsid w:val="00B57B92"/>
    <w:rsid w:val="00B57FD4"/>
    <w:rsid w:val="00B60672"/>
    <w:rsid w:val="00B60713"/>
    <w:rsid w:val="00B6082E"/>
    <w:rsid w:val="00B609B7"/>
    <w:rsid w:val="00B60D2D"/>
    <w:rsid w:val="00B6102E"/>
    <w:rsid w:val="00B61183"/>
    <w:rsid w:val="00B611C9"/>
    <w:rsid w:val="00B6127F"/>
    <w:rsid w:val="00B612F1"/>
    <w:rsid w:val="00B613F3"/>
    <w:rsid w:val="00B6149A"/>
    <w:rsid w:val="00B6159A"/>
    <w:rsid w:val="00B61845"/>
    <w:rsid w:val="00B61B80"/>
    <w:rsid w:val="00B61C61"/>
    <w:rsid w:val="00B61C82"/>
    <w:rsid w:val="00B61E7E"/>
    <w:rsid w:val="00B624F6"/>
    <w:rsid w:val="00B625DC"/>
    <w:rsid w:val="00B628C2"/>
    <w:rsid w:val="00B62980"/>
    <w:rsid w:val="00B62A2F"/>
    <w:rsid w:val="00B630B3"/>
    <w:rsid w:val="00B63142"/>
    <w:rsid w:val="00B6316A"/>
    <w:rsid w:val="00B63452"/>
    <w:rsid w:val="00B63645"/>
    <w:rsid w:val="00B63A5D"/>
    <w:rsid w:val="00B63FFC"/>
    <w:rsid w:val="00B64320"/>
    <w:rsid w:val="00B649C2"/>
    <w:rsid w:val="00B64AC5"/>
    <w:rsid w:val="00B64B53"/>
    <w:rsid w:val="00B64D88"/>
    <w:rsid w:val="00B64DD3"/>
    <w:rsid w:val="00B656BB"/>
    <w:rsid w:val="00B65B50"/>
    <w:rsid w:val="00B66120"/>
    <w:rsid w:val="00B6619A"/>
    <w:rsid w:val="00B6625A"/>
    <w:rsid w:val="00B662DB"/>
    <w:rsid w:val="00B6630F"/>
    <w:rsid w:val="00B663E5"/>
    <w:rsid w:val="00B6685E"/>
    <w:rsid w:val="00B66BC6"/>
    <w:rsid w:val="00B67387"/>
    <w:rsid w:val="00B67482"/>
    <w:rsid w:val="00B6748A"/>
    <w:rsid w:val="00B6766D"/>
    <w:rsid w:val="00B6769F"/>
    <w:rsid w:val="00B67B78"/>
    <w:rsid w:val="00B67B90"/>
    <w:rsid w:val="00B67BA8"/>
    <w:rsid w:val="00B67BFA"/>
    <w:rsid w:val="00B67DFD"/>
    <w:rsid w:val="00B67F58"/>
    <w:rsid w:val="00B701BB"/>
    <w:rsid w:val="00B702EE"/>
    <w:rsid w:val="00B704BD"/>
    <w:rsid w:val="00B70D03"/>
    <w:rsid w:val="00B70D4B"/>
    <w:rsid w:val="00B70E2E"/>
    <w:rsid w:val="00B70E9C"/>
    <w:rsid w:val="00B70F98"/>
    <w:rsid w:val="00B71076"/>
    <w:rsid w:val="00B71214"/>
    <w:rsid w:val="00B71540"/>
    <w:rsid w:val="00B717C1"/>
    <w:rsid w:val="00B7185B"/>
    <w:rsid w:val="00B718D3"/>
    <w:rsid w:val="00B7193D"/>
    <w:rsid w:val="00B71A28"/>
    <w:rsid w:val="00B71AA3"/>
    <w:rsid w:val="00B71B77"/>
    <w:rsid w:val="00B7220A"/>
    <w:rsid w:val="00B727EA"/>
    <w:rsid w:val="00B72858"/>
    <w:rsid w:val="00B72A6B"/>
    <w:rsid w:val="00B72CF2"/>
    <w:rsid w:val="00B72ECF"/>
    <w:rsid w:val="00B72FF7"/>
    <w:rsid w:val="00B73121"/>
    <w:rsid w:val="00B736CC"/>
    <w:rsid w:val="00B739D2"/>
    <w:rsid w:val="00B739F5"/>
    <w:rsid w:val="00B73AC5"/>
    <w:rsid w:val="00B73CAD"/>
    <w:rsid w:val="00B73CC1"/>
    <w:rsid w:val="00B73DD5"/>
    <w:rsid w:val="00B740C0"/>
    <w:rsid w:val="00B74374"/>
    <w:rsid w:val="00B743E1"/>
    <w:rsid w:val="00B74487"/>
    <w:rsid w:val="00B744C5"/>
    <w:rsid w:val="00B745B3"/>
    <w:rsid w:val="00B745CC"/>
    <w:rsid w:val="00B74619"/>
    <w:rsid w:val="00B74A23"/>
    <w:rsid w:val="00B74AB0"/>
    <w:rsid w:val="00B74D08"/>
    <w:rsid w:val="00B74DB2"/>
    <w:rsid w:val="00B75023"/>
    <w:rsid w:val="00B75112"/>
    <w:rsid w:val="00B75141"/>
    <w:rsid w:val="00B75284"/>
    <w:rsid w:val="00B75359"/>
    <w:rsid w:val="00B753F9"/>
    <w:rsid w:val="00B75633"/>
    <w:rsid w:val="00B759AC"/>
    <w:rsid w:val="00B759B9"/>
    <w:rsid w:val="00B75AB9"/>
    <w:rsid w:val="00B7615D"/>
    <w:rsid w:val="00B763F3"/>
    <w:rsid w:val="00B7665D"/>
    <w:rsid w:val="00B76767"/>
    <w:rsid w:val="00B767D7"/>
    <w:rsid w:val="00B767EC"/>
    <w:rsid w:val="00B76D2C"/>
    <w:rsid w:val="00B76E6E"/>
    <w:rsid w:val="00B76F98"/>
    <w:rsid w:val="00B77078"/>
    <w:rsid w:val="00B77182"/>
    <w:rsid w:val="00B77336"/>
    <w:rsid w:val="00B7748D"/>
    <w:rsid w:val="00B77607"/>
    <w:rsid w:val="00B77859"/>
    <w:rsid w:val="00B7796B"/>
    <w:rsid w:val="00B77A3A"/>
    <w:rsid w:val="00B77BE2"/>
    <w:rsid w:val="00B77C4C"/>
    <w:rsid w:val="00B77DC6"/>
    <w:rsid w:val="00B77F4A"/>
    <w:rsid w:val="00B8000D"/>
    <w:rsid w:val="00B80108"/>
    <w:rsid w:val="00B809E2"/>
    <w:rsid w:val="00B80AB3"/>
    <w:rsid w:val="00B80D0A"/>
    <w:rsid w:val="00B80E3A"/>
    <w:rsid w:val="00B80F13"/>
    <w:rsid w:val="00B81078"/>
    <w:rsid w:val="00B810B9"/>
    <w:rsid w:val="00B810CE"/>
    <w:rsid w:val="00B812ED"/>
    <w:rsid w:val="00B813F4"/>
    <w:rsid w:val="00B81583"/>
    <w:rsid w:val="00B8196A"/>
    <w:rsid w:val="00B81B01"/>
    <w:rsid w:val="00B81F87"/>
    <w:rsid w:val="00B8243A"/>
    <w:rsid w:val="00B82654"/>
    <w:rsid w:val="00B82818"/>
    <w:rsid w:val="00B82B3E"/>
    <w:rsid w:val="00B82B6D"/>
    <w:rsid w:val="00B82D98"/>
    <w:rsid w:val="00B82F56"/>
    <w:rsid w:val="00B831F9"/>
    <w:rsid w:val="00B83395"/>
    <w:rsid w:val="00B83975"/>
    <w:rsid w:val="00B83A35"/>
    <w:rsid w:val="00B83D08"/>
    <w:rsid w:val="00B83D46"/>
    <w:rsid w:val="00B84064"/>
    <w:rsid w:val="00B84CC0"/>
    <w:rsid w:val="00B84D3A"/>
    <w:rsid w:val="00B84FB1"/>
    <w:rsid w:val="00B85021"/>
    <w:rsid w:val="00B851F7"/>
    <w:rsid w:val="00B85534"/>
    <w:rsid w:val="00B855BB"/>
    <w:rsid w:val="00B856FF"/>
    <w:rsid w:val="00B857A5"/>
    <w:rsid w:val="00B85987"/>
    <w:rsid w:val="00B85B8B"/>
    <w:rsid w:val="00B85BC6"/>
    <w:rsid w:val="00B85F95"/>
    <w:rsid w:val="00B86310"/>
    <w:rsid w:val="00B8636F"/>
    <w:rsid w:val="00B863CD"/>
    <w:rsid w:val="00B8644D"/>
    <w:rsid w:val="00B86473"/>
    <w:rsid w:val="00B86980"/>
    <w:rsid w:val="00B86DCB"/>
    <w:rsid w:val="00B86E35"/>
    <w:rsid w:val="00B86F53"/>
    <w:rsid w:val="00B86FBD"/>
    <w:rsid w:val="00B875F4"/>
    <w:rsid w:val="00B87601"/>
    <w:rsid w:val="00B87646"/>
    <w:rsid w:val="00B87A81"/>
    <w:rsid w:val="00B90414"/>
    <w:rsid w:val="00B90480"/>
    <w:rsid w:val="00B90538"/>
    <w:rsid w:val="00B90811"/>
    <w:rsid w:val="00B90A4F"/>
    <w:rsid w:val="00B90C39"/>
    <w:rsid w:val="00B90DAA"/>
    <w:rsid w:val="00B90E19"/>
    <w:rsid w:val="00B90E9B"/>
    <w:rsid w:val="00B9115A"/>
    <w:rsid w:val="00B911BE"/>
    <w:rsid w:val="00B91212"/>
    <w:rsid w:val="00B91589"/>
    <w:rsid w:val="00B9160E"/>
    <w:rsid w:val="00B918C7"/>
    <w:rsid w:val="00B91B87"/>
    <w:rsid w:val="00B91C2D"/>
    <w:rsid w:val="00B92103"/>
    <w:rsid w:val="00B92136"/>
    <w:rsid w:val="00B923FF"/>
    <w:rsid w:val="00B9241B"/>
    <w:rsid w:val="00B92723"/>
    <w:rsid w:val="00B92B25"/>
    <w:rsid w:val="00B92BE3"/>
    <w:rsid w:val="00B92D21"/>
    <w:rsid w:val="00B92D82"/>
    <w:rsid w:val="00B930DA"/>
    <w:rsid w:val="00B93113"/>
    <w:rsid w:val="00B932E2"/>
    <w:rsid w:val="00B93325"/>
    <w:rsid w:val="00B93A0F"/>
    <w:rsid w:val="00B93AE9"/>
    <w:rsid w:val="00B93B2F"/>
    <w:rsid w:val="00B93D0E"/>
    <w:rsid w:val="00B93F2F"/>
    <w:rsid w:val="00B94096"/>
    <w:rsid w:val="00B94418"/>
    <w:rsid w:val="00B94442"/>
    <w:rsid w:val="00B94838"/>
    <w:rsid w:val="00B94933"/>
    <w:rsid w:val="00B94B1E"/>
    <w:rsid w:val="00B94C8D"/>
    <w:rsid w:val="00B94D14"/>
    <w:rsid w:val="00B94E5C"/>
    <w:rsid w:val="00B94F9C"/>
    <w:rsid w:val="00B95027"/>
    <w:rsid w:val="00B952DA"/>
    <w:rsid w:val="00B952E7"/>
    <w:rsid w:val="00B95388"/>
    <w:rsid w:val="00B95451"/>
    <w:rsid w:val="00B9550E"/>
    <w:rsid w:val="00B9561D"/>
    <w:rsid w:val="00B95720"/>
    <w:rsid w:val="00B95732"/>
    <w:rsid w:val="00B9581A"/>
    <w:rsid w:val="00B95FA2"/>
    <w:rsid w:val="00B95FC9"/>
    <w:rsid w:val="00B96097"/>
    <w:rsid w:val="00B960B7"/>
    <w:rsid w:val="00B960E1"/>
    <w:rsid w:val="00B961D9"/>
    <w:rsid w:val="00B963B4"/>
    <w:rsid w:val="00B963DB"/>
    <w:rsid w:val="00B968E9"/>
    <w:rsid w:val="00B9708D"/>
    <w:rsid w:val="00B973CE"/>
    <w:rsid w:val="00B97630"/>
    <w:rsid w:val="00B97E9E"/>
    <w:rsid w:val="00B97ED6"/>
    <w:rsid w:val="00B97F69"/>
    <w:rsid w:val="00B97FB9"/>
    <w:rsid w:val="00BA00CB"/>
    <w:rsid w:val="00BA00D1"/>
    <w:rsid w:val="00BA0211"/>
    <w:rsid w:val="00BA0436"/>
    <w:rsid w:val="00BA0527"/>
    <w:rsid w:val="00BA05B1"/>
    <w:rsid w:val="00BA07A6"/>
    <w:rsid w:val="00BA08B4"/>
    <w:rsid w:val="00BA0DCB"/>
    <w:rsid w:val="00BA1054"/>
    <w:rsid w:val="00BA113D"/>
    <w:rsid w:val="00BA121E"/>
    <w:rsid w:val="00BA131F"/>
    <w:rsid w:val="00BA1635"/>
    <w:rsid w:val="00BA1771"/>
    <w:rsid w:val="00BA2193"/>
    <w:rsid w:val="00BA2739"/>
    <w:rsid w:val="00BA2863"/>
    <w:rsid w:val="00BA2B17"/>
    <w:rsid w:val="00BA2BA6"/>
    <w:rsid w:val="00BA2DF9"/>
    <w:rsid w:val="00BA2E64"/>
    <w:rsid w:val="00BA3385"/>
    <w:rsid w:val="00BA33A7"/>
    <w:rsid w:val="00BA3803"/>
    <w:rsid w:val="00BA39A2"/>
    <w:rsid w:val="00BA3A66"/>
    <w:rsid w:val="00BA3DDC"/>
    <w:rsid w:val="00BA3F5F"/>
    <w:rsid w:val="00BA41DF"/>
    <w:rsid w:val="00BA41EC"/>
    <w:rsid w:val="00BA4319"/>
    <w:rsid w:val="00BA437E"/>
    <w:rsid w:val="00BA44A7"/>
    <w:rsid w:val="00BA458D"/>
    <w:rsid w:val="00BA4729"/>
    <w:rsid w:val="00BA4897"/>
    <w:rsid w:val="00BA4B49"/>
    <w:rsid w:val="00BA4BE8"/>
    <w:rsid w:val="00BA4C38"/>
    <w:rsid w:val="00BA4E58"/>
    <w:rsid w:val="00BA5103"/>
    <w:rsid w:val="00BA513B"/>
    <w:rsid w:val="00BA51E8"/>
    <w:rsid w:val="00BA5256"/>
    <w:rsid w:val="00BA54B2"/>
    <w:rsid w:val="00BA55B7"/>
    <w:rsid w:val="00BA5677"/>
    <w:rsid w:val="00BA5710"/>
    <w:rsid w:val="00BA57A3"/>
    <w:rsid w:val="00BA596A"/>
    <w:rsid w:val="00BA5A51"/>
    <w:rsid w:val="00BA5AA4"/>
    <w:rsid w:val="00BA5AD8"/>
    <w:rsid w:val="00BA5E4C"/>
    <w:rsid w:val="00BA5E7D"/>
    <w:rsid w:val="00BA6261"/>
    <w:rsid w:val="00BA632D"/>
    <w:rsid w:val="00BA638C"/>
    <w:rsid w:val="00BA6425"/>
    <w:rsid w:val="00BA64E3"/>
    <w:rsid w:val="00BA6BC2"/>
    <w:rsid w:val="00BA716C"/>
    <w:rsid w:val="00BA7622"/>
    <w:rsid w:val="00BA7749"/>
    <w:rsid w:val="00BA78CB"/>
    <w:rsid w:val="00BA78CE"/>
    <w:rsid w:val="00BA799B"/>
    <w:rsid w:val="00BA7E21"/>
    <w:rsid w:val="00BA7EC5"/>
    <w:rsid w:val="00BB02FA"/>
    <w:rsid w:val="00BB0391"/>
    <w:rsid w:val="00BB039B"/>
    <w:rsid w:val="00BB03B0"/>
    <w:rsid w:val="00BB04CD"/>
    <w:rsid w:val="00BB05A2"/>
    <w:rsid w:val="00BB0837"/>
    <w:rsid w:val="00BB0A70"/>
    <w:rsid w:val="00BB0AFA"/>
    <w:rsid w:val="00BB0DC7"/>
    <w:rsid w:val="00BB129E"/>
    <w:rsid w:val="00BB18B5"/>
    <w:rsid w:val="00BB1AE7"/>
    <w:rsid w:val="00BB1BF6"/>
    <w:rsid w:val="00BB1DA8"/>
    <w:rsid w:val="00BB1ECD"/>
    <w:rsid w:val="00BB20E9"/>
    <w:rsid w:val="00BB210D"/>
    <w:rsid w:val="00BB219C"/>
    <w:rsid w:val="00BB24FE"/>
    <w:rsid w:val="00BB2606"/>
    <w:rsid w:val="00BB26F1"/>
    <w:rsid w:val="00BB27BD"/>
    <w:rsid w:val="00BB2A9F"/>
    <w:rsid w:val="00BB2B22"/>
    <w:rsid w:val="00BB2CF7"/>
    <w:rsid w:val="00BB3157"/>
    <w:rsid w:val="00BB328F"/>
    <w:rsid w:val="00BB3437"/>
    <w:rsid w:val="00BB375C"/>
    <w:rsid w:val="00BB38CB"/>
    <w:rsid w:val="00BB3978"/>
    <w:rsid w:val="00BB3BFD"/>
    <w:rsid w:val="00BB3FCC"/>
    <w:rsid w:val="00BB3FF4"/>
    <w:rsid w:val="00BB405C"/>
    <w:rsid w:val="00BB41FE"/>
    <w:rsid w:val="00BB4416"/>
    <w:rsid w:val="00BB44E6"/>
    <w:rsid w:val="00BB4652"/>
    <w:rsid w:val="00BB492E"/>
    <w:rsid w:val="00BB4933"/>
    <w:rsid w:val="00BB4D38"/>
    <w:rsid w:val="00BB4EE9"/>
    <w:rsid w:val="00BB5094"/>
    <w:rsid w:val="00BB509C"/>
    <w:rsid w:val="00BB5173"/>
    <w:rsid w:val="00BB59E2"/>
    <w:rsid w:val="00BB5C15"/>
    <w:rsid w:val="00BB5E1B"/>
    <w:rsid w:val="00BB623E"/>
    <w:rsid w:val="00BB636C"/>
    <w:rsid w:val="00BB645E"/>
    <w:rsid w:val="00BB64FA"/>
    <w:rsid w:val="00BB6753"/>
    <w:rsid w:val="00BB6844"/>
    <w:rsid w:val="00BB6848"/>
    <w:rsid w:val="00BB6AED"/>
    <w:rsid w:val="00BB6D60"/>
    <w:rsid w:val="00BB7087"/>
    <w:rsid w:val="00BB71EB"/>
    <w:rsid w:val="00BB75CE"/>
    <w:rsid w:val="00BB7904"/>
    <w:rsid w:val="00BB7A20"/>
    <w:rsid w:val="00BB7B33"/>
    <w:rsid w:val="00BB7C85"/>
    <w:rsid w:val="00BB7D47"/>
    <w:rsid w:val="00BB7DA6"/>
    <w:rsid w:val="00BB7EB4"/>
    <w:rsid w:val="00BB7FD0"/>
    <w:rsid w:val="00BB7FE3"/>
    <w:rsid w:val="00BC027A"/>
    <w:rsid w:val="00BC08A5"/>
    <w:rsid w:val="00BC0B86"/>
    <w:rsid w:val="00BC0DEF"/>
    <w:rsid w:val="00BC110C"/>
    <w:rsid w:val="00BC113F"/>
    <w:rsid w:val="00BC1224"/>
    <w:rsid w:val="00BC1459"/>
    <w:rsid w:val="00BC14D4"/>
    <w:rsid w:val="00BC14DB"/>
    <w:rsid w:val="00BC193A"/>
    <w:rsid w:val="00BC1A9C"/>
    <w:rsid w:val="00BC1E89"/>
    <w:rsid w:val="00BC1ECA"/>
    <w:rsid w:val="00BC20CE"/>
    <w:rsid w:val="00BC233A"/>
    <w:rsid w:val="00BC2459"/>
    <w:rsid w:val="00BC2695"/>
    <w:rsid w:val="00BC2704"/>
    <w:rsid w:val="00BC27B7"/>
    <w:rsid w:val="00BC2868"/>
    <w:rsid w:val="00BC2880"/>
    <w:rsid w:val="00BC28B8"/>
    <w:rsid w:val="00BC2AA8"/>
    <w:rsid w:val="00BC310D"/>
    <w:rsid w:val="00BC3452"/>
    <w:rsid w:val="00BC3528"/>
    <w:rsid w:val="00BC35D1"/>
    <w:rsid w:val="00BC3642"/>
    <w:rsid w:val="00BC39B8"/>
    <w:rsid w:val="00BC3DCF"/>
    <w:rsid w:val="00BC3DE7"/>
    <w:rsid w:val="00BC3EAE"/>
    <w:rsid w:val="00BC408F"/>
    <w:rsid w:val="00BC4092"/>
    <w:rsid w:val="00BC4325"/>
    <w:rsid w:val="00BC45E7"/>
    <w:rsid w:val="00BC4FFD"/>
    <w:rsid w:val="00BC53A1"/>
    <w:rsid w:val="00BC53F0"/>
    <w:rsid w:val="00BC5643"/>
    <w:rsid w:val="00BC577D"/>
    <w:rsid w:val="00BC5821"/>
    <w:rsid w:val="00BC5835"/>
    <w:rsid w:val="00BC5CB3"/>
    <w:rsid w:val="00BC5D26"/>
    <w:rsid w:val="00BC5EE0"/>
    <w:rsid w:val="00BC62E2"/>
    <w:rsid w:val="00BC6587"/>
    <w:rsid w:val="00BC662D"/>
    <w:rsid w:val="00BC6660"/>
    <w:rsid w:val="00BC6878"/>
    <w:rsid w:val="00BC68DE"/>
    <w:rsid w:val="00BC69FC"/>
    <w:rsid w:val="00BC6A88"/>
    <w:rsid w:val="00BC6B4C"/>
    <w:rsid w:val="00BC6B5D"/>
    <w:rsid w:val="00BC6DAA"/>
    <w:rsid w:val="00BC6DF9"/>
    <w:rsid w:val="00BC71CC"/>
    <w:rsid w:val="00BC71FC"/>
    <w:rsid w:val="00BC7260"/>
    <w:rsid w:val="00BC736B"/>
    <w:rsid w:val="00BC7634"/>
    <w:rsid w:val="00BC7A74"/>
    <w:rsid w:val="00BD0088"/>
    <w:rsid w:val="00BD0094"/>
    <w:rsid w:val="00BD0115"/>
    <w:rsid w:val="00BD02BF"/>
    <w:rsid w:val="00BD03F8"/>
    <w:rsid w:val="00BD063E"/>
    <w:rsid w:val="00BD0A29"/>
    <w:rsid w:val="00BD0C0A"/>
    <w:rsid w:val="00BD0C7B"/>
    <w:rsid w:val="00BD0D39"/>
    <w:rsid w:val="00BD0EA4"/>
    <w:rsid w:val="00BD11E3"/>
    <w:rsid w:val="00BD1255"/>
    <w:rsid w:val="00BD18B9"/>
    <w:rsid w:val="00BD19A7"/>
    <w:rsid w:val="00BD1B73"/>
    <w:rsid w:val="00BD1D3E"/>
    <w:rsid w:val="00BD1E53"/>
    <w:rsid w:val="00BD1EC1"/>
    <w:rsid w:val="00BD1F25"/>
    <w:rsid w:val="00BD1F90"/>
    <w:rsid w:val="00BD21FC"/>
    <w:rsid w:val="00BD2342"/>
    <w:rsid w:val="00BD2523"/>
    <w:rsid w:val="00BD2943"/>
    <w:rsid w:val="00BD2A95"/>
    <w:rsid w:val="00BD2B5A"/>
    <w:rsid w:val="00BD2E34"/>
    <w:rsid w:val="00BD3134"/>
    <w:rsid w:val="00BD33AF"/>
    <w:rsid w:val="00BD3548"/>
    <w:rsid w:val="00BD3706"/>
    <w:rsid w:val="00BD3A9B"/>
    <w:rsid w:val="00BD3CDE"/>
    <w:rsid w:val="00BD3EDE"/>
    <w:rsid w:val="00BD3F93"/>
    <w:rsid w:val="00BD432A"/>
    <w:rsid w:val="00BD4353"/>
    <w:rsid w:val="00BD4360"/>
    <w:rsid w:val="00BD4662"/>
    <w:rsid w:val="00BD47ED"/>
    <w:rsid w:val="00BD4906"/>
    <w:rsid w:val="00BD493F"/>
    <w:rsid w:val="00BD4A6F"/>
    <w:rsid w:val="00BD519F"/>
    <w:rsid w:val="00BD5235"/>
    <w:rsid w:val="00BD5492"/>
    <w:rsid w:val="00BD64C5"/>
    <w:rsid w:val="00BD6540"/>
    <w:rsid w:val="00BD6997"/>
    <w:rsid w:val="00BD715F"/>
    <w:rsid w:val="00BD71EE"/>
    <w:rsid w:val="00BD7375"/>
    <w:rsid w:val="00BD77AA"/>
    <w:rsid w:val="00BD7806"/>
    <w:rsid w:val="00BD7AB8"/>
    <w:rsid w:val="00BD7CFE"/>
    <w:rsid w:val="00BD7D8E"/>
    <w:rsid w:val="00BD7FD0"/>
    <w:rsid w:val="00BE0066"/>
    <w:rsid w:val="00BE0409"/>
    <w:rsid w:val="00BE046B"/>
    <w:rsid w:val="00BE088A"/>
    <w:rsid w:val="00BE096B"/>
    <w:rsid w:val="00BE09B0"/>
    <w:rsid w:val="00BE0A60"/>
    <w:rsid w:val="00BE148A"/>
    <w:rsid w:val="00BE14C4"/>
    <w:rsid w:val="00BE1530"/>
    <w:rsid w:val="00BE1661"/>
    <w:rsid w:val="00BE1670"/>
    <w:rsid w:val="00BE183A"/>
    <w:rsid w:val="00BE1BC6"/>
    <w:rsid w:val="00BE1D9C"/>
    <w:rsid w:val="00BE2822"/>
    <w:rsid w:val="00BE2928"/>
    <w:rsid w:val="00BE2C08"/>
    <w:rsid w:val="00BE2C4A"/>
    <w:rsid w:val="00BE2FCD"/>
    <w:rsid w:val="00BE3031"/>
    <w:rsid w:val="00BE3116"/>
    <w:rsid w:val="00BE33F4"/>
    <w:rsid w:val="00BE39DD"/>
    <w:rsid w:val="00BE3A92"/>
    <w:rsid w:val="00BE3D33"/>
    <w:rsid w:val="00BE3DAD"/>
    <w:rsid w:val="00BE40F1"/>
    <w:rsid w:val="00BE41CF"/>
    <w:rsid w:val="00BE43EB"/>
    <w:rsid w:val="00BE4431"/>
    <w:rsid w:val="00BE4763"/>
    <w:rsid w:val="00BE48ED"/>
    <w:rsid w:val="00BE4BD1"/>
    <w:rsid w:val="00BE4C1F"/>
    <w:rsid w:val="00BE4CD1"/>
    <w:rsid w:val="00BE4E19"/>
    <w:rsid w:val="00BE4FB0"/>
    <w:rsid w:val="00BE523B"/>
    <w:rsid w:val="00BE575C"/>
    <w:rsid w:val="00BE5D6E"/>
    <w:rsid w:val="00BE5E13"/>
    <w:rsid w:val="00BE5E1A"/>
    <w:rsid w:val="00BE612F"/>
    <w:rsid w:val="00BE6475"/>
    <w:rsid w:val="00BE6C8E"/>
    <w:rsid w:val="00BE7055"/>
    <w:rsid w:val="00BE7416"/>
    <w:rsid w:val="00BE7A57"/>
    <w:rsid w:val="00BE7B26"/>
    <w:rsid w:val="00BE7BB4"/>
    <w:rsid w:val="00BE7C2F"/>
    <w:rsid w:val="00BE7F05"/>
    <w:rsid w:val="00BF023E"/>
    <w:rsid w:val="00BF04CB"/>
    <w:rsid w:val="00BF062E"/>
    <w:rsid w:val="00BF0642"/>
    <w:rsid w:val="00BF0D69"/>
    <w:rsid w:val="00BF12CC"/>
    <w:rsid w:val="00BF13E9"/>
    <w:rsid w:val="00BF1440"/>
    <w:rsid w:val="00BF1545"/>
    <w:rsid w:val="00BF15D8"/>
    <w:rsid w:val="00BF161C"/>
    <w:rsid w:val="00BF186E"/>
    <w:rsid w:val="00BF1C2D"/>
    <w:rsid w:val="00BF1CB3"/>
    <w:rsid w:val="00BF1D32"/>
    <w:rsid w:val="00BF1D69"/>
    <w:rsid w:val="00BF1ED3"/>
    <w:rsid w:val="00BF2403"/>
    <w:rsid w:val="00BF24E4"/>
    <w:rsid w:val="00BF2646"/>
    <w:rsid w:val="00BF2818"/>
    <w:rsid w:val="00BF2AD2"/>
    <w:rsid w:val="00BF2DFD"/>
    <w:rsid w:val="00BF2F0F"/>
    <w:rsid w:val="00BF2FE8"/>
    <w:rsid w:val="00BF339F"/>
    <w:rsid w:val="00BF34E6"/>
    <w:rsid w:val="00BF3559"/>
    <w:rsid w:val="00BF36D5"/>
    <w:rsid w:val="00BF37FC"/>
    <w:rsid w:val="00BF3CDE"/>
    <w:rsid w:val="00BF3E8F"/>
    <w:rsid w:val="00BF3EBF"/>
    <w:rsid w:val="00BF3FF9"/>
    <w:rsid w:val="00BF4089"/>
    <w:rsid w:val="00BF447E"/>
    <w:rsid w:val="00BF448B"/>
    <w:rsid w:val="00BF4703"/>
    <w:rsid w:val="00BF496D"/>
    <w:rsid w:val="00BF4997"/>
    <w:rsid w:val="00BF4C22"/>
    <w:rsid w:val="00BF501E"/>
    <w:rsid w:val="00BF506A"/>
    <w:rsid w:val="00BF50A0"/>
    <w:rsid w:val="00BF5155"/>
    <w:rsid w:val="00BF524A"/>
    <w:rsid w:val="00BF5291"/>
    <w:rsid w:val="00BF5331"/>
    <w:rsid w:val="00BF5479"/>
    <w:rsid w:val="00BF5950"/>
    <w:rsid w:val="00BF5964"/>
    <w:rsid w:val="00BF5B0B"/>
    <w:rsid w:val="00BF5E2E"/>
    <w:rsid w:val="00BF606E"/>
    <w:rsid w:val="00BF6356"/>
    <w:rsid w:val="00BF6498"/>
    <w:rsid w:val="00BF6B17"/>
    <w:rsid w:val="00BF6B2D"/>
    <w:rsid w:val="00BF6C3B"/>
    <w:rsid w:val="00BF6E6D"/>
    <w:rsid w:val="00BF6F45"/>
    <w:rsid w:val="00BF7251"/>
    <w:rsid w:val="00BF7273"/>
    <w:rsid w:val="00BF72DB"/>
    <w:rsid w:val="00BF7A21"/>
    <w:rsid w:val="00BF7C47"/>
    <w:rsid w:val="00BF7CE4"/>
    <w:rsid w:val="00BF7D02"/>
    <w:rsid w:val="00C00239"/>
    <w:rsid w:val="00C0032F"/>
    <w:rsid w:val="00C00594"/>
    <w:rsid w:val="00C005FE"/>
    <w:rsid w:val="00C008E7"/>
    <w:rsid w:val="00C009DC"/>
    <w:rsid w:val="00C00A93"/>
    <w:rsid w:val="00C00BE6"/>
    <w:rsid w:val="00C00E3E"/>
    <w:rsid w:val="00C00EAC"/>
    <w:rsid w:val="00C00ECD"/>
    <w:rsid w:val="00C00FC2"/>
    <w:rsid w:val="00C01399"/>
    <w:rsid w:val="00C014F0"/>
    <w:rsid w:val="00C01512"/>
    <w:rsid w:val="00C01B0A"/>
    <w:rsid w:val="00C01C7F"/>
    <w:rsid w:val="00C01F38"/>
    <w:rsid w:val="00C022C3"/>
    <w:rsid w:val="00C0240B"/>
    <w:rsid w:val="00C02B0D"/>
    <w:rsid w:val="00C02BB6"/>
    <w:rsid w:val="00C02BEA"/>
    <w:rsid w:val="00C02BFC"/>
    <w:rsid w:val="00C02C0D"/>
    <w:rsid w:val="00C02D6A"/>
    <w:rsid w:val="00C02F17"/>
    <w:rsid w:val="00C02F1F"/>
    <w:rsid w:val="00C03180"/>
    <w:rsid w:val="00C031C4"/>
    <w:rsid w:val="00C0351D"/>
    <w:rsid w:val="00C035AF"/>
    <w:rsid w:val="00C0367F"/>
    <w:rsid w:val="00C0368E"/>
    <w:rsid w:val="00C03738"/>
    <w:rsid w:val="00C03ADF"/>
    <w:rsid w:val="00C03AEC"/>
    <w:rsid w:val="00C03B51"/>
    <w:rsid w:val="00C03D84"/>
    <w:rsid w:val="00C03F69"/>
    <w:rsid w:val="00C03FFE"/>
    <w:rsid w:val="00C04072"/>
    <w:rsid w:val="00C0415A"/>
    <w:rsid w:val="00C041E9"/>
    <w:rsid w:val="00C04417"/>
    <w:rsid w:val="00C04892"/>
    <w:rsid w:val="00C048F7"/>
    <w:rsid w:val="00C04A56"/>
    <w:rsid w:val="00C04D24"/>
    <w:rsid w:val="00C04DF4"/>
    <w:rsid w:val="00C04FE9"/>
    <w:rsid w:val="00C050F1"/>
    <w:rsid w:val="00C052AF"/>
    <w:rsid w:val="00C05347"/>
    <w:rsid w:val="00C05677"/>
    <w:rsid w:val="00C0569C"/>
    <w:rsid w:val="00C058CC"/>
    <w:rsid w:val="00C058CD"/>
    <w:rsid w:val="00C059FC"/>
    <w:rsid w:val="00C05B52"/>
    <w:rsid w:val="00C05C98"/>
    <w:rsid w:val="00C05D1A"/>
    <w:rsid w:val="00C05DC2"/>
    <w:rsid w:val="00C0601C"/>
    <w:rsid w:val="00C060B8"/>
    <w:rsid w:val="00C060E3"/>
    <w:rsid w:val="00C0617D"/>
    <w:rsid w:val="00C061FB"/>
    <w:rsid w:val="00C06464"/>
    <w:rsid w:val="00C0663A"/>
    <w:rsid w:val="00C068D3"/>
    <w:rsid w:val="00C06F02"/>
    <w:rsid w:val="00C06FBA"/>
    <w:rsid w:val="00C07156"/>
    <w:rsid w:val="00C07192"/>
    <w:rsid w:val="00C07469"/>
    <w:rsid w:val="00C076F6"/>
    <w:rsid w:val="00C07A9D"/>
    <w:rsid w:val="00C07C06"/>
    <w:rsid w:val="00C07CB6"/>
    <w:rsid w:val="00C07EF1"/>
    <w:rsid w:val="00C1055E"/>
    <w:rsid w:val="00C10595"/>
    <w:rsid w:val="00C109D6"/>
    <w:rsid w:val="00C10A0C"/>
    <w:rsid w:val="00C10D40"/>
    <w:rsid w:val="00C10D4D"/>
    <w:rsid w:val="00C10EAE"/>
    <w:rsid w:val="00C10FBF"/>
    <w:rsid w:val="00C111ED"/>
    <w:rsid w:val="00C11296"/>
    <w:rsid w:val="00C11304"/>
    <w:rsid w:val="00C114B7"/>
    <w:rsid w:val="00C116C3"/>
    <w:rsid w:val="00C116CA"/>
    <w:rsid w:val="00C11794"/>
    <w:rsid w:val="00C12116"/>
    <w:rsid w:val="00C125F3"/>
    <w:rsid w:val="00C125F5"/>
    <w:rsid w:val="00C12801"/>
    <w:rsid w:val="00C1293C"/>
    <w:rsid w:val="00C12EAF"/>
    <w:rsid w:val="00C12F71"/>
    <w:rsid w:val="00C12FB3"/>
    <w:rsid w:val="00C130FD"/>
    <w:rsid w:val="00C13276"/>
    <w:rsid w:val="00C132A0"/>
    <w:rsid w:val="00C13332"/>
    <w:rsid w:val="00C13348"/>
    <w:rsid w:val="00C13B0F"/>
    <w:rsid w:val="00C13FC1"/>
    <w:rsid w:val="00C142A1"/>
    <w:rsid w:val="00C14454"/>
    <w:rsid w:val="00C14BEA"/>
    <w:rsid w:val="00C14CB6"/>
    <w:rsid w:val="00C14F29"/>
    <w:rsid w:val="00C14FA3"/>
    <w:rsid w:val="00C1532D"/>
    <w:rsid w:val="00C1538E"/>
    <w:rsid w:val="00C1578A"/>
    <w:rsid w:val="00C15BCB"/>
    <w:rsid w:val="00C1610D"/>
    <w:rsid w:val="00C16241"/>
    <w:rsid w:val="00C1645B"/>
    <w:rsid w:val="00C16683"/>
    <w:rsid w:val="00C16812"/>
    <w:rsid w:val="00C169EE"/>
    <w:rsid w:val="00C16A6D"/>
    <w:rsid w:val="00C16C50"/>
    <w:rsid w:val="00C16C8B"/>
    <w:rsid w:val="00C170EA"/>
    <w:rsid w:val="00C1731C"/>
    <w:rsid w:val="00C175E7"/>
    <w:rsid w:val="00C17620"/>
    <w:rsid w:val="00C17675"/>
    <w:rsid w:val="00C1768E"/>
    <w:rsid w:val="00C17835"/>
    <w:rsid w:val="00C17856"/>
    <w:rsid w:val="00C1799B"/>
    <w:rsid w:val="00C17A1E"/>
    <w:rsid w:val="00C17B9C"/>
    <w:rsid w:val="00C17D1A"/>
    <w:rsid w:val="00C17F43"/>
    <w:rsid w:val="00C17FC4"/>
    <w:rsid w:val="00C2004E"/>
    <w:rsid w:val="00C20064"/>
    <w:rsid w:val="00C2020B"/>
    <w:rsid w:val="00C20249"/>
    <w:rsid w:val="00C2052C"/>
    <w:rsid w:val="00C207BA"/>
    <w:rsid w:val="00C20A07"/>
    <w:rsid w:val="00C21085"/>
    <w:rsid w:val="00C21269"/>
    <w:rsid w:val="00C212F4"/>
    <w:rsid w:val="00C21642"/>
    <w:rsid w:val="00C2183A"/>
    <w:rsid w:val="00C21B1E"/>
    <w:rsid w:val="00C21D81"/>
    <w:rsid w:val="00C21DAD"/>
    <w:rsid w:val="00C21E4F"/>
    <w:rsid w:val="00C2205B"/>
    <w:rsid w:val="00C22079"/>
    <w:rsid w:val="00C222A6"/>
    <w:rsid w:val="00C22385"/>
    <w:rsid w:val="00C224BF"/>
    <w:rsid w:val="00C224EC"/>
    <w:rsid w:val="00C22B1B"/>
    <w:rsid w:val="00C22BA6"/>
    <w:rsid w:val="00C22BF2"/>
    <w:rsid w:val="00C22CC1"/>
    <w:rsid w:val="00C22CF5"/>
    <w:rsid w:val="00C22D04"/>
    <w:rsid w:val="00C2308C"/>
    <w:rsid w:val="00C23B82"/>
    <w:rsid w:val="00C23BE7"/>
    <w:rsid w:val="00C23D2A"/>
    <w:rsid w:val="00C240D2"/>
    <w:rsid w:val="00C243F8"/>
    <w:rsid w:val="00C24645"/>
    <w:rsid w:val="00C24AD9"/>
    <w:rsid w:val="00C24CAF"/>
    <w:rsid w:val="00C24FAF"/>
    <w:rsid w:val="00C250CE"/>
    <w:rsid w:val="00C25997"/>
    <w:rsid w:val="00C25B34"/>
    <w:rsid w:val="00C25B6F"/>
    <w:rsid w:val="00C25D79"/>
    <w:rsid w:val="00C25E52"/>
    <w:rsid w:val="00C25EA1"/>
    <w:rsid w:val="00C25ED8"/>
    <w:rsid w:val="00C26007"/>
    <w:rsid w:val="00C26119"/>
    <w:rsid w:val="00C261EE"/>
    <w:rsid w:val="00C26813"/>
    <w:rsid w:val="00C2686F"/>
    <w:rsid w:val="00C26DA8"/>
    <w:rsid w:val="00C26E2D"/>
    <w:rsid w:val="00C26EA7"/>
    <w:rsid w:val="00C270D2"/>
    <w:rsid w:val="00C270E8"/>
    <w:rsid w:val="00C27367"/>
    <w:rsid w:val="00C2751B"/>
    <w:rsid w:val="00C275EF"/>
    <w:rsid w:val="00C27676"/>
    <w:rsid w:val="00C2785E"/>
    <w:rsid w:val="00C2786A"/>
    <w:rsid w:val="00C27E69"/>
    <w:rsid w:val="00C30321"/>
    <w:rsid w:val="00C30893"/>
    <w:rsid w:val="00C30E8D"/>
    <w:rsid w:val="00C31262"/>
    <w:rsid w:val="00C31408"/>
    <w:rsid w:val="00C3162C"/>
    <w:rsid w:val="00C31C97"/>
    <w:rsid w:val="00C31C99"/>
    <w:rsid w:val="00C31E06"/>
    <w:rsid w:val="00C3219F"/>
    <w:rsid w:val="00C32274"/>
    <w:rsid w:val="00C3244B"/>
    <w:rsid w:val="00C3271D"/>
    <w:rsid w:val="00C328B2"/>
    <w:rsid w:val="00C32A03"/>
    <w:rsid w:val="00C32DDA"/>
    <w:rsid w:val="00C32E4C"/>
    <w:rsid w:val="00C337C9"/>
    <w:rsid w:val="00C33A86"/>
    <w:rsid w:val="00C3436F"/>
    <w:rsid w:val="00C3475D"/>
    <w:rsid w:val="00C34868"/>
    <w:rsid w:val="00C34A1A"/>
    <w:rsid w:val="00C35378"/>
    <w:rsid w:val="00C35398"/>
    <w:rsid w:val="00C35FED"/>
    <w:rsid w:val="00C36168"/>
    <w:rsid w:val="00C361E7"/>
    <w:rsid w:val="00C362C4"/>
    <w:rsid w:val="00C36487"/>
    <w:rsid w:val="00C365A6"/>
    <w:rsid w:val="00C369F1"/>
    <w:rsid w:val="00C36A4B"/>
    <w:rsid w:val="00C37147"/>
    <w:rsid w:val="00C37288"/>
    <w:rsid w:val="00C374EC"/>
    <w:rsid w:val="00C3768E"/>
    <w:rsid w:val="00C37775"/>
    <w:rsid w:val="00C37EDA"/>
    <w:rsid w:val="00C401F0"/>
    <w:rsid w:val="00C4040D"/>
    <w:rsid w:val="00C40552"/>
    <w:rsid w:val="00C40B45"/>
    <w:rsid w:val="00C40C57"/>
    <w:rsid w:val="00C40E1D"/>
    <w:rsid w:val="00C40EF5"/>
    <w:rsid w:val="00C41054"/>
    <w:rsid w:val="00C4132C"/>
    <w:rsid w:val="00C413FF"/>
    <w:rsid w:val="00C41562"/>
    <w:rsid w:val="00C41941"/>
    <w:rsid w:val="00C419E7"/>
    <w:rsid w:val="00C41BBA"/>
    <w:rsid w:val="00C41E11"/>
    <w:rsid w:val="00C420A1"/>
    <w:rsid w:val="00C4217D"/>
    <w:rsid w:val="00C4236F"/>
    <w:rsid w:val="00C424DC"/>
    <w:rsid w:val="00C4276D"/>
    <w:rsid w:val="00C4293B"/>
    <w:rsid w:val="00C42A2F"/>
    <w:rsid w:val="00C4306B"/>
    <w:rsid w:val="00C4363B"/>
    <w:rsid w:val="00C43BF7"/>
    <w:rsid w:val="00C43C03"/>
    <w:rsid w:val="00C43E64"/>
    <w:rsid w:val="00C43EB4"/>
    <w:rsid w:val="00C43F9C"/>
    <w:rsid w:val="00C440C2"/>
    <w:rsid w:val="00C441DB"/>
    <w:rsid w:val="00C446F9"/>
    <w:rsid w:val="00C44809"/>
    <w:rsid w:val="00C44998"/>
    <w:rsid w:val="00C449A5"/>
    <w:rsid w:val="00C449CC"/>
    <w:rsid w:val="00C44E3A"/>
    <w:rsid w:val="00C44FB2"/>
    <w:rsid w:val="00C450A0"/>
    <w:rsid w:val="00C453A4"/>
    <w:rsid w:val="00C454F8"/>
    <w:rsid w:val="00C4568D"/>
    <w:rsid w:val="00C45873"/>
    <w:rsid w:val="00C459ED"/>
    <w:rsid w:val="00C459EF"/>
    <w:rsid w:val="00C45B43"/>
    <w:rsid w:val="00C45D14"/>
    <w:rsid w:val="00C45FB4"/>
    <w:rsid w:val="00C464DA"/>
    <w:rsid w:val="00C4677B"/>
    <w:rsid w:val="00C46941"/>
    <w:rsid w:val="00C469CC"/>
    <w:rsid w:val="00C46D67"/>
    <w:rsid w:val="00C470E5"/>
    <w:rsid w:val="00C4744C"/>
    <w:rsid w:val="00C474EE"/>
    <w:rsid w:val="00C4774A"/>
    <w:rsid w:val="00C4799E"/>
    <w:rsid w:val="00C47AC0"/>
    <w:rsid w:val="00C47B81"/>
    <w:rsid w:val="00C47C3F"/>
    <w:rsid w:val="00C47DCB"/>
    <w:rsid w:val="00C47E88"/>
    <w:rsid w:val="00C47FEF"/>
    <w:rsid w:val="00C503F8"/>
    <w:rsid w:val="00C508D3"/>
    <w:rsid w:val="00C509C8"/>
    <w:rsid w:val="00C50A4B"/>
    <w:rsid w:val="00C50F39"/>
    <w:rsid w:val="00C50F8A"/>
    <w:rsid w:val="00C51187"/>
    <w:rsid w:val="00C51342"/>
    <w:rsid w:val="00C51348"/>
    <w:rsid w:val="00C513D7"/>
    <w:rsid w:val="00C51424"/>
    <w:rsid w:val="00C515CF"/>
    <w:rsid w:val="00C51735"/>
    <w:rsid w:val="00C517C5"/>
    <w:rsid w:val="00C519B4"/>
    <w:rsid w:val="00C51ABA"/>
    <w:rsid w:val="00C51B0B"/>
    <w:rsid w:val="00C51DF8"/>
    <w:rsid w:val="00C51ED1"/>
    <w:rsid w:val="00C51EFC"/>
    <w:rsid w:val="00C51FD6"/>
    <w:rsid w:val="00C52207"/>
    <w:rsid w:val="00C52263"/>
    <w:rsid w:val="00C525A5"/>
    <w:rsid w:val="00C526A3"/>
    <w:rsid w:val="00C52874"/>
    <w:rsid w:val="00C52A15"/>
    <w:rsid w:val="00C52C22"/>
    <w:rsid w:val="00C52C24"/>
    <w:rsid w:val="00C52C9D"/>
    <w:rsid w:val="00C52D4C"/>
    <w:rsid w:val="00C52EB9"/>
    <w:rsid w:val="00C5305D"/>
    <w:rsid w:val="00C531A0"/>
    <w:rsid w:val="00C538A4"/>
    <w:rsid w:val="00C53AE4"/>
    <w:rsid w:val="00C53B3F"/>
    <w:rsid w:val="00C53C3E"/>
    <w:rsid w:val="00C53C40"/>
    <w:rsid w:val="00C53C50"/>
    <w:rsid w:val="00C53C92"/>
    <w:rsid w:val="00C53D35"/>
    <w:rsid w:val="00C53DC9"/>
    <w:rsid w:val="00C53F88"/>
    <w:rsid w:val="00C540A2"/>
    <w:rsid w:val="00C542CA"/>
    <w:rsid w:val="00C5432D"/>
    <w:rsid w:val="00C54627"/>
    <w:rsid w:val="00C546A5"/>
    <w:rsid w:val="00C54CAF"/>
    <w:rsid w:val="00C54DD3"/>
    <w:rsid w:val="00C553DA"/>
    <w:rsid w:val="00C559BF"/>
    <w:rsid w:val="00C55CE1"/>
    <w:rsid w:val="00C5614D"/>
    <w:rsid w:val="00C56275"/>
    <w:rsid w:val="00C563B6"/>
    <w:rsid w:val="00C56460"/>
    <w:rsid w:val="00C56487"/>
    <w:rsid w:val="00C565A4"/>
    <w:rsid w:val="00C56673"/>
    <w:rsid w:val="00C5687E"/>
    <w:rsid w:val="00C568A7"/>
    <w:rsid w:val="00C56CB8"/>
    <w:rsid w:val="00C56CB9"/>
    <w:rsid w:val="00C5717C"/>
    <w:rsid w:val="00C57422"/>
    <w:rsid w:val="00C5755E"/>
    <w:rsid w:val="00C575D0"/>
    <w:rsid w:val="00C5769D"/>
    <w:rsid w:val="00C57749"/>
    <w:rsid w:val="00C579EA"/>
    <w:rsid w:val="00C57B9A"/>
    <w:rsid w:val="00C57C8A"/>
    <w:rsid w:val="00C60076"/>
    <w:rsid w:val="00C6009B"/>
    <w:rsid w:val="00C603A1"/>
    <w:rsid w:val="00C603F1"/>
    <w:rsid w:val="00C604B0"/>
    <w:rsid w:val="00C6066A"/>
    <w:rsid w:val="00C60AA9"/>
    <w:rsid w:val="00C60B64"/>
    <w:rsid w:val="00C60DE6"/>
    <w:rsid w:val="00C60DF8"/>
    <w:rsid w:val="00C60E15"/>
    <w:rsid w:val="00C60E58"/>
    <w:rsid w:val="00C611F3"/>
    <w:rsid w:val="00C614CC"/>
    <w:rsid w:val="00C61547"/>
    <w:rsid w:val="00C6177F"/>
    <w:rsid w:val="00C61864"/>
    <w:rsid w:val="00C6190F"/>
    <w:rsid w:val="00C61D40"/>
    <w:rsid w:val="00C61DB4"/>
    <w:rsid w:val="00C62008"/>
    <w:rsid w:val="00C62156"/>
    <w:rsid w:val="00C62656"/>
    <w:rsid w:val="00C626BF"/>
    <w:rsid w:val="00C628EB"/>
    <w:rsid w:val="00C62925"/>
    <w:rsid w:val="00C62A73"/>
    <w:rsid w:val="00C62B21"/>
    <w:rsid w:val="00C62C36"/>
    <w:rsid w:val="00C62EA0"/>
    <w:rsid w:val="00C62F21"/>
    <w:rsid w:val="00C63107"/>
    <w:rsid w:val="00C6314D"/>
    <w:rsid w:val="00C6319C"/>
    <w:rsid w:val="00C635E6"/>
    <w:rsid w:val="00C636F1"/>
    <w:rsid w:val="00C6378B"/>
    <w:rsid w:val="00C63AB4"/>
    <w:rsid w:val="00C63B8F"/>
    <w:rsid w:val="00C63D53"/>
    <w:rsid w:val="00C64064"/>
    <w:rsid w:val="00C64065"/>
    <w:rsid w:val="00C6408B"/>
    <w:rsid w:val="00C64338"/>
    <w:rsid w:val="00C64370"/>
    <w:rsid w:val="00C644E5"/>
    <w:rsid w:val="00C64509"/>
    <w:rsid w:val="00C64716"/>
    <w:rsid w:val="00C6471C"/>
    <w:rsid w:val="00C6502F"/>
    <w:rsid w:val="00C6524C"/>
    <w:rsid w:val="00C652E1"/>
    <w:rsid w:val="00C65588"/>
    <w:rsid w:val="00C6565F"/>
    <w:rsid w:val="00C6585A"/>
    <w:rsid w:val="00C65983"/>
    <w:rsid w:val="00C65AD5"/>
    <w:rsid w:val="00C65DF9"/>
    <w:rsid w:val="00C65F2F"/>
    <w:rsid w:val="00C66150"/>
    <w:rsid w:val="00C66163"/>
    <w:rsid w:val="00C66471"/>
    <w:rsid w:val="00C665F4"/>
    <w:rsid w:val="00C66AF7"/>
    <w:rsid w:val="00C66B33"/>
    <w:rsid w:val="00C66B35"/>
    <w:rsid w:val="00C66F61"/>
    <w:rsid w:val="00C6752B"/>
    <w:rsid w:val="00C67904"/>
    <w:rsid w:val="00C67B00"/>
    <w:rsid w:val="00C67D83"/>
    <w:rsid w:val="00C67FFE"/>
    <w:rsid w:val="00C702F1"/>
    <w:rsid w:val="00C7033A"/>
    <w:rsid w:val="00C70566"/>
    <w:rsid w:val="00C707D9"/>
    <w:rsid w:val="00C70827"/>
    <w:rsid w:val="00C708E5"/>
    <w:rsid w:val="00C70961"/>
    <w:rsid w:val="00C70CFB"/>
    <w:rsid w:val="00C70D1D"/>
    <w:rsid w:val="00C70FA6"/>
    <w:rsid w:val="00C71006"/>
    <w:rsid w:val="00C711AB"/>
    <w:rsid w:val="00C71309"/>
    <w:rsid w:val="00C71514"/>
    <w:rsid w:val="00C71982"/>
    <w:rsid w:val="00C71CF0"/>
    <w:rsid w:val="00C71EDD"/>
    <w:rsid w:val="00C72267"/>
    <w:rsid w:val="00C724FC"/>
    <w:rsid w:val="00C72596"/>
    <w:rsid w:val="00C725EC"/>
    <w:rsid w:val="00C72A97"/>
    <w:rsid w:val="00C72B0E"/>
    <w:rsid w:val="00C72CEC"/>
    <w:rsid w:val="00C72DF3"/>
    <w:rsid w:val="00C733C7"/>
    <w:rsid w:val="00C73632"/>
    <w:rsid w:val="00C737AC"/>
    <w:rsid w:val="00C737F9"/>
    <w:rsid w:val="00C73905"/>
    <w:rsid w:val="00C7392A"/>
    <w:rsid w:val="00C73A06"/>
    <w:rsid w:val="00C73B15"/>
    <w:rsid w:val="00C73DD1"/>
    <w:rsid w:val="00C73FF4"/>
    <w:rsid w:val="00C74179"/>
    <w:rsid w:val="00C741C6"/>
    <w:rsid w:val="00C74310"/>
    <w:rsid w:val="00C74915"/>
    <w:rsid w:val="00C753F1"/>
    <w:rsid w:val="00C7566D"/>
    <w:rsid w:val="00C757F1"/>
    <w:rsid w:val="00C758C9"/>
    <w:rsid w:val="00C7592B"/>
    <w:rsid w:val="00C7592D"/>
    <w:rsid w:val="00C7598C"/>
    <w:rsid w:val="00C759B5"/>
    <w:rsid w:val="00C76291"/>
    <w:rsid w:val="00C76646"/>
    <w:rsid w:val="00C769C6"/>
    <w:rsid w:val="00C76E4E"/>
    <w:rsid w:val="00C770D8"/>
    <w:rsid w:val="00C77407"/>
    <w:rsid w:val="00C776AD"/>
    <w:rsid w:val="00C779D4"/>
    <w:rsid w:val="00C8010E"/>
    <w:rsid w:val="00C801AA"/>
    <w:rsid w:val="00C8065F"/>
    <w:rsid w:val="00C80A92"/>
    <w:rsid w:val="00C80ADF"/>
    <w:rsid w:val="00C8106E"/>
    <w:rsid w:val="00C81111"/>
    <w:rsid w:val="00C81441"/>
    <w:rsid w:val="00C814CA"/>
    <w:rsid w:val="00C8159B"/>
    <w:rsid w:val="00C8171E"/>
    <w:rsid w:val="00C81BB9"/>
    <w:rsid w:val="00C81BF4"/>
    <w:rsid w:val="00C81C13"/>
    <w:rsid w:val="00C81FD1"/>
    <w:rsid w:val="00C820D5"/>
    <w:rsid w:val="00C8218B"/>
    <w:rsid w:val="00C823AE"/>
    <w:rsid w:val="00C82B77"/>
    <w:rsid w:val="00C82C2C"/>
    <w:rsid w:val="00C82F14"/>
    <w:rsid w:val="00C83206"/>
    <w:rsid w:val="00C83424"/>
    <w:rsid w:val="00C836C5"/>
    <w:rsid w:val="00C8377C"/>
    <w:rsid w:val="00C8398E"/>
    <w:rsid w:val="00C83A3A"/>
    <w:rsid w:val="00C83A8D"/>
    <w:rsid w:val="00C83A9C"/>
    <w:rsid w:val="00C83F50"/>
    <w:rsid w:val="00C84014"/>
    <w:rsid w:val="00C8432F"/>
    <w:rsid w:val="00C84448"/>
    <w:rsid w:val="00C84485"/>
    <w:rsid w:val="00C844DC"/>
    <w:rsid w:val="00C8457B"/>
    <w:rsid w:val="00C84757"/>
    <w:rsid w:val="00C84A05"/>
    <w:rsid w:val="00C84A34"/>
    <w:rsid w:val="00C84B6A"/>
    <w:rsid w:val="00C84B9B"/>
    <w:rsid w:val="00C84BED"/>
    <w:rsid w:val="00C84D2C"/>
    <w:rsid w:val="00C85497"/>
    <w:rsid w:val="00C85536"/>
    <w:rsid w:val="00C85598"/>
    <w:rsid w:val="00C858B9"/>
    <w:rsid w:val="00C85CBC"/>
    <w:rsid w:val="00C85CD1"/>
    <w:rsid w:val="00C8613B"/>
    <w:rsid w:val="00C861B1"/>
    <w:rsid w:val="00C863FA"/>
    <w:rsid w:val="00C865F1"/>
    <w:rsid w:val="00C86801"/>
    <w:rsid w:val="00C8688E"/>
    <w:rsid w:val="00C868EA"/>
    <w:rsid w:val="00C87728"/>
    <w:rsid w:val="00C877F7"/>
    <w:rsid w:val="00C878E5"/>
    <w:rsid w:val="00C8792E"/>
    <w:rsid w:val="00C87AA8"/>
    <w:rsid w:val="00C87D70"/>
    <w:rsid w:val="00C87F35"/>
    <w:rsid w:val="00C87FE4"/>
    <w:rsid w:val="00C900C9"/>
    <w:rsid w:val="00C902D1"/>
    <w:rsid w:val="00C904B8"/>
    <w:rsid w:val="00C909B4"/>
    <w:rsid w:val="00C90A04"/>
    <w:rsid w:val="00C90A3C"/>
    <w:rsid w:val="00C90A6E"/>
    <w:rsid w:val="00C90B5D"/>
    <w:rsid w:val="00C90BF0"/>
    <w:rsid w:val="00C90D43"/>
    <w:rsid w:val="00C910DE"/>
    <w:rsid w:val="00C914CF"/>
    <w:rsid w:val="00C91823"/>
    <w:rsid w:val="00C91D0E"/>
    <w:rsid w:val="00C91D2A"/>
    <w:rsid w:val="00C92107"/>
    <w:rsid w:val="00C92134"/>
    <w:rsid w:val="00C92148"/>
    <w:rsid w:val="00C921AB"/>
    <w:rsid w:val="00C92325"/>
    <w:rsid w:val="00C9237F"/>
    <w:rsid w:val="00C925BA"/>
    <w:rsid w:val="00C92765"/>
    <w:rsid w:val="00C92830"/>
    <w:rsid w:val="00C92B96"/>
    <w:rsid w:val="00C92BA9"/>
    <w:rsid w:val="00C92BB3"/>
    <w:rsid w:val="00C92DE8"/>
    <w:rsid w:val="00C93135"/>
    <w:rsid w:val="00C93177"/>
    <w:rsid w:val="00C9396F"/>
    <w:rsid w:val="00C93D80"/>
    <w:rsid w:val="00C941E6"/>
    <w:rsid w:val="00C94232"/>
    <w:rsid w:val="00C9432B"/>
    <w:rsid w:val="00C94542"/>
    <w:rsid w:val="00C94761"/>
    <w:rsid w:val="00C94943"/>
    <w:rsid w:val="00C94A10"/>
    <w:rsid w:val="00C94B5E"/>
    <w:rsid w:val="00C94BB3"/>
    <w:rsid w:val="00C94C03"/>
    <w:rsid w:val="00C94DEE"/>
    <w:rsid w:val="00C95074"/>
    <w:rsid w:val="00C95267"/>
    <w:rsid w:val="00C95423"/>
    <w:rsid w:val="00C956D0"/>
    <w:rsid w:val="00C95725"/>
    <w:rsid w:val="00C95B1D"/>
    <w:rsid w:val="00C95C61"/>
    <w:rsid w:val="00C95CA9"/>
    <w:rsid w:val="00C95CDB"/>
    <w:rsid w:val="00C95D73"/>
    <w:rsid w:val="00C95EA0"/>
    <w:rsid w:val="00C95F2F"/>
    <w:rsid w:val="00C96294"/>
    <w:rsid w:val="00C963A4"/>
    <w:rsid w:val="00C966A0"/>
    <w:rsid w:val="00C968AD"/>
    <w:rsid w:val="00C968B2"/>
    <w:rsid w:val="00C969E5"/>
    <w:rsid w:val="00C96A47"/>
    <w:rsid w:val="00C96E2F"/>
    <w:rsid w:val="00C97021"/>
    <w:rsid w:val="00C97244"/>
    <w:rsid w:val="00C97264"/>
    <w:rsid w:val="00C973B3"/>
    <w:rsid w:val="00C9752B"/>
    <w:rsid w:val="00C975AA"/>
    <w:rsid w:val="00C9765B"/>
    <w:rsid w:val="00C976C9"/>
    <w:rsid w:val="00C97795"/>
    <w:rsid w:val="00C977B7"/>
    <w:rsid w:val="00C9788C"/>
    <w:rsid w:val="00CA0080"/>
    <w:rsid w:val="00CA047E"/>
    <w:rsid w:val="00CA051D"/>
    <w:rsid w:val="00CA0664"/>
    <w:rsid w:val="00CA06DF"/>
    <w:rsid w:val="00CA0824"/>
    <w:rsid w:val="00CA082D"/>
    <w:rsid w:val="00CA0AFC"/>
    <w:rsid w:val="00CA0CCC"/>
    <w:rsid w:val="00CA0E3B"/>
    <w:rsid w:val="00CA1039"/>
    <w:rsid w:val="00CA1204"/>
    <w:rsid w:val="00CA1455"/>
    <w:rsid w:val="00CA1B61"/>
    <w:rsid w:val="00CA1B7D"/>
    <w:rsid w:val="00CA1C87"/>
    <w:rsid w:val="00CA1D49"/>
    <w:rsid w:val="00CA200B"/>
    <w:rsid w:val="00CA20C2"/>
    <w:rsid w:val="00CA2146"/>
    <w:rsid w:val="00CA2147"/>
    <w:rsid w:val="00CA21B9"/>
    <w:rsid w:val="00CA23CB"/>
    <w:rsid w:val="00CA2435"/>
    <w:rsid w:val="00CA264A"/>
    <w:rsid w:val="00CA2696"/>
    <w:rsid w:val="00CA26DC"/>
    <w:rsid w:val="00CA270C"/>
    <w:rsid w:val="00CA2712"/>
    <w:rsid w:val="00CA2853"/>
    <w:rsid w:val="00CA3365"/>
    <w:rsid w:val="00CA345E"/>
    <w:rsid w:val="00CA381F"/>
    <w:rsid w:val="00CA3851"/>
    <w:rsid w:val="00CA38D1"/>
    <w:rsid w:val="00CA39C1"/>
    <w:rsid w:val="00CA3A06"/>
    <w:rsid w:val="00CA3B81"/>
    <w:rsid w:val="00CA3BCF"/>
    <w:rsid w:val="00CA3D22"/>
    <w:rsid w:val="00CA3EAE"/>
    <w:rsid w:val="00CA41E2"/>
    <w:rsid w:val="00CA4660"/>
    <w:rsid w:val="00CA47CF"/>
    <w:rsid w:val="00CA4869"/>
    <w:rsid w:val="00CA496A"/>
    <w:rsid w:val="00CA4A4B"/>
    <w:rsid w:val="00CA4CD6"/>
    <w:rsid w:val="00CA4CD8"/>
    <w:rsid w:val="00CA4D00"/>
    <w:rsid w:val="00CA55D9"/>
    <w:rsid w:val="00CA581B"/>
    <w:rsid w:val="00CA5891"/>
    <w:rsid w:val="00CA58F1"/>
    <w:rsid w:val="00CA5928"/>
    <w:rsid w:val="00CA5A94"/>
    <w:rsid w:val="00CA5B3C"/>
    <w:rsid w:val="00CA61FC"/>
    <w:rsid w:val="00CA6623"/>
    <w:rsid w:val="00CA6716"/>
    <w:rsid w:val="00CA695B"/>
    <w:rsid w:val="00CA69CB"/>
    <w:rsid w:val="00CA6F0F"/>
    <w:rsid w:val="00CA6FF1"/>
    <w:rsid w:val="00CA706A"/>
    <w:rsid w:val="00CA70B5"/>
    <w:rsid w:val="00CA7169"/>
    <w:rsid w:val="00CA72DB"/>
    <w:rsid w:val="00CA74A9"/>
    <w:rsid w:val="00CA767F"/>
    <w:rsid w:val="00CA7ABE"/>
    <w:rsid w:val="00CA7C28"/>
    <w:rsid w:val="00CB0023"/>
    <w:rsid w:val="00CB05C3"/>
    <w:rsid w:val="00CB062D"/>
    <w:rsid w:val="00CB084D"/>
    <w:rsid w:val="00CB0943"/>
    <w:rsid w:val="00CB1085"/>
    <w:rsid w:val="00CB108D"/>
    <w:rsid w:val="00CB11D9"/>
    <w:rsid w:val="00CB1261"/>
    <w:rsid w:val="00CB13CF"/>
    <w:rsid w:val="00CB14F1"/>
    <w:rsid w:val="00CB1722"/>
    <w:rsid w:val="00CB1737"/>
    <w:rsid w:val="00CB179B"/>
    <w:rsid w:val="00CB1882"/>
    <w:rsid w:val="00CB190D"/>
    <w:rsid w:val="00CB19C2"/>
    <w:rsid w:val="00CB1CCD"/>
    <w:rsid w:val="00CB218D"/>
    <w:rsid w:val="00CB2410"/>
    <w:rsid w:val="00CB29BC"/>
    <w:rsid w:val="00CB2A06"/>
    <w:rsid w:val="00CB2FA7"/>
    <w:rsid w:val="00CB317E"/>
    <w:rsid w:val="00CB3341"/>
    <w:rsid w:val="00CB3457"/>
    <w:rsid w:val="00CB3FA9"/>
    <w:rsid w:val="00CB4071"/>
    <w:rsid w:val="00CB42D1"/>
    <w:rsid w:val="00CB463F"/>
    <w:rsid w:val="00CB46D3"/>
    <w:rsid w:val="00CB47B5"/>
    <w:rsid w:val="00CB4894"/>
    <w:rsid w:val="00CB494B"/>
    <w:rsid w:val="00CB4A80"/>
    <w:rsid w:val="00CB5EFD"/>
    <w:rsid w:val="00CB60CD"/>
    <w:rsid w:val="00CB633D"/>
    <w:rsid w:val="00CB64B3"/>
    <w:rsid w:val="00CB64D5"/>
    <w:rsid w:val="00CB6A5E"/>
    <w:rsid w:val="00CB6C8D"/>
    <w:rsid w:val="00CB6CFF"/>
    <w:rsid w:val="00CB6DF1"/>
    <w:rsid w:val="00CB6E11"/>
    <w:rsid w:val="00CB6E89"/>
    <w:rsid w:val="00CB7123"/>
    <w:rsid w:val="00CB730E"/>
    <w:rsid w:val="00CB7B0A"/>
    <w:rsid w:val="00CC00FA"/>
    <w:rsid w:val="00CC0383"/>
    <w:rsid w:val="00CC04A0"/>
    <w:rsid w:val="00CC066F"/>
    <w:rsid w:val="00CC0DCC"/>
    <w:rsid w:val="00CC0E2D"/>
    <w:rsid w:val="00CC10BA"/>
    <w:rsid w:val="00CC14C8"/>
    <w:rsid w:val="00CC1857"/>
    <w:rsid w:val="00CC1D64"/>
    <w:rsid w:val="00CC2554"/>
    <w:rsid w:val="00CC2800"/>
    <w:rsid w:val="00CC2BF4"/>
    <w:rsid w:val="00CC2C69"/>
    <w:rsid w:val="00CC2D9B"/>
    <w:rsid w:val="00CC2F47"/>
    <w:rsid w:val="00CC3061"/>
    <w:rsid w:val="00CC3167"/>
    <w:rsid w:val="00CC35C5"/>
    <w:rsid w:val="00CC36CC"/>
    <w:rsid w:val="00CC3B9E"/>
    <w:rsid w:val="00CC3D60"/>
    <w:rsid w:val="00CC3ECB"/>
    <w:rsid w:val="00CC41C2"/>
    <w:rsid w:val="00CC4417"/>
    <w:rsid w:val="00CC4608"/>
    <w:rsid w:val="00CC4A27"/>
    <w:rsid w:val="00CC4F6E"/>
    <w:rsid w:val="00CC511F"/>
    <w:rsid w:val="00CC5232"/>
    <w:rsid w:val="00CC5242"/>
    <w:rsid w:val="00CC52C4"/>
    <w:rsid w:val="00CC53D9"/>
    <w:rsid w:val="00CC56F7"/>
    <w:rsid w:val="00CC589B"/>
    <w:rsid w:val="00CC5C07"/>
    <w:rsid w:val="00CC5D02"/>
    <w:rsid w:val="00CC6228"/>
    <w:rsid w:val="00CC6318"/>
    <w:rsid w:val="00CC63CB"/>
    <w:rsid w:val="00CC63F8"/>
    <w:rsid w:val="00CC6654"/>
    <w:rsid w:val="00CC6943"/>
    <w:rsid w:val="00CC6AA9"/>
    <w:rsid w:val="00CC6ACF"/>
    <w:rsid w:val="00CC721B"/>
    <w:rsid w:val="00CC72B7"/>
    <w:rsid w:val="00CC7353"/>
    <w:rsid w:val="00CC7386"/>
    <w:rsid w:val="00CC7397"/>
    <w:rsid w:val="00CC744D"/>
    <w:rsid w:val="00CC750C"/>
    <w:rsid w:val="00CC756B"/>
    <w:rsid w:val="00CC75F3"/>
    <w:rsid w:val="00CD0066"/>
    <w:rsid w:val="00CD008A"/>
    <w:rsid w:val="00CD0158"/>
    <w:rsid w:val="00CD05CD"/>
    <w:rsid w:val="00CD07BD"/>
    <w:rsid w:val="00CD07D9"/>
    <w:rsid w:val="00CD089C"/>
    <w:rsid w:val="00CD0BA1"/>
    <w:rsid w:val="00CD0C12"/>
    <w:rsid w:val="00CD10BB"/>
    <w:rsid w:val="00CD11D7"/>
    <w:rsid w:val="00CD1530"/>
    <w:rsid w:val="00CD15B7"/>
    <w:rsid w:val="00CD175F"/>
    <w:rsid w:val="00CD188E"/>
    <w:rsid w:val="00CD19E1"/>
    <w:rsid w:val="00CD1CF2"/>
    <w:rsid w:val="00CD1E50"/>
    <w:rsid w:val="00CD1EFF"/>
    <w:rsid w:val="00CD20CE"/>
    <w:rsid w:val="00CD2132"/>
    <w:rsid w:val="00CD228E"/>
    <w:rsid w:val="00CD2354"/>
    <w:rsid w:val="00CD23D5"/>
    <w:rsid w:val="00CD2681"/>
    <w:rsid w:val="00CD28CE"/>
    <w:rsid w:val="00CD2A4E"/>
    <w:rsid w:val="00CD2AEC"/>
    <w:rsid w:val="00CD2B1A"/>
    <w:rsid w:val="00CD2B7A"/>
    <w:rsid w:val="00CD383D"/>
    <w:rsid w:val="00CD3BD8"/>
    <w:rsid w:val="00CD3DCF"/>
    <w:rsid w:val="00CD40EE"/>
    <w:rsid w:val="00CD40FF"/>
    <w:rsid w:val="00CD41DC"/>
    <w:rsid w:val="00CD471F"/>
    <w:rsid w:val="00CD47BF"/>
    <w:rsid w:val="00CD4B42"/>
    <w:rsid w:val="00CD4FA2"/>
    <w:rsid w:val="00CD5158"/>
    <w:rsid w:val="00CD515A"/>
    <w:rsid w:val="00CD5282"/>
    <w:rsid w:val="00CD5487"/>
    <w:rsid w:val="00CD556C"/>
    <w:rsid w:val="00CD5AF1"/>
    <w:rsid w:val="00CD5DB4"/>
    <w:rsid w:val="00CD5E84"/>
    <w:rsid w:val="00CD5F4F"/>
    <w:rsid w:val="00CD65F2"/>
    <w:rsid w:val="00CD694A"/>
    <w:rsid w:val="00CD6C8C"/>
    <w:rsid w:val="00CD703A"/>
    <w:rsid w:val="00CD70CC"/>
    <w:rsid w:val="00CD75EA"/>
    <w:rsid w:val="00CD76BC"/>
    <w:rsid w:val="00CD7966"/>
    <w:rsid w:val="00CD7BBA"/>
    <w:rsid w:val="00CD7F81"/>
    <w:rsid w:val="00CE010F"/>
    <w:rsid w:val="00CE045A"/>
    <w:rsid w:val="00CE053E"/>
    <w:rsid w:val="00CE07C9"/>
    <w:rsid w:val="00CE0818"/>
    <w:rsid w:val="00CE0A4E"/>
    <w:rsid w:val="00CE0B15"/>
    <w:rsid w:val="00CE13F7"/>
    <w:rsid w:val="00CE20E2"/>
    <w:rsid w:val="00CE21D3"/>
    <w:rsid w:val="00CE2463"/>
    <w:rsid w:val="00CE25FB"/>
    <w:rsid w:val="00CE296E"/>
    <w:rsid w:val="00CE2BC7"/>
    <w:rsid w:val="00CE2F23"/>
    <w:rsid w:val="00CE308E"/>
    <w:rsid w:val="00CE328C"/>
    <w:rsid w:val="00CE32EE"/>
    <w:rsid w:val="00CE3514"/>
    <w:rsid w:val="00CE3546"/>
    <w:rsid w:val="00CE395F"/>
    <w:rsid w:val="00CE3CE4"/>
    <w:rsid w:val="00CE3F46"/>
    <w:rsid w:val="00CE43ED"/>
    <w:rsid w:val="00CE458F"/>
    <w:rsid w:val="00CE4683"/>
    <w:rsid w:val="00CE47D9"/>
    <w:rsid w:val="00CE48B3"/>
    <w:rsid w:val="00CE490A"/>
    <w:rsid w:val="00CE4BE3"/>
    <w:rsid w:val="00CE4D08"/>
    <w:rsid w:val="00CE4DA4"/>
    <w:rsid w:val="00CE4FB2"/>
    <w:rsid w:val="00CE51B5"/>
    <w:rsid w:val="00CE549F"/>
    <w:rsid w:val="00CE5705"/>
    <w:rsid w:val="00CE572B"/>
    <w:rsid w:val="00CE574B"/>
    <w:rsid w:val="00CE575F"/>
    <w:rsid w:val="00CE5792"/>
    <w:rsid w:val="00CE5954"/>
    <w:rsid w:val="00CE59DD"/>
    <w:rsid w:val="00CE5C5E"/>
    <w:rsid w:val="00CE5C6C"/>
    <w:rsid w:val="00CE5CE9"/>
    <w:rsid w:val="00CE5D27"/>
    <w:rsid w:val="00CE5EC1"/>
    <w:rsid w:val="00CE60F3"/>
    <w:rsid w:val="00CE63E6"/>
    <w:rsid w:val="00CE6566"/>
    <w:rsid w:val="00CE65D4"/>
    <w:rsid w:val="00CE6891"/>
    <w:rsid w:val="00CE6B34"/>
    <w:rsid w:val="00CE6B66"/>
    <w:rsid w:val="00CE6C02"/>
    <w:rsid w:val="00CE7035"/>
    <w:rsid w:val="00CE7062"/>
    <w:rsid w:val="00CE70D2"/>
    <w:rsid w:val="00CE7371"/>
    <w:rsid w:val="00CE7422"/>
    <w:rsid w:val="00CE7527"/>
    <w:rsid w:val="00CE779C"/>
    <w:rsid w:val="00CE77FF"/>
    <w:rsid w:val="00CE7819"/>
    <w:rsid w:val="00CE7AA0"/>
    <w:rsid w:val="00CE7EAF"/>
    <w:rsid w:val="00CE7FCB"/>
    <w:rsid w:val="00CF0275"/>
    <w:rsid w:val="00CF0386"/>
    <w:rsid w:val="00CF0609"/>
    <w:rsid w:val="00CF0973"/>
    <w:rsid w:val="00CF0A2A"/>
    <w:rsid w:val="00CF0BA9"/>
    <w:rsid w:val="00CF0EB8"/>
    <w:rsid w:val="00CF10C4"/>
    <w:rsid w:val="00CF12A9"/>
    <w:rsid w:val="00CF1697"/>
    <w:rsid w:val="00CF1763"/>
    <w:rsid w:val="00CF1821"/>
    <w:rsid w:val="00CF189E"/>
    <w:rsid w:val="00CF1D03"/>
    <w:rsid w:val="00CF20EB"/>
    <w:rsid w:val="00CF2513"/>
    <w:rsid w:val="00CF2645"/>
    <w:rsid w:val="00CF2847"/>
    <w:rsid w:val="00CF29F7"/>
    <w:rsid w:val="00CF2BAB"/>
    <w:rsid w:val="00CF308E"/>
    <w:rsid w:val="00CF31A9"/>
    <w:rsid w:val="00CF3303"/>
    <w:rsid w:val="00CF334F"/>
    <w:rsid w:val="00CF3A09"/>
    <w:rsid w:val="00CF3AF7"/>
    <w:rsid w:val="00CF3B57"/>
    <w:rsid w:val="00CF3BFB"/>
    <w:rsid w:val="00CF3EBD"/>
    <w:rsid w:val="00CF4403"/>
    <w:rsid w:val="00CF44E3"/>
    <w:rsid w:val="00CF471F"/>
    <w:rsid w:val="00CF4869"/>
    <w:rsid w:val="00CF4945"/>
    <w:rsid w:val="00CF4A4F"/>
    <w:rsid w:val="00CF4B5D"/>
    <w:rsid w:val="00CF557B"/>
    <w:rsid w:val="00CF57F5"/>
    <w:rsid w:val="00CF59CA"/>
    <w:rsid w:val="00CF5AC1"/>
    <w:rsid w:val="00CF5D5B"/>
    <w:rsid w:val="00CF5DEC"/>
    <w:rsid w:val="00CF5EC3"/>
    <w:rsid w:val="00CF5FB2"/>
    <w:rsid w:val="00CF61DD"/>
    <w:rsid w:val="00CF62DE"/>
    <w:rsid w:val="00CF6476"/>
    <w:rsid w:val="00CF6496"/>
    <w:rsid w:val="00CF64C4"/>
    <w:rsid w:val="00CF64F8"/>
    <w:rsid w:val="00CF677B"/>
    <w:rsid w:val="00CF7431"/>
    <w:rsid w:val="00CF756D"/>
    <w:rsid w:val="00CF7582"/>
    <w:rsid w:val="00CF773B"/>
    <w:rsid w:val="00CF7AAB"/>
    <w:rsid w:val="00CF7AC4"/>
    <w:rsid w:val="00CF7B0D"/>
    <w:rsid w:val="00CF7D96"/>
    <w:rsid w:val="00D00071"/>
    <w:rsid w:val="00D000C1"/>
    <w:rsid w:val="00D001A5"/>
    <w:rsid w:val="00D006F5"/>
    <w:rsid w:val="00D00750"/>
    <w:rsid w:val="00D007BA"/>
    <w:rsid w:val="00D00983"/>
    <w:rsid w:val="00D00CAA"/>
    <w:rsid w:val="00D00D2F"/>
    <w:rsid w:val="00D011AA"/>
    <w:rsid w:val="00D01D3D"/>
    <w:rsid w:val="00D01DF7"/>
    <w:rsid w:val="00D01E03"/>
    <w:rsid w:val="00D01E8C"/>
    <w:rsid w:val="00D01F2A"/>
    <w:rsid w:val="00D020BD"/>
    <w:rsid w:val="00D02327"/>
    <w:rsid w:val="00D02D3E"/>
    <w:rsid w:val="00D02E9F"/>
    <w:rsid w:val="00D0321D"/>
    <w:rsid w:val="00D035D2"/>
    <w:rsid w:val="00D0365A"/>
    <w:rsid w:val="00D03A7C"/>
    <w:rsid w:val="00D03D8C"/>
    <w:rsid w:val="00D03F3D"/>
    <w:rsid w:val="00D0434A"/>
    <w:rsid w:val="00D047E2"/>
    <w:rsid w:val="00D04AA9"/>
    <w:rsid w:val="00D04BB5"/>
    <w:rsid w:val="00D04D1F"/>
    <w:rsid w:val="00D04D83"/>
    <w:rsid w:val="00D051FD"/>
    <w:rsid w:val="00D0520E"/>
    <w:rsid w:val="00D053A2"/>
    <w:rsid w:val="00D058C5"/>
    <w:rsid w:val="00D05D2F"/>
    <w:rsid w:val="00D05F62"/>
    <w:rsid w:val="00D06130"/>
    <w:rsid w:val="00D061AC"/>
    <w:rsid w:val="00D0621D"/>
    <w:rsid w:val="00D06469"/>
    <w:rsid w:val="00D064D0"/>
    <w:rsid w:val="00D06812"/>
    <w:rsid w:val="00D06825"/>
    <w:rsid w:val="00D06928"/>
    <w:rsid w:val="00D06C51"/>
    <w:rsid w:val="00D06C58"/>
    <w:rsid w:val="00D06EF3"/>
    <w:rsid w:val="00D07033"/>
    <w:rsid w:val="00D07245"/>
    <w:rsid w:val="00D074EA"/>
    <w:rsid w:val="00D07932"/>
    <w:rsid w:val="00D07B96"/>
    <w:rsid w:val="00D07E23"/>
    <w:rsid w:val="00D07F51"/>
    <w:rsid w:val="00D1016E"/>
    <w:rsid w:val="00D1051A"/>
    <w:rsid w:val="00D1098E"/>
    <w:rsid w:val="00D109B0"/>
    <w:rsid w:val="00D10E51"/>
    <w:rsid w:val="00D112CC"/>
    <w:rsid w:val="00D117F5"/>
    <w:rsid w:val="00D11B8E"/>
    <w:rsid w:val="00D11B90"/>
    <w:rsid w:val="00D11C18"/>
    <w:rsid w:val="00D11E05"/>
    <w:rsid w:val="00D12105"/>
    <w:rsid w:val="00D12122"/>
    <w:rsid w:val="00D12407"/>
    <w:rsid w:val="00D128CB"/>
    <w:rsid w:val="00D12B94"/>
    <w:rsid w:val="00D12C10"/>
    <w:rsid w:val="00D12D31"/>
    <w:rsid w:val="00D13159"/>
    <w:rsid w:val="00D1340A"/>
    <w:rsid w:val="00D134B2"/>
    <w:rsid w:val="00D13E37"/>
    <w:rsid w:val="00D140D6"/>
    <w:rsid w:val="00D1419A"/>
    <w:rsid w:val="00D14263"/>
    <w:rsid w:val="00D14265"/>
    <w:rsid w:val="00D14465"/>
    <w:rsid w:val="00D14C6E"/>
    <w:rsid w:val="00D14D42"/>
    <w:rsid w:val="00D14E98"/>
    <w:rsid w:val="00D14EEB"/>
    <w:rsid w:val="00D14F92"/>
    <w:rsid w:val="00D15147"/>
    <w:rsid w:val="00D153E7"/>
    <w:rsid w:val="00D154A6"/>
    <w:rsid w:val="00D15632"/>
    <w:rsid w:val="00D1576A"/>
    <w:rsid w:val="00D15B2A"/>
    <w:rsid w:val="00D15D98"/>
    <w:rsid w:val="00D15DCA"/>
    <w:rsid w:val="00D160B5"/>
    <w:rsid w:val="00D162D9"/>
    <w:rsid w:val="00D162EE"/>
    <w:rsid w:val="00D163AE"/>
    <w:rsid w:val="00D16424"/>
    <w:rsid w:val="00D164E5"/>
    <w:rsid w:val="00D1652B"/>
    <w:rsid w:val="00D16A1F"/>
    <w:rsid w:val="00D16A67"/>
    <w:rsid w:val="00D16E83"/>
    <w:rsid w:val="00D16F3C"/>
    <w:rsid w:val="00D1714B"/>
    <w:rsid w:val="00D17198"/>
    <w:rsid w:val="00D17487"/>
    <w:rsid w:val="00D17837"/>
    <w:rsid w:val="00D1796F"/>
    <w:rsid w:val="00D17C7E"/>
    <w:rsid w:val="00D17C85"/>
    <w:rsid w:val="00D17E26"/>
    <w:rsid w:val="00D17F4C"/>
    <w:rsid w:val="00D20091"/>
    <w:rsid w:val="00D20279"/>
    <w:rsid w:val="00D202DA"/>
    <w:rsid w:val="00D20468"/>
    <w:rsid w:val="00D206C5"/>
    <w:rsid w:val="00D20743"/>
    <w:rsid w:val="00D207D0"/>
    <w:rsid w:val="00D208B4"/>
    <w:rsid w:val="00D210C1"/>
    <w:rsid w:val="00D21276"/>
    <w:rsid w:val="00D212BE"/>
    <w:rsid w:val="00D216E9"/>
    <w:rsid w:val="00D22222"/>
    <w:rsid w:val="00D22336"/>
    <w:rsid w:val="00D2264E"/>
    <w:rsid w:val="00D2267D"/>
    <w:rsid w:val="00D226FF"/>
    <w:rsid w:val="00D22D35"/>
    <w:rsid w:val="00D22EB6"/>
    <w:rsid w:val="00D22ECE"/>
    <w:rsid w:val="00D22FC3"/>
    <w:rsid w:val="00D23499"/>
    <w:rsid w:val="00D234B8"/>
    <w:rsid w:val="00D236C7"/>
    <w:rsid w:val="00D237CB"/>
    <w:rsid w:val="00D238AA"/>
    <w:rsid w:val="00D23D66"/>
    <w:rsid w:val="00D23D90"/>
    <w:rsid w:val="00D23EBE"/>
    <w:rsid w:val="00D23FF3"/>
    <w:rsid w:val="00D241D2"/>
    <w:rsid w:val="00D2433B"/>
    <w:rsid w:val="00D243B3"/>
    <w:rsid w:val="00D24922"/>
    <w:rsid w:val="00D24AE6"/>
    <w:rsid w:val="00D24B10"/>
    <w:rsid w:val="00D24BB2"/>
    <w:rsid w:val="00D24C3E"/>
    <w:rsid w:val="00D24DA0"/>
    <w:rsid w:val="00D251FF"/>
    <w:rsid w:val="00D2530C"/>
    <w:rsid w:val="00D2569B"/>
    <w:rsid w:val="00D25813"/>
    <w:rsid w:val="00D25828"/>
    <w:rsid w:val="00D25A0D"/>
    <w:rsid w:val="00D25F56"/>
    <w:rsid w:val="00D26147"/>
    <w:rsid w:val="00D2666E"/>
    <w:rsid w:val="00D26A4C"/>
    <w:rsid w:val="00D26A6D"/>
    <w:rsid w:val="00D26AF0"/>
    <w:rsid w:val="00D26B29"/>
    <w:rsid w:val="00D26ED5"/>
    <w:rsid w:val="00D26FDB"/>
    <w:rsid w:val="00D2752F"/>
    <w:rsid w:val="00D277C6"/>
    <w:rsid w:val="00D279A3"/>
    <w:rsid w:val="00D27A17"/>
    <w:rsid w:val="00D27A8A"/>
    <w:rsid w:val="00D27D3F"/>
    <w:rsid w:val="00D27DCA"/>
    <w:rsid w:val="00D27F97"/>
    <w:rsid w:val="00D3026F"/>
    <w:rsid w:val="00D3027A"/>
    <w:rsid w:val="00D3052A"/>
    <w:rsid w:val="00D30733"/>
    <w:rsid w:val="00D307C8"/>
    <w:rsid w:val="00D30F52"/>
    <w:rsid w:val="00D316F1"/>
    <w:rsid w:val="00D317D9"/>
    <w:rsid w:val="00D31B12"/>
    <w:rsid w:val="00D31F68"/>
    <w:rsid w:val="00D3242C"/>
    <w:rsid w:val="00D3258B"/>
    <w:rsid w:val="00D327D9"/>
    <w:rsid w:val="00D329FA"/>
    <w:rsid w:val="00D32A2B"/>
    <w:rsid w:val="00D32AD5"/>
    <w:rsid w:val="00D32F57"/>
    <w:rsid w:val="00D32F7E"/>
    <w:rsid w:val="00D3326C"/>
    <w:rsid w:val="00D33787"/>
    <w:rsid w:val="00D33812"/>
    <w:rsid w:val="00D33BF0"/>
    <w:rsid w:val="00D348C4"/>
    <w:rsid w:val="00D348E9"/>
    <w:rsid w:val="00D34B38"/>
    <w:rsid w:val="00D34C37"/>
    <w:rsid w:val="00D35101"/>
    <w:rsid w:val="00D35360"/>
    <w:rsid w:val="00D35856"/>
    <w:rsid w:val="00D358E0"/>
    <w:rsid w:val="00D35BA8"/>
    <w:rsid w:val="00D361D8"/>
    <w:rsid w:val="00D36274"/>
    <w:rsid w:val="00D363AC"/>
    <w:rsid w:val="00D36515"/>
    <w:rsid w:val="00D3669C"/>
    <w:rsid w:val="00D36756"/>
    <w:rsid w:val="00D36884"/>
    <w:rsid w:val="00D36945"/>
    <w:rsid w:val="00D36A4C"/>
    <w:rsid w:val="00D36B4F"/>
    <w:rsid w:val="00D36F25"/>
    <w:rsid w:val="00D3741A"/>
    <w:rsid w:val="00D374A1"/>
    <w:rsid w:val="00D3765E"/>
    <w:rsid w:val="00D379A1"/>
    <w:rsid w:val="00D37A51"/>
    <w:rsid w:val="00D37DE3"/>
    <w:rsid w:val="00D37E3F"/>
    <w:rsid w:val="00D40AEE"/>
    <w:rsid w:val="00D40B4C"/>
    <w:rsid w:val="00D40C5F"/>
    <w:rsid w:val="00D40CDA"/>
    <w:rsid w:val="00D410E1"/>
    <w:rsid w:val="00D414C0"/>
    <w:rsid w:val="00D4172C"/>
    <w:rsid w:val="00D417A3"/>
    <w:rsid w:val="00D41EED"/>
    <w:rsid w:val="00D4272D"/>
    <w:rsid w:val="00D42DBE"/>
    <w:rsid w:val="00D42FFD"/>
    <w:rsid w:val="00D43401"/>
    <w:rsid w:val="00D43A1C"/>
    <w:rsid w:val="00D43A76"/>
    <w:rsid w:val="00D43E39"/>
    <w:rsid w:val="00D442C9"/>
    <w:rsid w:val="00D44444"/>
    <w:rsid w:val="00D4453D"/>
    <w:rsid w:val="00D44583"/>
    <w:rsid w:val="00D44805"/>
    <w:rsid w:val="00D44CDC"/>
    <w:rsid w:val="00D45054"/>
    <w:rsid w:val="00D45444"/>
    <w:rsid w:val="00D4561C"/>
    <w:rsid w:val="00D4568F"/>
    <w:rsid w:val="00D458A7"/>
    <w:rsid w:val="00D458D8"/>
    <w:rsid w:val="00D45A42"/>
    <w:rsid w:val="00D46337"/>
    <w:rsid w:val="00D465BC"/>
    <w:rsid w:val="00D46921"/>
    <w:rsid w:val="00D46AB1"/>
    <w:rsid w:val="00D46BCE"/>
    <w:rsid w:val="00D46D1D"/>
    <w:rsid w:val="00D47263"/>
    <w:rsid w:val="00D4735C"/>
    <w:rsid w:val="00D473D7"/>
    <w:rsid w:val="00D47434"/>
    <w:rsid w:val="00D47511"/>
    <w:rsid w:val="00D476C7"/>
    <w:rsid w:val="00D47EEA"/>
    <w:rsid w:val="00D500F3"/>
    <w:rsid w:val="00D50134"/>
    <w:rsid w:val="00D502D7"/>
    <w:rsid w:val="00D506F5"/>
    <w:rsid w:val="00D50713"/>
    <w:rsid w:val="00D50F60"/>
    <w:rsid w:val="00D50F9A"/>
    <w:rsid w:val="00D50FE0"/>
    <w:rsid w:val="00D5116A"/>
    <w:rsid w:val="00D51274"/>
    <w:rsid w:val="00D51411"/>
    <w:rsid w:val="00D5182B"/>
    <w:rsid w:val="00D51AB4"/>
    <w:rsid w:val="00D51CB4"/>
    <w:rsid w:val="00D52244"/>
    <w:rsid w:val="00D52392"/>
    <w:rsid w:val="00D524F1"/>
    <w:rsid w:val="00D52580"/>
    <w:rsid w:val="00D52965"/>
    <w:rsid w:val="00D52B12"/>
    <w:rsid w:val="00D52BBB"/>
    <w:rsid w:val="00D52D00"/>
    <w:rsid w:val="00D52DD1"/>
    <w:rsid w:val="00D535E1"/>
    <w:rsid w:val="00D538B2"/>
    <w:rsid w:val="00D541BE"/>
    <w:rsid w:val="00D541EE"/>
    <w:rsid w:val="00D54950"/>
    <w:rsid w:val="00D54C29"/>
    <w:rsid w:val="00D54D54"/>
    <w:rsid w:val="00D55436"/>
    <w:rsid w:val="00D55FAA"/>
    <w:rsid w:val="00D569B8"/>
    <w:rsid w:val="00D56ABF"/>
    <w:rsid w:val="00D56EEB"/>
    <w:rsid w:val="00D571B0"/>
    <w:rsid w:val="00D571FF"/>
    <w:rsid w:val="00D57238"/>
    <w:rsid w:val="00D57637"/>
    <w:rsid w:val="00D576C5"/>
    <w:rsid w:val="00D576E7"/>
    <w:rsid w:val="00D57C96"/>
    <w:rsid w:val="00D601B0"/>
    <w:rsid w:val="00D60291"/>
    <w:rsid w:val="00D60520"/>
    <w:rsid w:val="00D6055F"/>
    <w:rsid w:val="00D6061C"/>
    <w:rsid w:val="00D60643"/>
    <w:rsid w:val="00D60A1A"/>
    <w:rsid w:val="00D60DE4"/>
    <w:rsid w:val="00D60DFD"/>
    <w:rsid w:val="00D60F78"/>
    <w:rsid w:val="00D61121"/>
    <w:rsid w:val="00D611E5"/>
    <w:rsid w:val="00D619F2"/>
    <w:rsid w:val="00D61C4D"/>
    <w:rsid w:val="00D62128"/>
    <w:rsid w:val="00D6226F"/>
    <w:rsid w:val="00D62485"/>
    <w:rsid w:val="00D624E6"/>
    <w:rsid w:val="00D62881"/>
    <w:rsid w:val="00D62A65"/>
    <w:rsid w:val="00D62CAD"/>
    <w:rsid w:val="00D62FA1"/>
    <w:rsid w:val="00D63028"/>
    <w:rsid w:val="00D630D2"/>
    <w:rsid w:val="00D631FC"/>
    <w:rsid w:val="00D632C8"/>
    <w:rsid w:val="00D63AED"/>
    <w:rsid w:val="00D63C0A"/>
    <w:rsid w:val="00D63F3B"/>
    <w:rsid w:val="00D63FB4"/>
    <w:rsid w:val="00D6409B"/>
    <w:rsid w:val="00D640BE"/>
    <w:rsid w:val="00D641C0"/>
    <w:rsid w:val="00D6425F"/>
    <w:rsid w:val="00D64CAC"/>
    <w:rsid w:val="00D64E09"/>
    <w:rsid w:val="00D64EE9"/>
    <w:rsid w:val="00D652CB"/>
    <w:rsid w:val="00D65403"/>
    <w:rsid w:val="00D65794"/>
    <w:rsid w:val="00D659AD"/>
    <w:rsid w:val="00D65AAA"/>
    <w:rsid w:val="00D65BFF"/>
    <w:rsid w:val="00D66057"/>
    <w:rsid w:val="00D6617A"/>
    <w:rsid w:val="00D663BC"/>
    <w:rsid w:val="00D665DE"/>
    <w:rsid w:val="00D66662"/>
    <w:rsid w:val="00D66767"/>
    <w:rsid w:val="00D66861"/>
    <w:rsid w:val="00D66B27"/>
    <w:rsid w:val="00D66DAE"/>
    <w:rsid w:val="00D66F2E"/>
    <w:rsid w:val="00D67132"/>
    <w:rsid w:val="00D673CD"/>
    <w:rsid w:val="00D6741E"/>
    <w:rsid w:val="00D67654"/>
    <w:rsid w:val="00D676E8"/>
    <w:rsid w:val="00D679DD"/>
    <w:rsid w:val="00D67BB2"/>
    <w:rsid w:val="00D67C2B"/>
    <w:rsid w:val="00D67DBD"/>
    <w:rsid w:val="00D67F66"/>
    <w:rsid w:val="00D67F6D"/>
    <w:rsid w:val="00D703E4"/>
    <w:rsid w:val="00D7063D"/>
    <w:rsid w:val="00D70753"/>
    <w:rsid w:val="00D707D4"/>
    <w:rsid w:val="00D70939"/>
    <w:rsid w:val="00D70A29"/>
    <w:rsid w:val="00D70A43"/>
    <w:rsid w:val="00D70B89"/>
    <w:rsid w:val="00D70CCA"/>
    <w:rsid w:val="00D70E79"/>
    <w:rsid w:val="00D710B9"/>
    <w:rsid w:val="00D71363"/>
    <w:rsid w:val="00D71672"/>
    <w:rsid w:val="00D716DC"/>
    <w:rsid w:val="00D71E43"/>
    <w:rsid w:val="00D71E4D"/>
    <w:rsid w:val="00D723D0"/>
    <w:rsid w:val="00D72405"/>
    <w:rsid w:val="00D72494"/>
    <w:rsid w:val="00D724F6"/>
    <w:rsid w:val="00D7253C"/>
    <w:rsid w:val="00D72794"/>
    <w:rsid w:val="00D72830"/>
    <w:rsid w:val="00D72AD0"/>
    <w:rsid w:val="00D72CF4"/>
    <w:rsid w:val="00D72D4D"/>
    <w:rsid w:val="00D736DE"/>
    <w:rsid w:val="00D73840"/>
    <w:rsid w:val="00D7387A"/>
    <w:rsid w:val="00D73E65"/>
    <w:rsid w:val="00D74188"/>
    <w:rsid w:val="00D74811"/>
    <w:rsid w:val="00D74CC4"/>
    <w:rsid w:val="00D75057"/>
    <w:rsid w:val="00D7507B"/>
    <w:rsid w:val="00D75276"/>
    <w:rsid w:val="00D75459"/>
    <w:rsid w:val="00D754E2"/>
    <w:rsid w:val="00D757A7"/>
    <w:rsid w:val="00D75903"/>
    <w:rsid w:val="00D7650C"/>
    <w:rsid w:val="00D7668F"/>
    <w:rsid w:val="00D76ACB"/>
    <w:rsid w:val="00D76F5D"/>
    <w:rsid w:val="00D77274"/>
    <w:rsid w:val="00D77369"/>
    <w:rsid w:val="00D7737F"/>
    <w:rsid w:val="00D7765C"/>
    <w:rsid w:val="00D77FE1"/>
    <w:rsid w:val="00D80049"/>
    <w:rsid w:val="00D80057"/>
    <w:rsid w:val="00D80299"/>
    <w:rsid w:val="00D80373"/>
    <w:rsid w:val="00D80592"/>
    <w:rsid w:val="00D8062C"/>
    <w:rsid w:val="00D8068B"/>
    <w:rsid w:val="00D806A0"/>
    <w:rsid w:val="00D8073D"/>
    <w:rsid w:val="00D808FD"/>
    <w:rsid w:val="00D80A85"/>
    <w:rsid w:val="00D80B9C"/>
    <w:rsid w:val="00D80C99"/>
    <w:rsid w:val="00D80CD5"/>
    <w:rsid w:val="00D80D26"/>
    <w:rsid w:val="00D813A5"/>
    <w:rsid w:val="00D8146C"/>
    <w:rsid w:val="00D816AE"/>
    <w:rsid w:val="00D817ED"/>
    <w:rsid w:val="00D81EA0"/>
    <w:rsid w:val="00D821FB"/>
    <w:rsid w:val="00D82574"/>
    <w:rsid w:val="00D8268A"/>
    <w:rsid w:val="00D826A4"/>
    <w:rsid w:val="00D82FED"/>
    <w:rsid w:val="00D832E5"/>
    <w:rsid w:val="00D83309"/>
    <w:rsid w:val="00D83322"/>
    <w:rsid w:val="00D8375C"/>
    <w:rsid w:val="00D837F3"/>
    <w:rsid w:val="00D83B87"/>
    <w:rsid w:val="00D84835"/>
    <w:rsid w:val="00D84857"/>
    <w:rsid w:val="00D8493A"/>
    <w:rsid w:val="00D84E89"/>
    <w:rsid w:val="00D8519E"/>
    <w:rsid w:val="00D85434"/>
    <w:rsid w:val="00D8549D"/>
    <w:rsid w:val="00D856CE"/>
    <w:rsid w:val="00D85763"/>
    <w:rsid w:val="00D8582F"/>
    <w:rsid w:val="00D85E6A"/>
    <w:rsid w:val="00D86530"/>
    <w:rsid w:val="00D86553"/>
    <w:rsid w:val="00D865B5"/>
    <w:rsid w:val="00D868C5"/>
    <w:rsid w:val="00D86BD5"/>
    <w:rsid w:val="00D86C62"/>
    <w:rsid w:val="00D86D75"/>
    <w:rsid w:val="00D86DC4"/>
    <w:rsid w:val="00D86E58"/>
    <w:rsid w:val="00D87003"/>
    <w:rsid w:val="00D8736F"/>
    <w:rsid w:val="00D8770C"/>
    <w:rsid w:val="00D87862"/>
    <w:rsid w:val="00D87B8F"/>
    <w:rsid w:val="00D87D6E"/>
    <w:rsid w:val="00D87FAD"/>
    <w:rsid w:val="00D901C7"/>
    <w:rsid w:val="00D902AF"/>
    <w:rsid w:val="00D9061A"/>
    <w:rsid w:val="00D9065E"/>
    <w:rsid w:val="00D90C21"/>
    <w:rsid w:val="00D91278"/>
    <w:rsid w:val="00D91416"/>
    <w:rsid w:val="00D91459"/>
    <w:rsid w:val="00D91606"/>
    <w:rsid w:val="00D9190F"/>
    <w:rsid w:val="00D91997"/>
    <w:rsid w:val="00D91A01"/>
    <w:rsid w:val="00D91B7C"/>
    <w:rsid w:val="00D91DA5"/>
    <w:rsid w:val="00D92106"/>
    <w:rsid w:val="00D92201"/>
    <w:rsid w:val="00D92223"/>
    <w:rsid w:val="00D9236B"/>
    <w:rsid w:val="00D92375"/>
    <w:rsid w:val="00D9241A"/>
    <w:rsid w:val="00D924DC"/>
    <w:rsid w:val="00D92BD2"/>
    <w:rsid w:val="00D93378"/>
    <w:rsid w:val="00D933F6"/>
    <w:rsid w:val="00D934EF"/>
    <w:rsid w:val="00D9373F"/>
    <w:rsid w:val="00D939F5"/>
    <w:rsid w:val="00D93C5F"/>
    <w:rsid w:val="00D93E8A"/>
    <w:rsid w:val="00D941A5"/>
    <w:rsid w:val="00D94286"/>
    <w:rsid w:val="00D94329"/>
    <w:rsid w:val="00D94475"/>
    <w:rsid w:val="00D945CE"/>
    <w:rsid w:val="00D94674"/>
    <w:rsid w:val="00D9494B"/>
    <w:rsid w:val="00D94A6C"/>
    <w:rsid w:val="00D94DC5"/>
    <w:rsid w:val="00D94E88"/>
    <w:rsid w:val="00D94E94"/>
    <w:rsid w:val="00D94F5C"/>
    <w:rsid w:val="00D9517A"/>
    <w:rsid w:val="00D9578B"/>
    <w:rsid w:val="00D959C6"/>
    <w:rsid w:val="00D95C86"/>
    <w:rsid w:val="00D95CD9"/>
    <w:rsid w:val="00D95EC2"/>
    <w:rsid w:val="00D964AA"/>
    <w:rsid w:val="00D965A1"/>
    <w:rsid w:val="00D96926"/>
    <w:rsid w:val="00D9709A"/>
    <w:rsid w:val="00D9734F"/>
    <w:rsid w:val="00D97636"/>
    <w:rsid w:val="00D97793"/>
    <w:rsid w:val="00D97B0F"/>
    <w:rsid w:val="00D97BAF"/>
    <w:rsid w:val="00D97D7E"/>
    <w:rsid w:val="00D97E6A"/>
    <w:rsid w:val="00D97E7B"/>
    <w:rsid w:val="00DA00E3"/>
    <w:rsid w:val="00DA03E1"/>
    <w:rsid w:val="00DA097A"/>
    <w:rsid w:val="00DA0D14"/>
    <w:rsid w:val="00DA0DE4"/>
    <w:rsid w:val="00DA0F0C"/>
    <w:rsid w:val="00DA0FB0"/>
    <w:rsid w:val="00DA1078"/>
    <w:rsid w:val="00DA125B"/>
    <w:rsid w:val="00DA1303"/>
    <w:rsid w:val="00DA1498"/>
    <w:rsid w:val="00DA1499"/>
    <w:rsid w:val="00DA1854"/>
    <w:rsid w:val="00DA18A4"/>
    <w:rsid w:val="00DA1A3D"/>
    <w:rsid w:val="00DA1BF8"/>
    <w:rsid w:val="00DA1CEC"/>
    <w:rsid w:val="00DA223C"/>
    <w:rsid w:val="00DA27F0"/>
    <w:rsid w:val="00DA2877"/>
    <w:rsid w:val="00DA2956"/>
    <w:rsid w:val="00DA2AD9"/>
    <w:rsid w:val="00DA2E37"/>
    <w:rsid w:val="00DA3852"/>
    <w:rsid w:val="00DA386E"/>
    <w:rsid w:val="00DA38C7"/>
    <w:rsid w:val="00DA3957"/>
    <w:rsid w:val="00DA3B0F"/>
    <w:rsid w:val="00DA3F17"/>
    <w:rsid w:val="00DA4181"/>
    <w:rsid w:val="00DA41E0"/>
    <w:rsid w:val="00DA424F"/>
    <w:rsid w:val="00DA459C"/>
    <w:rsid w:val="00DA4714"/>
    <w:rsid w:val="00DA4AA3"/>
    <w:rsid w:val="00DA4E81"/>
    <w:rsid w:val="00DA4F4F"/>
    <w:rsid w:val="00DA53C6"/>
    <w:rsid w:val="00DA57F7"/>
    <w:rsid w:val="00DA5942"/>
    <w:rsid w:val="00DA598A"/>
    <w:rsid w:val="00DA5B6D"/>
    <w:rsid w:val="00DA5BD9"/>
    <w:rsid w:val="00DA5F60"/>
    <w:rsid w:val="00DA61BA"/>
    <w:rsid w:val="00DA6382"/>
    <w:rsid w:val="00DA66D9"/>
    <w:rsid w:val="00DA6786"/>
    <w:rsid w:val="00DA6954"/>
    <w:rsid w:val="00DA6DC3"/>
    <w:rsid w:val="00DA6DD8"/>
    <w:rsid w:val="00DA6EC3"/>
    <w:rsid w:val="00DA6ECE"/>
    <w:rsid w:val="00DA7247"/>
    <w:rsid w:val="00DA7495"/>
    <w:rsid w:val="00DA77E5"/>
    <w:rsid w:val="00DA78DD"/>
    <w:rsid w:val="00DA7B97"/>
    <w:rsid w:val="00DB0166"/>
    <w:rsid w:val="00DB0670"/>
    <w:rsid w:val="00DB08BD"/>
    <w:rsid w:val="00DB0A06"/>
    <w:rsid w:val="00DB0C74"/>
    <w:rsid w:val="00DB0DD4"/>
    <w:rsid w:val="00DB0F2D"/>
    <w:rsid w:val="00DB0F83"/>
    <w:rsid w:val="00DB0F91"/>
    <w:rsid w:val="00DB1304"/>
    <w:rsid w:val="00DB13DB"/>
    <w:rsid w:val="00DB1521"/>
    <w:rsid w:val="00DB1596"/>
    <w:rsid w:val="00DB1622"/>
    <w:rsid w:val="00DB17E6"/>
    <w:rsid w:val="00DB1B62"/>
    <w:rsid w:val="00DB1D06"/>
    <w:rsid w:val="00DB1D53"/>
    <w:rsid w:val="00DB1DE8"/>
    <w:rsid w:val="00DB20DB"/>
    <w:rsid w:val="00DB2327"/>
    <w:rsid w:val="00DB235B"/>
    <w:rsid w:val="00DB25A7"/>
    <w:rsid w:val="00DB2737"/>
    <w:rsid w:val="00DB275E"/>
    <w:rsid w:val="00DB2810"/>
    <w:rsid w:val="00DB2945"/>
    <w:rsid w:val="00DB29F8"/>
    <w:rsid w:val="00DB2BE3"/>
    <w:rsid w:val="00DB2CBC"/>
    <w:rsid w:val="00DB2E58"/>
    <w:rsid w:val="00DB2FA1"/>
    <w:rsid w:val="00DB2FE3"/>
    <w:rsid w:val="00DB3393"/>
    <w:rsid w:val="00DB3451"/>
    <w:rsid w:val="00DB3B3C"/>
    <w:rsid w:val="00DB3BB1"/>
    <w:rsid w:val="00DB3BC4"/>
    <w:rsid w:val="00DB3BD3"/>
    <w:rsid w:val="00DB3DCF"/>
    <w:rsid w:val="00DB3F98"/>
    <w:rsid w:val="00DB4031"/>
    <w:rsid w:val="00DB4540"/>
    <w:rsid w:val="00DB46D4"/>
    <w:rsid w:val="00DB4765"/>
    <w:rsid w:val="00DB4A3B"/>
    <w:rsid w:val="00DB5159"/>
    <w:rsid w:val="00DB530D"/>
    <w:rsid w:val="00DB5357"/>
    <w:rsid w:val="00DB5531"/>
    <w:rsid w:val="00DB5802"/>
    <w:rsid w:val="00DB5BC9"/>
    <w:rsid w:val="00DB5D5C"/>
    <w:rsid w:val="00DB5D7D"/>
    <w:rsid w:val="00DB615B"/>
    <w:rsid w:val="00DB6648"/>
    <w:rsid w:val="00DB66B6"/>
    <w:rsid w:val="00DB66CE"/>
    <w:rsid w:val="00DB6731"/>
    <w:rsid w:val="00DB690B"/>
    <w:rsid w:val="00DB6953"/>
    <w:rsid w:val="00DB6B7B"/>
    <w:rsid w:val="00DB72F3"/>
    <w:rsid w:val="00DB738A"/>
    <w:rsid w:val="00DB7880"/>
    <w:rsid w:val="00DB7AAE"/>
    <w:rsid w:val="00DB7BBA"/>
    <w:rsid w:val="00DC018E"/>
    <w:rsid w:val="00DC0864"/>
    <w:rsid w:val="00DC0911"/>
    <w:rsid w:val="00DC0FDD"/>
    <w:rsid w:val="00DC102D"/>
    <w:rsid w:val="00DC154F"/>
    <w:rsid w:val="00DC17B9"/>
    <w:rsid w:val="00DC1824"/>
    <w:rsid w:val="00DC1BB7"/>
    <w:rsid w:val="00DC1DFD"/>
    <w:rsid w:val="00DC1FC3"/>
    <w:rsid w:val="00DC1FEF"/>
    <w:rsid w:val="00DC2286"/>
    <w:rsid w:val="00DC228D"/>
    <w:rsid w:val="00DC2296"/>
    <w:rsid w:val="00DC23FF"/>
    <w:rsid w:val="00DC252E"/>
    <w:rsid w:val="00DC2560"/>
    <w:rsid w:val="00DC2858"/>
    <w:rsid w:val="00DC29E2"/>
    <w:rsid w:val="00DC305F"/>
    <w:rsid w:val="00DC30C7"/>
    <w:rsid w:val="00DC30D5"/>
    <w:rsid w:val="00DC3149"/>
    <w:rsid w:val="00DC37D3"/>
    <w:rsid w:val="00DC4BD0"/>
    <w:rsid w:val="00DC548F"/>
    <w:rsid w:val="00DC558A"/>
    <w:rsid w:val="00DC5625"/>
    <w:rsid w:val="00DC57BF"/>
    <w:rsid w:val="00DC5CD2"/>
    <w:rsid w:val="00DC5E00"/>
    <w:rsid w:val="00DC616B"/>
    <w:rsid w:val="00DC6D98"/>
    <w:rsid w:val="00DC6DC8"/>
    <w:rsid w:val="00DC6FC8"/>
    <w:rsid w:val="00DC7026"/>
    <w:rsid w:val="00DC72D5"/>
    <w:rsid w:val="00DC7357"/>
    <w:rsid w:val="00DC7582"/>
    <w:rsid w:val="00DC776E"/>
    <w:rsid w:val="00DC7932"/>
    <w:rsid w:val="00DD0192"/>
    <w:rsid w:val="00DD02B7"/>
    <w:rsid w:val="00DD043A"/>
    <w:rsid w:val="00DD05C4"/>
    <w:rsid w:val="00DD0851"/>
    <w:rsid w:val="00DD0B2F"/>
    <w:rsid w:val="00DD17C9"/>
    <w:rsid w:val="00DD184C"/>
    <w:rsid w:val="00DD18C2"/>
    <w:rsid w:val="00DD1AE2"/>
    <w:rsid w:val="00DD1B51"/>
    <w:rsid w:val="00DD2009"/>
    <w:rsid w:val="00DD22F4"/>
    <w:rsid w:val="00DD25FC"/>
    <w:rsid w:val="00DD26CC"/>
    <w:rsid w:val="00DD28A7"/>
    <w:rsid w:val="00DD2A17"/>
    <w:rsid w:val="00DD2E6C"/>
    <w:rsid w:val="00DD2F84"/>
    <w:rsid w:val="00DD314F"/>
    <w:rsid w:val="00DD322F"/>
    <w:rsid w:val="00DD3320"/>
    <w:rsid w:val="00DD33AF"/>
    <w:rsid w:val="00DD33BE"/>
    <w:rsid w:val="00DD340E"/>
    <w:rsid w:val="00DD3413"/>
    <w:rsid w:val="00DD3D52"/>
    <w:rsid w:val="00DD4309"/>
    <w:rsid w:val="00DD434A"/>
    <w:rsid w:val="00DD45F2"/>
    <w:rsid w:val="00DD460F"/>
    <w:rsid w:val="00DD48CA"/>
    <w:rsid w:val="00DD4A2C"/>
    <w:rsid w:val="00DD4AC0"/>
    <w:rsid w:val="00DD4C8A"/>
    <w:rsid w:val="00DD4D39"/>
    <w:rsid w:val="00DD503C"/>
    <w:rsid w:val="00DD5351"/>
    <w:rsid w:val="00DD5626"/>
    <w:rsid w:val="00DD5911"/>
    <w:rsid w:val="00DD5C86"/>
    <w:rsid w:val="00DD5D06"/>
    <w:rsid w:val="00DD5EC6"/>
    <w:rsid w:val="00DD5FC9"/>
    <w:rsid w:val="00DD5FF7"/>
    <w:rsid w:val="00DD614F"/>
    <w:rsid w:val="00DD617E"/>
    <w:rsid w:val="00DD62B6"/>
    <w:rsid w:val="00DD699D"/>
    <w:rsid w:val="00DD6B22"/>
    <w:rsid w:val="00DD6DBA"/>
    <w:rsid w:val="00DD7421"/>
    <w:rsid w:val="00DD7720"/>
    <w:rsid w:val="00DD78FD"/>
    <w:rsid w:val="00DD7BED"/>
    <w:rsid w:val="00DD7CE8"/>
    <w:rsid w:val="00DE000E"/>
    <w:rsid w:val="00DE0584"/>
    <w:rsid w:val="00DE07D6"/>
    <w:rsid w:val="00DE0877"/>
    <w:rsid w:val="00DE0994"/>
    <w:rsid w:val="00DE0BF5"/>
    <w:rsid w:val="00DE0E51"/>
    <w:rsid w:val="00DE0F5C"/>
    <w:rsid w:val="00DE0F8B"/>
    <w:rsid w:val="00DE108A"/>
    <w:rsid w:val="00DE1093"/>
    <w:rsid w:val="00DE123F"/>
    <w:rsid w:val="00DE1243"/>
    <w:rsid w:val="00DE1330"/>
    <w:rsid w:val="00DE1509"/>
    <w:rsid w:val="00DE173B"/>
    <w:rsid w:val="00DE180F"/>
    <w:rsid w:val="00DE19BB"/>
    <w:rsid w:val="00DE1CAC"/>
    <w:rsid w:val="00DE1CFF"/>
    <w:rsid w:val="00DE2167"/>
    <w:rsid w:val="00DE240D"/>
    <w:rsid w:val="00DE2513"/>
    <w:rsid w:val="00DE2633"/>
    <w:rsid w:val="00DE2661"/>
    <w:rsid w:val="00DE2C80"/>
    <w:rsid w:val="00DE3227"/>
    <w:rsid w:val="00DE3394"/>
    <w:rsid w:val="00DE3766"/>
    <w:rsid w:val="00DE3A75"/>
    <w:rsid w:val="00DE3A76"/>
    <w:rsid w:val="00DE3CC1"/>
    <w:rsid w:val="00DE3FBE"/>
    <w:rsid w:val="00DE4292"/>
    <w:rsid w:val="00DE464E"/>
    <w:rsid w:val="00DE46D3"/>
    <w:rsid w:val="00DE47A5"/>
    <w:rsid w:val="00DE485A"/>
    <w:rsid w:val="00DE4924"/>
    <w:rsid w:val="00DE4B6F"/>
    <w:rsid w:val="00DE4D68"/>
    <w:rsid w:val="00DE5446"/>
    <w:rsid w:val="00DE5524"/>
    <w:rsid w:val="00DE5709"/>
    <w:rsid w:val="00DE58E1"/>
    <w:rsid w:val="00DE5D0E"/>
    <w:rsid w:val="00DE69C1"/>
    <w:rsid w:val="00DE6DF5"/>
    <w:rsid w:val="00DE705D"/>
    <w:rsid w:val="00DE7358"/>
    <w:rsid w:val="00DE75A7"/>
    <w:rsid w:val="00DE76BE"/>
    <w:rsid w:val="00DE797D"/>
    <w:rsid w:val="00DE7B3A"/>
    <w:rsid w:val="00DE7C2E"/>
    <w:rsid w:val="00DE7C7A"/>
    <w:rsid w:val="00DE7CA6"/>
    <w:rsid w:val="00DE7CBB"/>
    <w:rsid w:val="00DE7E96"/>
    <w:rsid w:val="00DE7FBD"/>
    <w:rsid w:val="00DF0068"/>
    <w:rsid w:val="00DF01C4"/>
    <w:rsid w:val="00DF0254"/>
    <w:rsid w:val="00DF04CB"/>
    <w:rsid w:val="00DF0798"/>
    <w:rsid w:val="00DF0BED"/>
    <w:rsid w:val="00DF0C39"/>
    <w:rsid w:val="00DF0C3E"/>
    <w:rsid w:val="00DF1283"/>
    <w:rsid w:val="00DF1370"/>
    <w:rsid w:val="00DF16EC"/>
    <w:rsid w:val="00DF1762"/>
    <w:rsid w:val="00DF1BAF"/>
    <w:rsid w:val="00DF1C0B"/>
    <w:rsid w:val="00DF1C24"/>
    <w:rsid w:val="00DF1DC7"/>
    <w:rsid w:val="00DF2703"/>
    <w:rsid w:val="00DF29D8"/>
    <w:rsid w:val="00DF2A9F"/>
    <w:rsid w:val="00DF2FDC"/>
    <w:rsid w:val="00DF31DC"/>
    <w:rsid w:val="00DF3491"/>
    <w:rsid w:val="00DF38C9"/>
    <w:rsid w:val="00DF3CBA"/>
    <w:rsid w:val="00DF41B9"/>
    <w:rsid w:val="00DF43CA"/>
    <w:rsid w:val="00DF4787"/>
    <w:rsid w:val="00DF4883"/>
    <w:rsid w:val="00DF4F09"/>
    <w:rsid w:val="00DF5072"/>
    <w:rsid w:val="00DF528B"/>
    <w:rsid w:val="00DF5320"/>
    <w:rsid w:val="00DF5467"/>
    <w:rsid w:val="00DF5526"/>
    <w:rsid w:val="00DF559A"/>
    <w:rsid w:val="00DF58F1"/>
    <w:rsid w:val="00DF5AD9"/>
    <w:rsid w:val="00DF5B21"/>
    <w:rsid w:val="00DF5C2F"/>
    <w:rsid w:val="00DF5F57"/>
    <w:rsid w:val="00DF5FAC"/>
    <w:rsid w:val="00DF654D"/>
    <w:rsid w:val="00DF67FF"/>
    <w:rsid w:val="00DF6A70"/>
    <w:rsid w:val="00DF6CAB"/>
    <w:rsid w:val="00DF6E0C"/>
    <w:rsid w:val="00DF6ED2"/>
    <w:rsid w:val="00DF6EF0"/>
    <w:rsid w:val="00DF7237"/>
    <w:rsid w:val="00DF737D"/>
    <w:rsid w:val="00DF776D"/>
    <w:rsid w:val="00DF77B2"/>
    <w:rsid w:val="00DF77FC"/>
    <w:rsid w:val="00DF785B"/>
    <w:rsid w:val="00DF7A72"/>
    <w:rsid w:val="00DF7AE7"/>
    <w:rsid w:val="00DF7BDB"/>
    <w:rsid w:val="00DF7DB7"/>
    <w:rsid w:val="00E00136"/>
    <w:rsid w:val="00E00504"/>
    <w:rsid w:val="00E0051F"/>
    <w:rsid w:val="00E0095F"/>
    <w:rsid w:val="00E009E4"/>
    <w:rsid w:val="00E00B7C"/>
    <w:rsid w:val="00E00BA8"/>
    <w:rsid w:val="00E00D53"/>
    <w:rsid w:val="00E01045"/>
    <w:rsid w:val="00E011A8"/>
    <w:rsid w:val="00E01642"/>
    <w:rsid w:val="00E0193E"/>
    <w:rsid w:val="00E01B3C"/>
    <w:rsid w:val="00E01C25"/>
    <w:rsid w:val="00E01E0B"/>
    <w:rsid w:val="00E01EB1"/>
    <w:rsid w:val="00E0259C"/>
    <w:rsid w:val="00E028AE"/>
    <w:rsid w:val="00E030B3"/>
    <w:rsid w:val="00E033DF"/>
    <w:rsid w:val="00E0350F"/>
    <w:rsid w:val="00E0365F"/>
    <w:rsid w:val="00E03BAB"/>
    <w:rsid w:val="00E03C8F"/>
    <w:rsid w:val="00E03D65"/>
    <w:rsid w:val="00E03DC2"/>
    <w:rsid w:val="00E0423D"/>
    <w:rsid w:val="00E044E2"/>
    <w:rsid w:val="00E045E6"/>
    <w:rsid w:val="00E04A35"/>
    <w:rsid w:val="00E05196"/>
    <w:rsid w:val="00E05205"/>
    <w:rsid w:val="00E053C6"/>
    <w:rsid w:val="00E054E0"/>
    <w:rsid w:val="00E0567B"/>
    <w:rsid w:val="00E05AE3"/>
    <w:rsid w:val="00E05F2C"/>
    <w:rsid w:val="00E060B9"/>
    <w:rsid w:val="00E06409"/>
    <w:rsid w:val="00E064D3"/>
    <w:rsid w:val="00E06A73"/>
    <w:rsid w:val="00E06C21"/>
    <w:rsid w:val="00E06DDD"/>
    <w:rsid w:val="00E07047"/>
    <w:rsid w:val="00E070C1"/>
    <w:rsid w:val="00E071E3"/>
    <w:rsid w:val="00E07813"/>
    <w:rsid w:val="00E07FC8"/>
    <w:rsid w:val="00E07FD1"/>
    <w:rsid w:val="00E100B9"/>
    <w:rsid w:val="00E10133"/>
    <w:rsid w:val="00E10234"/>
    <w:rsid w:val="00E103C8"/>
    <w:rsid w:val="00E10683"/>
    <w:rsid w:val="00E1070A"/>
    <w:rsid w:val="00E10879"/>
    <w:rsid w:val="00E108F2"/>
    <w:rsid w:val="00E10BEB"/>
    <w:rsid w:val="00E1103B"/>
    <w:rsid w:val="00E111C1"/>
    <w:rsid w:val="00E1135E"/>
    <w:rsid w:val="00E118AE"/>
    <w:rsid w:val="00E11AD8"/>
    <w:rsid w:val="00E11B43"/>
    <w:rsid w:val="00E1247F"/>
    <w:rsid w:val="00E1252E"/>
    <w:rsid w:val="00E12759"/>
    <w:rsid w:val="00E127EE"/>
    <w:rsid w:val="00E12812"/>
    <w:rsid w:val="00E12A3A"/>
    <w:rsid w:val="00E12DBB"/>
    <w:rsid w:val="00E12DC8"/>
    <w:rsid w:val="00E130FD"/>
    <w:rsid w:val="00E1310D"/>
    <w:rsid w:val="00E13477"/>
    <w:rsid w:val="00E13499"/>
    <w:rsid w:val="00E135EC"/>
    <w:rsid w:val="00E135F3"/>
    <w:rsid w:val="00E1398B"/>
    <w:rsid w:val="00E139FD"/>
    <w:rsid w:val="00E13F39"/>
    <w:rsid w:val="00E1418E"/>
    <w:rsid w:val="00E14268"/>
    <w:rsid w:val="00E142A6"/>
    <w:rsid w:val="00E142BE"/>
    <w:rsid w:val="00E143A6"/>
    <w:rsid w:val="00E143F1"/>
    <w:rsid w:val="00E1456B"/>
    <w:rsid w:val="00E14700"/>
    <w:rsid w:val="00E14765"/>
    <w:rsid w:val="00E148FF"/>
    <w:rsid w:val="00E14915"/>
    <w:rsid w:val="00E14CB2"/>
    <w:rsid w:val="00E15118"/>
    <w:rsid w:val="00E151B6"/>
    <w:rsid w:val="00E1529A"/>
    <w:rsid w:val="00E155D4"/>
    <w:rsid w:val="00E15A9B"/>
    <w:rsid w:val="00E15C56"/>
    <w:rsid w:val="00E15F6C"/>
    <w:rsid w:val="00E160A1"/>
    <w:rsid w:val="00E1630D"/>
    <w:rsid w:val="00E163AA"/>
    <w:rsid w:val="00E164E0"/>
    <w:rsid w:val="00E16F30"/>
    <w:rsid w:val="00E16F82"/>
    <w:rsid w:val="00E1712F"/>
    <w:rsid w:val="00E171C2"/>
    <w:rsid w:val="00E1730C"/>
    <w:rsid w:val="00E173BC"/>
    <w:rsid w:val="00E17490"/>
    <w:rsid w:val="00E174AB"/>
    <w:rsid w:val="00E1764C"/>
    <w:rsid w:val="00E176EB"/>
    <w:rsid w:val="00E1783A"/>
    <w:rsid w:val="00E178A4"/>
    <w:rsid w:val="00E179E2"/>
    <w:rsid w:val="00E17EEA"/>
    <w:rsid w:val="00E20044"/>
    <w:rsid w:val="00E20107"/>
    <w:rsid w:val="00E20413"/>
    <w:rsid w:val="00E20596"/>
    <w:rsid w:val="00E214E4"/>
    <w:rsid w:val="00E214E6"/>
    <w:rsid w:val="00E21578"/>
    <w:rsid w:val="00E2158F"/>
    <w:rsid w:val="00E21717"/>
    <w:rsid w:val="00E21AD2"/>
    <w:rsid w:val="00E21FB8"/>
    <w:rsid w:val="00E22021"/>
    <w:rsid w:val="00E220B1"/>
    <w:rsid w:val="00E220DA"/>
    <w:rsid w:val="00E22287"/>
    <w:rsid w:val="00E22514"/>
    <w:rsid w:val="00E226C7"/>
    <w:rsid w:val="00E22E50"/>
    <w:rsid w:val="00E23114"/>
    <w:rsid w:val="00E2346B"/>
    <w:rsid w:val="00E235AE"/>
    <w:rsid w:val="00E23717"/>
    <w:rsid w:val="00E23870"/>
    <w:rsid w:val="00E238AE"/>
    <w:rsid w:val="00E23959"/>
    <w:rsid w:val="00E23AD8"/>
    <w:rsid w:val="00E23CEC"/>
    <w:rsid w:val="00E23FC9"/>
    <w:rsid w:val="00E2411F"/>
    <w:rsid w:val="00E244B5"/>
    <w:rsid w:val="00E24580"/>
    <w:rsid w:val="00E245B3"/>
    <w:rsid w:val="00E2490A"/>
    <w:rsid w:val="00E24A88"/>
    <w:rsid w:val="00E24B0D"/>
    <w:rsid w:val="00E24C79"/>
    <w:rsid w:val="00E24D2D"/>
    <w:rsid w:val="00E24F18"/>
    <w:rsid w:val="00E25371"/>
    <w:rsid w:val="00E25567"/>
    <w:rsid w:val="00E25810"/>
    <w:rsid w:val="00E2586C"/>
    <w:rsid w:val="00E25946"/>
    <w:rsid w:val="00E259F1"/>
    <w:rsid w:val="00E25B02"/>
    <w:rsid w:val="00E25D3B"/>
    <w:rsid w:val="00E26251"/>
    <w:rsid w:val="00E26293"/>
    <w:rsid w:val="00E26587"/>
    <w:rsid w:val="00E265A7"/>
    <w:rsid w:val="00E2670A"/>
    <w:rsid w:val="00E26BEB"/>
    <w:rsid w:val="00E26EC7"/>
    <w:rsid w:val="00E26F03"/>
    <w:rsid w:val="00E2723A"/>
    <w:rsid w:val="00E27243"/>
    <w:rsid w:val="00E27253"/>
    <w:rsid w:val="00E27402"/>
    <w:rsid w:val="00E2740A"/>
    <w:rsid w:val="00E2742A"/>
    <w:rsid w:val="00E275DB"/>
    <w:rsid w:val="00E27786"/>
    <w:rsid w:val="00E2797A"/>
    <w:rsid w:val="00E27EAF"/>
    <w:rsid w:val="00E303F5"/>
    <w:rsid w:val="00E30438"/>
    <w:rsid w:val="00E304AB"/>
    <w:rsid w:val="00E3065E"/>
    <w:rsid w:val="00E3089B"/>
    <w:rsid w:val="00E30981"/>
    <w:rsid w:val="00E30AC7"/>
    <w:rsid w:val="00E30C37"/>
    <w:rsid w:val="00E30E54"/>
    <w:rsid w:val="00E311CB"/>
    <w:rsid w:val="00E31228"/>
    <w:rsid w:val="00E31330"/>
    <w:rsid w:val="00E3137E"/>
    <w:rsid w:val="00E315D3"/>
    <w:rsid w:val="00E31696"/>
    <w:rsid w:val="00E3186B"/>
    <w:rsid w:val="00E31C35"/>
    <w:rsid w:val="00E31CA2"/>
    <w:rsid w:val="00E31D32"/>
    <w:rsid w:val="00E31DFE"/>
    <w:rsid w:val="00E31FF0"/>
    <w:rsid w:val="00E32561"/>
    <w:rsid w:val="00E32C4E"/>
    <w:rsid w:val="00E32E81"/>
    <w:rsid w:val="00E33139"/>
    <w:rsid w:val="00E336BD"/>
    <w:rsid w:val="00E338EC"/>
    <w:rsid w:val="00E34141"/>
    <w:rsid w:val="00E341A7"/>
    <w:rsid w:val="00E34BD7"/>
    <w:rsid w:val="00E34E6C"/>
    <w:rsid w:val="00E350AF"/>
    <w:rsid w:val="00E35184"/>
    <w:rsid w:val="00E3536F"/>
    <w:rsid w:val="00E35383"/>
    <w:rsid w:val="00E35526"/>
    <w:rsid w:val="00E3561A"/>
    <w:rsid w:val="00E35844"/>
    <w:rsid w:val="00E3585E"/>
    <w:rsid w:val="00E35A77"/>
    <w:rsid w:val="00E35B4D"/>
    <w:rsid w:val="00E35CD0"/>
    <w:rsid w:val="00E35F2B"/>
    <w:rsid w:val="00E36235"/>
    <w:rsid w:val="00E36755"/>
    <w:rsid w:val="00E36769"/>
    <w:rsid w:val="00E36892"/>
    <w:rsid w:val="00E36B56"/>
    <w:rsid w:val="00E36C7C"/>
    <w:rsid w:val="00E36F0E"/>
    <w:rsid w:val="00E36F77"/>
    <w:rsid w:val="00E3776A"/>
    <w:rsid w:val="00E377FC"/>
    <w:rsid w:val="00E37D1A"/>
    <w:rsid w:val="00E37D97"/>
    <w:rsid w:val="00E37ED5"/>
    <w:rsid w:val="00E40263"/>
    <w:rsid w:val="00E407F6"/>
    <w:rsid w:val="00E40992"/>
    <w:rsid w:val="00E40A46"/>
    <w:rsid w:val="00E40C6E"/>
    <w:rsid w:val="00E40FD9"/>
    <w:rsid w:val="00E411A2"/>
    <w:rsid w:val="00E41308"/>
    <w:rsid w:val="00E413D4"/>
    <w:rsid w:val="00E41470"/>
    <w:rsid w:val="00E414AB"/>
    <w:rsid w:val="00E4154F"/>
    <w:rsid w:val="00E417B5"/>
    <w:rsid w:val="00E41935"/>
    <w:rsid w:val="00E41943"/>
    <w:rsid w:val="00E419B5"/>
    <w:rsid w:val="00E41A65"/>
    <w:rsid w:val="00E41B94"/>
    <w:rsid w:val="00E41CCA"/>
    <w:rsid w:val="00E41E92"/>
    <w:rsid w:val="00E41EC8"/>
    <w:rsid w:val="00E42035"/>
    <w:rsid w:val="00E420DF"/>
    <w:rsid w:val="00E42123"/>
    <w:rsid w:val="00E4214F"/>
    <w:rsid w:val="00E421F5"/>
    <w:rsid w:val="00E421FD"/>
    <w:rsid w:val="00E423B4"/>
    <w:rsid w:val="00E42AEC"/>
    <w:rsid w:val="00E42AFA"/>
    <w:rsid w:val="00E42B32"/>
    <w:rsid w:val="00E42CCA"/>
    <w:rsid w:val="00E42D8B"/>
    <w:rsid w:val="00E42EC7"/>
    <w:rsid w:val="00E42FE6"/>
    <w:rsid w:val="00E4301F"/>
    <w:rsid w:val="00E4302E"/>
    <w:rsid w:val="00E4326A"/>
    <w:rsid w:val="00E43296"/>
    <w:rsid w:val="00E432AE"/>
    <w:rsid w:val="00E432B8"/>
    <w:rsid w:val="00E43465"/>
    <w:rsid w:val="00E4353E"/>
    <w:rsid w:val="00E43715"/>
    <w:rsid w:val="00E437F1"/>
    <w:rsid w:val="00E43D0B"/>
    <w:rsid w:val="00E44166"/>
    <w:rsid w:val="00E44A6E"/>
    <w:rsid w:val="00E44A8C"/>
    <w:rsid w:val="00E44A9E"/>
    <w:rsid w:val="00E44C94"/>
    <w:rsid w:val="00E45232"/>
    <w:rsid w:val="00E456BD"/>
    <w:rsid w:val="00E457F1"/>
    <w:rsid w:val="00E45DED"/>
    <w:rsid w:val="00E46182"/>
    <w:rsid w:val="00E46184"/>
    <w:rsid w:val="00E464C9"/>
    <w:rsid w:val="00E467C3"/>
    <w:rsid w:val="00E4689E"/>
    <w:rsid w:val="00E46CD6"/>
    <w:rsid w:val="00E46E71"/>
    <w:rsid w:val="00E46F28"/>
    <w:rsid w:val="00E47072"/>
    <w:rsid w:val="00E47082"/>
    <w:rsid w:val="00E471CF"/>
    <w:rsid w:val="00E47232"/>
    <w:rsid w:val="00E47283"/>
    <w:rsid w:val="00E4743C"/>
    <w:rsid w:val="00E474A9"/>
    <w:rsid w:val="00E4761C"/>
    <w:rsid w:val="00E476E1"/>
    <w:rsid w:val="00E47C4E"/>
    <w:rsid w:val="00E5004A"/>
    <w:rsid w:val="00E500EE"/>
    <w:rsid w:val="00E50248"/>
    <w:rsid w:val="00E5026F"/>
    <w:rsid w:val="00E5097F"/>
    <w:rsid w:val="00E50A43"/>
    <w:rsid w:val="00E51409"/>
    <w:rsid w:val="00E515A6"/>
    <w:rsid w:val="00E51799"/>
    <w:rsid w:val="00E51902"/>
    <w:rsid w:val="00E519F7"/>
    <w:rsid w:val="00E51EF4"/>
    <w:rsid w:val="00E5212A"/>
    <w:rsid w:val="00E52636"/>
    <w:rsid w:val="00E526CF"/>
    <w:rsid w:val="00E52947"/>
    <w:rsid w:val="00E52B4F"/>
    <w:rsid w:val="00E52E0C"/>
    <w:rsid w:val="00E5316A"/>
    <w:rsid w:val="00E534F1"/>
    <w:rsid w:val="00E5355E"/>
    <w:rsid w:val="00E53627"/>
    <w:rsid w:val="00E5362B"/>
    <w:rsid w:val="00E538C5"/>
    <w:rsid w:val="00E53AE0"/>
    <w:rsid w:val="00E53B83"/>
    <w:rsid w:val="00E53D1D"/>
    <w:rsid w:val="00E53D7C"/>
    <w:rsid w:val="00E53F36"/>
    <w:rsid w:val="00E53FA8"/>
    <w:rsid w:val="00E53FDD"/>
    <w:rsid w:val="00E54427"/>
    <w:rsid w:val="00E5467C"/>
    <w:rsid w:val="00E5487E"/>
    <w:rsid w:val="00E548FE"/>
    <w:rsid w:val="00E54A7C"/>
    <w:rsid w:val="00E54C0B"/>
    <w:rsid w:val="00E54CAC"/>
    <w:rsid w:val="00E54CED"/>
    <w:rsid w:val="00E54D18"/>
    <w:rsid w:val="00E550EC"/>
    <w:rsid w:val="00E550FF"/>
    <w:rsid w:val="00E55535"/>
    <w:rsid w:val="00E555BA"/>
    <w:rsid w:val="00E55690"/>
    <w:rsid w:val="00E559DC"/>
    <w:rsid w:val="00E559FA"/>
    <w:rsid w:val="00E55A7C"/>
    <w:rsid w:val="00E55B82"/>
    <w:rsid w:val="00E55F19"/>
    <w:rsid w:val="00E5608F"/>
    <w:rsid w:val="00E5629D"/>
    <w:rsid w:val="00E562FB"/>
    <w:rsid w:val="00E563E2"/>
    <w:rsid w:val="00E566DD"/>
    <w:rsid w:val="00E56823"/>
    <w:rsid w:val="00E5684A"/>
    <w:rsid w:val="00E56AF2"/>
    <w:rsid w:val="00E56B21"/>
    <w:rsid w:val="00E56C27"/>
    <w:rsid w:val="00E56CC8"/>
    <w:rsid w:val="00E56EC2"/>
    <w:rsid w:val="00E572AD"/>
    <w:rsid w:val="00E5756B"/>
    <w:rsid w:val="00E575D4"/>
    <w:rsid w:val="00E5767E"/>
    <w:rsid w:val="00E577B1"/>
    <w:rsid w:val="00E57885"/>
    <w:rsid w:val="00E57A67"/>
    <w:rsid w:val="00E57CB6"/>
    <w:rsid w:val="00E57DBA"/>
    <w:rsid w:val="00E57FDA"/>
    <w:rsid w:val="00E6021F"/>
    <w:rsid w:val="00E602E1"/>
    <w:rsid w:val="00E6032A"/>
    <w:rsid w:val="00E60380"/>
    <w:rsid w:val="00E60A9C"/>
    <w:rsid w:val="00E60AAA"/>
    <w:rsid w:val="00E60EB4"/>
    <w:rsid w:val="00E6127E"/>
    <w:rsid w:val="00E6160C"/>
    <w:rsid w:val="00E61BD2"/>
    <w:rsid w:val="00E61CE7"/>
    <w:rsid w:val="00E621C0"/>
    <w:rsid w:val="00E623B7"/>
    <w:rsid w:val="00E625FA"/>
    <w:rsid w:val="00E629B3"/>
    <w:rsid w:val="00E62A41"/>
    <w:rsid w:val="00E62EB9"/>
    <w:rsid w:val="00E635EB"/>
    <w:rsid w:val="00E637F5"/>
    <w:rsid w:val="00E63D2D"/>
    <w:rsid w:val="00E645F7"/>
    <w:rsid w:val="00E647BD"/>
    <w:rsid w:val="00E647C2"/>
    <w:rsid w:val="00E64963"/>
    <w:rsid w:val="00E64A24"/>
    <w:rsid w:val="00E64A62"/>
    <w:rsid w:val="00E64CC7"/>
    <w:rsid w:val="00E64D89"/>
    <w:rsid w:val="00E64E6E"/>
    <w:rsid w:val="00E6504B"/>
    <w:rsid w:val="00E650C5"/>
    <w:rsid w:val="00E652B1"/>
    <w:rsid w:val="00E655EF"/>
    <w:rsid w:val="00E65720"/>
    <w:rsid w:val="00E657D1"/>
    <w:rsid w:val="00E65A53"/>
    <w:rsid w:val="00E65C56"/>
    <w:rsid w:val="00E65E21"/>
    <w:rsid w:val="00E65E22"/>
    <w:rsid w:val="00E65F51"/>
    <w:rsid w:val="00E664CB"/>
    <w:rsid w:val="00E66615"/>
    <w:rsid w:val="00E66E66"/>
    <w:rsid w:val="00E66EF5"/>
    <w:rsid w:val="00E66F84"/>
    <w:rsid w:val="00E67131"/>
    <w:rsid w:val="00E67172"/>
    <w:rsid w:val="00E67637"/>
    <w:rsid w:val="00E67687"/>
    <w:rsid w:val="00E678E2"/>
    <w:rsid w:val="00E67B0D"/>
    <w:rsid w:val="00E67C68"/>
    <w:rsid w:val="00E67C93"/>
    <w:rsid w:val="00E67D20"/>
    <w:rsid w:val="00E7028C"/>
    <w:rsid w:val="00E704C9"/>
    <w:rsid w:val="00E70605"/>
    <w:rsid w:val="00E70894"/>
    <w:rsid w:val="00E708BF"/>
    <w:rsid w:val="00E70958"/>
    <w:rsid w:val="00E709E6"/>
    <w:rsid w:val="00E70A79"/>
    <w:rsid w:val="00E70B77"/>
    <w:rsid w:val="00E70DAE"/>
    <w:rsid w:val="00E70E51"/>
    <w:rsid w:val="00E71244"/>
    <w:rsid w:val="00E712C5"/>
    <w:rsid w:val="00E712E6"/>
    <w:rsid w:val="00E712F3"/>
    <w:rsid w:val="00E7136B"/>
    <w:rsid w:val="00E71649"/>
    <w:rsid w:val="00E71A55"/>
    <w:rsid w:val="00E71D9F"/>
    <w:rsid w:val="00E71EE1"/>
    <w:rsid w:val="00E71FA6"/>
    <w:rsid w:val="00E720BB"/>
    <w:rsid w:val="00E72223"/>
    <w:rsid w:val="00E72276"/>
    <w:rsid w:val="00E723CB"/>
    <w:rsid w:val="00E728F0"/>
    <w:rsid w:val="00E72B18"/>
    <w:rsid w:val="00E72D98"/>
    <w:rsid w:val="00E72F1A"/>
    <w:rsid w:val="00E734CE"/>
    <w:rsid w:val="00E735E2"/>
    <w:rsid w:val="00E73CFF"/>
    <w:rsid w:val="00E73E28"/>
    <w:rsid w:val="00E742A5"/>
    <w:rsid w:val="00E74736"/>
    <w:rsid w:val="00E748A5"/>
    <w:rsid w:val="00E749F1"/>
    <w:rsid w:val="00E74A74"/>
    <w:rsid w:val="00E7534A"/>
    <w:rsid w:val="00E7558C"/>
    <w:rsid w:val="00E756A1"/>
    <w:rsid w:val="00E758DB"/>
    <w:rsid w:val="00E7599D"/>
    <w:rsid w:val="00E759A8"/>
    <w:rsid w:val="00E75FB8"/>
    <w:rsid w:val="00E76502"/>
    <w:rsid w:val="00E768DD"/>
    <w:rsid w:val="00E76CCE"/>
    <w:rsid w:val="00E770EF"/>
    <w:rsid w:val="00E771E7"/>
    <w:rsid w:val="00E77298"/>
    <w:rsid w:val="00E774FE"/>
    <w:rsid w:val="00E776D9"/>
    <w:rsid w:val="00E7779D"/>
    <w:rsid w:val="00E77869"/>
    <w:rsid w:val="00E7798E"/>
    <w:rsid w:val="00E77B03"/>
    <w:rsid w:val="00E80126"/>
    <w:rsid w:val="00E803A4"/>
    <w:rsid w:val="00E805FF"/>
    <w:rsid w:val="00E8061F"/>
    <w:rsid w:val="00E8063C"/>
    <w:rsid w:val="00E806B3"/>
    <w:rsid w:val="00E80860"/>
    <w:rsid w:val="00E81205"/>
    <w:rsid w:val="00E81422"/>
    <w:rsid w:val="00E8151A"/>
    <w:rsid w:val="00E816A7"/>
    <w:rsid w:val="00E8192D"/>
    <w:rsid w:val="00E81C96"/>
    <w:rsid w:val="00E81DE9"/>
    <w:rsid w:val="00E81E21"/>
    <w:rsid w:val="00E81F1C"/>
    <w:rsid w:val="00E82001"/>
    <w:rsid w:val="00E82320"/>
    <w:rsid w:val="00E82639"/>
    <w:rsid w:val="00E827DD"/>
    <w:rsid w:val="00E829ED"/>
    <w:rsid w:val="00E82A74"/>
    <w:rsid w:val="00E82C83"/>
    <w:rsid w:val="00E82DB8"/>
    <w:rsid w:val="00E82FFE"/>
    <w:rsid w:val="00E83056"/>
    <w:rsid w:val="00E831CB"/>
    <w:rsid w:val="00E83474"/>
    <w:rsid w:val="00E835F4"/>
    <w:rsid w:val="00E83662"/>
    <w:rsid w:val="00E8374F"/>
    <w:rsid w:val="00E838F0"/>
    <w:rsid w:val="00E83A78"/>
    <w:rsid w:val="00E83DB1"/>
    <w:rsid w:val="00E83EFE"/>
    <w:rsid w:val="00E83F76"/>
    <w:rsid w:val="00E842C8"/>
    <w:rsid w:val="00E8432D"/>
    <w:rsid w:val="00E843AA"/>
    <w:rsid w:val="00E84A0B"/>
    <w:rsid w:val="00E84BD0"/>
    <w:rsid w:val="00E8545C"/>
    <w:rsid w:val="00E8560C"/>
    <w:rsid w:val="00E85620"/>
    <w:rsid w:val="00E85855"/>
    <w:rsid w:val="00E85A35"/>
    <w:rsid w:val="00E85A79"/>
    <w:rsid w:val="00E85C00"/>
    <w:rsid w:val="00E85D24"/>
    <w:rsid w:val="00E85F64"/>
    <w:rsid w:val="00E86230"/>
    <w:rsid w:val="00E8628A"/>
    <w:rsid w:val="00E863B0"/>
    <w:rsid w:val="00E863D7"/>
    <w:rsid w:val="00E8664A"/>
    <w:rsid w:val="00E8667F"/>
    <w:rsid w:val="00E86795"/>
    <w:rsid w:val="00E86B3E"/>
    <w:rsid w:val="00E86EAE"/>
    <w:rsid w:val="00E86EB5"/>
    <w:rsid w:val="00E86F21"/>
    <w:rsid w:val="00E86FDF"/>
    <w:rsid w:val="00E87085"/>
    <w:rsid w:val="00E870B5"/>
    <w:rsid w:val="00E8749A"/>
    <w:rsid w:val="00E876BE"/>
    <w:rsid w:val="00E87BD7"/>
    <w:rsid w:val="00E87D89"/>
    <w:rsid w:val="00E87DC2"/>
    <w:rsid w:val="00E90210"/>
    <w:rsid w:val="00E904A2"/>
    <w:rsid w:val="00E905C2"/>
    <w:rsid w:val="00E90B20"/>
    <w:rsid w:val="00E90B88"/>
    <w:rsid w:val="00E90EDC"/>
    <w:rsid w:val="00E91109"/>
    <w:rsid w:val="00E911B1"/>
    <w:rsid w:val="00E9132F"/>
    <w:rsid w:val="00E9169D"/>
    <w:rsid w:val="00E916B9"/>
    <w:rsid w:val="00E920E0"/>
    <w:rsid w:val="00E92393"/>
    <w:rsid w:val="00E92730"/>
    <w:rsid w:val="00E927FB"/>
    <w:rsid w:val="00E92803"/>
    <w:rsid w:val="00E92859"/>
    <w:rsid w:val="00E9290A"/>
    <w:rsid w:val="00E92A6A"/>
    <w:rsid w:val="00E92B12"/>
    <w:rsid w:val="00E92BC6"/>
    <w:rsid w:val="00E92D79"/>
    <w:rsid w:val="00E92F58"/>
    <w:rsid w:val="00E932C6"/>
    <w:rsid w:val="00E933C2"/>
    <w:rsid w:val="00E936FB"/>
    <w:rsid w:val="00E937F9"/>
    <w:rsid w:val="00E94086"/>
    <w:rsid w:val="00E943A5"/>
    <w:rsid w:val="00E9463E"/>
    <w:rsid w:val="00E949DA"/>
    <w:rsid w:val="00E94C11"/>
    <w:rsid w:val="00E9521C"/>
    <w:rsid w:val="00E95393"/>
    <w:rsid w:val="00E956F2"/>
    <w:rsid w:val="00E9593B"/>
    <w:rsid w:val="00E959FB"/>
    <w:rsid w:val="00E95C52"/>
    <w:rsid w:val="00E96210"/>
    <w:rsid w:val="00E96729"/>
    <w:rsid w:val="00E96848"/>
    <w:rsid w:val="00E969B9"/>
    <w:rsid w:val="00E9704D"/>
    <w:rsid w:val="00E9761D"/>
    <w:rsid w:val="00E977F1"/>
    <w:rsid w:val="00E9793C"/>
    <w:rsid w:val="00E97A19"/>
    <w:rsid w:val="00E97AAF"/>
    <w:rsid w:val="00E97F49"/>
    <w:rsid w:val="00EA0214"/>
    <w:rsid w:val="00EA0326"/>
    <w:rsid w:val="00EA0596"/>
    <w:rsid w:val="00EA05EB"/>
    <w:rsid w:val="00EA095F"/>
    <w:rsid w:val="00EA096A"/>
    <w:rsid w:val="00EA0E6B"/>
    <w:rsid w:val="00EA114E"/>
    <w:rsid w:val="00EA120D"/>
    <w:rsid w:val="00EA13CD"/>
    <w:rsid w:val="00EA145B"/>
    <w:rsid w:val="00EA15C5"/>
    <w:rsid w:val="00EA1672"/>
    <w:rsid w:val="00EA1D62"/>
    <w:rsid w:val="00EA1DD5"/>
    <w:rsid w:val="00EA1E71"/>
    <w:rsid w:val="00EA1FB4"/>
    <w:rsid w:val="00EA20C7"/>
    <w:rsid w:val="00EA20F6"/>
    <w:rsid w:val="00EA22DD"/>
    <w:rsid w:val="00EA293B"/>
    <w:rsid w:val="00EA312B"/>
    <w:rsid w:val="00EA3186"/>
    <w:rsid w:val="00EA3388"/>
    <w:rsid w:val="00EA396C"/>
    <w:rsid w:val="00EA3A13"/>
    <w:rsid w:val="00EA3B4B"/>
    <w:rsid w:val="00EA3B77"/>
    <w:rsid w:val="00EA3DE1"/>
    <w:rsid w:val="00EA40B6"/>
    <w:rsid w:val="00EA4371"/>
    <w:rsid w:val="00EA459B"/>
    <w:rsid w:val="00EA4859"/>
    <w:rsid w:val="00EA4B6D"/>
    <w:rsid w:val="00EA4C07"/>
    <w:rsid w:val="00EA515E"/>
    <w:rsid w:val="00EA5407"/>
    <w:rsid w:val="00EA549A"/>
    <w:rsid w:val="00EA5512"/>
    <w:rsid w:val="00EA58F7"/>
    <w:rsid w:val="00EA599A"/>
    <w:rsid w:val="00EA59D7"/>
    <w:rsid w:val="00EA5A75"/>
    <w:rsid w:val="00EA5B18"/>
    <w:rsid w:val="00EA5B1B"/>
    <w:rsid w:val="00EA5E24"/>
    <w:rsid w:val="00EA5FC6"/>
    <w:rsid w:val="00EA60E8"/>
    <w:rsid w:val="00EA627C"/>
    <w:rsid w:val="00EA647C"/>
    <w:rsid w:val="00EA6770"/>
    <w:rsid w:val="00EA6D16"/>
    <w:rsid w:val="00EA6DB3"/>
    <w:rsid w:val="00EA7023"/>
    <w:rsid w:val="00EA70E7"/>
    <w:rsid w:val="00EA728C"/>
    <w:rsid w:val="00EA74CF"/>
    <w:rsid w:val="00EA7791"/>
    <w:rsid w:val="00EA77EB"/>
    <w:rsid w:val="00EA79CD"/>
    <w:rsid w:val="00EA7FCE"/>
    <w:rsid w:val="00EB0226"/>
    <w:rsid w:val="00EB04E4"/>
    <w:rsid w:val="00EB051D"/>
    <w:rsid w:val="00EB0934"/>
    <w:rsid w:val="00EB0978"/>
    <w:rsid w:val="00EB098C"/>
    <w:rsid w:val="00EB0D03"/>
    <w:rsid w:val="00EB0D47"/>
    <w:rsid w:val="00EB1594"/>
    <w:rsid w:val="00EB1722"/>
    <w:rsid w:val="00EB17A2"/>
    <w:rsid w:val="00EB1ADF"/>
    <w:rsid w:val="00EB1D17"/>
    <w:rsid w:val="00EB1DF5"/>
    <w:rsid w:val="00EB1EAB"/>
    <w:rsid w:val="00EB1EB2"/>
    <w:rsid w:val="00EB2096"/>
    <w:rsid w:val="00EB22AD"/>
    <w:rsid w:val="00EB2564"/>
    <w:rsid w:val="00EB261E"/>
    <w:rsid w:val="00EB26C4"/>
    <w:rsid w:val="00EB28DA"/>
    <w:rsid w:val="00EB2996"/>
    <w:rsid w:val="00EB2E41"/>
    <w:rsid w:val="00EB2F7F"/>
    <w:rsid w:val="00EB30C7"/>
    <w:rsid w:val="00EB3130"/>
    <w:rsid w:val="00EB34B3"/>
    <w:rsid w:val="00EB35B6"/>
    <w:rsid w:val="00EB3890"/>
    <w:rsid w:val="00EB3A8E"/>
    <w:rsid w:val="00EB3BC4"/>
    <w:rsid w:val="00EB3DDA"/>
    <w:rsid w:val="00EB3EA5"/>
    <w:rsid w:val="00EB4020"/>
    <w:rsid w:val="00EB4094"/>
    <w:rsid w:val="00EB40F0"/>
    <w:rsid w:val="00EB410A"/>
    <w:rsid w:val="00EB4182"/>
    <w:rsid w:val="00EB494E"/>
    <w:rsid w:val="00EB4998"/>
    <w:rsid w:val="00EB4A8F"/>
    <w:rsid w:val="00EB4BB5"/>
    <w:rsid w:val="00EB4D46"/>
    <w:rsid w:val="00EB4DF6"/>
    <w:rsid w:val="00EB4F1C"/>
    <w:rsid w:val="00EB5400"/>
    <w:rsid w:val="00EB5435"/>
    <w:rsid w:val="00EB5489"/>
    <w:rsid w:val="00EB564B"/>
    <w:rsid w:val="00EB56E4"/>
    <w:rsid w:val="00EB5ED0"/>
    <w:rsid w:val="00EB63EA"/>
    <w:rsid w:val="00EB6D19"/>
    <w:rsid w:val="00EB6D50"/>
    <w:rsid w:val="00EB6F03"/>
    <w:rsid w:val="00EB7261"/>
    <w:rsid w:val="00EB740B"/>
    <w:rsid w:val="00EB7538"/>
    <w:rsid w:val="00EB755D"/>
    <w:rsid w:val="00EB7782"/>
    <w:rsid w:val="00EB77F2"/>
    <w:rsid w:val="00EB7CF1"/>
    <w:rsid w:val="00EC008A"/>
    <w:rsid w:val="00EC0619"/>
    <w:rsid w:val="00EC0832"/>
    <w:rsid w:val="00EC096E"/>
    <w:rsid w:val="00EC0D06"/>
    <w:rsid w:val="00EC104F"/>
    <w:rsid w:val="00EC106F"/>
    <w:rsid w:val="00EC1607"/>
    <w:rsid w:val="00EC1709"/>
    <w:rsid w:val="00EC178A"/>
    <w:rsid w:val="00EC1812"/>
    <w:rsid w:val="00EC1836"/>
    <w:rsid w:val="00EC1C14"/>
    <w:rsid w:val="00EC1C3E"/>
    <w:rsid w:val="00EC1E81"/>
    <w:rsid w:val="00EC1E90"/>
    <w:rsid w:val="00EC22DC"/>
    <w:rsid w:val="00EC235F"/>
    <w:rsid w:val="00EC262B"/>
    <w:rsid w:val="00EC2702"/>
    <w:rsid w:val="00EC2783"/>
    <w:rsid w:val="00EC27AD"/>
    <w:rsid w:val="00EC2879"/>
    <w:rsid w:val="00EC2935"/>
    <w:rsid w:val="00EC2B64"/>
    <w:rsid w:val="00EC2C7F"/>
    <w:rsid w:val="00EC2DCD"/>
    <w:rsid w:val="00EC3253"/>
    <w:rsid w:val="00EC374C"/>
    <w:rsid w:val="00EC3CEB"/>
    <w:rsid w:val="00EC3F0B"/>
    <w:rsid w:val="00EC4473"/>
    <w:rsid w:val="00EC45FA"/>
    <w:rsid w:val="00EC4618"/>
    <w:rsid w:val="00EC4B9A"/>
    <w:rsid w:val="00EC4FEF"/>
    <w:rsid w:val="00EC5102"/>
    <w:rsid w:val="00EC511B"/>
    <w:rsid w:val="00EC51D2"/>
    <w:rsid w:val="00EC52C7"/>
    <w:rsid w:val="00EC532F"/>
    <w:rsid w:val="00EC54B3"/>
    <w:rsid w:val="00EC58ED"/>
    <w:rsid w:val="00EC5951"/>
    <w:rsid w:val="00EC5B1F"/>
    <w:rsid w:val="00EC5CF4"/>
    <w:rsid w:val="00EC5DA6"/>
    <w:rsid w:val="00EC603A"/>
    <w:rsid w:val="00EC6177"/>
    <w:rsid w:val="00EC638C"/>
    <w:rsid w:val="00EC652E"/>
    <w:rsid w:val="00EC657F"/>
    <w:rsid w:val="00EC67E8"/>
    <w:rsid w:val="00EC68E8"/>
    <w:rsid w:val="00EC6A95"/>
    <w:rsid w:val="00EC70F2"/>
    <w:rsid w:val="00EC7110"/>
    <w:rsid w:val="00EC715C"/>
    <w:rsid w:val="00EC719E"/>
    <w:rsid w:val="00EC727D"/>
    <w:rsid w:val="00EC7779"/>
    <w:rsid w:val="00EC7ADA"/>
    <w:rsid w:val="00EC7C07"/>
    <w:rsid w:val="00ED011F"/>
    <w:rsid w:val="00ED01AF"/>
    <w:rsid w:val="00ED03AC"/>
    <w:rsid w:val="00ED048F"/>
    <w:rsid w:val="00ED0981"/>
    <w:rsid w:val="00ED09E6"/>
    <w:rsid w:val="00ED0C34"/>
    <w:rsid w:val="00ED0C8C"/>
    <w:rsid w:val="00ED0E51"/>
    <w:rsid w:val="00ED0F54"/>
    <w:rsid w:val="00ED0F6B"/>
    <w:rsid w:val="00ED10AE"/>
    <w:rsid w:val="00ED11FB"/>
    <w:rsid w:val="00ED1388"/>
    <w:rsid w:val="00ED15B1"/>
    <w:rsid w:val="00ED169E"/>
    <w:rsid w:val="00ED1B4A"/>
    <w:rsid w:val="00ED225F"/>
    <w:rsid w:val="00ED250F"/>
    <w:rsid w:val="00ED259C"/>
    <w:rsid w:val="00ED2D52"/>
    <w:rsid w:val="00ED2EE8"/>
    <w:rsid w:val="00ED2F83"/>
    <w:rsid w:val="00ED31BE"/>
    <w:rsid w:val="00ED31C7"/>
    <w:rsid w:val="00ED3233"/>
    <w:rsid w:val="00ED33B3"/>
    <w:rsid w:val="00ED33C5"/>
    <w:rsid w:val="00ED344D"/>
    <w:rsid w:val="00ED3904"/>
    <w:rsid w:val="00ED39BA"/>
    <w:rsid w:val="00ED3A7B"/>
    <w:rsid w:val="00ED3ABE"/>
    <w:rsid w:val="00ED3B2B"/>
    <w:rsid w:val="00ED3D9E"/>
    <w:rsid w:val="00ED3E76"/>
    <w:rsid w:val="00ED43F5"/>
    <w:rsid w:val="00ED4411"/>
    <w:rsid w:val="00ED44B5"/>
    <w:rsid w:val="00ED4D38"/>
    <w:rsid w:val="00ED4FFD"/>
    <w:rsid w:val="00ED55D1"/>
    <w:rsid w:val="00ED5894"/>
    <w:rsid w:val="00ED5994"/>
    <w:rsid w:val="00ED5E4C"/>
    <w:rsid w:val="00ED5E94"/>
    <w:rsid w:val="00ED60C7"/>
    <w:rsid w:val="00ED6252"/>
    <w:rsid w:val="00ED6969"/>
    <w:rsid w:val="00ED69B0"/>
    <w:rsid w:val="00ED6C2F"/>
    <w:rsid w:val="00ED6CB5"/>
    <w:rsid w:val="00ED6D59"/>
    <w:rsid w:val="00ED71D1"/>
    <w:rsid w:val="00ED725A"/>
    <w:rsid w:val="00ED7324"/>
    <w:rsid w:val="00ED75B4"/>
    <w:rsid w:val="00ED7659"/>
    <w:rsid w:val="00ED76B9"/>
    <w:rsid w:val="00ED7816"/>
    <w:rsid w:val="00ED7996"/>
    <w:rsid w:val="00EE00D2"/>
    <w:rsid w:val="00EE01BD"/>
    <w:rsid w:val="00EE08C1"/>
    <w:rsid w:val="00EE0BD6"/>
    <w:rsid w:val="00EE133F"/>
    <w:rsid w:val="00EE19B6"/>
    <w:rsid w:val="00EE1E15"/>
    <w:rsid w:val="00EE2119"/>
    <w:rsid w:val="00EE248B"/>
    <w:rsid w:val="00EE2685"/>
    <w:rsid w:val="00EE2955"/>
    <w:rsid w:val="00EE2D7E"/>
    <w:rsid w:val="00EE2D8F"/>
    <w:rsid w:val="00EE2D99"/>
    <w:rsid w:val="00EE2DA0"/>
    <w:rsid w:val="00EE2E4D"/>
    <w:rsid w:val="00EE30F9"/>
    <w:rsid w:val="00EE32DE"/>
    <w:rsid w:val="00EE3661"/>
    <w:rsid w:val="00EE37CD"/>
    <w:rsid w:val="00EE3937"/>
    <w:rsid w:val="00EE40E1"/>
    <w:rsid w:val="00EE444D"/>
    <w:rsid w:val="00EE44AB"/>
    <w:rsid w:val="00EE4623"/>
    <w:rsid w:val="00EE46EF"/>
    <w:rsid w:val="00EE4753"/>
    <w:rsid w:val="00EE4828"/>
    <w:rsid w:val="00EE495C"/>
    <w:rsid w:val="00EE4A4C"/>
    <w:rsid w:val="00EE4D1E"/>
    <w:rsid w:val="00EE4DEF"/>
    <w:rsid w:val="00EE4EAE"/>
    <w:rsid w:val="00EE4FC4"/>
    <w:rsid w:val="00EE527B"/>
    <w:rsid w:val="00EE5B03"/>
    <w:rsid w:val="00EE5BB0"/>
    <w:rsid w:val="00EE5CC7"/>
    <w:rsid w:val="00EE5CEF"/>
    <w:rsid w:val="00EE5F75"/>
    <w:rsid w:val="00EE6446"/>
    <w:rsid w:val="00EE6B8F"/>
    <w:rsid w:val="00EE7068"/>
    <w:rsid w:val="00EE728A"/>
    <w:rsid w:val="00EE7327"/>
    <w:rsid w:val="00EE7E06"/>
    <w:rsid w:val="00EE7F70"/>
    <w:rsid w:val="00EF0780"/>
    <w:rsid w:val="00EF07EA"/>
    <w:rsid w:val="00EF105B"/>
    <w:rsid w:val="00EF108D"/>
    <w:rsid w:val="00EF13BD"/>
    <w:rsid w:val="00EF160A"/>
    <w:rsid w:val="00EF1768"/>
    <w:rsid w:val="00EF1814"/>
    <w:rsid w:val="00EF1B08"/>
    <w:rsid w:val="00EF1C22"/>
    <w:rsid w:val="00EF1FB8"/>
    <w:rsid w:val="00EF22A3"/>
    <w:rsid w:val="00EF22AA"/>
    <w:rsid w:val="00EF2531"/>
    <w:rsid w:val="00EF2B6F"/>
    <w:rsid w:val="00EF2FCB"/>
    <w:rsid w:val="00EF345C"/>
    <w:rsid w:val="00EF36C5"/>
    <w:rsid w:val="00EF3723"/>
    <w:rsid w:val="00EF3735"/>
    <w:rsid w:val="00EF37D5"/>
    <w:rsid w:val="00EF3FBD"/>
    <w:rsid w:val="00EF4158"/>
    <w:rsid w:val="00EF41C2"/>
    <w:rsid w:val="00EF4817"/>
    <w:rsid w:val="00EF4895"/>
    <w:rsid w:val="00EF4C81"/>
    <w:rsid w:val="00EF4E96"/>
    <w:rsid w:val="00EF4F64"/>
    <w:rsid w:val="00EF4F6B"/>
    <w:rsid w:val="00EF5C17"/>
    <w:rsid w:val="00EF5C92"/>
    <w:rsid w:val="00EF5ED6"/>
    <w:rsid w:val="00EF611E"/>
    <w:rsid w:val="00EF6122"/>
    <w:rsid w:val="00EF67F7"/>
    <w:rsid w:val="00EF6997"/>
    <w:rsid w:val="00EF69D5"/>
    <w:rsid w:val="00EF6D57"/>
    <w:rsid w:val="00EF6DEC"/>
    <w:rsid w:val="00EF6E62"/>
    <w:rsid w:val="00EF6E98"/>
    <w:rsid w:val="00EF6EC5"/>
    <w:rsid w:val="00EF701C"/>
    <w:rsid w:val="00EF705B"/>
    <w:rsid w:val="00EF708F"/>
    <w:rsid w:val="00EF725B"/>
    <w:rsid w:val="00EF7393"/>
    <w:rsid w:val="00EF73BC"/>
    <w:rsid w:val="00EF74FE"/>
    <w:rsid w:val="00EF7648"/>
    <w:rsid w:val="00EF7931"/>
    <w:rsid w:val="00EF7DD4"/>
    <w:rsid w:val="00EF7E90"/>
    <w:rsid w:val="00EF7FFA"/>
    <w:rsid w:val="00F002E3"/>
    <w:rsid w:val="00F004D4"/>
    <w:rsid w:val="00F00A7D"/>
    <w:rsid w:val="00F00CBC"/>
    <w:rsid w:val="00F00F3B"/>
    <w:rsid w:val="00F011DF"/>
    <w:rsid w:val="00F01249"/>
    <w:rsid w:val="00F0142E"/>
    <w:rsid w:val="00F015CE"/>
    <w:rsid w:val="00F016A5"/>
    <w:rsid w:val="00F01816"/>
    <w:rsid w:val="00F018A5"/>
    <w:rsid w:val="00F018D2"/>
    <w:rsid w:val="00F0191B"/>
    <w:rsid w:val="00F02018"/>
    <w:rsid w:val="00F02578"/>
    <w:rsid w:val="00F02630"/>
    <w:rsid w:val="00F02712"/>
    <w:rsid w:val="00F0275B"/>
    <w:rsid w:val="00F02C44"/>
    <w:rsid w:val="00F02C46"/>
    <w:rsid w:val="00F03019"/>
    <w:rsid w:val="00F03378"/>
    <w:rsid w:val="00F03419"/>
    <w:rsid w:val="00F034B9"/>
    <w:rsid w:val="00F035F4"/>
    <w:rsid w:val="00F03739"/>
    <w:rsid w:val="00F03B25"/>
    <w:rsid w:val="00F03B8D"/>
    <w:rsid w:val="00F03BE2"/>
    <w:rsid w:val="00F03C1F"/>
    <w:rsid w:val="00F04118"/>
    <w:rsid w:val="00F043E1"/>
    <w:rsid w:val="00F04488"/>
    <w:rsid w:val="00F0476F"/>
    <w:rsid w:val="00F04AD1"/>
    <w:rsid w:val="00F04BF8"/>
    <w:rsid w:val="00F04D7D"/>
    <w:rsid w:val="00F04D8D"/>
    <w:rsid w:val="00F04F15"/>
    <w:rsid w:val="00F04F56"/>
    <w:rsid w:val="00F05038"/>
    <w:rsid w:val="00F05250"/>
    <w:rsid w:val="00F05519"/>
    <w:rsid w:val="00F057AD"/>
    <w:rsid w:val="00F05AB0"/>
    <w:rsid w:val="00F05C20"/>
    <w:rsid w:val="00F05D8F"/>
    <w:rsid w:val="00F05EBD"/>
    <w:rsid w:val="00F05EF2"/>
    <w:rsid w:val="00F05FE0"/>
    <w:rsid w:val="00F064C1"/>
    <w:rsid w:val="00F066AA"/>
    <w:rsid w:val="00F067E6"/>
    <w:rsid w:val="00F06858"/>
    <w:rsid w:val="00F068FF"/>
    <w:rsid w:val="00F06A21"/>
    <w:rsid w:val="00F0714F"/>
    <w:rsid w:val="00F07205"/>
    <w:rsid w:val="00F076C0"/>
    <w:rsid w:val="00F078BD"/>
    <w:rsid w:val="00F07BD5"/>
    <w:rsid w:val="00F07DE0"/>
    <w:rsid w:val="00F07FB1"/>
    <w:rsid w:val="00F10195"/>
    <w:rsid w:val="00F10269"/>
    <w:rsid w:val="00F1052D"/>
    <w:rsid w:val="00F105AE"/>
    <w:rsid w:val="00F109A5"/>
    <w:rsid w:val="00F10B14"/>
    <w:rsid w:val="00F10C61"/>
    <w:rsid w:val="00F110A3"/>
    <w:rsid w:val="00F1110C"/>
    <w:rsid w:val="00F11305"/>
    <w:rsid w:val="00F11454"/>
    <w:rsid w:val="00F11505"/>
    <w:rsid w:val="00F1175B"/>
    <w:rsid w:val="00F118AE"/>
    <w:rsid w:val="00F12113"/>
    <w:rsid w:val="00F1217D"/>
    <w:rsid w:val="00F12338"/>
    <w:rsid w:val="00F123A8"/>
    <w:rsid w:val="00F125E8"/>
    <w:rsid w:val="00F129AA"/>
    <w:rsid w:val="00F129C4"/>
    <w:rsid w:val="00F12A89"/>
    <w:rsid w:val="00F12AC8"/>
    <w:rsid w:val="00F12E3D"/>
    <w:rsid w:val="00F12FD2"/>
    <w:rsid w:val="00F13234"/>
    <w:rsid w:val="00F136DF"/>
    <w:rsid w:val="00F138AB"/>
    <w:rsid w:val="00F138C3"/>
    <w:rsid w:val="00F139DC"/>
    <w:rsid w:val="00F13E59"/>
    <w:rsid w:val="00F1414D"/>
    <w:rsid w:val="00F1466E"/>
    <w:rsid w:val="00F14718"/>
    <w:rsid w:val="00F14992"/>
    <w:rsid w:val="00F14B07"/>
    <w:rsid w:val="00F14E6D"/>
    <w:rsid w:val="00F150A1"/>
    <w:rsid w:val="00F15155"/>
    <w:rsid w:val="00F154E9"/>
    <w:rsid w:val="00F15611"/>
    <w:rsid w:val="00F16062"/>
    <w:rsid w:val="00F1608A"/>
    <w:rsid w:val="00F16476"/>
    <w:rsid w:val="00F164A4"/>
    <w:rsid w:val="00F168B8"/>
    <w:rsid w:val="00F168CD"/>
    <w:rsid w:val="00F16CD1"/>
    <w:rsid w:val="00F16E8E"/>
    <w:rsid w:val="00F16F4F"/>
    <w:rsid w:val="00F1747B"/>
    <w:rsid w:val="00F179A6"/>
    <w:rsid w:val="00F17A1E"/>
    <w:rsid w:val="00F17A2C"/>
    <w:rsid w:val="00F17AE5"/>
    <w:rsid w:val="00F200D7"/>
    <w:rsid w:val="00F203DA"/>
    <w:rsid w:val="00F205D1"/>
    <w:rsid w:val="00F206FD"/>
    <w:rsid w:val="00F209D4"/>
    <w:rsid w:val="00F20A94"/>
    <w:rsid w:val="00F20DF3"/>
    <w:rsid w:val="00F20EAC"/>
    <w:rsid w:val="00F20EAF"/>
    <w:rsid w:val="00F20ED9"/>
    <w:rsid w:val="00F20EE1"/>
    <w:rsid w:val="00F2139D"/>
    <w:rsid w:val="00F21471"/>
    <w:rsid w:val="00F216DA"/>
    <w:rsid w:val="00F216FD"/>
    <w:rsid w:val="00F21926"/>
    <w:rsid w:val="00F21A19"/>
    <w:rsid w:val="00F21C16"/>
    <w:rsid w:val="00F220F8"/>
    <w:rsid w:val="00F2242E"/>
    <w:rsid w:val="00F2273C"/>
    <w:rsid w:val="00F229E6"/>
    <w:rsid w:val="00F229F1"/>
    <w:rsid w:val="00F22C03"/>
    <w:rsid w:val="00F22C15"/>
    <w:rsid w:val="00F22E09"/>
    <w:rsid w:val="00F23513"/>
    <w:rsid w:val="00F2359D"/>
    <w:rsid w:val="00F238D8"/>
    <w:rsid w:val="00F23913"/>
    <w:rsid w:val="00F23ABA"/>
    <w:rsid w:val="00F23B0B"/>
    <w:rsid w:val="00F23C9C"/>
    <w:rsid w:val="00F23DE6"/>
    <w:rsid w:val="00F23E0E"/>
    <w:rsid w:val="00F24111"/>
    <w:rsid w:val="00F2426A"/>
    <w:rsid w:val="00F24309"/>
    <w:rsid w:val="00F24549"/>
    <w:rsid w:val="00F24574"/>
    <w:rsid w:val="00F24715"/>
    <w:rsid w:val="00F24E78"/>
    <w:rsid w:val="00F24FB7"/>
    <w:rsid w:val="00F25135"/>
    <w:rsid w:val="00F2542C"/>
    <w:rsid w:val="00F254F6"/>
    <w:rsid w:val="00F257DB"/>
    <w:rsid w:val="00F259C6"/>
    <w:rsid w:val="00F25C95"/>
    <w:rsid w:val="00F25D5D"/>
    <w:rsid w:val="00F25EE1"/>
    <w:rsid w:val="00F25F11"/>
    <w:rsid w:val="00F2604F"/>
    <w:rsid w:val="00F263BE"/>
    <w:rsid w:val="00F26F45"/>
    <w:rsid w:val="00F2712D"/>
    <w:rsid w:val="00F27163"/>
    <w:rsid w:val="00F2760D"/>
    <w:rsid w:val="00F279B0"/>
    <w:rsid w:val="00F27DA0"/>
    <w:rsid w:val="00F27E1D"/>
    <w:rsid w:val="00F27EAB"/>
    <w:rsid w:val="00F27FF4"/>
    <w:rsid w:val="00F3022F"/>
    <w:rsid w:val="00F30296"/>
    <w:rsid w:val="00F3030E"/>
    <w:rsid w:val="00F30392"/>
    <w:rsid w:val="00F30499"/>
    <w:rsid w:val="00F30665"/>
    <w:rsid w:val="00F306FE"/>
    <w:rsid w:val="00F3070D"/>
    <w:rsid w:val="00F308B7"/>
    <w:rsid w:val="00F308C3"/>
    <w:rsid w:val="00F308EC"/>
    <w:rsid w:val="00F30B5D"/>
    <w:rsid w:val="00F30E69"/>
    <w:rsid w:val="00F3104A"/>
    <w:rsid w:val="00F31204"/>
    <w:rsid w:val="00F3126A"/>
    <w:rsid w:val="00F3142F"/>
    <w:rsid w:val="00F316A4"/>
    <w:rsid w:val="00F31AD8"/>
    <w:rsid w:val="00F31CB5"/>
    <w:rsid w:val="00F31DAD"/>
    <w:rsid w:val="00F31E6D"/>
    <w:rsid w:val="00F3265E"/>
    <w:rsid w:val="00F32902"/>
    <w:rsid w:val="00F32907"/>
    <w:rsid w:val="00F32D07"/>
    <w:rsid w:val="00F32F79"/>
    <w:rsid w:val="00F332FD"/>
    <w:rsid w:val="00F335C1"/>
    <w:rsid w:val="00F33777"/>
    <w:rsid w:val="00F3407F"/>
    <w:rsid w:val="00F34243"/>
    <w:rsid w:val="00F34773"/>
    <w:rsid w:val="00F34805"/>
    <w:rsid w:val="00F3485A"/>
    <w:rsid w:val="00F34E9A"/>
    <w:rsid w:val="00F35071"/>
    <w:rsid w:val="00F354E5"/>
    <w:rsid w:val="00F3568C"/>
    <w:rsid w:val="00F356A5"/>
    <w:rsid w:val="00F358C9"/>
    <w:rsid w:val="00F3598D"/>
    <w:rsid w:val="00F35C90"/>
    <w:rsid w:val="00F35D44"/>
    <w:rsid w:val="00F35EFF"/>
    <w:rsid w:val="00F35FB4"/>
    <w:rsid w:val="00F35FE3"/>
    <w:rsid w:val="00F3657B"/>
    <w:rsid w:val="00F36810"/>
    <w:rsid w:val="00F36A71"/>
    <w:rsid w:val="00F36B95"/>
    <w:rsid w:val="00F36CAC"/>
    <w:rsid w:val="00F37160"/>
    <w:rsid w:val="00F373B7"/>
    <w:rsid w:val="00F37513"/>
    <w:rsid w:val="00F37661"/>
    <w:rsid w:val="00F376DE"/>
    <w:rsid w:val="00F37B1D"/>
    <w:rsid w:val="00F37D36"/>
    <w:rsid w:val="00F37F88"/>
    <w:rsid w:val="00F4014F"/>
    <w:rsid w:val="00F4030C"/>
    <w:rsid w:val="00F40337"/>
    <w:rsid w:val="00F41088"/>
    <w:rsid w:val="00F4116F"/>
    <w:rsid w:val="00F41372"/>
    <w:rsid w:val="00F41566"/>
    <w:rsid w:val="00F4161B"/>
    <w:rsid w:val="00F41B32"/>
    <w:rsid w:val="00F41B7A"/>
    <w:rsid w:val="00F41C1F"/>
    <w:rsid w:val="00F41C5A"/>
    <w:rsid w:val="00F41F42"/>
    <w:rsid w:val="00F41FBE"/>
    <w:rsid w:val="00F42018"/>
    <w:rsid w:val="00F42049"/>
    <w:rsid w:val="00F42214"/>
    <w:rsid w:val="00F4227A"/>
    <w:rsid w:val="00F422E9"/>
    <w:rsid w:val="00F422EB"/>
    <w:rsid w:val="00F42548"/>
    <w:rsid w:val="00F426E0"/>
    <w:rsid w:val="00F428D8"/>
    <w:rsid w:val="00F42964"/>
    <w:rsid w:val="00F429EF"/>
    <w:rsid w:val="00F42D99"/>
    <w:rsid w:val="00F4324E"/>
    <w:rsid w:val="00F432D3"/>
    <w:rsid w:val="00F43ED4"/>
    <w:rsid w:val="00F43F26"/>
    <w:rsid w:val="00F43F59"/>
    <w:rsid w:val="00F440DB"/>
    <w:rsid w:val="00F44168"/>
    <w:rsid w:val="00F44403"/>
    <w:rsid w:val="00F44405"/>
    <w:rsid w:val="00F445AF"/>
    <w:rsid w:val="00F445B1"/>
    <w:rsid w:val="00F44618"/>
    <w:rsid w:val="00F447E6"/>
    <w:rsid w:val="00F448D3"/>
    <w:rsid w:val="00F44939"/>
    <w:rsid w:val="00F44CAB"/>
    <w:rsid w:val="00F44DDC"/>
    <w:rsid w:val="00F44F9C"/>
    <w:rsid w:val="00F45354"/>
    <w:rsid w:val="00F4541A"/>
    <w:rsid w:val="00F45805"/>
    <w:rsid w:val="00F45A6B"/>
    <w:rsid w:val="00F45A9F"/>
    <w:rsid w:val="00F45ABC"/>
    <w:rsid w:val="00F461D8"/>
    <w:rsid w:val="00F462F8"/>
    <w:rsid w:val="00F464F7"/>
    <w:rsid w:val="00F46562"/>
    <w:rsid w:val="00F4677A"/>
    <w:rsid w:val="00F46904"/>
    <w:rsid w:val="00F46A32"/>
    <w:rsid w:val="00F46ED7"/>
    <w:rsid w:val="00F472C0"/>
    <w:rsid w:val="00F47389"/>
    <w:rsid w:val="00F4764D"/>
    <w:rsid w:val="00F4772E"/>
    <w:rsid w:val="00F47934"/>
    <w:rsid w:val="00F47D99"/>
    <w:rsid w:val="00F47DFF"/>
    <w:rsid w:val="00F504A7"/>
    <w:rsid w:val="00F5064C"/>
    <w:rsid w:val="00F509B6"/>
    <w:rsid w:val="00F509CC"/>
    <w:rsid w:val="00F50F50"/>
    <w:rsid w:val="00F51001"/>
    <w:rsid w:val="00F510A9"/>
    <w:rsid w:val="00F513D0"/>
    <w:rsid w:val="00F5186D"/>
    <w:rsid w:val="00F51B42"/>
    <w:rsid w:val="00F51D3F"/>
    <w:rsid w:val="00F520C3"/>
    <w:rsid w:val="00F5257E"/>
    <w:rsid w:val="00F525C4"/>
    <w:rsid w:val="00F527F5"/>
    <w:rsid w:val="00F52D05"/>
    <w:rsid w:val="00F52E83"/>
    <w:rsid w:val="00F52FAE"/>
    <w:rsid w:val="00F52FEC"/>
    <w:rsid w:val="00F53018"/>
    <w:rsid w:val="00F531BC"/>
    <w:rsid w:val="00F53203"/>
    <w:rsid w:val="00F53536"/>
    <w:rsid w:val="00F536DA"/>
    <w:rsid w:val="00F53721"/>
    <w:rsid w:val="00F5372B"/>
    <w:rsid w:val="00F54423"/>
    <w:rsid w:val="00F54432"/>
    <w:rsid w:val="00F5457F"/>
    <w:rsid w:val="00F54592"/>
    <w:rsid w:val="00F545DD"/>
    <w:rsid w:val="00F54602"/>
    <w:rsid w:val="00F547B6"/>
    <w:rsid w:val="00F548F8"/>
    <w:rsid w:val="00F54BF5"/>
    <w:rsid w:val="00F54CC8"/>
    <w:rsid w:val="00F54DB4"/>
    <w:rsid w:val="00F54EC7"/>
    <w:rsid w:val="00F54FB2"/>
    <w:rsid w:val="00F54FC2"/>
    <w:rsid w:val="00F551C1"/>
    <w:rsid w:val="00F5540A"/>
    <w:rsid w:val="00F55600"/>
    <w:rsid w:val="00F55709"/>
    <w:rsid w:val="00F55B69"/>
    <w:rsid w:val="00F55BFB"/>
    <w:rsid w:val="00F55C44"/>
    <w:rsid w:val="00F55DE6"/>
    <w:rsid w:val="00F55F15"/>
    <w:rsid w:val="00F563BB"/>
    <w:rsid w:val="00F56616"/>
    <w:rsid w:val="00F56765"/>
    <w:rsid w:val="00F5679F"/>
    <w:rsid w:val="00F5693D"/>
    <w:rsid w:val="00F56B5A"/>
    <w:rsid w:val="00F56BFD"/>
    <w:rsid w:val="00F56EF8"/>
    <w:rsid w:val="00F57020"/>
    <w:rsid w:val="00F571BA"/>
    <w:rsid w:val="00F57853"/>
    <w:rsid w:val="00F57C5D"/>
    <w:rsid w:val="00F60014"/>
    <w:rsid w:val="00F607EC"/>
    <w:rsid w:val="00F60DA5"/>
    <w:rsid w:val="00F60E15"/>
    <w:rsid w:val="00F60FF5"/>
    <w:rsid w:val="00F6155B"/>
    <w:rsid w:val="00F6155D"/>
    <w:rsid w:val="00F6164C"/>
    <w:rsid w:val="00F619B8"/>
    <w:rsid w:val="00F619FA"/>
    <w:rsid w:val="00F61A7B"/>
    <w:rsid w:val="00F61EF2"/>
    <w:rsid w:val="00F6205A"/>
    <w:rsid w:val="00F620CD"/>
    <w:rsid w:val="00F62248"/>
    <w:rsid w:val="00F62890"/>
    <w:rsid w:val="00F62A9D"/>
    <w:rsid w:val="00F62F10"/>
    <w:rsid w:val="00F63040"/>
    <w:rsid w:val="00F630AC"/>
    <w:rsid w:val="00F6339E"/>
    <w:rsid w:val="00F6380E"/>
    <w:rsid w:val="00F63970"/>
    <w:rsid w:val="00F63A52"/>
    <w:rsid w:val="00F63E02"/>
    <w:rsid w:val="00F63EA2"/>
    <w:rsid w:val="00F63F01"/>
    <w:rsid w:val="00F6430E"/>
    <w:rsid w:val="00F643D3"/>
    <w:rsid w:val="00F643D8"/>
    <w:rsid w:val="00F6451A"/>
    <w:rsid w:val="00F64887"/>
    <w:rsid w:val="00F64D16"/>
    <w:rsid w:val="00F652AC"/>
    <w:rsid w:val="00F65378"/>
    <w:rsid w:val="00F65457"/>
    <w:rsid w:val="00F65DB9"/>
    <w:rsid w:val="00F65F2D"/>
    <w:rsid w:val="00F66137"/>
    <w:rsid w:val="00F6639D"/>
    <w:rsid w:val="00F663D2"/>
    <w:rsid w:val="00F66421"/>
    <w:rsid w:val="00F66564"/>
    <w:rsid w:val="00F666D3"/>
    <w:rsid w:val="00F66786"/>
    <w:rsid w:val="00F66998"/>
    <w:rsid w:val="00F66BDD"/>
    <w:rsid w:val="00F66C78"/>
    <w:rsid w:val="00F66EE3"/>
    <w:rsid w:val="00F670F8"/>
    <w:rsid w:val="00F6741F"/>
    <w:rsid w:val="00F674BB"/>
    <w:rsid w:val="00F6754E"/>
    <w:rsid w:val="00F677D2"/>
    <w:rsid w:val="00F67A60"/>
    <w:rsid w:val="00F70042"/>
    <w:rsid w:val="00F70090"/>
    <w:rsid w:val="00F705DE"/>
    <w:rsid w:val="00F708C1"/>
    <w:rsid w:val="00F70B1F"/>
    <w:rsid w:val="00F70D9E"/>
    <w:rsid w:val="00F713B4"/>
    <w:rsid w:val="00F71654"/>
    <w:rsid w:val="00F716C8"/>
    <w:rsid w:val="00F716DC"/>
    <w:rsid w:val="00F71720"/>
    <w:rsid w:val="00F7190B"/>
    <w:rsid w:val="00F719DE"/>
    <w:rsid w:val="00F71A50"/>
    <w:rsid w:val="00F71C7C"/>
    <w:rsid w:val="00F72137"/>
    <w:rsid w:val="00F722C4"/>
    <w:rsid w:val="00F723A0"/>
    <w:rsid w:val="00F72535"/>
    <w:rsid w:val="00F7261F"/>
    <w:rsid w:val="00F72C83"/>
    <w:rsid w:val="00F730AA"/>
    <w:rsid w:val="00F73520"/>
    <w:rsid w:val="00F73628"/>
    <w:rsid w:val="00F7379E"/>
    <w:rsid w:val="00F737F9"/>
    <w:rsid w:val="00F738B4"/>
    <w:rsid w:val="00F7391C"/>
    <w:rsid w:val="00F73DE2"/>
    <w:rsid w:val="00F746F9"/>
    <w:rsid w:val="00F74AA4"/>
    <w:rsid w:val="00F74EE2"/>
    <w:rsid w:val="00F752B0"/>
    <w:rsid w:val="00F7545F"/>
    <w:rsid w:val="00F75518"/>
    <w:rsid w:val="00F75583"/>
    <w:rsid w:val="00F75689"/>
    <w:rsid w:val="00F7577D"/>
    <w:rsid w:val="00F75785"/>
    <w:rsid w:val="00F7579A"/>
    <w:rsid w:val="00F75A16"/>
    <w:rsid w:val="00F75A71"/>
    <w:rsid w:val="00F75B20"/>
    <w:rsid w:val="00F75E95"/>
    <w:rsid w:val="00F768B7"/>
    <w:rsid w:val="00F769AC"/>
    <w:rsid w:val="00F76A8D"/>
    <w:rsid w:val="00F76E8E"/>
    <w:rsid w:val="00F76F70"/>
    <w:rsid w:val="00F7717F"/>
    <w:rsid w:val="00F7753F"/>
    <w:rsid w:val="00F777D1"/>
    <w:rsid w:val="00F77863"/>
    <w:rsid w:val="00F77DFF"/>
    <w:rsid w:val="00F77FAD"/>
    <w:rsid w:val="00F800AF"/>
    <w:rsid w:val="00F800B4"/>
    <w:rsid w:val="00F8024C"/>
    <w:rsid w:val="00F803CC"/>
    <w:rsid w:val="00F807A3"/>
    <w:rsid w:val="00F808F5"/>
    <w:rsid w:val="00F809AF"/>
    <w:rsid w:val="00F809CE"/>
    <w:rsid w:val="00F80B1E"/>
    <w:rsid w:val="00F81104"/>
    <w:rsid w:val="00F812DB"/>
    <w:rsid w:val="00F813BE"/>
    <w:rsid w:val="00F81620"/>
    <w:rsid w:val="00F81BAD"/>
    <w:rsid w:val="00F81DE0"/>
    <w:rsid w:val="00F822A8"/>
    <w:rsid w:val="00F8261E"/>
    <w:rsid w:val="00F82B97"/>
    <w:rsid w:val="00F82D44"/>
    <w:rsid w:val="00F82EAA"/>
    <w:rsid w:val="00F82F3A"/>
    <w:rsid w:val="00F8324B"/>
    <w:rsid w:val="00F8329B"/>
    <w:rsid w:val="00F835B0"/>
    <w:rsid w:val="00F835DA"/>
    <w:rsid w:val="00F8364B"/>
    <w:rsid w:val="00F83759"/>
    <w:rsid w:val="00F8389C"/>
    <w:rsid w:val="00F839A5"/>
    <w:rsid w:val="00F839C1"/>
    <w:rsid w:val="00F83BC3"/>
    <w:rsid w:val="00F83D63"/>
    <w:rsid w:val="00F83DAB"/>
    <w:rsid w:val="00F83F81"/>
    <w:rsid w:val="00F8404D"/>
    <w:rsid w:val="00F840B9"/>
    <w:rsid w:val="00F840C0"/>
    <w:rsid w:val="00F842E6"/>
    <w:rsid w:val="00F843B9"/>
    <w:rsid w:val="00F8445D"/>
    <w:rsid w:val="00F845E0"/>
    <w:rsid w:val="00F84788"/>
    <w:rsid w:val="00F848D4"/>
    <w:rsid w:val="00F848F2"/>
    <w:rsid w:val="00F84929"/>
    <w:rsid w:val="00F84A0C"/>
    <w:rsid w:val="00F84C09"/>
    <w:rsid w:val="00F85629"/>
    <w:rsid w:val="00F8568A"/>
    <w:rsid w:val="00F8586D"/>
    <w:rsid w:val="00F85D47"/>
    <w:rsid w:val="00F85E8A"/>
    <w:rsid w:val="00F8621C"/>
    <w:rsid w:val="00F8643D"/>
    <w:rsid w:val="00F86683"/>
    <w:rsid w:val="00F86D25"/>
    <w:rsid w:val="00F86D50"/>
    <w:rsid w:val="00F86D58"/>
    <w:rsid w:val="00F86DE0"/>
    <w:rsid w:val="00F870CE"/>
    <w:rsid w:val="00F87577"/>
    <w:rsid w:val="00F87624"/>
    <w:rsid w:val="00F87C4E"/>
    <w:rsid w:val="00F87CE5"/>
    <w:rsid w:val="00F87DE6"/>
    <w:rsid w:val="00F900F2"/>
    <w:rsid w:val="00F90464"/>
    <w:rsid w:val="00F90996"/>
    <w:rsid w:val="00F909A5"/>
    <w:rsid w:val="00F90A63"/>
    <w:rsid w:val="00F911CE"/>
    <w:rsid w:val="00F9143E"/>
    <w:rsid w:val="00F91443"/>
    <w:rsid w:val="00F917BB"/>
    <w:rsid w:val="00F918C5"/>
    <w:rsid w:val="00F919DC"/>
    <w:rsid w:val="00F91A22"/>
    <w:rsid w:val="00F91B7A"/>
    <w:rsid w:val="00F91D53"/>
    <w:rsid w:val="00F91D9A"/>
    <w:rsid w:val="00F921DA"/>
    <w:rsid w:val="00F921F3"/>
    <w:rsid w:val="00F92261"/>
    <w:rsid w:val="00F9253A"/>
    <w:rsid w:val="00F926D9"/>
    <w:rsid w:val="00F929A7"/>
    <w:rsid w:val="00F92B3F"/>
    <w:rsid w:val="00F9306B"/>
    <w:rsid w:val="00F93386"/>
    <w:rsid w:val="00F933B6"/>
    <w:rsid w:val="00F9380C"/>
    <w:rsid w:val="00F93993"/>
    <w:rsid w:val="00F93ED1"/>
    <w:rsid w:val="00F93F56"/>
    <w:rsid w:val="00F93F99"/>
    <w:rsid w:val="00F941F5"/>
    <w:rsid w:val="00F9487B"/>
    <w:rsid w:val="00F94980"/>
    <w:rsid w:val="00F94A32"/>
    <w:rsid w:val="00F94BBE"/>
    <w:rsid w:val="00F94D10"/>
    <w:rsid w:val="00F95074"/>
    <w:rsid w:val="00F95119"/>
    <w:rsid w:val="00F9513C"/>
    <w:rsid w:val="00F95565"/>
    <w:rsid w:val="00F9565C"/>
    <w:rsid w:val="00F9571B"/>
    <w:rsid w:val="00F95A18"/>
    <w:rsid w:val="00F95DAD"/>
    <w:rsid w:val="00F95DB4"/>
    <w:rsid w:val="00F95DC9"/>
    <w:rsid w:val="00F963AB"/>
    <w:rsid w:val="00F964C2"/>
    <w:rsid w:val="00F966B1"/>
    <w:rsid w:val="00F966C6"/>
    <w:rsid w:val="00F969A9"/>
    <w:rsid w:val="00F96A11"/>
    <w:rsid w:val="00F96D63"/>
    <w:rsid w:val="00F96DFF"/>
    <w:rsid w:val="00F96EAC"/>
    <w:rsid w:val="00F9707B"/>
    <w:rsid w:val="00F970D3"/>
    <w:rsid w:val="00F973B7"/>
    <w:rsid w:val="00F973D4"/>
    <w:rsid w:val="00F974C1"/>
    <w:rsid w:val="00F97A91"/>
    <w:rsid w:val="00F97C2E"/>
    <w:rsid w:val="00F97CAD"/>
    <w:rsid w:val="00F97DAB"/>
    <w:rsid w:val="00F97DE9"/>
    <w:rsid w:val="00F97E93"/>
    <w:rsid w:val="00FA0276"/>
    <w:rsid w:val="00FA041F"/>
    <w:rsid w:val="00FA04C1"/>
    <w:rsid w:val="00FA0554"/>
    <w:rsid w:val="00FA05F9"/>
    <w:rsid w:val="00FA089A"/>
    <w:rsid w:val="00FA09F0"/>
    <w:rsid w:val="00FA09F6"/>
    <w:rsid w:val="00FA0A1E"/>
    <w:rsid w:val="00FA0A67"/>
    <w:rsid w:val="00FA0CBE"/>
    <w:rsid w:val="00FA0CDE"/>
    <w:rsid w:val="00FA0D9B"/>
    <w:rsid w:val="00FA0E5E"/>
    <w:rsid w:val="00FA0F50"/>
    <w:rsid w:val="00FA1081"/>
    <w:rsid w:val="00FA108A"/>
    <w:rsid w:val="00FA116B"/>
    <w:rsid w:val="00FA12EB"/>
    <w:rsid w:val="00FA1394"/>
    <w:rsid w:val="00FA14C6"/>
    <w:rsid w:val="00FA159C"/>
    <w:rsid w:val="00FA15EE"/>
    <w:rsid w:val="00FA17D8"/>
    <w:rsid w:val="00FA18FC"/>
    <w:rsid w:val="00FA191A"/>
    <w:rsid w:val="00FA240C"/>
    <w:rsid w:val="00FA2607"/>
    <w:rsid w:val="00FA2776"/>
    <w:rsid w:val="00FA28E4"/>
    <w:rsid w:val="00FA29F0"/>
    <w:rsid w:val="00FA2C13"/>
    <w:rsid w:val="00FA2DD2"/>
    <w:rsid w:val="00FA3015"/>
    <w:rsid w:val="00FA320B"/>
    <w:rsid w:val="00FA3273"/>
    <w:rsid w:val="00FA32F2"/>
    <w:rsid w:val="00FA35FE"/>
    <w:rsid w:val="00FA38CC"/>
    <w:rsid w:val="00FA395E"/>
    <w:rsid w:val="00FA3CCA"/>
    <w:rsid w:val="00FA3D05"/>
    <w:rsid w:val="00FA3D8F"/>
    <w:rsid w:val="00FA489E"/>
    <w:rsid w:val="00FA4B50"/>
    <w:rsid w:val="00FA4CAA"/>
    <w:rsid w:val="00FA4D8B"/>
    <w:rsid w:val="00FA4EAA"/>
    <w:rsid w:val="00FA507F"/>
    <w:rsid w:val="00FA51FC"/>
    <w:rsid w:val="00FA52E6"/>
    <w:rsid w:val="00FA565B"/>
    <w:rsid w:val="00FA5713"/>
    <w:rsid w:val="00FA578F"/>
    <w:rsid w:val="00FA57D2"/>
    <w:rsid w:val="00FA5E06"/>
    <w:rsid w:val="00FA6154"/>
    <w:rsid w:val="00FA61FE"/>
    <w:rsid w:val="00FA6229"/>
    <w:rsid w:val="00FA6276"/>
    <w:rsid w:val="00FA66EF"/>
    <w:rsid w:val="00FA69A6"/>
    <w:rsid w:val="00FA7022"/>
    <w:rsid w:val="00FA707D"/>
    <w:rsid w:val="00FA772D"/>
    <w:rsid w:val="00FA7B5D"/>
    <w:rsid w:val="00FB02D1"/>
    <w:rsid w:val="00FB035C"/>
    <w:rsid w:val="00FB0B2F"/>
    <w:rsid w:val="00FB0EF3"/>
    <w:rsid w:val="00FB0F70"/>
    <w:rsid w:val="00FB17A5"/>
    <w:rsid w:val="00FB18A8"/>
    <w:rsid w:val="00FB1C6B"/>
    <w:rsid w:val="00FB1D77"/>
    <w:rsid w:val="00FB1EC7"/>
    <w:rsid w:val="00FB1F8E"/>
    <w:rsid w:val="00FB1FEA"/>
    <w:rsid w:val="00FB2529"/>
    <w:rsid w:val="00FB2A04"/>
    <w:rsid w:val="00FB2A84"/>
    <w:rsid w:val="00FB2AD1"/>
    <w:rsid w:val="00FB2B70"/>
    <w:rsid w:val="00FB2E76"/>
    <w:rsid w:val="00FB2FC3"/>
    <w:rsid w:val="00FB3022"/>
    <w:rsid w:val="00FB31C3"/>
    <w:rsid w:val="00FB34DD"/>
    <w:rsid w:val="00FB3751"/>
    <w:rsid w:val="00FB38A3"/>
    <w:rsid w:val="00FB3B50"/>
    <w:rsid w:val="00FB3DC7"/>
    <w:rsid w:val="00FB3E15"/>
    <w:rsid w:val="00FB4096"/>
    <w:rsid w:val="00FB4675"/>
    <w:rsid w:val="00FB4AD7"/>
    <w:rsid w:val="00FB4B10"/>
    <w:rsid w:val="00FB4EF6"/>
    <w:rsid w:val="00FB500A"/>
    <w:rsid w:val="00FB519B"/>
    <w:rsid w:val="00FB561D"/>
    <w:rsid w:val="00FB5A1A"/>
    <w:rsid w:val="00FB5C2C"/>
    <w:rsid w:val="00FB5CDD"/>
    <w:rsid w:val="00FB61CE"/>
    <w:rsid w:val="00FB63E8"/>
    <w:rsid w:val="00FB646D"/>
    <w:rsid w:val="00FB6545"/>
    <w:rsid w:val="00FB65A9"/>
    <w:rsid w:val="00FB66E8"/>
    <w:rsid w:val="00FB6C25"/>
    <w:rsid w:val="00FB7029"/>
    <w:rsid w:val="00FB7157"/>
    <w:rsid w:val="00FB7171"/>
    <w:rsid w:val="00FB71C6"/>
    <w:rsid w:val="00FB74BF"/>
    <w:rsid w:val="00FB7725"/>
    <w:rsid w:val="00FB78C3"/>
    <w:rsid w:val="00FB79A2"/>
    <w:rsid w:val="00FB7DED"/>
    <w:rsid w:val="00FC0470"/>
    <w:rsid w:val="00FC0962"/>
    <w:rsid w:val="00FC0BD8"/>
    <w:rsid w:val="00FC0E63"/>
    <w:rsid w:val="00FC0E8D"/>
    <w:rsid w:val="00FC104E"/>
    <w:rsid w:val="00FC15A6"/>
    <w:rsid w:val="00FC1965"/>
    <w:rsid w:val="00FC1C6D"/>
    <w:rsid w:val="00FC1F0A"/>
    <w:rsid w:val="00FC1F87"/>
    <w:rsid w:val="00FC2050"/>
    <w:rsid w:val="00FC2134"/>
    <w:rsid w:val="00FC25A4"/>
    <w:rsid w:val="00FC2A20"/>
    <w:rsid w:val="00FC2A6F"/>
    <w:rsid w:val="00FC2DEF"/>
    <w:rsid w:val="00FC2F1E"/>
    <w:rsid w:val="00FC2F3B"/>
    <w:rsid w:val="00FC2F55"/>
    <w:rsid w:val="00FC318E"/>
    <w:rsid w:val="00FC31FA"/>
    <w:rsid w:val="00FC3548"/>
    <w:rsid w:val="00FC354A"/>
    <w:rsid w:val="00FC3695"/>
    <w:rsid w:val="00FC3BBB"/>
    <w:rsid w:val="00FC3BE9"/>
    <w:rsid w:val="00FC4678"/>
    <w:rsid w:val="00FC4901"/>
    <w:rsid w:val="00FC49D3"/>
    <w:rsid w:val="00FC4C64"/>
    <w:rsid w:val="00FC4E59"/>
    <w:rsid w:val="00FC5179"/>
    <w:rsid w:val="00FC5344"/>
    <w:rsid w:val="00FC5389"/>
    <w:rsid w:val="00FC55AF"/>
    <w:rsid w:val="00FC5636"/>
    <w:rsid w:val="00FC56B3"/>
    <w:rsid w:val="00FC570B"/>
    <w:rsid w:val="00FC5DFA"/>
    <w:rsid w:val="00FC5DFF"/>
    <w:rsid w:val="00FC5E9A"/>
    <w:rsid w:val="00FC609D"/>
    <w:rsid w:val="00FC67C0"/>
    <w:rsid w:val="00FC6A08"/>
    <w:rsid w:val="00FC6D54"/>
    <w:rsid w:val="00FC6E49"/>
    <w:rsid w:val="00FC6F74"/>
    <w:rsid w:val="00FC6F81"/>
    <w:rsid w:val="00FC6FA9"/>
    <w:rsid w:val="00FC728F"/>
    <w:rsid w:val="00FC7335"/>
    <w:rsid w:val="00FC7658"/>
    <w:rsid w:val="00FC7BB8"/>
    <w:rsid w:val="00FC7D05"/>
    <w:rsid w:val="00FC7D95"/>
    <w:rsid w:val="00FC7DCA"/>
    <w:rsid w:val="00FC7E0B"/>
    <w:rsid w:val="00FD0186"/>
    <w:rsid w:val="00FD0292"/>
    <w:rsid w:val="00FD0327"/>
    <w:rsid w:val="00FD03B2"/>
    <w:rsid w:val="00FD0402"/>
    <w:rsid w:val="00FD059D"/>
    <w:rsid w:val="00FD05A3"/>
    <w:rsid w:val="00FD0780"/>
    <w:rsid w:val="00FD0B8A"/>
    <w:rsid w:val="00FD109C"/>
    <w:rsid w:val="00FD11C5"/>
    <w:rsid w:val="00FD12E0"/>
    <w:rsid w:val="00FD135F"/>
    <w:rsid w:val="00FD17B6"/>
    <w:rsid w:val="00FD18D5"/>
    <w:rsid w:val="00FD19B8"/>
    <w:rsid w:val="00FD1F0C"/>
    <w:rsid w:val="00FD225B"/>
    <w:rsid w:val="00FD272B"/>
    <w:rsid w:val="00FD28B1"/>
    <w:rsid w:val="00FD29F3"/>
    <w:rsid w:val="00FD29F5"/>
    <w:rsid w:val="00FD2D48"/>
    <w:rsid w:val="00FD31DE"/>
    <w:rsid w:val="00FD32E2"/>
    <w:rsid w:val="00FD3464"/>
    <w:rsid w:val="00FD3656"/>
    <w:rsid w:val="00FD3671"/>
    <w:rsid w:val="00FD36D4"/>
    <w:rsid w:val="00FD371A"/>
    <w:rsid w:val="00FD38DC"/>
    <w:rsid w:val="00FD3A95"/>
    <w:rsid w:val="00FD3DEB"/>
    <w:rsid w:val="00FD419D"/>
    <w:rsid w:val="00FD41DD"/>
    <w:rsid w:val="00FD42D0"/>
    <w:rsid w:val="00FD42F4"/>
    <w:rsid w:val="00FD4697"/>
    <w:rsid w:val="00FD4744"/>
    <w:rsid w:val="00FD480D"/>
    <w:rsid w:val="00FD4B0F"/>
    <w:rsid w:val="00FD4E1B"/>
    <w:rsid w:val="00FD4E46"/>
    <w:rsid w:val="00FD4F69"/>
    <w:rsid w:val="00FD5170"/>
    <w:rsid w:val="00FD5184"/>
    <w:rsid w:val="00FD5227"/>
    <w:rsid w:val="00FD5882"/>
    <w:rsid w:val="00FD58C3"/>
    <w:rsid w:val="00FD5980"/>
    <w:rsid w:val="00FD5C9F"/>
    <w:rsid w:val="00FD5CDB"/>
    <w:rsid w:val="00FD5DFB"/>
    <w:rsid w:val="00FD5F2B"/>
    <w:rsid w:val="00FD6159"/>
    <w:rsid w:val="00FD617F"/>
    <w:rsid w:val="00FD6412"/>
    <w:rsid w:val="00FD64F7"/>
    <w:rsid w:val="00FD6AEA"/>
    <w:rsid w:val="00FD6F19"/>
    <w:rsid w:val="00FD7192"/>
    <w:rsid w:val="00FD7382"/>
    <w:rsid w:val="00FD742F"/>
    <w:rsid w:val="00FD7457"/>
    <w:rsid w:val="00FD74BA"/>
    <w:rsid w:val="00FD7A75"/>
    <w:rsid w:val="00FD7AD3"/>
    <w:rsid w:val="00FD7C1B"/>
    <w:rsid w:val="00FD7C61"/>
    <w:rsid w:val="00FD7D14"/>
    <w:rsid w:val="00FD7DBD"/>
    <w:rsid w:val="00FE002F"/>
    <w:rsid w:val="00FE0406"/>
    <w:rsid w:val="00FE0411"/>
    <w:rsid w:val="00FE04A5"/>
    <w:rsid w:val="00FE04F6"/>
    <w:rsid w:val="00FE0528"/>
    <w:rsid w:val="00FE078C"/>
    <w:rsid w:val="00FE0D3C"/>
    <w:rsid w:val="00FE0DCA"/>
    <w:rsid w:val="00FE0DD5"/>
    <w:rsid w:val="00FE1223"/>
    <w:rsid w:val="00FE1453"/>
    <w:rsid w:val="00FE1906"/>
    <w:rsid w:val="00FE1934"/>
    <w:rsid w:val="00FE1A7B"/>
    <w:rsid w:val="00FE1DEE"/>
    <w:rsid w:val="00FE1EF7"/>
    <w:rsid w:val="00FE2297"/>
    <w:rsid w:val="00FE24EC"/>
    <w:rsid w:val="00FE2517"/>
    <w:rsid w:val="00FE2664"/>
    <w:rsid w:val="00FE266C"/>
    <w:rsid w:val="00FE268C"/>
    <w:rsid w:val="00FE2712"/>
    <w:rsid w:val="00FE29CA"/>
    <w:rsid w:val="00FE2ACA"/>
    <w:rsid w:val="00FE2D0B"/>
    <w:rsid w:val="00FE2D8A"/>
    <w:rsid w:val="00FE2FED"/>
    <w:rsid w:val="00FE3572"/>
    <w:rsid w:val="00FE35E6"/>
    <w:rsid w:val="00FE3685"/>
    <w:rsid w:val="00FE3F7A"/>
    <w:rsid w:val="00FE3FCE"/>
    <w:rsid w:val="00FE4615"/>
    <w:rsid w:val="00FE464B"/>
    <w:rsid w:val="00FE48B5"/>
    <w:rsid w:val="00FE4FDB"/>
    <w:rsid w:val="00FE5141"/>
    <w:rsid w:val="00FE5239"/>
    <w:rsid w:val="00FE5335"/>
    <w:rsid w:val="00FE5801"/>
    <w:rsid w:val="00FE5840"/>
    <w:rsid w:val="00FE5A7F"/>
    <w:rsid w:val="00FE5C6E"/>
    <w:rsid w:val="00FE6321"/>
    <w:rsid w:val="00FE6365"/>
    <w:rsid w:val="00FE67B2"/>
    <w:rsid w:val="00FE67DA"/>
    <w:rsid w:val="00FE6834"/>
    <w:rsid w:val="00FE7064"/>
    <w:rsid w:val="00FE7265"/>
    <w:rsid w:val="00FE7335"/>
    <w:rsid w:val="00FE7CE9"/>
    <w:rsid w:val="00FE7D60"/>
    <w:rsid w:val="00FE7D82"/>
    <w:rsid w:val="00FE7DBD"/>
    <w:rsid w:val="00FE7FA3"/>
    <w:rsid w:val="00FF009A"/>
    <w:rsid w:val="00FF05F0"/>
    <w:rsid w:val="00FF08F0"/>
    <w:rsid w:val="00FF0A49"/>
    <w:rsid w:val="00FF0F20"/>
    <w:rsid w:val="00FF1035"/>
    <w:rsid w:val="00FF10C5"/>
    <w:rsid w:val="00FF123C"/>
    <w:rsid w:val="00FF129F"/>
    <w:rsid w:val="00FF135B"/>
    <w:rsid w:val="00FF1710"/>
    <w:rsid w:val="00FF1AB5"/>
    <w:rsid w:val="00FF1F74"/>
    <w:rsid w:val="00FF1FA4"/>
    <w:rsid w:val="00FF20D6"/>
    <w:rsid w:val="00FF2179"/>
    <w:rsid w:val="00FF23BE"/>
    <w:rsid w:val="00FF25BA"/>
    <w:rsid w:val="00FF26AC"/>
    <w:rsid w:val="00FF270A"/>
    <w:rsid w:val="00FF272B"/>
    <w:rsid w:val="00FF29A6"/>
    <w:rsid w:val="00FF2B61"/>
    <w:rsid w:val="00FF2BA6"/>
    <w:rsid w:val="00FF2BC2"/>
    <w:rsid w:val="00FF2D74"/>
    <w:rsid w:val="00FF2E0E"/>
    <w:rsid w:val="00FF2FA1"/>
    <w:rsid w:val="00FF2FCC"/>
    <w:rsid w:val="00FF305E"/>
    <w:rsid w:val="00FF3087"/>
    <w:rsid w:val="00FF30EF"/>
    <w:rsid w:val="00FF31B5"/>
    <w:rsid w:val="00FF3295"/>
    <w:rsid w:val="00FF34D4"/>
    <w:rsid w:val="00FF35C4"/>
    <w:rsid w:val="00FF38AF"/>
    <w:rsid w:val="00FF3A14"/>
    <w:rsid w:val="00FF3F85"/>
    <w:rsid w:val="00FF40A4"/>
    <w:rsid w:val="00FF420F"/>
    <w:rsid w:val="00FF4B08"/>
    <w:rsid w:val="00FF4B3E"/>
    <w:rsid w:val="00FF4B83"/>
    <w:rsid w:val="00FF4BB4"/>
    <w:rsid w:val="00FF4D96"/>
    <w:rsid w:val="00FF4DAB"/>
    <w:rsid w:val="00FF4E46"/>
    <w:rsid w:val="00FF4F42"/>
    <w:rsid w:val="00FF4F88"/>
    <w:rsid w:val="00FF5147"/>
    <w:rsid w:val="00FF5250"/>
    <w:rsid w:val="00FF53D1"/>
    <w:rsid w:val="00FF5AAC"/>
    <w:rsid w:val="00FF5BD0"/>
    <w:rsid w:val="00FF5C36"/>
    <w:rsid w:val="00FF5E74"/>
    <w:rsid w:val="00FF62CC"/>
    <w:rsid w:val="00FF642E"/>
    <w:rsid w:val="00FF694E"/>
    <w:rsid w:val="00FF699A"/>
    <w:rsid w:val="00FF6B04"/>
    <w:rsid w:val="00FF6BB8"/>
    <w:rsid w:val="00FF71E6"/>
    <w:rsid w:val="00FF7742"/>
    <w:rsid w:val="17D7E6DE"/>
    <w:rsid w:val="4B6B57C9"/>
    <w:rsid w:val="600D7DB4"/>
    <w:rsid w:val="682915CF"/>
    <w:rsid w:val="7D59BCB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EE7691"/>
  <w15:docId w15:val="{8F886B8C-E1D6-4FE1-8F00-CAE6842C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09F7"/>
    <w:pPr>
      <w:overflowPunct w:val="0"/>
      <w:autoSpaceDE w:val="0"/>
      <w:autoSpaceDN w:val="0"/>
      <w:adjustRightInd w:val="0"/>
      <w:jc w:val="both"/>
      <w:textAlignment w:val="baseline"/>
    </w:pPr>
    <w:rPr>
      <w:rFonts w:ascii="Arial" w:hAnsi="Arial"/>
    </w:rPr>
  </w:style>
  <w:style w:type="paragraph" w:styleId="Heading1">
    <w:name w:val="heading 1"/>
    <w:basedOn w:val="Normal"/>
    <w:next w:val="Normal"/>
    <w:link w:val="Heading1Char"/>
    <w:qFormat/>
    <w:rsid w:val="000109F7"/>
    <w:pPr>
      <w:ind w:left="720" w:hanging="720"/>
      <w:outlineLvl w:val="0"/>
    </w:pPr>
    <w:rPr>
      <w:b/>
    </w:rPr>
  </w:style>
  <w:style w:type="paragraph" w:styleId="Heading2">
    <w:name w:val="heading 2"/>
    <w:basedOn w:val="Normal"/>
    <w:next w:val="Normal"/>
    <w:link w:val="Heading2Char"/>
    <w:qFormat/>
    <w:rsid w:val="00665076"/>
    <w:pPr>
      <w:ind w:left="720" w:hanging="720"/>
      <w:outlineLvl w:val="1"/>
    </w:pPr>
    <w:rPr>
      <w:b/>
      <w:i/>
      <w:lang w:val="de-DE"/>
    </w:rPr>
  </w:style>
  <w:style w:type="paragraph" w:styleId="Heading3">
    <w:name w:val="heading 3"/>
    <w:basedOn w:val="Normal"/>
    <w:next w:val="Normal"/>
    <w:link w:val="Heading3Char"/>
    <w:qFormat/>
    <w:rsid w:val="00F81104"/>
    <w:pPr>
      <w:ind w:left="720" w:hanging="720"/>
      <w:outlineLvl w:val="2"/>
    </w:pPr>
    <w:rPr>
      <w:i/>
    </w:rPr>
  </w:style>
  <w:style w:type="paragraph" w:styleId="Heading4">
    <w:name w:val="heading 4"/>
    <w:basedOn w:val="Normal"/>
    <w:next w:val="Normal"/>
    <w:rsid w:val="0088520A"/>
    <w:pPr>
      <w:keepNext/>
      <w:jc w:val="right"/>
      <w:outlineLvl w:val="3"/>
    </w:pPr>
    <w:rPr>
      <w:rFonts w:ascii="VNI-Times" w:hAnsi="VNI-Times"/>
      <w:i/>
    </w:rPr>
  </w:style>
  <w:style w:type="paragraph" w:styleId="Heading5">
    <w:name w:val="heading 5"/>
    <w:basedOn w:val="Normal"/>
    <w:next w:val="Normal"/>
    <w:rsid w:val="0088520A"/>
    <w:pPr>
      <w:keepNext/>
      <w:ind w:right="-385"/>
      <w:jc w:val="right"/>
      <w:outlineLvl w:val="4"/>
    </w:pPr>
    <w:rPr>
      <w:rFonts w:ascii="VNI-Times" w:hAnsi="VNI-Times"/>
      <w:i/>
      <w:sz w:val="22"/>
    </w:rPr>
  </w:style>
  <w:style w:type="paragraph" w:styleId="Heading6">
    <w:name w:val="heading 6"/>
    <w:basedOn w:val="Normal"/>
    <w:next w:val="Normal"/>
    <w:rsid w:val="0088520A"/>
    <w:pPr>
      <w:keepNext/>
      <w:ind w:left="720"/>
      <w:outlineLvl w:val="5"/>
    </w:pPr>
    <w:rPr>
      <w:rFonts w:ascii="VNI-Times" w:hAnsi="VNI-Times"/>
      <w:b/>
      <w:i/>
      <w:sz w:val="22"/>
    </w:rPr>
  </w:style>
  <w:style w:type="paragraph" w:styleId="Heading7">
    <w:name w:val="heading 7"/>
    <w:basedOn w:val="Normal"/>
    <w:next w:val="Normal"/>
    <w:rsid w:val="0088520A"/>
    <w:pPr>
      <w:keepNext/>
      <w:spacing w:before="120"/>
      <w:ind w:left="346" w:hanging="346"/>
      <w:outlineLvl w:val="6"/>
    </w:pPr>
    <w:rPr>
      <w:rFonts w:ascii="VNI-Times" w:hAnsi="VNI-Times"/>
      <w:i/>
      <w:sz w:val="22"/>
    </w:rPr>
  </w:style>
  <w:style w:type="paragraph" w:styleId="Heading8">
    <w:name w:val="heading 8"/>
    <w:basedOn w:val="Normal"/>
    <w:next w:val="Normal"/>
    <w:rsid w:val="0088520A"/>
    <w:pPr>
      <w:keepNext/>
      <w:ind w:right="-54"/>
      <w:jc w:val="right"/>
      <w:outlineLvl w:val="7"/>
    </w:pPr>
    <w:rPr>
      <w:rFonts w:ascii="VNI-Times" w:hAnsi="VNI-Times"/>
      <w:i/>
      <w:sz w:val="22"/>
    </w:rPr>
  </w:style>
  <w:style w:type="paragraph" w:styleId="Heading9">
    <w:name w:val="heading 9"/>
    <w:basedOn w:val="Normal"/>
    <w:next w:val="Normal"/>
    <w:rsid w:val="0088520A"/>
    <w:pPr>
      <w:keepNext/>
      <w:ind w:left="432" w:hanging="360"/>
      <w:outlineLvl w:val="8"/>
    </w:pPr>
    <w:rPr>
      <w:rFonts w:ascii="VNI-Times" w:hAnsi="VNI-Times"/>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520A"/>
    <w:pPr>
      <w:spacing w:after="300"/>
    </w:pPr>
    <w:rPr>
      <w:rFonts w:ascii="VNI-Times" w:hAnsi="VNI-Times"/>
      <w:sz w:val="30"/>
    </w:rPr>
  </w:style>
  <w:style w:type="paragraph" w:styleId="Footer">
    <w:name w:val="footer"/>
    <w:basedOn w:val="Normal"/>
    <w:link w:val="FooterChar"/>
    <w:uiPriority w:val="99"/>
    <w:rsid w:val="0088520A"/>
    <w:pPr>
      <w:tabs>
        <w:tab w:val="center" w:pos="4320"/>
        <w:tab w:val="right" w:pos="8640"/>
      </w:tabs>
    </w:pPr>
    <w:rPr>
      <w:lang w:val="en-GB"/>
    </w:rPr>
  </w:style>
  <w:style w:type="character" w:styleId="PageNumber">
    <w:name w:val="page number"/>
    <w:basedOn w:val="DefaultParagraphFont"/>
    <w:rsid w:val="0088520A"/>
  </w:style>
  <w:style w:type="paragraph" w:customStyle="1" w:styleId="title-2">
    <w:name w:val="title-2"/>
    <w:basedOn w:val="Normal"/>
    <w:rsid w:val="0088520A"/>
    <w:pPr>
      <w:keepNext/>
      <w:spacing w:before="240" w:after="60"/>
      <w:ind w:left="720"/>
    </w:pPr>
    <w:rPr>
      <w:i/>
      <w:sz w:val="24"/>
      <w:u w:val="single"/>
    </w:rPr>
  </w:style>
  <w:style w:type="paragraph" w:customStyle="1" w:styleId="par-1">
    <w:name w:val="par-1"/>
    <w:basedOn w:val="Normal"/>
    <w:rsid w:val="0088520A"/>
    <w:pPr>
      <w:spacing w:before="240" w:after="60"/>
      <w:ind w:left="720"/>
    </w:pPr>
    <w:rPr>
      <w:sz w:val="24"/>
    </w:rPr>
  </w:style>
  <w:style w:type="paragraph" w:styleId="BodyText">
    <w:name w:val="Body Text"/>
    <w:basedOn w:val="Normal"/>
    <w:link w:val="BodyTextChar"/>
    <w:rsid w:val="0088520A"/>
    <w:rPr>
      <w:rFonts w:ascii="VNI-Times" w:hAnsi="VNI-Times"/>
    </w:rPr>
  </w:style>
  <w:style w:type="paragraph" w:styleId="BlockText">
    <w:name w:val="Block Text"/>
    <w:basedOn w:val="Normal"/>
    <w:rsid w:val="0088520A"/>
    <w:pPr>
      <w:spacing w:before="120"/>
      <w:ind w:left="720" w:right="375"/>
    </w:pPr>
    <w:rPr>
      <w:rFonts w:ascii="VNI-Times" w:hAnsi="VNI-Times"/>
      <w:sz w:val="22"/>
    </w:rPr>
  </w:style>
  <w:style w:type="paragraph" w:styleId="BodyTextIndent">
    <w:name w:val="Body Text Indent"/>
    <w:basedOn w:val="Normal"/>
    <w:link w:val="BodyTextIndentChar"/>
    <w:rsid w:val="0088520A"/>
    <w:pPr>
      <w:ind w:left="709"/>
    </w:pPr>
    <w:rPr>
      <w:rFonts w:ascii="VNI-Times" w:hAnsi="VNI-Times"/>
    </w:rPr>
  </w:style>
  <w:style w:type="paragraph" w:styleId="BodyText2">
    <w:name w:val="Body Text 2"/>
    <w:basedOn w:val="Normal"/>
    <w:rsid w:val="0088520A"/>
    <w:pPr>
      <w:jc w:val="center"/>
    </w:pPr>
    <w:rPr>
      <w:sz w:val="16"/>
    </w:rPr>
  </w:style>
  <w:style w:type="paragraph" w:customStyle="1" w:styleId="Style1">
    <w:name w:val="Style1"/>
    <w:basedOn w:val="ListBullet"/>
    <w:rsid w:val="0088520A"/>
    <w:pPr>
      <w:tabs>
        <w:tab w:val="num" w:pos="357"/>
      </w:tabs>
      <w:spacing w:after="120"/>
      <w:ind w:left="357" w:hanging="357"/>
    </w:pPr>
    <w:rPr>
      <w:b/>
      <w:i/>
    </w:rPr>
  </w:style>
  <w:style w:type="paragraph" w:styleId="ListBullet">
    <w:name w:val="List Bullet"/>
    <w:basedOn w:val="Normal"/>
    <w:autoRedefine/>
    <w:rsid w:val="00D856CE"/>
    <w:pPr>
      <w:numPr>
        <w:numId w:val="16"/>
      </w:numPr>
      <w:tabs>
        <w:tab w:val="clear" w:pos="357"/>
      </w:tabs>
      <w:spacing w:before="120"/>
      <w:ind w:left="360" w:hanging="360"/>
    </w:pPr>
  </w:style>
  <w:style w:type="paragraph" w:customStyle="1" w:styleId="Bullet">
    <w:name w:val="Bullet"/>
    <w:basedOn w:val="ListBullet2"/>
    <w:rsid w:val="0088520A"/>
    <w:pPr>
      <w:numPr>
        <w:ilvl w:val="1"/>
        <w:numId w:val="1"/>
      </w:numPr>
      <w:tabs>
        <w:tab w:val="clear" w:pos="360"/>
        <w:tab w:val="left" w:pos="284"/>
      </w:tabs>
      <w:ind w:left="993"/>
    </w:pPr>
    <w:rPr>
      <w:rFonts w:ascii="VNI-Times" w:hAnsi="VNI-Times"/>
      <w:sz w:val="22"/>
    </w:rPr>
  </w:style>
  <w:style w:type="paragraph" w:styleId="ListBullet2">
    <w:name w:val="List Bullet 2"/>
    <w:basedOn w:val="Normal"/>
    <w:autoRedefine/>
    <w:rsid w:val="0088520A"/>
    <w:pPr>
      <w:numPr>
        <w:numId w:val="5"/>
      </w:numPr>
    </w:pPr>
  </w:style>
  <w:style w:type="paragraph" w:customStyle="1" w:styleId="listbulletindent0">
    <w:name w:val="list bullet indent"/>
    <w:basedOn w:val="BodyTextIndent"/>
    <w:rsid w:val="0088520A"/>
    <w:pPr>
      <w:numPr>
        <w:numId w:val="2"/>
      </w:numPr>
      <w:tabs>
        <w:tab w:val="left" w:pos="992"/>
      </w:tabs>
    </w:pPr>
  </w:style>
  <w:style w:type="paragraph" w:styleId="BodyText3">
    <w:name w:val="Body Text 3"/>
    <w:basedOn w:val="Normal"/>
    <w:rsid w:val="0088520A"/>
    <w:pPr>
      <w:jc w:val="center"/>
    </w:pPr>
    <w:rPr>
      <w:b/>
      <w:bCs/>
      <w:position w:val="-6"/>
      <w:sz w:val="14"/>
    </w:rPr>
  </w:style>
  <w:style w:type="paragraph" w:styleId="BodyTextIndent2">
    <w:name w:val="Body Text Indent 2"/>
    <w:basedOn w:val="Normal"/>
    <w:rsid w:val="0088520A"/>
    <w:pPr>
      <w:ind w:left="720"/>
    </w:pPr>
    <w:rPr>
      <w:rFonts w:ascii="VNI-Times" w:hAnsi="VNI-Times"/>
      <w:sz w:val="22"/>
    </w:rPr>
  </w:style>
  <w:style w:type="paragraph" w:styleId="BodyTextIndent3">
    <w:name w:val="Body Text Indent 3"/>
    <w:basedOn w:val="Normal"/>
    <w:rsid w:val="0088520A"/>
    <w:pPr>
      <w:ind w:left="709"/>
    </w:pPr>
    <w:rPr>
      <w:rFonts w:ascii="VNI-Times" w:hAnsi="VNI-Times"/>
      <w:sz w:val="22"/>
    </w:rPr>
  </w:style>
  <w:style w:type="paragraph" w:customStyle="1" w:styleId="Style2">
    <w:name w:val="Style2"/>
    <w:basedOn w:val="Style1"/>
    <w:rsid w:val="0088520A"/>
    <w:rPr>
      <w:b w:val="0"/>
    </w:rPr>
  </w:style>
  <w:style w:type="paragraph" w:customStyle="1" w:styleId="Toptabletext">
    <w:name w:val="Top table text"/>
    <w:basedOn w:val="Normal"/>
    <w:rsid w:val="0088520A"/>
    <w:pPr>
      <w:jc w:val="right"/>
    </w:pPr>
    <w:rPr>
      <w:rFonts w:ascii="VNI-Times" w:hAnsi="VNI-Times"/>
      <w:i/>
    </w:rPr>
  </w:style>
  <w:style w:type="paragraph" w:customStyle="1" w:styleId="ListBullet1">
    <w:name w:val="List Bullet1"/>
    <w:basedOn w:val="Normal"/>
    <w:rsid w:val="0088520A"/>
    <w:pPr>
      <w:numPr>
        <w:numId w:val="3"/>
      </w:numPr>
      <w:tabs>
        <w:tab w:val="clear" w:pos="360"/>
      </w:tabs>
      <w:ind w:left="284" w:hanging="284"/>
    </w:pPr>
    <w:rPr>
      <w:rFonts w:ascii="VNI-Times" w:hAnsi="VNI-Times"/>
      <w:lang w:val="en-GB"/>
    </w:rPr>
  </w:style>
  <w:style w:type="paragraph" w:customStyle="1" w:styleId="Listbulletindent">
    <w:name w:val="List bullet indent"/>
    <w:basedOn w:val="ListBullet1"/>
    <w:rsid w:val="0088520A"/>
    <w:pPr>
      <w:numPr>
        <w:numId w:val="4"/>
      </w:numPr>
    </w:pPr>
  </w:style>
  <w:style w:type="paragraph" w:styleId="FootnoteText">
    <w:name w:val="footnote text"/>
    <w:basedOn w:val="Normal"/>
    <w:link w:val="FootnoteTextChar"/>
    <w:rsid w:val="0088520A"/>
    <w:rPr>
      <w:lang w:val="en-GB"/>
    </w:rPr>
  </w:style>
  <w:style w:type="table" w:styleId="TableGrid">
    <w:name w:val="Table Grid"/>
    <w:basedOn w:val="TableNormal"/>
    <w:uiPriority w:val="59"/>
    <w:rsid w:val="0088520A"/>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8520A"/>
    <w:rPr>
      <w:rFonts w:ascii="Tahoma" w:hAnsi="Tahoma" w:cs="Tahoma"/>
      <w:sz w:val="16"/>
      <w:szCs w:val="16"/>
    </w:rPr>
  </w:style>
  <w:style w:type="paragraph" w:customStyle="1" w:styleId="end">
    <w:name w:val="end"/>
    <w:basedOn w:val="Normal"/>
    <w:rsid w:val="0088520A"/>
    <w:pPr>
      <w:ind w:left="720"/>
    </w:pPr>
    <w:rPr>
      <w:lang w:val="en-GB"/>
    </w:rPr>
  </w:style>
  <w:style w:type="paragraph" w:customStyle="1" w:styleId="response">
    <w:name w:val="response"/>
    <w:basedOn w:val="Normal"/>
    <w:rsid w:val="0088520A"/>
    <w:pPr>
      <w:overflowPunct/>
      <w:autoSpaceDE/>
      <w:autoSpaceDN/>
      <w:adjustRightInd/>
      <w:spacing w:before="120" w:after="120"/>
      <w:textAlignment w:val="auto"/>
    </w:pPr>
  </w:style>
  <w:style w:type="character" w:styleId="CommentReference">
    <w:name w:val="annotation reference"/>
    <w:basedOn w:val="DefaultParagraphFont"/>
    <w:rsid w:val="0088520A"/>
    <w:rPr>
      <w:sz w:val="16"/>
      <w:szCs w:val="16"/>
    </w:rPr>
  </w:style>
  <w:style w:type="paragraph" w:styleId="CommentText">
    <w:name w:val="annotation text"/>
    <w:basedOn w:val="Normal"/>
    <w:link w:val="CommentTextChar"/>
    <w:semiHidden/>
    <w:rsid w:val="0088520A"/>
  </w:style>
  <w:style w:type="paragraph" w:styleId="CommentSubject">
    <w:name w:val="annotation subject"/>
    <w:basedOn w:val="CommentText"/>
    <w:next w:val="CommentText"/>
    <w:semiHidden/>
    <w:rsid w:val="0088520A"/>
    <w:rPr>
      <w:b/>
      <w:bCs/>
    </w:rPr>
  </w:style>
  <w:style w:type="paragraph" w:styleId="Date">
    <w:name w:val="Date"/>
    <w:basedOn w:val="Normal"/>
    <w:next w:val="Normal"/>
    <w:rsid w:val="005D2A05"/>
  </w:style>
  <w:style w:type="paragraph" w:customStyle="1" w:styleId="SingleSpacing">
    <w:name w:val="Single Spacing"/>
    <w:aliases w:val="ss,Single spacing"/>
    <w:basedOn w:val="Normal"/>
    <w:rsid w:val="00854768"/>
    <w:pPr>
      <w:spacing w:line="280" w:lineRule="atLeast"/>
    </w:pPr>
    <w:rPr>
      <w:rFonts w:ascii="Times" w:hAnsi="Times"/>
      <w:sz w:val="24"/>
    </w:rPr>
  </w:style>
  <w:style w:type="paragraph" w:customStyle="1" w:styleId="normaltext">
    <w:name w:val="normal text"/>
    <w:basedOn w:val="Normal"/>
    <w:link w:val="normaltextChar"/>
    <w:rsid w:val="00606A69"/>
    <w:rPr>
      <w:rFonts w:ascii="Times" w:hAnsi="Times"/>
      <w:color w:val="000000"/>
      <w:sz w:val="18"/>
    </w:rPr>
  </w:style>
  <w:style w:type="character" w:styleId="Strong">
    <w:name w:val="Strong"/>
    <w:basedOn w:val="DefaultParagraphFont"/>
    <w:rsid w:val="00606A69"/>
    <w:rPr>
      <w:b/>
      <w:bCs/>
    </w:rPr>
  </w:style>
  <w:style w:type="paragraph" w:styleId="Revision">
    <w:name w:val="Revision"/>
    <w:hidden/>
    <w:uiPriority w:val="99"/>
    <w:semiHidden/>
    <w:rsid w:val="009F1183"/>
  </w:style>
  <w:style w:type="character" w:customStyle="1" w:styleId="BodyTextChar">
    <w:name w:val="Body Text Char"/>
    <w:basedOn w:val="DefaultParagraphFont"/>
    <w:link w:val="BodyText"/>
    <w:rsid w:val="00FC5E9A"/>
    <w:rPr>
      <w:rFonts w:ascii="VNI-Times" w:hAnsi="VNI-Times"/>
    </w:rPr>
  </w:style>
  <w:style w:type="character" w:customStyle="1" w:styleId="FooterChar">
    <w:name w:val="Footer Char"/>
    <w:basedOn w:val="DefaultParagraphFont"/>
    <w:link w:val="Footer"/>
    <w:uiPriority w:val="99"/>
    <w:rsid w:val="00213C31"/>
    <w:rPr>
      <w:lang w:val="en-GB"/>
    </w:rPr>
  </w:style>
  <w:style w:type="character" w:customStyle="1" w:styleId="BodyTextIndentChar">
    <w:name w:val="Body Text Indent Char"/>
    <w:basedOn w:val="DefaultParagraphFont"/>
    <w:link w:val="BodyTextIndent"/>
    <w:rsid w:val="00A95ED9"/>
    <w:rPr>
      <w:rFonts w:ascii="VNI-Times" w:hAnsi="VNI-Times"/>
    </w:rPr>
  </w:style>
  <w:style w:type="paragraph" w:styleId="ListParagraph">
    <w:name w:val="List Paragraph"/>
    <w:basedOn w:val="Normal"/>
    <w:link w:val="ListParagraphChar"/>
    <w:uiPriority w:val="34"/>
    <w:rsid w:val="001D0858"/>
    <w:pPr>
      <w:ind w:left="720"/>
      <w:contextualSpacing/>
    </w:pPr>
    <w:rPr>
      <w:lang w:val="en-GB"/>
    </w:rPr>
  </w:style>
  <w:style w:type="paragraph" w:styleId="NoSpacing">
    <w:name w:val="No Spacing"/>
    <w:aliases w:val="Notes"/>
    <w:basedOn w:val="Normal"/>
    <w:next w:val="Normal"/>
    <w:uiPriority w:val="1"/>
    <w:qFormat/>
    <w:rsid w:val="009359E6"/>
    <w:pPr>
      <w:ind w:left="720"/>
    </w:pPr>
    <w:rPr>
      <w:rFonts w:eastAsia="Calibri"/>
      <w:szCs w:val="22"/>
    </w:rPr>
  </w:style>
  <w:style w:type="character" w:customStyle="1" w:styleId="Heading1Char">
    <w:name w:val="Heading 1 Char"/>
    <w:basedOn w:val="DefaultParagraphFont"/>
    <w:link w:val="Heading1"/>
    <w:rsid w:val="000109F7"/>
    <w:rPr>
      <w:rFonts w:ascii="Arial" w:hAnsi="Arial"/>
      <w:b/>
    </w:rPr>
  </w:style>
  <w:style w:type="character" w:customStyle="1" w:styleId="Heading3Char">
    <w:name w:val="Heading 3 Char"/>
    <w:basedOn w:val="DefaultParagraphFont"/>
    <w:link w:val="Heading3"/>
    <w:rsid w:val="00F81104"/>
    <w:rPr>
      <w:rFonts w:ascii="Arial" w:hAnsi="Arial"/>
      <w:i/>
    </w:rPr>
  </w:style>
  <w:style w:type="character" w:styleId="FootnoteReference">
    <w:name w:val="footnote reference"/>
    <w:basedOn w:val="DefaultParagraphFont"/>
    <w:rsid w:val="006A2B31"/>
    <w:rPr>
      <w:vertAlign w:val="superscript"/>
    </w:rPr>
  </w:style>
  <w:style w:type="character" w:customStyle="1" w:styleId="FootnoteTextChar">
    <w:name w:val="Footnote Text Char"/>
    <w:basedOn w:val="DefaultParagraphFont"/>
    <w:link w:val="FootnoteText"/>
    <w:rsid w:val="006A2B31"/>
    <w:rPr>
      <w:lang w:val="en-GB"/>
    </w:rPr>
  </w:style>
  <w:style w:type="paragraph" w:styleId="EndnoteText">
    <w:name w:val="endnote text"/>
    <w:basedOn w:val="Normal"/>
    <w:link w:val="EndnoteTextChar"/>
    <w:rsid w:val="000B1570"/>
  </w:style>
  <w:style w:type="character" w:customStyle="1" w:styleId="EndnoteTextChar">
    <w:name w:val="Endnote Text Char"/>
    <w:basedOn w:val="DefaultParagraphFont"/>
    <w:link w:val="EndnoteText"/>
    <w:rsid w:val="000B1570"/>
  </w:style>
  <w:style w:type="character" w:styleId="EndnoteReference">
    <w:name w:val="endnote reference"/>
    <w:basedOn w:val="DefaultParagraphFont"/>
    <w:rsid w:val="000B1570"/>
    <w:rPr>
      <w:vertAlign w:val="superscript"/>
    </w:rPr>
  </w:style>
  <w:style w:type="character" w:styleId="PlaceholderText">
    <w:name w:val="Placeholder Text"/>
    <w:basedOn w:val="DefaultParagraphFont"/>
    <w:uiPriority w:val="99"/>
    <w:semiHidden/>
    <w:rsid w:val="000332F6"/>
    <w:rPr>
      <w:color w:val="808080"/>
    </w:rPr>
  </w:style>
  <w:style w:type="character" w:customStyle="1" w:styleId="CommentTextChar">
    <w:name w:val="Comment Text Char"/>
    <w:basedOn w:val="DefaultParagraphFont"/>
    <w:link w:val="CommentText"/>
    <w:semiHidden/>
    <w:rsid w:val="00533BF7"/>
  </w:style>
  <w:style w:type="paragraph" w:styleId="DocumentMap">
    <w:name w:val="Document Map"/>
    <w:basedOn w:val="Normal"/>
    <w:link w:val="DocumentMapChar"/>
    <w:rsid w:val="00D00750"/>
    <w:pPr>
      <w:shd w:val="clear" w:color="auto" w:fill="000080"/>
    </w:pPr>
    <w:rPr>
      <w:rFonts w:ascii="Tahoma" w:hAnsi="Tahoma" w:cs="Tahoma"/>
    </w:rPr>
  </w:style>
  <w:style w:type="character" w:customStyle="1" w:styleId="DocumentMapChar">
    <w:name w:val="Document Map Char"/>
    <w:basedOn w:val="DefaultParagraphFont"/>
    <w:link w:val="DocumentMap"/>
    <w:rsid w:val="00D00750"/>
    <w:rPr>
      <w:rFonts w:ascii="Tahoma" w:hAnsi="Tahoma" w:cs="Tahoma"/>
      <w:shd w:val="clear" w:color="auto" w:fill="000080"/>
    </w:rPr>
  </w:style>
  <w:style w:type="paragraph" w:customStyle="1" w:styleId="xl28">
    <w:name w:val="xl28"/>
    <w:basedOn w:val="Normal"/>
    <w:rsid w:val="00D00750"/>
    <w:pPr>
      <w:pBdr>
        <w:left w:val="single" w:sz="4" w:space="0" w:color="auto"/>
        <w:bottom w:val="dashed" w:sz="4" w:space="0" w:color="auto"/>
        <w:right w:val="double" w:sz="6" w:space="0" w:color="auto"/>
      </w:pBdr>
      <w:overflowPunct/>
      <w:autoSpaceDE/>
      <w:autoSpaceDN/>
      <w:adjustRightInd/>
      <w:spacing w:before="100" w:beforeAutospacing="1" w:after="100" w:afterAutospacing="1"/>
      <w:jc w:val="center"/>
      <w:textAlignment w:val="top"/>
    </w:pPr>
    <w:rPr>
      <w:sz w:val="24"/>
      <w:szCs w:val="24"/>
    </w:rPr>
  </w:style>
  <w:style w:type="character" w:customStyle="1" w:styleId="normaltextChar">
    <w:name w:val="normal text Char"/>
    <w:basedOn w:val="DefaultParagraphFont"/>
    <w:link w:val="normaltext"/>
    <w:rsid w:val="00D00750"/>
    <w:rPr>
      <w:rFonts w:ascii="Times" w:hAnsi="Times"/>
      <w:color w:val="000000"/>
      <w:sz w:val="18"/>
    </w:rPr>
  </w:style>
  <w:style w:type="paragraph" w:customStyle="1" w:styleId="a">
    <w:name w:val="??"/>
    <w:rsid w:val="00D00750"/>
    <w:pPr>
      <w:widowControl w:val="0"/>
      <w:overflowPunct w:val="0"/>
      <w:autoSpaceDE w:val="0"/>
      <w:autoSpaceDN w:val="0"/>
      <w:adjustRightInd w:val="0"/>
      <w:textAlignment w:val="baseline"/>
    </w:pPr>
  </w:style>
  <w:style w:type="character" w:customStyle="1" w:styleId="Heading2Char">
    <w:name w:val="Heading 2 Char"/>
    <w:basedOn w:val="DefaultParagraphFont"/>
    <w:link w:val="Heading2"/>
    <w:rsid w:val="00665076"/>
    <w:rPr>
      <w:rFonts w:ascii="Arial" w:hAnsi="Arial"/>
      <w:b/>
      <w:i/>
      <w:lang w:val="de-DE"/>
    </w:rPr>
  </w:style>
  <w:style w:type="character" w:customStyle="1" w:styleId="ListParagraphChar">
    <w:name w:val="List Paragraph Char"/>
    <w:basedOn w:val="DefaultParagraphFont"/>
    <w:link w:val="ListParagraph"/>
    <w:uiPriority w:val="34"/>
    <w:locked/>
    <w:rsid w:val="00D00750"/>
    <w:rPr>
      <w:lang w:val="en-GB"/>
    </w:rPr>
  </w:style>
  <w:style w:type="paragraph" w:customStyle="1" w:styleId="4tenchuongCharChar">
    <w:name w:val="4 ten chuong Char Char"/>
    <w:basedOn w:val="Normal"/>
    <w:link w:val="4tenchuongCharCharChar"/>
    <w:rsid w:val="00D00750"/>
    <w:pPr>
      <w:widowControl w:val="0"/>
      <w:overflowPunct/>
      <w:autoSpaceDE/>
      <w:autoSpaceDN/>
      <w:adjustRightInd/>
      <w:jc w:val="center"/>
      <w:textAlignment w:val="auto"/>
    </w:pPr>
    <w:rPr>
      <w:rFonts w:ascii=".VnAvantH" w:eastAsia="Calibri" w:hAnsi=".VnAvantH"/>
      <w:b/>
      <w:color w:val="000000"/>
      <w:sz w:val="22"/>
      <w:szCs w:val="22"/>
    </w:rPr>
  </w:style>
  <w:style w:type="character" w:customStyle="1" w:styleId="4tenchuongCharCharChar">
    <w:name w:val="4 ten chuong Char Char Char"/>
    <w:basedOn w:val="DefaultParagraphFont"/>
    <w:link w:val="4tenchuongCharChar"/>
    <w:locked/>
    <w:rsid w:val="00D00750"/>
    <w:rPr>
      <w:rFonts w:ascii=".VnAvantH" w:eastAsia="Calibri" w:hAnsi=".VnAvantH"/>
      <w:b/>
      <w:color w:val="000000"/>
      <w:sz w:val="22"/>
      <w:szCs w:val="22"/>
    </w:rPr>
  </w:style>
  <w:style w:type="character" w:customStyle="1" w:styleId="hps">
    <w:name w:val="hps"/>
    <w:basedOn w:val="DefaultParagraphFont"/>
    <w:rsid w:val="004C288A"/>
  </w:style>
  <w:style w:type="character" w:customStyle="1" w:styleId="apple-converted-space">
    <w:name w:val="apple-converted-space"/>
    <w:basedOn w:val="DefaultParagraphFont"/>
    <w:rsid w:val="00457B17"/>
  </w:style>
  <w:style w:type="paragraph" w:styleId="Caption">
    <w:name w:val="caption"/>
    <w:basedOn w:val="Normal"/>
    <w:next w:val="Normal"/>
    <w:unhideWhenUsed/>
    <w:rsid w:val="00DF6A70"/>
    <w:pPr>
      <w:spacing w:after="200"/>
    </w:pPr>
    <w:rPr>
      <w:i/>
      <w:iCs/>
      <w:color w:val="1F497D" w:themeColor="text2"/>
      <w:sz w:val="18"/>
      <w:szCs w:val="18"/>
    </w:rPr>
  </w:style>
  <w:style w:type="character" w:customStyle="1" w:styleId="HeaderChar">
    <w:name w:val="Header Char"/>
    <w:basedOn w:val="DefaultParagraphFont"/>
    <w:link w:val="Header"/>
    <w:uiPriority w:val="99"/>
    <w:rsid w:val="00047FE5"/>
    <w:rPr>
      <w:rFonts w:ascii="VNI-Times" w:hAnsi="VNI-Times"/>
      <w:sz w:val="30"/>
    </w:rPr>
  </w:style>
  <w:style w:type="paragraph" w:customStyle="1" w:styleId="FSaccountcaption1">
    <w:name w:val="FS account caption 1"/>
    <w:basedOn w:val="Normal"/>
    <w:rsid w:val="00E74736"/>
    <w:pPr>
      <w:keepNext/>
      <w:keepLines/>
      <w:ind w:left="284"/>
    </w:pPr>
    <w:rPr>
      <w:sz w:val="22"/>
      <w:lang w:val="en-GB"/>
    </w:rPr>
  </w:style>
  <w:style w:type="table" w:customStyle="1" w:styleId="TableGrid1">
    <w:name w:val="Table Grid1"/>
    <w:basedOn w:val="TableNormal"/>
    <w:next w:val="TableGrid"/>
    <w:rsid w:val="00A11E1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odyTextIndentArialItalicLeft0Hanging05">
    <w:name w:val="Style Body Text Indent + Arial Italic Left:  0&quot; Hanging:  0.5&quot;"/>
    <w:basedOn w:val="BodyTextIndent"/>
    <w:rsid w:val="0010457F"/>
    <w:pPr>
      <w:ind w:left="720" w:hanging="720"/>
    </w:pPr>
    <w:rPr>
      <w:rFonts w:ascii="Arial" w:hAnsi="Arial"/>
      <w:iCs/>
    </w:rPr>
  </w:style>
  <w:style w:type="paragraph" w:styleId="NormalWeb">
    <w:name w:val="Normal (Web)"/>
    <w:basedOn w:val="Normal"/>
    <w:uiPriority w:val="99"/>
    <w:semiHidden/>
    <w:unhideWhenUsed/>
    <w:rsid w:val="005B0F24"/>
    <w:pPr>
      <w:overflowPunct/>
      <w:autoSpaceDE/>
      <w:autoSpaceDN/>
      <w:adjustRightInd/>
      <w:spacing w:before="100" w:beforeAutospacing="1" w:after="100" w:afterAutospacing="1"/>
      <w:textAlignment w:val="auto"/>
    </w:pPr>
    <w:rPr>
      <w:sz w:val="24"/>
      <w:szCs w:val="24"/>
    </w:rPr>
  </w:style>
  <w:style w:type="table" w:customStyle="1" w:styleId="CVtable1">
    <w:name w:val="CV table1"/>
    <w:basedOn w:val="TableNormal"/>
    <w:next w:val="TableGrid"/>
    <w:rsid w:val="006C73A7"/>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h2BSubBoldBoldItalicLeft0Hanging">
    <w:name w:val="Style Heading 2h2B Sub/Bold + Bold Italic Left:  0&quot; Hanging:  ..."/>
    <w:basedOn w:val="Heading2"/>
    <w:rsid w:val="00463707"/>
    <w:rPr>
      <w:bCs/>
      <w:iCs/>
    </w:rPr>
  </w:style>
  <w:style w:type="paragraph" w:customStyle="1" w:styleId="StyleBodyTextIndentArial">
    <w:name w:val="Style Body Text Indent + Arial"/>
    <w:basedOn w:val="BodyTextIndent"/>
    <w:rsid w:val="0046301C"/>
    <w:pPr>
      <w:ind w:left="72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18">
      <w:bodyDiv w:val="1"/>
      <w:marLeft w:val="0"/>
      <w:marRight w:val="0"/>
      <w:marTop w:val="0"/>
      <w:marBottom w:val="0"/>
      <w:divBdr>
        <w:top w:val="none" w:sz="0" w:space="0" w:color="auto"/>
        <w:left w:val="none" w:sz="0" w:space="0" w:color="auto"/>
        <w:bottom w:val="none" w:sz="0" w:space="0" w:color="auto"/>
        <w:right w:val="none" w:sz="0" w:space="0" w:color="auto"/>
      </w:divBdr>
    </w:div>
    <w:div w:id="9451918">
      <w:bodyDiv w:val="1"/>
      <w:marLeft w:val="0"/>
      <w:marRight w:val="0"/>
      <w:marTop w:val="0"/>
      <w:marBottom w:val="0"/>
      <w:divBdr>
        <w:top w:val="none" w:sz="0" w:space="0" w:color="auto"/>
        <w:left w:val="none" w:sz="0" w:space="0" w:color="auto"/>
        <w:bottom w:val="none" w:sz="0" w:space="0" w:color="auto"/>
        <w:right w:val="none" w:sz="0" w:space="0" w:color="auto"/>
      </w:divBdr>
    </w:div>
    <w:div w:id="19746106">
      <w:bodyDiv w:val="1"/>
      <w:marLeft w:val="0"/>
      <w:marRight w:val="0"/>
      <w:marTop w:val="0"/>
      <w:marBottom w:val="0"/>
      <w:divBdr>
        <w:top w:val="none" w:sz="0" w:space="0" w:color="auto"/>
        <w:left w:val="none" w:sz="0" w:space="0" w:color="auto"/>
        <w:bottom w:val="none" w:sz="0" w:space="0" w:color="auto"/>
        <w:right w:val="none" w:sz="0" w:space="0" w:color="auto"/>
      </w:divBdr>
    </w:div>
    <w:div w:id="23596622">
      <w:bodyDiv w:val="1"/>
      <w:marLeft w:val="0"/>
      <w:marRight w:val="0"/>
      <w:marTop w:val="0"/>
      <w:marBottom w:val="0"/>
      <w:divBdr>
        <w:top w:val="none" w:sz="0" w:space="0" w:color="auto"/>
        <w:left w:val="none" w:sz="0" w:space="0" w:color="auto"/>
        <w:bottom w:val="none" w:sz="0" w:space="0" w:color="auto"/>
        <w:right w:val="none" w:sz="0" w:space="0" w:color="auto"/>
      </w:divBdr>
    </w:div>
    <w:div w:id="24451935">
      <w:bodyDiv w:val="1"/>
      <w:marLeft w:val="0"/>
      <w:marRight w:val="0"/>
      <w:marTop w:val="0"/>
      <w:marBottom w:val="0"/>
      <w:divBdr>
        <w:top w:val="none" w:sz="0" w:space="0" w:color="auto"/>
        <w:left w:val="none" w:sz="0" w:space="0" w:color="auto"/>
        <w:bottom w:val="none" w:sz="0" w:space="0" w:color="auto"/>
        <w:right w:val="none" w:sz="0" w:space="0" w:color="auto"/>
      </w:divBdr>
    </w:div>
    <w:div w:id="25108839">
      <w:bodyDiv w:val="1"/>
      <w:marLeft w:val="0"/>
      <w:marRight w:val="0"/>
      <w:marTop w:val="0"/>
      <w:marBottom w:val="0"/>
      <w:divBdr>
        <w:top w:val="none" w:sz="0" w:space="0" w:color="auto"/>
        <w:left w:val="none" w:sz="0" w:space="0" w:color="auto"/>
        <w:bottom w:val="none" w:sz="0" w:space="0" w:color="auto"/>
        <w:right w:val="none" w:sz="0" w:space="0" w:color="auto"/>
      </w:divBdr>
    </w:div>
    <w:div w:id="27294380">
      <w:bodyDiv w:val="1"/>
      <w:marLeft w:val="0"/>
      <w:marRight w:val="0"/>
      <w:marTop w:val="0"/>
      <w:marBottom w:val="0"/>
      <w:divBdr>
        <w:top w:val="none" w:sz="0" w:space="0" w:color="auto"/>
        <w:left w:val="none" w:sz="0" w:space="0" w:color="auto"/>
        <w:bottom w:val="none" w:sz="0" w:space="0" w:color="auto"/>
        <w:right w:val="none" w:sz="0" w:space="0" w:color="auto"/>
      </w:divBdr>
    </w:div>
    <w:div w:id="30616314">
      <w:bodyDiv w:val="1"/>
      <w:marLeft w:val="0"/>
      <w:marRight w:val="0"/>
      <w:marTop w:val="0"/>
      <w:marBottom w:val="0"/>
      <w:divBdr>
        <w:top w:val="none" w:sz="0" w:space="0" w:color="auto"/>
        <w:left w:val="none" w:sz="0" w:space="0" w:color="auto"/>
        <w:bottom w:val="none" w:sz="0" w:space="0" w:color="auto"/>
        <w:right w:val="none" w:sz="0" w:space="0" w:color="auto"/>
      </w:divBdr>
    </w:div>
    <w:div w:id="36899275">
      <w:bodyDiv w:val="1"/>
      <w:marLeft w:val="0"/>
      <w:marRight w:val="0"/>
      <w:marTop w:val="0"/>
      <w:marBottom w:val="0"/>
      <w:divBdr>
        <w:top w:val="none" w:sz="0" w:space="0" w:color="auto"/>
        <w:left w:val="none" w:sz="0" w:space="0" w:color="auto"/>
        <w:bottom w:val="none" w:sz="0" w:space="0" w:color="auto"/>
        <w:right w:val="none" w:sz="0" w:space="0" w:color="auto"/>
      </w:divBdr>
    </w:div>
    <w:div w:id="36977829">
      <w:bodyDiv w:val="1"/>
      <w:marLeft w:val="0"/>
      <w:marRight w:val="0"/>
      <w:marTop w:val="0"/>
      <w:marBottom w:val="0"/>
      <w:divBdr>
        <w:top w:val="none" w:sz="0" w:space="0" w:color="auto"/>
        <w:left w:val="none" w:sz="0" w:space="0" w:color="auto"/>
        <w:bottom w:val="none" w:sz="0" w:space="0" w:color="auto"/>
        <w:right w:val="none" w:sz="0" w:space="0" w:color="auto"/>
      </w:divBdr>
    </w:div>
    <w:div w:id="37778224">
      <w:bodyDiv w:val="1"/>
      <w:marLeft w:val="0"/>
      <w:marRight w:val="0"/>
      <w:marTop w:val="0"/>
      <w:marBottom w:val="0"/>
      <w:divBdr>
        <w:top w:val="none" w:sz="0" w:space="0" w:color="auto"/>
        <w:left w:val="none" w:sz="0" w:space="0" w:color="auto"/>
        <w:bottom w:val="none" w:sz="0" w:space="0" w:color="auto"/>
        <w:right w:val="none" w:sz="0" w:space="0" w:color="auto"/>
      </w:divBdr>
    </w:div>
    <w:div w:id="38632252">
      <w:bodyDiv w:val="1"/>
      <w:marLeft w:val="0"/>
      <w:marRight w:val="0"/>
      <w:marTop w:val="0"/>
      <w:marBottom w:val="0"/>
      <w:divBdr>
        <w:top w:val="none" w:sz="0" w:space="0" w:color="auto"/>
        <w:left w:val="none" w:sz="0" w:space="0" w:color="auto"/>
        <w:bottom w:val="none" w:sz="0" w:space="0" w:color="auto"/>
        <w:right w:val="none" w:sz="0" w:space="0" w:color="auto"/>
      </w:divBdr>
    </w:div>
    <w:div w:id="38676690">
      <w:bodyDiv w:val="1"/>
      <w:marLeft w:val="0"/>
      <w:marRight w:val="0"/>
      <w:marTop w:val="0"/>
      <w:marBottom w:val="0"/>
      <w:divBdr>
        <w:top w:val="none" w:sz="0" w:space="0" w:color="auto"/>
        <w:left w:val="none" w:sz="0" w:space="0" w:color="auto"/>
        <w:bottom w:val="none" w:sz="0" w:space="0" w:color="auto"/>
        <w:right w:val="none" w:sz="0" w:space="0" w:color="auto"/>
      </w:divBdr>
    </w:div>
    <w:div w:id="47609337">
      <w:bodyDiv w:val="1"/>
      <w:marLeft w:val="0"/>
      <w:marRight w:val="0"/>
      <w:marTop w:val="0"/>
      <w:marBottom w:val="0"/>
      <w:divBdr>
        <w:top w:val="none" w:sz="0" w:space="0" w:color="auto"/>
        <w:left w:val="none" w:sz="0" w:space="0" w:color="auto"/>
        <w:bottom w:val="none" w:sz="0" w:space="0" w:color="auto"/>
        <w:right w:val="none" w:sz="0" w:space="0" w:color="auto"/>
      </w:divBdr>
    </w:div>
    <w:div w:id="51006159">
      <w:bodyDiv w:val="1"/>
      <w:marLeft w:val="0"/>
      <w:marRight w:val="0"/>
      <w:marTop w:val="0"/>
      <w:marBottom w:val="0"/>
      <w:divBdr>
        <w:top w:val="none" w:sz="0" w:space="0" w:color="auto"/>
        <w:left w:val="none" w:sz="0" w:space="0" w:color="auto"/>
        <w:bottom w:val="none" w:sz="0" w:space="0" w:color="auto"/>
        <w:right w:val="none" w:sz="0" w:space="0" w:color="auto"/>
      </w:divBdr>
    </w:div>
    <w:div w:id="56321833">
      <w:bodyDiv w:val="1"/>
      <w:marLeft w:val="0"/>
      <w:marRight w:val="0"/>
      <w:marTop w:val="0"/>
      <w:marBottom w:val="0"/>
      <w:divBdr>
        <w:top w:val="none" w:sz="0" w:space="0" w:color="auto"/>
        <w:left w:val="none" w:sz="0" w:space="0" w:color="auto"/>
        <w:bottom w:val="none" w:sz="0" w:space="0" w:color="auto"/>
        <w:right w:val="none" w:sz="0" w:space="0" w:color="auto"/>
      </w:divBdr>
    </w:div>
    <w:div w:id="56779511">
      <w:bodyDiv w:val="1"/>
      <w:marLeft w:val="0"/>
      <w:marRight w:val="0"/>
      <w:marTop w:val="0"/>
      <w:marBottom w:val="0"/>
      <w:divBdr>
        <w:top w:val="none" w:sz="0" w:space="0" w:color="auto"/>
        <w:left w:val="none" w:sz="0" w:space="0" w:color="auto"/>
        <w:bottom w:val="none" w:sz="0" w:space="0" w:color="auto"/>
        <w:right w:val="none" w:sz="0" w:space="0" w:color="auto"/>
      </w:divBdr>
    </w:div>
    <w:div w:id="67198025">
      <w:bodyDiv w:val="1"/>
      <w:marLeft w:val="0"/>
      <w:marRight w:val="0"/>
      <w:marTop w:val="0"/>
      <w:marBottom w:val="0"/>
      <w:divBdr>
        <w:top w:val="none" w:sz="0" w:space="0" w:color="auto"/>
        <w:left w:val="none" w:sz="0" w:space="0" w:color="auto"/>
        <w:bottom w:val="none" w:sz="0" w:space="0" w:color="auto"/>
        <w:right w:val="none" w:sz="0" w:space="0" w:color="auto"/>
      </w:divBdr>
    </w:div>
    <w:div w:id="67386724">
      <w:bodyDiv w:val="1"/>
      <w:marLeft w:val="0"/>
      <w:marRight w:val="0"/>
      <w:marTop w:val="0"/>
      <w:marBottom w:val="0"/>
      <w:divBdr>
        <w:top w:val="none" w:sz="0" w:space="0" w:color="auto"/>
        <w:left w:val="none" w:sz="0" w:space="0" w:color="auto"/>
        <w:bottom w:val="none" w:sz="0" w:space="0" w:color="auto"/>
        <w:right w:val="none" w:sz="0" w:space="0" w:color="auto"/>
      </w:divBdr>
    </w:div>
    <w:div w:id="67657182">
      <w:bodyDiv w:val="1"/>
      <w:marLeft w:val="0"/>
      <w:marRight w:val="0"/>
      <w:marTop w:val="0"/>
      <w:marBottom w:val="0"/>
      <w:divBdr>
        <w:top w:val="none" w:sz="0" w:space="0" w:color="auto"/>
        <w:left w:val="none" w:sz="0" w:space="0" w:color="auto"/>
        <w:bottom w:val="none" w:sz="0" w:space="0" w:color="auto"/>
        <w:right w:val="none" w:sz="0" w:space="0" w:color="auto"/>
      </w:divBdr>
    </w:div>
    <w:div w:id="81340989">
      <w:bodyDiv w:val="1"/>
      <w:marLeft w:val="0"/>
      <w:marRight w:val="0"/>
      <w:marTop w:val="0"/>
      <w:marBottom w:val="0"/>
      <w:divBdr>
        <w:top w:val="none" w:sz="0" w:space="0" w:color="auto"/>
        <w:left w:val="none" w:sz="0" w:space="0" w:color="auto"/>
        <w:bottom w:val="none" w:sz="0" w:space="0" w:color="auto"/>
        <w:right w:val="none" w:sz="0" w:space="0" w:color="auto"/>
      </w:divBdr>
    </w:div>
    <w:div w:id="94719488">
      <w:bodyDiv w:val="1"/>
      <w:marLeft w:val="0"/>
      <w:marRight w:val="0"/>
      <w:marTop w:val="0"/>
      <w:marBottom w:val="0"/>
      <w:divBdr>
        <w:top w:val="none" w:sz="0" w:space="0" w:color="auto"/>
        <w:left w:val="none" w:sz="0" w:space="0" w:color="auto"/>
        <w:bottom w:val="none" w:sz="0" w:space="0" w:color="auto"/>
        <w:right w:val="none" w:sz="0" w:space="0" w:color="auto"/>
      </w:divBdr>
    </w:div>
    <w:div w:id="95515730">
      <w:bodyDiv w:val="1"/>
      <w:marLeft w:val="0"/>
      <w:marRight w:val="0"/>
      <w:marTop w:val="0"/>
      <w:marBottom w:val="0"/>
      <w:divBdr>
        <w:top w:val="none" w:sz="0" w:space="0" w:color="auto"/>
        <w:left w:val="none" w:sz="0" w:space="0" w:color="auto"/>
        <w:bottom w:val="none" w:sz="0" w:space="0" w:color="auto"/>
        <w:right w:val="none" w:sz="0" w:space="0" w:color="auto"/>
      </w:divBdr>
    </w:div>
    <w:div w:id="99028667">
      <w:bodyDiv w:val="1"/>
      <w:marLeft w:val="0"/>
      <w:marRight w:val="0"/>
      <w:marTop w:val="0"/>
      <w:marBottom w:val="0"/>
      <w:divBdr>
        <w:top w:val="none" w:sz="0" w:space="0" w:color="auto"/>
        <w:left w:val="none" w:sz="0" w:space="0" w:color="auto"/>
        <w:bottom w:val="none" w:sz="0" w:space="0" w:color="auto"/>
        <w:right w:val="none" w:sz="0" w:space="0" w:color="auto"/>
      </w:divBdr>
    </w:div>
    <w:div w:id="99422874">
      <w:bodyDiv w:val="1"/>
      <w:marLeft w:val="0"/>
      <w:marRight w:val="0"/>
      <w:marTop w:val="0"/>
      <w:marBottom w:val="0"/>
      <w:divBdr>
        <w:top w:val="none" w:sz="0" w:space="0" w:color="auto"/>
        <w:left w:val="none" w:sz="0" w:space="0" w:color="auto"/>
        <w:bottom w:val="none" w:sz="0" w:space="0" w:color="auto"/>
        <w:right w:val="none" w:sz="0" w:space="0" w:color="auto"/>
      </w:divBdr>
    </w:div>
    <w:div w:id="100954863">
      <w:bodyDiv w:val="1"/>
      <w:marLeft w:val="0"/>
      <w:marRight w:val="0"/>
      <w:marTop w:val="0"/>
      <w:marBottom w:val="0"/>
      <w:divBdr>
        <w:top w:val="none" w:sz="0" w:space="0" w:color="auto"/>
        <w:left w:val="none" w:sz="0" w:space="0" w:color="auto"/>
        <w:bottom w:val="none" w:sz="0" w:space="0" w:color="auto"/>
        <w:right w:val="none" w:sz="0" w:space="0" w:color="auto"/>
      </w:divBdr>
    </w:div>
    <w:div w:id="102967695">
      <w:bodyDiv w:val="1"/>
      <w:marLeft w:val="0"/>
      <w:marRight w:val="0"/>
      <w:marTop w:val="0"/>
      <w:marBottom w:val="0"/>
      <w:divBdr>
        <w:top w:val="none" w:sz="0" w:space="0" w:color="auto"/>
        <w:left w:val="none" w:sz="0" w:space="0" w:color="auto"/>
        <w:bottom w:val="none" w:sz="0" w:space="0" w:color="auto"/>
        <w:right w:val="none" w:sz="0" w:space="0" w:color="auto"/>
      </w:divBdr>
    </w:div>
    <w:div w:id="110559807">
      <w:bodyDiv w:val="1"/>
      <w:marLeft w:val="0"/>
      <w:marRight w:val="0"/>
      <w:marTop w:val="0"/>
      <w:marBottom w:val="0"/>
      <w:divBdr>
        <w:top w:val="none" w:sz="0" w:space="0" w:color="auto"/>
        <w:left w:val="none" w:sz="0" w:space="0" w:color="auto"/>
        <w:bottom w:val="none" w:sz="0" w:space="0" w:color="auto"/>
        <w:right w:val="none" w:sz="0" w:space="0" w:color="auto"/>
      </w:divBdr>
    </w:div>
    <w:div w:id="111830587">
      <w:bodyDiv w:val="1"/>
      <w:marLeft w:val="0"/>
      <w:marRight w:val="0"/>
      <w:marTop w:val="0"/>
      <w:marBottom w:val="0"/>
      <w:divBdr>
        <w:top w:val="none" w:sz="0" w:space="0" w:color="auto"/>
        <w:left w:val="none" w:sz="0" w:space="0" w:color="auto"/>
        <w:bottom w:val="none" w:sz="0" w:space="0" w:color="auto"/>
        <w:right w:val="none" w:sz="0" w:space="0" w:color="auto"/>
      </w:divBdr>
    </w:div>
    <w:div w:id="115028805">
      <w:bodyDiv w:val="1"/>
      <w:marLeft w:val="0"/>
      <w:marRight w:val="0"/>
      <w:marTop w:val="0"/>
      <w:marBottom w:val="0"/>
      <w:divBdr>
        <w:top w:val="none" w:sz="0" w:space="0" w:color="auto"/>
        <w:left w:val="none" w:sz="0" w:space="0" w:color="auto"/>
        <w:bottom w:val="none" w:sz="0" w:space="0" w:color="auto"/>
        <w:right w:val="none" w:sz="0" w:space="0" w:color="auto"/>
      </w:divBdr>
    </w:div>
    <w:div w:id="116414676">
      <w:bodyDiv w:val="1"/>
      <w:marLeft w:val="0"/>
      <w:marRight w:val="0"/>
      <w:marTop w:val="0"/>
      <w:marBottom w:val="0"/>
      <w:divBdr>
        <w:top w:val="none" w:sz="0" w:space="0" w:color="auto"/>
        <w:left w:val="none" w:sz="0" w:space="0" w:color="auto"/>
        <w:bottom w:val="none" w:sz="0" w:space="0" w:color="auto"/>
        <w:right w:val="none" w:sz="0" w:space="0" w:color="auto"/>
      </w:divBdr>
    </w:div>
    <w:div w:id="124469588">
      <w:bodyDiv w:val="1"/>
      <w:marLeft w:val="0"/>
      <w:marRight w:val="0"/>
      <w:marTop w:val="0"/>
      <w:marBottom w:val="0"/>
      <w:divBdr>
        <w:top w:val="none" w:sz="0" w:space="0" w:color="auto"/>
        <w:left w:val="none" w:sz="0" w:space="0" w:color="auto"/>
        <w:bottom w:val="none" w:sz="0" w:space="0" w:color="auto"/>
        <w:right w:val="none" w:sz="0" w:space="0" w:color="auto"/>
      </w:divBdr>
    </w:div>
    <w:div w:id="129369926">
      <w:bodyDiv w:val="1"/>
      <w:marLeft w:val="0"/>
      <w:marRight w:val="0"/>
      <w:marTop w:val="0"/>
      <w:marBottom w:val="0"/>
      <w:divBdr>
        <w:top w:val="none" w:sz="0" w:space="0" w:color="auto"/>
        <w:left w:val="none" w:sz="0" w:space="0" w:color="auto"/>
        <w:bottom w:val="none" w:sz="0" w:space="0" w:color="auto"/>
        <w:right w:val="none" w:sz="0" w:space="0" w:color="auto"/>
      </w:divBdr>
    </w:div>
    <w:div w:id="136916054">
      <w:bodyDiv w:val="1"/>
      <w:marLeft w:val="0"/>
      <w:marRight w:val="0"/>
      <w:marTop w:val="0"/>
      <w:marBottom w:val="0"/>
      <w:divBdr>
        <w:top w:val="none" w:sz="0" w:space="0" w:color="auto"/>
        <w:left w:val="none" w:sz="0" w:space="0" w:color="auto"/>
        <w:bottom w:val="none" w:sz="0" w:space="0" w:color="auto"/>
        <w:right w:val="none" w:sz="0" w:space="0" w:color="auto"/>
      </w:divBdr>
    </w:div>
    <w:div w:id="137234824">
      <w:bodyDiv w:val="1"/>
      <w:marLeft w:val="0"/>
      <w:marRight w:val="0"/>
      <w:marTop w:val="0"/>
      <w:marBottom w:val="0"/>
      <w:divBdr>
        <w:top w:val="none" w:sz="0" w:space="0" w:color="auto"/>
        <w:left w:val="none" w:sz="0" w:space="0" w:color="auto"/>
        <w:bottom w:val="none" w:sz="0" w:space="0" w:color="auto"/>
        <w:right w:val="none" w:sz="0" w:space="0" w:color="auto"/>
      </w:divBdr>
    </w:div>
    <w:div w:id="140848757">
      <w:bodyDiv w:val="1"/>
      <w:marLeft w:val="0"/>
      <w:marRight w:val="0"/>
      <w:marTop w:val="0"/>
      <w:marBottom w:val="0"/>
      <w:divBdr>
        <w:top w:val="none" w:sz="0" w:space="0" w:color="auto"/>
        <w:left w:val="none" w:sz="0" w:space="0" w:color="auto"/>
        <w:bottom w:val="none" w:sz="0" w:space="0" w:color="auto"/>
        <w:right w:val="none" w:sz="0" w:space="0" w:color="auto"/>
      </w:divBdr>
    </w:div>
    <w:div w:id="144784701">
      <w:bodyDiv w:val="1"/>
      <w:marLeft w:val="0"/>
      <w:marRight w:val="0"/>
      <w:marTop w:val="0"/>
      <w:marBottom w:val="0"/>
      <w:divBdr>
        <w:top w:val="none" w:sz="0" w:space="0" w:color="auto"/>
        <w:left w:val="none" w:sz="0" w:space="0" w:color="auto"/>
        <w:bottom w:val="none" w:sz="0" w:space="0" w:color="auto"/>
        <w:right w:val="none" w:sz="0" w:space="0" w:color="auto"/>
      </w:divBdr>
    </w:div>
    <w:div w:id="148257636">
      <w:bodyDiv w:val="1"/>
      <w:marLeft w:val="0"/>
      <w:marRight w:val="0"/>
      <w:marTop w:val="0"/>
      <w:marBottom w:val="0"/>
      <w:divBdr>
        <w:top w:val="none" w:sz="0" w:space="0" w:color="auto"/>
        <w:left w:val="none" w:sz="0" w:space="0" w:color="auto"/>
        <w:bottom w:val="none" w:sz="0" w:space="0" w:color="auto"/>
        <w:right w:val="none" w:sz="0" w:space="0" w:color="auto"/>
      </w:divBdr>
    </w:div>
    <w:div w:id="148638974">
      <w:bodyDiv w:val="1"/>
      <w:marLeft w:val="0"/>
      <w:marRight w:val="0"/>
      <w:marTop w:val="0"/>
      <w:marBottom w:val="0"/>
      <w:divBdr>
        <w:top w:val="none" w:sz="0" w:space="0" w:color="auto"/>
        <w:left w:val="none" w:sz="0" w:space="0" w:color="auto"/>
        <w:bottom w:val="none" w:sz="0" w:space="0" w:color="auto"/>
        <w:right w:val="none" w:sz="0" w:space="0" w:color="auto"/>
      </w:divBdr>
    </w:div>
    <w:div w:id="148909190">
      <w:bodyDiv w:val="1"/>
      <w:marLeft w:val="0"/>
      <w:marRight w:val="0"/>
      <w:marTop w:val="0"/>
      <w:marBottom w:val="0"/>
      <w:divBdr>
        <w:top w:val="none" w:sz="0" w:space="0" w:color="auto"/>
        <w:left w:val="none" w:sz="0" w:space="0" w:color="auto"/>
        <w:bottom w:val="none" w:sz="0" w:space="0" w:color="auto"/>
        <w:right w:val="none" w:sz="0" w:space="0" w:color="auto"/>
      </w:divBdr>
    </w:div>
    <w:div w:id="157426883">
      <w:bodyDiv w:val="1"/>
      <w:marLeft w:val="0"/>
      <w:marRight w:val="0"/>
      <w:marTop w:val="0"/>
      <w:marBottom w:val="0"/>
      <w:divBdr>
        <w:top w:val="none" w:sz="0" w:space="0" w:color="auto"/>
        <w:left w:val="none" w:sz="0" w:space="0" w:color="auto"/>
        <w:bottom w:val="none" w:sz="0" w:space="0" w:color="auto"/>
        <w:right w:val="none" w:sz="0" w:space="0" w:color="auto"/>
      </w:divBdr>
    </w:div>
    <w:div w:id="159275974">
      <w:bodyDiv w:val="1"/>
      <w:marLeft w:val="0"/>
      <w:marRight w:val="0"/>
      <w:marTop w:val="0"/>
      <w:marBottom w:val="0"/>
      <w:divBdr>
        <w:top w:val="none" w:sz="0" w:space="0" w:color="auto"/>
        <w:left w:val="none" w:sz="0" w:space="0" w:color="auto"/>
        <w:bottom w:val="none" w:sz="0" w:space="0" w:color="auto"/>
        <w:right w:val="none" w:sz="0" w:space="0" w:color="auto"/>
      </w:divBdr>
    </w:div>
    <w:div w:id="162595130">
      <w:bodyDiv w:val="1"/>
      <w:marLeft w:val="0"/>
      <w:marRight w:val="0"/>
      <w:marTop w:val="0"/>
      <w:marBottom w:val="0"/>
      <w:divBdr>
        <w:top w:val="none" w:sz="0" w:space="0" w:color="auto"/>
        <w:left w:val="none" w:sz="0" w:space="0" w:color="auto"/>
        <w:bottom w:val="none" w:sz="0" w:space="0" w:color="auto"/>
        <w:right w:val="none" w:sz="0" w:space="0" w:color="auto"/>
      </w:divBdr>
    </w:div>
    <w:div w:id="164708362">
      <w:bodyDiv w:val="1"/>
      <w:marLeft w:val="0"/>
      <w:marRight w:val="0"/>
      <w:marTop w:val="0"/>
      <w:marBottom w:val="0"/>
      <w:divBdr>
        <w:top w:val="none" w:sz="0" w:space="0" w:color="auto"/>
        <w:left w:val="none" w:sz="0" w:space="0" w:color="auto"/>
        <w:bottom w:val="none" w:sz="0" w:space="0" w:color="auto"/>
        <w:right w:val="none" w:sz="0" w:space="0" w:color="auto"/>
      </w:divBdr>
    </w:div>
    <w:div w:id="164976000">
      <w:bodyDiv w:val="1"/>
      <w:marLeft w:val="0"/>
      <w:marRight w:val="0"/>
      <w:marTop w:val="0"/>
      <w:marBottom w:val="0"/>
      <w:divBdr>
        <w:top w:val="none" w:sz="0" w:space="0" w:color="auto"/>
        <w:left w:val="none" w:sz="0" w:space="0" w:color="auto"/>
        <w:bottom w:val="none" w:sz="0" w:space="0" w:color="auto"/>
        <w:right w:val="none" w:sz="0" w:space="0" w:color="auto"/>
      </w:divBdr>
    </w:div>
    <w:div w:id="166408019">
      <w:bodyDiv w:val="1"/>
      <w:marLeft w:val="0"/>
      <w:marRight w:val="0"/>
      <w:marTop w:val="0"/>
      <w:marBottom w:val="0"/>
      <w:divBdr>
        <w:top w:val="none" w:sz="0" w:space="0" w:color="auto"/>
        <w:left w:val="none" w:sz="0" w:space="0" w:color="auto"/>
        <w:bottom w:val="none" w:sz="0" w:space="0" w:color="auto"/>
        <w:right w:val="none" w:sz="0" w:space="0" w:color="auto"/>
      </w:divBdr>
    </w:div>
    <w:div w:id="169951988">
      <w:bodyDiv w:val="1"/>
      <w:marLeft w:val="0"/>
      <w:marRight w:val="0"/>
      <w:marTop w:val="0"/>
      <w:marBottom w:val="0"/>
      <w:divBdr>
        <w:top w:val="none" w:sz="0" w:space="0" w:color="auto"/>
        <w:left w:val="none" w:sz="0" w:space="0" w:color="auto"/>
        <w:bottom w:val="none" w:sz="0" w:space="0" w:color="auto"/>
        <w:right w:val="none" w:sz="0" w:space="0" w:color="auto"/>
      </w:divBdr>
    </w:div>
    <w:div w:id="173805072">
      <w:bodyDiv w:val="1"/>
      <w:marLeft w:val="0"/>
      <w:marRight w:val="0"/>
      <w:marTop w:val="0"/>
      <w:marBottom w:val="0"/>
      <w:divBdr>
        <w:top w:val="none" w:sz="0" w:space="0" w:color="auto"/>
        <w:left w:val="none" w:sz="0" w:space="0" w:color="auto"/>
        <w:bottom w:val="none" w:sz="0" w:space="0" w:color="auto"/>
        <w:right w:val="none" w:sz="0" w:space="0" w:color="auto"/>
      </w:divBdr>
    </w:div>
    <w:div w:id="174150178">
      <w:bodyDiv w:val="1"/>
      <w:marLeft w:val="0"/>
      <w:marRight w:val="0"/>
      <w:marTop w:val="0"/>
      <w:marBottom w:val="0"/>
      <w:divBdr>
        <w:top w:val="none" w:sz="0" w:space="0" w:color="auto"/>
        <w:left w:val="none" w:sz="0" w:space="0" w:color="auto"/>
        <w:bottom w:val="none" w:sz="0" w:space="0" w:color="auto"/>
        <w:right w:val="none" w:sz="0" w:space="0" w:color="auto"/>
      </w:divBdr>
    </w:div>
    <w:div w:id="175194284">
      <w:bodyDiv w:val="1"/>
      <w:marLeft w:val="0"/>
      <w:marRight w:val="0"/>
      <w:marTop w:val="0"/>
      <w:marBottom w:val="0"/>
      <w:divBdr>
        <w:top w:val="none" w:sz="0" w:space="0" w:color="auto"/>
        <w:left w:val="none" w:sz="0" w:space="0" w:color="auto"/>
        <w:bottom w:val="none" w:sz="0" w:space="0" w:color="auto"/>
        <w:right w:val="none" w:sz="0" w:space="0" w:color="auto"/>
      </w:divBdr>
    </w:div>
    <w:div w:id="179858070">
      <w:bodyDiv w:val="1"/>
      <w:marLeft w:val="0"/>
      <w:marRight w:val="0"/>
      <w:marTop w:val="0"/>
      <w:marBottom w:val="0"/>
      <w:divBdr>
        <w:top w:val="none" w:sz="0" w:space="0" w:color="auto"/>
        <w:left w:val="none" w:sz="0" w:space="0" w:color="auto"/>
        <w:bottom w:val="none" w:sz="0" w:space="0" w:color="auto"/>
        <w:right w:val="none" w:sz="0" w:space="0" w:color="auto"/>
      </w:divBdr>
    </w:div>
    <w:div w:id="181749567">
      <w:bodyDiv w:val="1"/>
      <w:marLeft w:val="0"/>
      <w:marRight w:val="0"/>
      <w:marTop w:val="0"/>
      <w:marBottom w:val="0"/>
      <w:divBdr>
        <w:top w:val="none" w:sz="0" w:space="0" w:color="auto"/>
        <w:left w:val="none" w:sz="0" w:space="0" w:color="auto"/>
        <w:bottom w:val="none" w:sz="0" w:space="0" w:color="auto"/>
        <w:right w:val="none" w:sz="0" w:space="0" w:color="auto"/>
      </w:divBdr>
    </w:div>
    <w:div w:id="182866610">
      <w:bodyDiv w:val="1"/>
      <w:marLeft w:val="0"/>
      <w:marRight w:val="0"/>
      <w:marTop w:val="0"/>
      <w:marBottom w:val="0"/>
      <w:divBdr>
        <w:top w:val="none" w:sz="0" w:space="0" w:color="auto"/>
        <w:left w:val="none" w:sz="0" w:space="0" w:color="auto"/>
        <w:bottom w:val="none" w:sz="0" w:space="0" w:color="auto"/>
        <w:right w:val="none" w:sz="0" w:space="0" w:color="auto"/>
      </w:divBdr>
    </w:div>
    <w:div w:id="184751532">
      <w:bodyDiv w:val="1"/>
      <w:marLeft w:val="0"/>
      <w:marRight w:val="0"/>
      <w:marTop w:val="0"/>
      <w:marBottom w:val="0"/>
      <w:divBdr>
        <w:top w:val="none" w:sz="0" w:space="0" w:color="auto"/>
        <w:left w:val="none" w:sz="0" w:space="0" w:color="auto"/>
        <w:bottom w:val="none" w:sz="0" w:space="0" w:color="auto"/>
        <w:right w:val="none" w:sz="0" w:space="0" w:color="auto"/>
      </w:divBdr>
    </w:div>
    <w:div w:id="185603146">
      <w:bodyDiv w:val="1"/>
      <w:marLeft w:val="0"/>
      <w:marRight w:val="0"/>
      <w:marTop w:val="0"/>
      <w:marBottom w:val="0"/>
      <w:divBdr>
        <w:top w:val="none" w:sz="0" w:space="0" w:color="auto"/>
        <w:left w:val="none" w:sz="0" w:space="0" w:color="auto"/>
        <w:bottom w:val="none" w:sz="0" w:space="0" w:color="auto"/>
        <w:right w:val="none" w:sz="0" w:space="0" w:color="auto"/>
      </w:divBdr>
    </w:div>
    <w:div w:id="191842777">
      <w:bodyDiv w:val="1"/>
      <w:marLeft w:val="0"/>
      <w:marRight w:val="0"/>
      <w:marTop w:val="0"/>
      <w:marBottom w:val="0"/>
      <w:divBdr>
        <w:top w:val="none" w:sz="0" w:space="0" w:color="auto"/>
        <w:left w:val="none" w:sz="0" w:space="0" w:color="auto"/>
        <w:bottom w:val="none" w:sz="0" w:space="0" w:color="auto"/>
        <w:right w:val="none" w:sz="0" w:space="0" w:color="auto"/>
      </w:divBdr>
    </w:div>
    <w:div w:id="194512942">
      <w:bodyDiv w:val="1"/>
      <w:marLeft w:val="0"/>
      <w:marRight w:val="0"/>
      <w:marTop w:val="0"/>
      <w:marBottom w:val="0"/>
      <w:divBdr>
        <w:top w:val="none" w:sz="0" w:space="0" w:color="auto"/>
        <w:left w:val="none" w:sz="0" w:space="0" w:color="auto"/>
        <w:bottom w:val="none" w:sz="0" w:space="0" w:color="auto"/>
        <w:right w:val="none" w:sz="0" w:space="0" w:color="auto"/>
      </w:divBdr>
    </w:div>
    <w:div w:id="194581864">
      <w:bodyDiv w:val="1"/>
      <w:marLeft w:val="0"/>
      <w:marRight w:val="0"/>
      <w:marTop w:val="0"/>
      <w:marBottom w:val="0"/>
      <w:divBdr>
        <w:top w:val="none" w:sz="0" w:space="0" w:color="auto"/>
        <w:left w:val="none" w:sz="0" w:space="0" w:color="auto"/>
        <w:bottom w:val="none" w:sz="0" w:space="0" w:color="auto"/>
        <w:right w:val="none" w:sz="0" w:space="0" w:color="auto"/>
      </w:divBdr>
    </w:div>
    <w:div w:id="195124459">
      <w:bodyDiv w:val="1"/>
      <w:marLeft w:val="0"/>
      <w:marRight w:val="0"/>
      <w:marTop w:val="0"/>
      <w:marBottom w:val="0"/>
      <w:divBdr>
        <w:top w:val="none" w:sz="0" w:space="0" w:color="auto"/>
        <w:left w:val="none" w:sz="0" w:space="0" w:color="auto"/>
        <w:bottom w:val="none" w:sz="0" w:space="0" w:color="auto"/>
        <w:right w:val="none" w:sz="0" w:space="0" w:color="auto"/>
      </w:divBdr>
    </w:div>
    <w:div w:id="195625868">
      <w:bodyDiv w:val="1"/>
      <w:marLeft w:val="0"/>
      <w:marRight w:val="0"/>
      <w:marTop w:val="0"/>
      <w:marBottom w:val="0"/>
      <w:divBdr>
        <w:top w:val="none" w:sz="0" w:space="0" w:color="auto"/>
        <w:left w:val="none" w:sz="0" w:space="0" w:color="auto"/>
        <w:bottom w:val="none" w:sz="0" w:space="0" w:color="auto"/>
        <w:right w:val="none" w:sz="0" w:space="0" w:color="auto"/>
      </w:divBdr>
    </w:div>
    <w:div w:id="209540454">
      <w:bodyDiv w:val="1"/>
      <w:marLeft w:val="0"/>
      <w:marRight w:val="0"/>
      <w:marTop w:val="0"/>
      <w:marBottom w:val="0"/>
      <w:divBdr>
        <w:top w:val="none" w:sz="0" w:space="0" w:color="auto"/>
        <w:left w:val="none" w:sz="0" w:space="0" w:color="auto"/>
        <w:bottom w:val="none" w:sz="0" w:space="0" w:color="auto"/>
        <w:right w:val="none" w:sz="0" w:space="0" w:color="auto"/>
      </w:divBdr>
    </w:div>
    <w:div w:id="210503616">
      <w:bodyDiv w:val="1"/>
      <w:marLeft w:val="0"/>
      <w:marRight w:val="0"/>
      <w:marTop w:val="0"/>
      <w:marBottom w:val="0"/>
      <w:divBdr>
        <w:top w:val="none" w:sz="0" w:space="0" w:color="auto"/>
        <w:left w:val="none" w:sz="0" w:space="0" w:color="auto"/>
        <w:bottom w:val="none" w:sz="0" w:space="0" w:color="auto"/>
        <w:right w:val="none" w:sz="0" w:space="0" w:color="auto"/>
      </w:divBdr>
      <w:divsChild>
        <w:div w:id="968630451">
          <w:marLeft w:val="0"/>
          <w:marRight w:val="0"/>
          <w:marTop w:val="0"/>
          <w:marBottom w:val="0"/>
          <w:divBdr>
            <w:top w:val="none" w:sz="0" w:space="0" w:color="auto"/>
            <w:left w:val="none" w:sz="0" w:space="0" w:color="auto"/>
            <w:bottom w:val="none" w:sz="0" w:space="0" w:color="auto"/>
            <w:right w:val="none" w:sz="0" w:space="0" w:color="auto"/>
          </w:divBdr>
        </w:div>
      </w:divsChild>
    </w:div>
    <w:div w:id="213201402">
      <w:bodyDiv w:val="1"/>
      <w:marLeft w:val="0"/>
      <w:marRight w:val="0"/>
      <w:marTop w:val="0"/>
      <w:marBottom w:val="0"/>
      <w:divBdr>
        <w:top w:val="none" w:sz="0" w:space="0" w:color="auto"/>
        <w:left w:val="none" w:sz="0" w:space="0" w:color="auto"/>
        <w:bottom w:val="none" w:sz="0" w:space="0" w:color="auto"/>
        <w:right w:val="none" w:sz="0" w:space="0" w:color="auto"/>
      </w:divBdr>
    </w:div>
    <w:div w:id="217323248">
      <w:bodyDiv w:val="1"/>
      <w:marLeft w:val="0"/>
      <w:marRight w:val="0"/>
      <w:marTop w:val="0"/>
      <w:marBottom w:val="0"/>
      <w:divBdr>
        <w:top w:val="none" w:sz="0" w:space="0" w:color="auto"/>
        <w:left w:val="none" w:sz="0" w:space="0" w:color="auto"/>
        <w:bottom w:val="none" w:sz="0" w:space="0" w:color="auto"/>
        <w:right w:val="none" w:sz="0" w:space="0" w:color="auto"/>
      </w:divBdr>
    </w:div>
    <w:div w:id="218252597">
      <w:bodyDiv w:val="1"/>
      <w:marLeft w:val="0"/>
      <w:marRight w:val="0"/>
      <w:marTop w:val="0"/>
      <w:marBottom w:val="0"/>
      <w:divBdr>
        <w:top w:val="none" w:sz="0" w:space="0" w:color="auto"/>
        <w:left w:val="none" w:sz="0" w:space="0" w:color="auto"/>
        <w:bottom w:val="none" w:sz="0" w:space="0" w:color="auto"/>
        <w:right w:val="none" w:sz="0" w:space="0" w:color="auto"/>
      </w:divBdr>
    </w:div>
    <w:div w:id="221526172">
      <w:bodyDiv w:val="1"/>
      <w:marLeft w:val="0"/>
      <w:marRight w:val="0"/>
      <w:marTop w:val="0"/>
      <w:marBottom w:val="0"/>
      <w:divBdr>
        <w:top w:val="none" w:sz="0" w:space="0" w:color="auto"/>
        <w:left w:val="none" w:sz="0" w:space="0" w:color="auto"/>
        <w:bottom w:val="none" w:sz="0" w:space="0" w:color="auto"/>
        <w:right w:val="none" w:sz="0" w:space="0" w:color="auto"/>
      </w:divBdr>
    </w:div>
    <w:div w:id="224877263">
      <w:bodyDiv w:val="1"/>
      <w:marLeft w:val="0"/>
      <w:marRight w:val="0"/>
      <w:marTop w:val="0"/>
      <w:marBottom w:val="0"/>
      <w:divBdr>
        <w:top w:val="none" w:sz="0" w:space="0" w:color="auto"/>
        <w:left w:val="none" w:sz="0" w:space="0" w:color="auto"/>
        <w:bottom w:val="none" w:sz="0" w:space="0" w:color="auto"/>
        <w:right w:val="none" w:sz="0" w:space="0" w:color="auto"/>
      </w:divBdr>
    </w:div>
    <w:div w:id="226887352">
      <w:bodyDiv w:val="1"/>
      <w:marLeft w:val="0"/>
      <w:marRight w:val="0"/>
      <w:marTop w:val="0"/>
      <w:marBottom w:val="0"/>
      <w:divBdr>
        <w:top w:val="none" w:sz="0" w:space="0" w:color="auto"/>
        <w:left w:val="none" w:sz="0" w:space="0" w:color="auto"/>
        <w:bottom w:val="none" w:sz="0" w:space="0" w:color="auto"/>
        <w:right w:val="none" w:sz="0" w:space="0" w:color="auto"/>
      </w:divBdr>
    </w:div>
    <w:div w:id="228732999">
      <w:bodyDiv w:val="1"/>
      <w:marLeft w:val="0"/>
      <w:marRight w:val="0"/>
      <w:marTop w:val="0"/>
      <w:marBottom w:val="0"/>
      <w:divBdr>
        <w:top w:val="none" w:sz="0" w:space="0" w:color="auto"/>
        <w:left w:val="none" w:sz="0" w:space="0" w:color="auto"/>
        <w:bottom w:val="none" w:sz="0" w:space="0" w:color="auto"/>
        <w:right w:val="none" w:sz="0" w:space="0" w:color="auto"/>
      </w:divBdr>
    </w:div>
    <w:div w:id="232357663">
      <w:bodyDiv w:val="1"/>
      <w:marLeft w:val="0"/>
      <w:marRight w:val="0"/>
      <w:marTop w:val="0"/>
      <w:marBottom w:val="0"/>
      <w:divBdr>
        <w:top w:val="none" w:sz="0" w:space="0" w:color="auto"/>
        <w:left w:val="none" w:sz="0" w:space="0" w:color="auto"/>
        <w:bottom w:val="none" w:sz="0" w:space="0" w:color="auto"/>
        <w:right w:val="none" w:sz="0" w:space="0" w:color="auto"/>
      </w:divBdr>
    </w:div>
    <w:div w:id="238366697">
      <w:bodyDiv w:val="1"/>
      <w:marLeft w:val="0"/>
      <w:marRight w:val="0"/>
      <w:marTop w:val="0"/>
      <w:marBottom w:val="0"/>
      <w:divBdr>
        <w:top w:val="none" w:sz="0" w:space="0" w:color="auto"/>
        <w:left w:val="none" w:sz="0" w:space="0" w:color="auto"/>
        <w:bottom w:val="none" w:sz="0" w:space="0" w:color="auto"/>
        <w:right w:val="none" w:sz="0" w:space="0" w:color="auto"/>
      </w:divBdr>
    </w:div>
    <w:div w:id="247621252">
      <w:bodyDiv w:val="1"/>
      <w:marLeft w:val="0"/>
      <w:marRight w:val="0"/>
      <w:marTop w:val="0"/>
      <w:marBottom w:val="0"/>
      <w:divBdr>
        <w:top w:val="none" w:sz="0" w:space="0" w:color="auto"/>
        <w:left w:val="none" w:sz="0" w:space="0" w:color="auto"/>
        <w:bottom w:val="none" w:sz="0" w:space="0" w:color="auto"/>
        <w:right w:val="none" w:sz="0" w:space="0" w:color="auto"/>
      </w:divBdr>
    </w:div>
    <w:div w:id="249896060">
      <w:bodyDiv w:val="1"/>
      <w:marLeft w:val="0"/>
      <w:marRight w:val="0"/>
      <w:marTop w:val="0"/>
      <w:marBottom w:val="0"/>
      <w:divBdr>
        <w:top w:val="none" w:sz="0" w:space="0" w:color="auto"/>
        <w:left w:val="none" w:sz="0" w:space="0" w:color="auto"/>
        <w:bottom w:val="none" w:sz="0" w:space="0" w:color="auto"/>
        <w:right w:val="none" w:sz="0" w:space="0" w:color="auto"/>
      </w:divBdr>
    </w:div>
    <w:div w:id="252472934">
      <w:bodyDiv w:val="1"/>
      <w:marLeft w:val="0"/>
      <w:marRight w:val="0"/>
      <w:marTop w:val="0"/>
      <w:marBottom w:val="0"/>
      <w:divBdr>
        <w:top w:val="none" w:sz="0" w:space="0" w:color="auto"/>
        <w:left w:val="none" w:sz="0" w:space="0" w:color="auto"/>
        <w:bottom w:val="none" w:sz="0" w:space="0" w:color="auto"/>
        <w:right w:val="none" w:sz="0" w:space="0" w:color="auto"/>
      </w:divBdr>
    </w:div>
    <w:div w:id="253783219">
      <w:bodyDiv w:val="1"/>
      <w:marLeft w:val="0"/>
      <w:marRight w:val="0"/>
      <w:marTop w:val="0"/>
      <w:marBottom w:val="0"/>
      <w:divBdr>
        <w:top w:val="none" w:sz="0" w:space="0" w:color="auto"/>
        <w:left w:val="none" w:sz="0" w:space="0" w:color="auto"/>
        <w:bottom w:val="none" w:sz="0" w:space="0" w:color="auto"/>
        <w:right w:val="none" w:sz="0" w:space="0" w:color="auto"/>
      </w:divBdr>
    </w:div>
    <w:div w:id="255791469">
      <w:bodyDiv w:val="1"/>
      <w:marLeft w:val="0"/>
      <w:marRight w:val="0"/>
      <w:marTop w:val="0"/>
      <w:marBottom w:val="0"/>
      <w:divBdr>
        <w:top w:val="none" w:sz="0" w:space="0" w:color="auto"/>
        <w:left w:val="none" w:sz="0" w:space="0" w:color="auto"/>
        <w:bottom w:val="none" w:sz="0" w:space="0" w:color="auto"/>
        <w:right w:val="none" w:sz="0" w:space="0" w:color="auto"/>
      </w:divBdr>
    </w:div>
    <w:div w:id="265314101">
      <w:bodyDiv w:val="1"/>
      <w:marLeft w:val="0"/>
      <w:marRight w:val="0"/>
      <w:marTop w:val="0"/>
      <w:marBottom w:val="0"/>
      <w:divBdr>
        <w:top w:val="none" w:sz="0" w:space="0" w:color="auto"/>
        <w:left w:val="none" w:sz="0" w:space="0" w:color="auto"/>
        <w:bottom w:val="none" w:sz="0" w:space="0" w:color="auto"/>
        <w:right w:val="none" w:sz="0" w:space="0" w:color="auto"/>
      </w:divBdr>
    </w:div>
    <w:div w:id="269893691">
      <w:bodyDiv w:val="1"/>
      <w:marLeft w:val="0"/>
      <w:marRight w:val="0"/>
      <w:marTop w:val="0"/>
      <w:marBottom w:val="0"/>
      <w:divBdr>
        <w:top w:val="none" w:sz="0" w:space="0" w:color="auto"/>
        <w:left w:val="none" w:sz="0" w:space="0" w:color="auto"/>
        <w:bottom w:val="none" w:sz="0" w:space="0" w:color="auto"/>
        <w:right w:val="none" w:sz="0" w:space="0" w:color="auto"/>
      </w:divBdr>
    </w:div>
    <w:div w:id="272788642">
      <w:bodyDiv w:val="1"/>
      <w:marLeft w:val="0"/>
      <w:marRight w:val="0"/>
      <w:marTop w:val="0"/>
      <w:marBottom w:val="0"/>
      <w:divBdr>
        <w:top w:val="none" w:sz="0" w:space="0" w:color="auto"/>
        <w:left w:val="none" w:sz="0" w:space="0" w:color="auto"/>
        <w:bottom w:val="none" w:sz="0" w:space="0" w:color="auto"/>
        <w:right w:val="none" w:sz="0" w:space="0" w:color="auto"/>
      </w:divBdr>
    </w:div>
    <w:div w:id="276986444">
      <w:bodyDiv w:val="1"/>
      <w:marLeft w:val="0"/>
      <w:marRight w:val="0"/>
      <w:marTop w:val="0"/>
      <w:marBottom w:val="0"/>
      <w:divBdr>
        <w:top w:val="none" w:sz="0" w:space="0" w:color="auto"/>
        <w:left w:val="none" w:sz="0" w:space="0" w:color="auto"/>
        <w:bottom w:val="none" w:sz="0" w:space="0" w:color="auto"/>
        <w:right w:val="none" w:sz="0" w:space="0" w:color="auto"/>
      </w:divBdr>
    </w:div>
    <w:div w:id="279382742">
      <w:bodyDiv w:val="1"/>
      <w:marLeft w:val="0"/>
      <w:marRight w:val="0"/>
      <w:marTop w:val="0"/>
      <w:marBottom w:val="0"/>
      <w:divBdr>
        <w:top w:val="none" w:sz="0" w:space="0" w:color="auto"/>
        <w:left w:val="none" w:sz="0" w:space="0" w:color="auto"/>
        <w:bottom w:val="none" w:sz="0" w:space="0" w:color="auto"/>
        <w:right w:val="none" w:sz="0" w:space="0" w:color="auto"/>
      </w:divBdr>
    </w:div>
    <w:div w:id="289358481">
      <w:bodyDiv w:val="1"/>
      <w:marLeft w:val="0"/>
      <w:marRight w:val="0"/>
      <w:marTop w:val="0"/>
      <w:marBottom w:val="0"/>
      <w:divBdr>
        <w:top w:val="none" w:sz="0" w:space="0" w:color="auto"/>
        <w:left w:val="none" w:sz="0" w:space="0" w:color="auto"/>
        <w:bottom w:val="none" w:sz="0" w:space="0" w:color="auto"/>
        <w:right w:val="none" w:sz="0" w:space="0" w:color="auto"/>
      </w:divBdr>
    </w:div>
    <w:div w:id="290403806">
      <w:bodyDiv w:val="1"/>
      <w:marLeft w:val="0"/>
      <w:marRight w:val="0"/>
      <w:marTop w:val="0"/>
      <w:marBottom w:val="0"/>
      <w:divBdr>
        <w:top w:val="none" w:sz="0" w:space="0" w:color="auto"/>
        <w:left w:val="none" w:sz="0" w:space="0" w:color="auto"/>
        <w:bottom w:val="none" w:sz="0" w:space="0" w:color="auto"/>
        <w:right w:val="none" w:sz="0" w:space="0" w:color="auto"/>
      </w:divBdr>
    </w:div>
    <w:div w:id="291863774">
      <w:bodyDiv w:val="1"/>
      <w:marLeft w:val="0"/>
      <w:marRight w:val="0"/>
      <w:marTop w:val="0"/>
      <w:marBottom w:val="0"/>
      <w:divBdr>
        <w:top w:val="none" w:sz="0" w:space="0" w:color="auto"/>
        <w:left w:val="none" w:sz="0" w:space="0" w:color="auto"/>
        <w:bottom w:val="none" w:sz="0" w:space="0" w:color="auto"/>
        <w:right w:val="none" w:sz="0" w:space="0" w:color="auto"/>
      </w:divBdr>
    </w:div>
    <w:div w:id="292518499">
      <w:bodyDiv w:val="1"/>
      <w:marLeft w:val="0"/>
      <w:marRight w:val="0"/>
      <w:marTop w:val="0"/>
      <w:marBottom w:val="0"/>
      <w:divBdr>
        <w:top w:val="none" w:sz="0" w:space="0" w:color="auto"/>
        <w:left w:val="none" w:sz="0" w:space="0" w:color="auto"/>
        <w:bottom w:val="none" w:sz="0" w:space="0" w:color="auto"/>
        <w:right w:val="none" w:sz="0" w:space="0" w:color="auto"/>
      </w:divBdr>
    </w:div>
    <w:div w:id="294264573">
      <w:bodyDiv w:val="1"/>
      <w:marLeft w:val="0"/>
      <w:marRight w:val="0"/>
      <w:marTop w:val="0"/>
      <w:marBottom w:val="0"/>
      <w:divBdr>
        <w:top w:val="none" w:sz="0" w:space="0" w:color="auto"/>
        <w:left w:val="none" w:sz="0" w:space="0" w:color="auto"/>
        <w:bottom w:val="none" w:sz="0" w:space="0" w:color="auto"/>
        <w:right w:val="none" w:sz="0" w:space="0" w:color="auto"/>
      </w:divBdr>
    </w:div>
    <w:div w:id="294482170">
      <w:bodyDiv w:val="1"/>
      <w:marLeft w:val="0"/>
      <w:marRight w:val="0"/>
      <w:marTop w:val="0"/>
      <w:marBottom w:val="0"/>
      <w:divBdr>
        <w:top w:val="none" w:sz="0" w:space="0" w:color="auto"/>
        <w:left w:val="none" w:sz="0" w:space="0" w:color="auto"/>
        <w:bottom w:val="none" w:sz="0" w:space="0" w:color="auto"/>
        <w:right w:val="none" w:sz="0" w:space="0" w:color="auto"/>
      </w:divBdr>
    </w:div>
    <w:div w:id="296301595">
      <w:bodyDiv w:val="1"/>
      <w:marLeft w:val="0"/>
      <w:marRight w:val="0"/>
      <w:marTop w:val="0"/>
      <w:marBottom w:val="0"/>
      <w:divBdr>
        <w:top w:val="none" w:sz="0" w:space="0" w:color="auto"/>
        <w:left w:val="none" w:sz="0" w:space="0" w:color="auto"/>
        <w:bottom w:val="none" w:sz="0" w:space="0" w:color="auto"/>
        <w:right w:val="none" w:sz="0" w:space="0" w:color="auto"/>
      </w:divBdr>
    </w:div>
    <w:div w:id="300617871">
      <w:bodyDiv w:val="1"/>
      <w:marLeft w:val="0"/>
      <w:marRight w:val="0"/>
      <w:marTop w:val="0"/>
      <w:marBottom w:val="0"/>
      <w:divBdr>
        <w:top w:val="none" w:sz="0" w:space="0" w:color="auto"/>
        <w:left w:val="none" w:sz="0" w:space="0" w:color="auto"/>
        <w:bottom w:val="none" w:sz="0" w:space="0" w:color="auto"/>
        <w:right w:val="none" w:sz="0" w:space="0" w:color="auto"/>
      </w:divBdr>
    </w:div>
    <w:div w:id="301035024">
      <w:bodyDiv w:val="1"/>
      <w:marLeft w:val="0"/>
      <w:marRight w:val="0"/>
      <w:marTop w:val="0"/>
      <w:marBottom w:val="0"/>
      <w:divBdr>
        <w:top w:val="none" w:sz="0" w:space="0" w:color="auto"/>
        <w:left w:val="none" w:sz="0" w:space="0" w:color="auto"/>
        <w:bottom w:val="none" w:sz="0" w:space="0" w:color="auto"/>
        <w:right w:val="none" w:sz="0" w:space="0" w:color="auto"/>
      </w:divBdr>
    </w:div>
    <w:div w:id="303706191">
      <w:bodyDiv w:val="1"/>
      <w:marLeft w:val="0"/>
      <w:marRight w:val="0"/>
      <w:marTop w:val="0"/>
      <w:marBottom w:val="0"/>
      <w:divBdr>
        <w:top w:val="none" w:sz="0" w:space="0" w:color="auto"/>
        <w:left w:val="none" w:sz="0" w:space="0" w:color="auto"/>
        <w:bottom w:val="none" w:sz="0" w:space="0" w:color="auto"/>
        <w:right w:val="none" w:sz="0" w:space="0" w:color="auto"/>
      </w:divBdr>
    </w:div>
    <w:div w:id="305286414">
      <w:bodyDiv w:val="1"/>
      <w:marLeft w:val="0"/>
      <w:marRight w:val="0"/>
      <w:marTop w:val="0"/>
      <w:marBottom w:val="0"/>
      <w:divBdr>
        <w:top w:val="none" w:sz="0" w:space="0" w:color="auto"/>
        <w:left w:val="none" w:sz="0" w:space="0" w:color="auto"/>
        <w:bottom w:val="none" w:sz="0" w:space="0" w:color="auto"/>
        <w:right w:val="none" w:sz="0" w:space="0" w:color="auto"/>
      </w:divBdr>
    </w:div>
    <w:div w:id="305476450">
      <w:bodyDiv w:val="1"/>
      <w:marLeft w:val="0"/>
      <w:marRight w:val="0"/>
      <w:marTop w:val="0"/>
      <w:marBottom w:val="0"/>
      <w:divBdr>
        <w:top w:val="none" w:sz="0" w:space="0" w:color="auto"/>
        <w:left w:val="none" w:sz="0" w:space="0" w:color="auto"/>
        <w:bottom w:val="none" w:sz="0" w:space="0" w:color="auto"/>
        <w:right w:val="none" w:sz="0" w:space="0" w:color="auto"/>
      </w:divBdr>
    </w:div>
    <w:div w:id="312149115">
      <w:bodyDiv w:val="1"/>
      <w:marLeft w:val="0"/>
      <w:marRight w:val="0"/>
      <w:marTop w:val="0"/>
      <w:marBottom w:val="0"/>
      <w:divBdr>
        <w:top w:val="none" w:sz="0" w:space="0" w:color="auto"/>
        <w:left w:val="none" w:sz="0" w:space="0" w:color="auto"/>
        <w:bottom w:val="none" w:sz="0" w:space="0" w:color="auto"/>
        <w:right w:val="none" w:sz="0" w:space="0" w:color="auto"/>
      </w:divBdr>
    </w:div>
    <w:div w:id="313533109">
      <w:bodyDiv w:val="1"/>
      <w:marLeft w:val="0"/>
      <w:marRight w:val="0"/>
      <w:marTop w:val="0"/>
      <w:marBottom w:val="0"/>
      <w:divBdr>
        <w:top w:val="none" w:sz="0" w:space="0" w:color="auto"/>
        <w:left w:val="none" w:sz="0" w:space="0" w:color="auto"/>
        <w:bottom w:val="none" w:sz="0" w:space="0" w:color="auto"/>
        <w:right w:val="none" w:sz="0" w:space="0" w:color="auto"/>
      </w:divBdr>
    </w:div>
    <w:div w:id="314727968">
      <w:bodyDiv w:val="1"/>
      <w:marLeft w:val="0"/>
      <w:marRight w:val="0"/>
      <w:marTop w:val="0"/>
      <w:marBottom w:val="0"/>
      <w:divBdr>
        <w:top w:val="none" w:sz="0" w:space="0" w:color="auto"/>
        <w:left w:val="none" w:sz="0" w:space="0" w:color="auto"/>
        <w:bottom w:val="none" w:sz="0" w:space="0" w:color="auto"/>
        <w:right w:val="none" w:sz="0" w:space="0" w:color="auto"/>
      </w:divBdr>
    </w:div>
    <w:div w:id="317004313">
      <w:bodyDiv w:val="1"/>
      <w:marLeft w:val="0"/>
      <w:marRight w:val="0"/>
      <w:marTop w:val="0"/>
      <w:marBottom w:val="0"/>
      <w:divBdr>
        <w:top w:val="none" w:sz="0" w:space="0" w:color="auto"/>
        <w:left w:val="none" w:sz="0" w:space="0" w:color="auto"/>
        <w:bottom w:val="none" w:sz="0" w:space="0" w:color="auto"/>
        <w:right w:val="none" w:sz="0" w:space="0" w:color="auto"/>
      </w:divBdr>
    </w:div>
    <w:div w:id="319775757">
      <w:bodyDiv w:val="1"/>
      <w:marLeft w:val="0"/>
      <w:marRight w:val="0"/>
      <w:marTop w:val="0"/>
      <w:marBottom w:val="0"/>
      <w:divBdr>
        <w:top w:val="none" w:sz="0" w:space="0" w:color="auto"/>
        <w:left w:val="none" w:sz="0" w:space="0" w:color="auto"/>
        <w:bottom w:val="none" w:sz="0" w:space="0" w:color="auto"/>
        <w:right w:val="none" w:sz="0" w:space="0" w:color="auto"/>
      </w:divBdr>
    </w:div>
    <w:div w:id="320081293">
      <w:bodyDiv w:val="1"/>
      <w:marLeft w:val="0"/>
      <w:marRight w:val="0"/>
      <w:marTop w:val="0"/>
      <w:marBottom w:val="0"/>
      <w:divBdr>
        <w:top w:val="none" w:sz="0" w:space="0" w:color="auto"/>
        <w:left w:val="none" w:sz="0" w:space="0" w:color="auto"/>
        <w:bottom w:val="none" w:sz="0" w:space="0" w:color="auto"/>
        <w:right w:val="none" w:sz="0" w:space="0" w:color="auto"/>
      </w:divBdr>
    </w:div>
    <w:div w:id="320354887">
      <w:bodyDiv w:val="1"/>
      <w:marLeft w:val="0"/>
      <w:marRight w:val="0"/>
      <w:marTop w:val="0"/>
      <w:marBottom w:val="0"/>
      <w:divBdr>
        <w:top w:val="none" w:sz="0" w:space="0" w:color="auto"/>
        <w:left w:val="none" w:sz="0" w:space="0" w:color="auto"/>
        <w:bottom w:val="none" w:sz="0" w:space="0" w:color="auto"/>
        <w:right w:val="none" w:sz="0" w:space="0" w:color="auto"/>
      </w:divBdr>
    </w:div>
    <w:div w:id="324405117">
      <w:bodyDiv w:val="1"/>
      <w:marLeft w:val="0"/>
      <w:marRight w:val="0"/>
      <w:marTop w:val="0"/>
      <w:marBottom w:val="0"/>
      <w:divBdr>
        <w:top w:val="none" w:sz="0" w:space="0" w:color="auto"/>
        <w:left w:val="none" w:sz="0" w:space="0" w:color="auto"/>
        <w:bottom w:val="none" w:sz="0" w:space="0" w:color="auto"/>
        <w:right w:val="none" w:sz="0" w:space="0" w:color="auto"/>
      </w:divBdr>
    </w:div>
    <w:div w:id="326983481">
      <w:bodyDiv w:val="1"/>
      <w:marLeft w:val="0"/>
      <w:marRight w:val="0"/>
      <w:marTop w:val="0"/>
      <w:marBottom w:val="0"/>
      <w:divBdr>
        <w:top w:val="none" w:sz="0" w:space="0" w:color="auto"/>
        <w:left w:val="none" w:sz="0" w:space="0" w:color="auto"/>
        <w:bottom w:val="none" w:sz="0" w:space="0" w:color="auto"/>
        <w:right w:val="none" w:sz="0" w:space="0" w:color="auto"/>
      </w:divBdr>
    </w:div>
    <w:div w:id="329018032">
      <w:bodyDiv w:val="1"/>
      <w:marLeft w:val="0"/>
      <w:marRight w:val="0"/>
      <w:marTop w:val="0"/>
      <w:marBottom w:val="0"/>
      <w:divBdr>
        <w:top w:val="none" w:sz="0" w:space="0" w:color="auto"/>
        <w:left w:val="none" w:sz="0" w:space="0" w:color="auto"/>
        <w:bottom w:val="none" w:sz="0" w:space="0" w:color="auto"/>
        <w:right w:val="none" w:sz="0" w:space="0" w:color="auto"/>
      </w:divBdr>
    </w:div>
    <w:div w:id="331956908">
      <w:bodyDiv w:val="1"/>
      <w:marLeft w:val="0"/>
      <w:marRight w:val="0"/>
      <w:marTop w:val="0"/>
      <w:marBottom w:val="0"/>
      <w:divBdr>
        <w:top w:val="none" w:sz="0" w:space="0" w:color="auto"/>
        <w:left w:val="none" w:sz="0" w:space="0" w:color="auto"/>
        <w:bottom w:val="none" w:sz="0" w:space="0" w:color="auto"/>
        <w:right w:val="none" w:sz="0" w:space="0" w:color="auto"/>
      </w:divBdr>
    </w:div>
    <w:div w:id="337388062">
      <w:bodyDiv w:val="1"/>
      <w:marLeft w:val="0"/>
      <w:marRight w:val="0"/>
      <w:marTop w:val="0"/>
      <w:marBottom w:val="0"/>
      <w:divBdr>
        <w:top w:val="none" w:sz="0" w:space="0" w:color="auto"/>
        <w:left w:val="none" w:sz="0" w:space="0" w:color="auto"/>
        <w:bottom w:val="none" w:sz="0" w:space="0" w:color="auto"/>
        <w:right w:val="none" w:sz="0" w:space="0" w:color="auto"/>
      </w:divBdr>
    </w:div>
    <w:div w:id="342828036">
      <w:bodyDiv w:val="1"/>
      <w:marLeft w:val="0"/>
      <w:marRight w:val="0"/>
      <w:marTop w:val="0"/>
      <w:marBottom w:val="0"/>
      <w:divBdr>
        <w:top w:val="none" w:sz="0" w:space="0" w:color="auto"/>
        <w:left w:val="none" w:sz="0" w:space="0" w:color="auto"/>
        <w:bottom w:val="none" w:sz="0" w:space="0" w:color="auto"/>
        <w:right w:val="none" w:sz="0" w:space="0" w:color="auto"/>
      </w:divBdr>
    </w:div>
    <w:div w:id="349838000">
      <w:bodyDiv w:val="1"/>
      <w:marLeft w:val="0"/>
      <w:marRight w:val="0"/>
      <w:marTop w:val="0"/>
      <w:marBottom w:val="0"/>
      <w:divBdr>
        <w:top w:val="none" w:sz="0" w:space="0" w:color="auto"/>
        <w:left w:val="none" w:sz="0" w:space="0" w:color="auto"/>
        <w:bottom w:val="none" w:sz="0" w:space="0" w:color="auto"/>
        <w:right w:val="none" w:sz="0" w:space="0" w:color="auto"/>
      </w:divBdr>
    </w:div>
    <w:div w:id="350911257">
      <w:bodyDiv w:val="1"/>
      <w:marLeft w:val="0"/>
      <w:marRight w:val="0"/>
      <w:marTop w:val="0"/>
      <w:marBottom w:val="0"/>
      <w:divBdr>
        <w:top w:val="none" w:sz="0" w:space="0" w:color="auto"/>
        <w:left w:val="none" w:sz="0" w:space="0" w:color="auto"/>
        <w:bottom w:val="none" w:sz="0" w:space="0" w:color="auto"/>
        <w:right w:val="none" w:sz="0" w:space="0" w:color="auto"/>
      </w:divBdr>
    </w:div>
    <w:div w:id="356548230">
      <w:bodyDiv w:val="1"/>
      <w:marLeft w:val="0"/>
      <w:marRight w:val="0"/>
      <w:marTop w:val="0"/>
      <w:marBottom w:val="0"/>
      <w:divBdr>
        <w:top w:val="none" w:sz="0" w:space="0" w:color="auto"/>
        <w:left w:val="none" w:sz="0" w:space="0" w:color="auto"/>
        <w:bottom w:val="none" w:sz="0" w:space="0" w:color="auto"/>
        <w:right w:val="none" w:sz="0" w:space="0" w:color="auto"/>
      </w:divBdr>
    </w:div>
    <w:div w:id="358168535">
      <w:bodyDiv w:val="1"/>
      <w:marLeft w:val="0"/>
      <w:marRight w:val="0"/>
      <w:marTop w:val="0"/>
      <w:marBottom w:val="0"/>
      <w:divBdr>
        <w:top w:val="none" w:sz="0" w:space="0" w:color="auto"/>
        <w:left w:val="none" w:sz="0" w:space="0" w:color="auto"/>
        <w:bottom w:val="none" w:sz="0" w:space="0" w:color="auto"/>
        <w:right w:val="none" w:sz="0" w:space="0" w:color="auto"/>
      </w:divBdr>
    </w:div>
    <w:div w:id="359167999">
      <w:bodyDiv w:val="1"/>
      <w:marLeft w:val="0"/>
      <w:marRight w:val="0"/>
      <w:marTop w:val="0"/>
      <w:marBottom w:val="0"/>
      <w:divBdr>
        <w:top w:val="none" w:sz="0" w:space="0" w:color="auto"/>
        <w:left w:val="none" w:sz="0" w:space="0" w:color="auto"/>
        <w:bottom w:val="none" w:sz="0" w:space="0" w:color="auto"/>
        <w:right w:val="none" w:sz="0" w:space="0" w:color="auto"/>
      </w:divBdr>
    </w:div>
    <w:div w:id="360742853">
      <w:bodyDiv w:val="1"/>
      <w:marLeft w:val="0"/>
      <w:marRight w:val="0"/>
      <w:marTop w:val="0"/>
      <w:marBottom w:val="0"/>
      <w:divBdr>
        <w:top w:val="none" w:sz="0" w:space="0" w:color="auto"/>
        <w:left w:val="none" w:sz="0" w:space="0" w:color="auto"/>
        <w:bottom w:val="none" w:sz="0" w:space="0" w:color="auto"/>
        <w:right w:val="none" w:sz="0" w:space="0" w:color="auto"/>
      </w:divBdr>
    </w:div>
    <w:div w:id="362831387">
      <w:bodyDiv w:val="1"/>
      <w:marLeft w:val="0"/>
      <w:marRight w:val="0"/>
      <w:marTop w:val="0"/>
      <w:marBottom w:val="0"/>
      <w:divBdr>
        <w:top w:val="none" w:sz="0" w:space="0" w:color="auto"/>
        <w:left w:val="none" w:sz="0" w:space="0" w:color="auto"/>
        <w:bottom w:val="none" w:sz="0" w:space="0" w:color="auto"/>
        <w:right w:val="none" w:sz="0" w:space="0" w:color="auto"/>
      </w:divBdr>
    </w:div>
    <w:div w:id="367341227">
      <w:bodyDiv w:val="1"/>
      <w:marLeft w:val="0"/>
      <w:marRight w:val="0"/>
      <w:marTop w:val="0"/>
      <w:marBottom w:val="0"/>
      <w:divBdr>
        <w:top w:val="none" w:sz="0" w:space="0" w:color="auto"/>
        <w:left w:val="none" w:sz="0" w:space="0" w:color="auto"/>
        <w:bottom w:val="none" w:sz="0" w:space="0" w:color="auto"/>
        <w:right w:val="none" w:sz="0" w:space="0" w:color="auto"/>
      </w:divBdr>
    </w:div>
    <w:div w:id="370305921">
      <w:bodyDiv w:val="1"/>
      <w:marLeft w:val="0"/>
      <w:marRight w:val="0"/>
      <w:marTop w:val="0"/>
      <w:marBottom w:val="0"/>
      <w:divBdr>
        <w:top w:val="none" w:sz="0" w:space="0" w:color="auto"/>
        <w:left w:val="none" w:sz="0" w:space="0" w:color="auto"/>
        <w:bottom w:val="none" w:sz="0" w:space="0" w:color="auto"/>
        <w:right w:val="none" w:sz="0" w:space="0" w:color="auto"/>
      </w:divBdr>
    </w:div>
    <w:div w:id="372845489">
      <w:bodyDiv w:val="1"/>
      <w:marLeft w:val="0"/>
      <w:marRight w:val="0"/>
      <w:marTop w:val="0"/>
      <w:marBottom w:val="0"/>
      <w:divBdr>
        <w:top w:val="none" w:sz="0" w:space="0" w:color="auto"/>
        <w:left w:val="none" w:sz="0" w:space="0" w:color="auto"/>
        <w:bottom w:val="none" w:sz="0" w:space="0" w:color="auto"/>
        <w:right w:val="none" w:sz="0" w:space="0" w:color="auto"/>
      </w:divBdr>
    </w:div>
    <w:div w:id="372920608">
      <w:bodyDiv w:val="1"/>
      <w:marLeft w:val="0"/>
      <w:marRight w:val="0"/>
      <w:marTop w:val="0"/>
      <w:marBottom w:val="0"/>
      <w:divBdr>
        <w:top w:val="none" w:sz="0" w:space="0" w:color="auto"/>
        <w:left w:val="none" w:sz="0" w:space="0" w:color="auto"/>
        <w:bottom w:val="none" w:sz="0" w:space="0" w:color="auto"/>
        <w:right w:val="none" w:sz="0" w:space="0" w:color="auto"/>
      </w:divBdr>
    </w:div>
    <w:div w:id="374306494">
      <w:bodyDiv w:val="1"/>
      <w:marLeft w:val="0"/>
      <w:marRight w:val="0"/>
      <w:marTop w:val="0"/>
      <w:marBottom w:val="0"/>
      <w:divBdr>
        <w:top w:val="none" w:sz="0" w:space="0" w:color="auto"/>
        <w:left w:val="none" w:sz="0" w:space="0" w:color="auto"/>
        <w:bottom w:val="none" w:sz="0" w:space="0" w:color="auto"/>
        <w:right w:val="none" w:sz="0" w:space="0" w:color="auto"/>
      </w:divBdr>
    </w:div>
    <w:div w:id="374818779">
      <w:bodyDiv w:val="1"/>
      <w:marLeft w:val="0"/>
      <w:marRight w:val="0"/>
      <w:marTop w:val="0"/>
      <w:marBottom w:val="0"/>
      <w:divBdr>
        <w:top w:val="none" w:sz="0" w:space="0" w:color="auto"/>
        <w:left w:val="none" w:sz="0" w:space="0" w:color="auto"/>
        <w:bottom w:val="none" w:sz="0" w:space="0" w:color="auto"/>
        <w:right w:val="none" w:sz="0" w:space="0" w:color="auto"/>
      </w:divBdr>
    </w:div>
    <w:div w:id="377239147">
      <w:bodyDiv w:val="1"/>
      <w:marLeft w:val="0"/>
      <w:marRight w:val="0"/>
      <w:marTop w:val="0"/>
      <w:marBottom w:val="0"/>
      <w:divBdr>
        <w:top w:val="none" w:sz="0" w:space="0" w:color="auto"/>
        <w:left w:val="none" w:sz="0" w:space="0" w:color="auto"/>
        <w:bottom w:val="none" w:sz="0" w:space="0" w:color="auto"/>
        <w:right w:val="none" w:sz="0" w:space="0" w:color="auto"/>
      </w:divBdr>
    </w:div>
    <w:div w:id="388653584">
      <w:bodyDiv w:val="1"/>
      <w:marLeft w:val="0"/>
      <w:marRight w:val="0"/>
      <w:marTop w:val="0"/>
      <w:marBottom w:val="0"/>
      <w:divBdr>
        <w:top w:val="none" w:sz="0" w:space="0" w:color="auto"/>
        <w:left w:val="none" w:sz="0" w:space="0" w:color="auto"/>
        <w:bottom w:val="none" w:sz="0" w:space="0" w:color="auto"/>
        <w:right w:val="none" w:sz="0" w:space="0" w:color="auto"/>
      </w:divBdr>
    </w:div>
    <w:div w:id="390277274">
      <w:bodyDiv w:val="1"/>
      <w:marLeft w:val="0"/>
      <w:marRight w:val="0"/>
      <w:marTop w:val="0"/>
      <w:marBottom w:val="0"/>
      <w:divBdr>
        <w:top w:val="none" w:sz="0" w:space="0" w:color="auto"/>
        <w:left w:val="none" w:sz="0" w:space="0" w:color="auto"/>
        <w:bottom w:val="none" w:sz="0" w:space="0" w:color="auto"/>
        <w:right w:val="none" w:sz="0" w:space="0" w:color="auto"/>
      </w:divBdr>
    </w:div>
    <w:div w:id="390616554">
      <w:bodyDiv w:val="1"/>
      <w:marLeft w:val="0"/>
      <w:marRight w:val="0"/>
      <w:marTop w:val="0"/>
      <w:marBottom w:val="0"/>
      <w:divBdr>
        <w:top w:val="none" w:sz="0" w:space="0" w:color="auto"/>
        <w:left w:val="none" w:sz="0" w:space="0" w:color="auto"/>
        <w:bottom w:val="none" w:sz="0" w:space="0" w:color="auto"/>
        <w:right w:val="none" w:sz="0" w:space="0" w:color="auto"/>
      </w:divBdr>
    </w:div>
    <w:div w:id="397287407">
      <w:bodyDiv w:val="1"/>
      <w:marLeft w:val="0"/>
      <w:marRight w:val="0"/>
      <w:marTop w:val="0"/>
      <w:marBottom w:val="0"/>
      <w:divBdr>
        <w:top w:val="none" w:sz="0" w:space="0" w:color="auto"/>
        <w:left w:val="none" w:sz="0" w:space="0" w:color="auto"/>
        <w:bottom w:val="none" w:sz="0" w:space="0" w:color="auto"/>
        <w:right w:val="none" w:sz="0" w:space="0" w:color="auto"/>
      </w:divBdr>
    </w:div>
    <w:div w:id="399669633">
      <w:bodyDiv w:val="1"/>
      <w:marLeft w:val="0"/>
      <w:marRight w:val="0"/>
      <w:marTop w:val="0"/>
      <w:marBottom w:val="0"/>
      <w:divBdr>
        <w:top w:val="none" w:sz="0" w:space="0" w:color="auto"/>
        <w:left w:val="none" w:sz="0" w:space="0" w:color="auto"/>
        <w:bottom w:val="none" w:sz="0" w:space="0" w:color="auto"/>
        <w:right w:val="none" w:sz="0" w:space="0" w:color="auto"/>
      </w:divBdr>
    </w:div>
    <w:div w:id="405954364">
      <w:bodyDiv w:val="1"/>
      <w:marLeft w:val="0"/>
      <w:marRight w:val="0"/>
      <w:marTop w:val="0"/>
      <w:marBottom w:val="0"/>
      <w:divBdr>
        <w:top w:val="none" w:sz="0" w:space="0" w:color="auto"/>
        <w:left w:val="none" w:sz="0" w:space="0" w:color="auto"/>
        <w:bottom w:val="none" w:sz="0" w:space="0" w:color="auto"/>
        <w:right w:val="none" w:sz="0" w:space="0" w:color="auto"/>
      </w:divBdr>
    </w:div>
    <w:div w:id="410851236">
      <w:bodyDiv w:val="1"/>
      <w:marLeft w:val="0"/>
      <w:marRight w:val="0"/>
      <w:marTop w:val="0"/>
      <w:marBottom w:val="0"/>
      <w:divBdr>
        <w:top w:val="none" w:sz="0" w:space="0" w:color="auto"/>
        <w:left w:val="none" w:sz="0" w:space="0" w:color="auto"/>
        <w:bottom w:val="none" w:sz="0" w:space="0" w:color="auto"/>
        <w:right w:val="none" w:sz="0" w:space="0" w:color="auto"/>
      </w:divBdr>
    </w:div>
    <w:div w:id="412749735">
      <w:bodyDiv w:val="1"/>
      <w:marLeft w:val="0"/>
      <w:marRight w:val="0"/>
      <w:marTop w:val="0"/>
      <w:marBottom w:val="0"/>
      <w:divBdr>
        <w:top w:val="none" w:sz="0" w:space="0" w:color="auto"/>
        <w:left w:val="none" w:sz="0" w:space="0" w:color="auto"/>
        <w:bottom w:val="none" w:sz="0" w:space="0" w:color="auto"/>
        <w:right w:val="none" w:sz="0" w:space="0" w:color="auto"/>
      </w:divBdr>
    </w:div>
    <w:div w:id="419639101">
      <w:bodyDiv w:val="1"/>
      <w:marLeft w:val="0"/>
      <w:marRight w:val="0"/>
      <w:marTop w:val="0"/>
      <w:marBottom w:val="0"/>
      <w:divBdr>
        <w:top w:val="none" w:sz="0" w:space="0" w:color="auto"/>
        <w:left w:val="none" w:sz="0" w:space="0" w:color="auto"/>
        <w:bottom w:val="none" w:sz="0" w:space="0" w:color="auto"/>
        <w:right w:val="none" w:sz="0" w:space="0" w:color="auto"/>
      </w:divBdr>
    </w:div>
    <w:div w:id="420881983">
      <w:bodyDiv w:val="1"/>
      <w:marLeft w:val="0"/>
      <w:marRight w:val="0"/>
      <w:marTop w:val="0"/>
      <w:marBottom w:val="0"/>
      <w:divBdr>
        <w:top w:val="none" w:sz="0" w:space="0" w:color="auto"/>
        <w:left w:val="none" w:sz="0" w:space="0" w:color="auto"/>
        <w:bottom w:val="none" w:sz="0" w:space="0" w:color="auto"/>
        <w:right w:val="none" w:sz="0" w:space="0" w:color="auto"/>
      </w:divBdr>
    </w:div>
    <w:div w:id="423036449">
      <w:bodyDiv w:val="1"/>
      <w:marLeft w:val="0"/>
      <w:marRight w:val="0"/>
      <w:marTop w:val="0"/>
      <w:marBottom w:val="0"/>
      <w:divBdr>
        <w:top w:val="none" w:sz="0" w:space="0" w:color="auto"/>
        <w:left w:val="none" w:sz="0" w:space="0" w:color="auto"/>
        <w:bottom w:val="none" w:sz="0" w:space="0" w:color="auto"/>
        <w:right w:val="none" w:sz="0" w:space="0" w:color="auto"/>
      </w:divBdr>
    </w:div>
    <w:div w:id="424884326">
      <w:bodyDiv w:val="1"/>
      <w:marLeft w:val="0"/>
      <w:marRight w:val="0"/>
      <w:marTop w:val="0"/>
      <w:marBottom w:val="0"/>
      <w:divBdr>
        <w:top w:val="none" w:sz="0" w:space="0" w:color="auto"/>
        <w:left w:val="none" w:sz="0" w:space="0" w:color="auto"/>
        <w:bottom w:val="none" w:sz="0" w:space="0" w:color="auto"/>
        <w:right w:val="none" w:sz="0" w:space="0" w:color="auto"/>
      </w:divBdr>
    </w:div>
    <w:div w:id="427627126">
      <w:bodyDiv w:val="1"/>
      <w:marLeft w:val="0"/>
      <w:marRight w:val="0"/>
      <w:marTop w:val="0"/>
      <w:marBottom w:val="0"/>
      <w:divBdr>
        <w:top w:val="none" w:sz="0" w:space="0" w:color="auto"/>
        <w:left w:val="none" w:sz="0" w:space="0" w:color="auto"/>
        <w:bottom w:val="none" w:sz="0" w:space="0" w:color="auto"/>
        <w:right w:val="none" w:sz="0" w:space="0" w:color="auto"/>
      </w:divBdr>
    </w:div>
    <w:div w:id="432015531">
      <w:bodyDiv w:val="1"/>
      <w:marLeft w:val="0"/>
      <w:marRight w:val="0"/>
      <w:marTop w:val="0"/>
      <w:marBottom w:val="0"/>
      <w:divBdr>
        <w:top w:val="none" w:sz="0" w:space="0" w:color="auto"/>
        <w:left w:val="none" w:sz="0" w:space="0" w:color="auto"/>
        <w:bottom w:val="none" w:sz="0" w:space="0" w:color="auto"/>
        <w:right w:val="none" w:sz="0" w:space="0" w:color="auto"/>
      </w:divBdr>
    </w:div>
    <w:div w:id="432282918">
      <w:bodyDiv w:val="1"/>
      <w:marLeft w:val="0"/>
      <w:marRight w:val="0"/>
      <w:marTop w:val="0"/>
      <w:marBottom w:val="0"/>
      <w:divBdr>
        <w:top w:val="none" w:sz="0" w:space="0" w:color="auto"/>
        <w:left w:val="none" w:sz="0" w:space="0" w:color="auto"/>
        <w:bottom w:val="none" w:sz="0" w:space="0" w:color="auto"/>
        <w:right w:val="none" w:sz="0" w:space="0" w:color="auto"/>
      </w:divBdr>
    </w:div>
    <w:div w:id="443572980">
      <w:bodyDiv w:val="1"/>
      <w:marLeft w:val="0"/>
      <w:marRight w:val="0"/>
      <w:marTop w:val="0"/>
      <w:marBottom w:val="0"/>
      <w:divBdr>
        <w:top w:val="none" w:sz="0" w:space="0" w:color="auto"/>
        <w:left w:val="none" w:sz="0" w:space="0" w:color="auto"/>
        <w:bottom w:val="none" w:sz="0" w:space="0" w:color="auto"/>
        <w:right w:val="none" w:sz="0" w:space="0" w:color="auto"/>
      </w:divBdr>
    </w:div>
    <w:div w:id="446851452">
      <w:bodyDiv w:val="1"/>
      <w:marLeft w:val="0"/>
      <w:marRight w:val="0"/>
      <w:marTop w:val="0"/>
      <w:marBottom w:val="0"/>
      <w:divBdr>
        <w:top w:val="none" w:sz="0" w:space="0" w:color="auto"/>
        <w:left w:val="none" w:sz="0" w:space="0" w:color="auto"/>
        <w:bottom w:val="none" w:sz="0" w:space="0" w:color="auto"/>
        <w:right w:val="none" w:sz="0" w:space="0" w:color="auto"/>
      </w:divBdr>
    </w:div>
    <w:div w:id="450978917">
      <w:bodyDiv w:val="1"/>
      <w:marLeft w:val="0"/>
      <w:marRight w:val="0"/>
      <w:marTop w:val="0"/>
      <w:marBottom w:val="0"/>
      <w:divBdr>
        <w:top w:val="none" w:sz="0" w:space="0" w:color="auto"/>
        <w:left w:val="none" w:sz="0" w:space="0" w:color="auto"/>
        <w:bottom w:val="none" w:sz="0" w:space="0" w:color="auto"/>
        <w:right w:val="none" w:sz="0" w:space="0" w:color="auto"/>
      </w:divBdr>
    </w:div>
    <w:div w:id="456067859">
      <w:bodyDiv w:val="1"/>
      <w:marLeft w:val="0"/>
      <w:marRight w:val="0"/>
      <w:marTop w:val="0"/>
      <w:marBottom w:val="0"/>
      <w:divBdr>
        <w:top w:val="none" w:sz="0" w:space="0" w:color="auto"/>
        <w:left w:val="none" w:sz="0" w:space="0" w:color="auto"/>
        <w:bottom w:val="none" w:sz="0" w:space="0" w:color="auto"/>
        <w:right w:val="none" w:sz="0" w:space="0" w:color="auto"/>
      </w:divBdr>
    </w:div>
    <w:div w:id="460610393">
      <w:bodyDiv w:val="1"/>
      <w:marLeft w:val="0"/>
      <w:marRight w:val="0"/>
      <w:marTop w:val="0"/>
      <w:marBottom w:val="0"/>
      <w:divBdr>
        <w:top w:val="none" w:sz="0" w:space="0" w:color="auto"/>
        <w:left w:val="none" w:sz="0" w:space="0" w:color="auto"/>
        <w:bottom w:val="none" w:sz="0" w:space="0" w:color="auto"/>
        <w:right w:val="none" w:sz="0" w:space="0" w:color="auto"/>
      </w:divBdr>
    </w:div>
    <w:div w:id="473255163">
      <w:bodyDiv w:val="1"/>
      <w:marLeft w:val="0"/>
      <w:marRight w:val="0"/>
      <w:marTop w:val="0"/>
      <w:marBottom w:val="0"/>
      <w:divBdr>
        <w:top w:val="none" w:sz="0" w:space="0" w:color="auto"/>
        <w:left w:val="none" w:sz="0" w:space="0" w:color="auto"/>
        <w:bottom w:val="none" w:sz="0" w:space="0" w:color="auto"/>
        <w:right w:val="none" w:sz="0" w:space="0" w:color="auto"/>
      </w:divBdr>
    </w:div>
    <w:div w:id="473909504">
      <w:bodyDiv w:val="1"/>
      <w:marLeft w:val="0"/>
      <w:marRight w:val="0"/>
      <w:marTop w:val="0"/>
      <w:marBottom w:val="0"/>
      <w:divBdr>
        <w:top w:val="none" w:sz="0" w:space="0" w:color="auto"/>
        <w:left w:val="none" w:sz="0" w:space="0" w:color="auto"/>
        <w:bottom w:val="none" w:sz="0" w:space="0" w:color="auto"/>
        <w:right w:val="none" w:sz="0" w:space="0" w:color="auto"/>
      </w:divBdr>
    </w:div>
    <w:div w:id="481626539">
      <w:bodyDiv w:val="1"/>
      <w:marLeft w:val="0"/>
      <w:marRight w:val="0"/>
      <w:marTop w:val="0"/>
      <w:marBottom w:val="0"/>
      <w:divBdr>
        <w:top w:val="none" w:sz="0" w:space="0" w:color="auto"/>
        <w:left w:val="none" w:sz="0" w:space="0" w:color="auto"/>
        <w:bottom w:val="none" w:sz="0" w:space="0" w:color="auto"/>
        <w:right w:val="none" w:sz="0" w:space="0" w:color="auto"/>
      </w:divBdr>
    </w:div>
    <w:div w:id="481655073">
      <w:bodyDiv w:val="1"/>
      <w:marLeft w:val="0"/>
      <w:marRight w:val="0"/>
      <w:marTop w:val="0"/>
      <w:marBottom w:val="0"/>
      <w:divBdr>
        <w:top w:val="none" w:sz="0" w:space="0" w:color="auto"/>
        <w:left w:val="none" w:sz="0" w:space="0" w:color="auto"/>
        <w:bottom w:val="none" w:sz="0" w:space="0" w:color="auto"/>
        <w:right w:val="none" w:sz="0" w:space="0" w:color="auto"/>
      </w:divBdr>
    </w:div>
    <w:div w:id="486167717">
      <w:bodyDiv w:val="1"/>
      <w:marLeft w:val="0"/>
      <w:marRight w:val="0"/>
      <w:marTop w:val="0"/>
      <w:marBottom w:val="0"/>
      <w:divBdr>
        <w:top w:val="none" w:sz="0" w:space="0" w:color="auto"/>
        <w:left w:val="none" w:sz="0" w:space="0" w:color="auto"/>
        <w:bottom w:val="none" w:sz="0" w:space="0" w:color="auto"/>
        <w:right w:val="none" w:sz="0" w:space="0" w:color="auto"/>
      </w:divBdr>
    </w:div>
    <w:div w:id="487333517">
      <w:bodyDiv w:val="1"/>
      <w:marLeft w:val="0"/>
      <w:marRight w:val="0"/>
      <w:marTop w:val="0"/>
      <w:marBottom w:val="0"/>
      <w:divBdr>
        <w:top w:val="none" w:sz="0" w:space="0" w:color="auto"/>
        <w:left w:val="none" w:sz="0" w:space="0" w:color="auto"/>
        <w:bottom w:val="none" w:sz="0" w:space="0" w:color="auto"/>
        <w:right w:val="none" w:sz="0" w:space="0" w:color="auto"/>
      </w:divBdr>
    </w:div>
    <w:div w:id="488063899">
      <w:bodyDiv w:val="1"/>
      <w:marLeft w:val="0"/>
      <w:marRight w:val="0"/>
      <w:marTop w:val="0"/>
      <w:marBottom w:val="0"/>
      <w:divBdr>
        <w:top w:val="none" w:sz="0" w:space="0" w:color="auto"/>
        <w:left w:val="none" w:sz="0" w:space="0" w:color="auto"/>
        <w:bottom w:val="none" w:sz="0" w:space="0" w:color="auto"/>
        <w:right w:val="none" w:sz="0" w:space="0" w:color="auto"/>
      </w:divBdr>
    </w:div>
    <w:div w:id="488905834">
      <w:bodyDiv w:val="1"/>
      <w:marLeft w:val="0"/>
      <w:marRight w:val="0"/>
      <w:marTop w:val="0"/>
      <w:marBottom w:val="0"/>
      <w:divBdr>
        <w:top w:val="none" w:sz="0" w:space="0" w:color="auto"/>
        <w:left w:val="none" w:sz="0" w:space="0" w:color="auto"/>
        <w:bottom w:val="none" w:sz="0" w:space="0" w:color="auto"/>
        <w:right w:val="none" w:sz="0" w:space="0" w:color="auto"/>
      </w:divBdr>
    </w:div>
    <w:div w:id="491263386">
      <w:bodyDiv w:val="1"/>
      <w:marLeft w:val="0"/>
      <w:marRight w:val="0"/>
      <w:marTop w:val="0"/>
      <w:marBottom w:val="0"/>
      <w:divBdr>
        <w:top w:val="none" w:sz="0" w:space="0" w:color="auto"/>
        <w:left w:val="none" w:sz="0" w:space="0" w:color="auto"/>
        <w:bottom w:val="none" w:sz="0" w:space="0" w:color="auto"/>
        <w:right w:val="none" w:sz="0" w:space="0" w:color="auto"/>
      </w:divBdr>
    </w:div>
    <w:div w:id="495724695">
      <w:bodyDiv w:val="1"/>
      <w:marLeft w:val="0"/>
      <w:marRight w:val="0"/>
      <w:marTop w:val="0"/>
      <w:marBottom w:val="0"/>
      <w:divBdr>
        <w:top w:val="none" w:sz="0" w:space="0" w:color="auto"/>
        <w:left w:val="none" w:sz="0" w:space="0" w:color="auto"/>
        <w:bottom w:val="none" w:sz="0" w:space="0" w:color="auto"/>
        <w:right w:val="none" w:sz="0" w:space="0" w:color="auto"/>
      </w:divBdr>
    </w:div>
    <w:div w:id="503937722">
      <w:bodyDiv w:val="1"/>
      <w:marLeft w:val="0"/>
      <w:marRight w:val="0"/>
      <w:marTop w:val="0"/>
      <w:marBottom w:val="0"/>
      <w:divBdr>
        <w:top w:val="none" w:sz="0" w:space="0" w:color="auto"/>
        <w:left w:val="none" w:sz="0" w:space="0" w:color="auto"/>
        <w:bottom w:val="none" w:sz="0" w:space="0" w:color="auto"/>
        <w:right w:val="none" w:sz="0" w:space="0" w:color="auto"/>
      </w:divBdr>
    </w:div>
    <w:div w:id="506949020">
      <w:bodyDiv w:val="1"/>
      <w:marLeft w:val="0"/>
      <w:marRight w:val="0"/>
      <w:marTop w:val="0"/>
      <w:marBottom w:val="0"/>
      <w:divBdr>
        <w:top w:val="none" w:sz="0" w:space="0" w:color="auto"/>
        <w:left w:val="none" w:sz="0" w:space="0" w:color="auto"/>
        <w:bottom w:val="none" w:sz="0" w:space="0" w:color="auto"/>
        <w:right w:val="none" w:sz="0" w:space="0" w:color="auto"/>
      </w:divBdr>
    </w:div>
    <w:div w:id="514081250">
      <w:bodyDiv w:val="1"/>
      <w:marLeft w:val="0"/>
      <w:marRight w:val="0"/>
      <w:marTop w:val="0"/>
      <w:marBottom w:val="0"/>
      <w:divBdr>
        <w:top w:val="none" w:sz="0" w:space="0" w:color="auto"/>
        <w:left w:val="none" w:sz="0" w:space="0" w:color="auto"/>
        <w:bottom w:val="none" w:sz="0" w:space="0" w:color="auto"/>
        <w:right w:val="none" w:sz="0" w:space="0" w:color="auto"/>
      </w:divBdr>
    </w:div>
    <w:div w:id="522868296">
      <w:bodyDiv w:val="1"/>
      <w:marLeft w:val="0"/>
      <w:marRight w:val="0"/>
      <w:marTop w:val="0"/>
      <w:marBottom w:val="0"/>
      <w:divBdr>
        <w:top w:val="none" w:sz="0" w:space="0" w:color="auto"/>
        <w:left w:val="none" w:sz="0" w:space="0" w:color="auto"/>
        <w:bottom w:val="none" w:sz="0" w:space="0" w:color="auto"/>
        <w:right w:val="none" w:sz="0" w:space="0" w:color="auto"/>
      </w:divBdr>
    </w:div>
    <w:div w:id="525795361">
      <w:bodyDiv w:val="1"/>
      <w:marLeft w:val="0"/>
      <w:marRight w:val="0"/>
      <w:marTop w:val="0"/>
      <w:marBottom w:val="0"/>
      <w:divBdr>
        <w:top w:val="none" w:sz="0" w:space="0" w:color="auto"/>
        <w:left w:val="none" w:sz="0" w:space="0" w:color="auto"/>
        <w:bottom w:val="none" w:sz="0" w:space="0" w:color="auto"/>
        <w:right w:val="none" w:sz="0" w:space="0" w:color="auto"/>
      </w:divBdr>
    </w:div>
    <w:div w:id="529494542">
      <w:bodyDiv w:val="1"/>
      <w:marLeft w:val="0"/>
      <w:marRight w:val="0"/>
      <w:marTop w:val="0"/>
      <w:marBottom w:val="0"/>
      <w:divBdr>
        <w:top w:val="none" w:sz="0" w:space="0" w:color="auto"/>
        <w:left w:val="none" w:sz="0" w:space="0" w:color="auto"/>
        <w:bottom w:val="none" w:sz="0" w:space="0" w:color="auto"/>
        <w:right w:val="none" w:sz="0" w:space="0" w:color="auto"/>
      </w:divBdr>
    </w:div>
    <w:div w:id="533153940">
      <w:bodyDiv w:val="1"/>
      <w:marLeft w:val="0"/>
      <w:marRight w:val="0"/>
      <w:marTop w:val="0"/>
      <w:marBottom w:val="0"/>
      <w:divBdr>
        <w:top w:val="none" w:sz="0" w:space="0" w:color="auto"/>
        <w:left w:val="none" w:sz="0" w:space="0" w:color="auto"/>
        <w:bottom w:val="none" w:sz="0" w:space="0" w:color="auto"/>
        <w:right w:val="none" w:sz="0" w:space="0" w:color="auto"/>
      </w:divBdr>
    </w:div>
    <w:div w:id="538399946">
      <w:bodyDiv w:val="1"/>
      <w:marLeft w:val="0"/>
      <w:marRight w:val="0"/>
      <w:marTop w:val="0"/>
      <w:marBottom w:val="0"/>
      <w:divBdr>
        <w:top w:val="none" w:sz="0" w:space="0" w:color="auto"/>
        <w:left w:val="none" w:sz="0" w:space="0" w:color="auto"/>
        <w:bottom w:val="none" w:sz="0" w:space="0" w:color="auto"/>
        <w:right w:val="none" w:sz="0" w:space="0" w:color="auto"/>
      </w:divBdr>
    </w:div>
    <w:div w:id="539825005">
      <w:bodyDiv w:val="1"/>
      <w:marLeft w:val="0"/>
      <w:marRight w:val="0"/>
      <w:marTop w:val="0"/>
      <w:marBottom w:val="0"/>
      <w:divBdr>
        <w:top w:val="none" w:sz="0" w:space="0" w:color="auto"/>
        <w:left w:val="none" w:sz="0" w:space="0" w:color="auto"/>
        <w:bottom w:val="none" w:sz="0" w:space="0" w:color="auto"/>
        <w:right w:val="none" w:sz="0" w:space="0" w:color="auto"/>
      </w:divBdr>
    </w:div>
    <w:div w:id="540020516">
      <w:bodyDiv w:val="1"/>
      <w:marLeft w:val="0"/>
      <w:marRight w:val="0"/>
      <w:marTop w:val="0"/>
      <w:marBottom w:val="0"/>
      <w:divBdr>
        <w:top w:val="none" w:sz="0" w:space="0" w:color="auto"/>
        <w:left w:val="none" w:sz="0" w:space="0" w:color="auto"/>
        <w:bottom w:val="none" w:sz="0" w:space="0" w:color="auto"/>
        <w:right w:val="none" w:sz="0" w:space="0" w:color="auto"/>
      </w:divBdr>
    </w:div>
    <w:div w:id="543753041">
      <w:bodyDiv w:val="1"/>
      <w:marLeft w:val="0"/>
      <w:marRight w:val="0"/>
      <w:marTop w:val="0"/>
      <w:marBottom w:val="0"/>
      <w:divBdr>
        <w:top w:val="none" w:sz="0" w:space="0" w:color="auto"/>
        <w:left w:val="none" w:sz="0" w:space="0" w:color="auto"/>
        <w:bottom w:val="none" w:sz="0" w:space="0" w:color="auto"/>
        <w:right w:val="none" w:sz="0" w:space="0" w:color="auto"/>
      </w:divBdr>
    </w:div>
    <w:div w:id="553928912">
      <w:bodyDiv w:val="1"/>
      <w:marLeft w:val="0"/>
      <w:marRight w:val="0"/>
      <w:marTop w:val="0"/>
      <w:marBottom w:val="0"/>
      <w:divBdr>
        <w:top w:val="none" w:sz="0" w:space="0" w:color="auto"/>
        <w:left w:val="none" w:sz="0" w:space="0" w:color="auto"/>
        <w:bottom w:val="none" w:sz="0" w:space="0" w:color="auto"/>
        <w:right w:val="none" w:sz="0" w:space="0" w:color="auto"/>
      </w:divBdr>
    </w:div>
    <w:div w:id="560948144">
      <w:bodyDiv w:val="1"/>
      <w:marLeft w:val="0"/>
      <w:marRight w:val="0"/>
      <w:marTop w:val="0"/>
      <w:marBottom w:val="0"/>
      <w:divBdr>
        <w:top w:val="none" w:sz="0" w:space="0" w:color="auto"/>
        <w:left w:val="none" w:sz="0" w:space="0" w:color="auto"/>
        <w:bottom w:val="none" w:sz="0" w:space="0" w:color="auto"/>
        <w:right w:val="none" w:sz="0" w:space="0" w:color="auto"/>
      </w:divBdr>
    </w:div>
    <w:div w:id="561447551">
      <w:bodyDiv w:val="1"/>
      <w:marLeft w:val="0"/>
      <w:marRight w:val="0"/>
      <w:marTop w:val="0"/>
      <w:marBottom w:val="0"/>
      <w:divBdr>
        <w:top w:val="none" w:sz="0" w:space="0" w:color="auto"/>
        <w:left w:val="none" w:sz="0" w:space="0" w:color="auto"/>
        <w:bottom w:val="none" w:sz="0" w:space="0" w:color="auto"/>
        <w:right w:val="none" w:sz="0" w:space="0" w:color="auto"/>
      </w:divBdr>
    </w:div>
    <w:div w:id="564221544">
      <w:bodyDiv w:val="1"/>
      <w:marLeft w:val="0"/>
      <w:marRight w:val="0"/>
      <w:marTop w:val="0"/>
      <w:marBottom w:val="0"/>
      <w:divBdr>
        <w:top w:val="none" w:sz="0" w:space="0" w:color="auto"/>
        <w:left w:val="none" w:sz="0" w:space="0" w:color="auto"/>
        <w:bottom w:val="none" w:sz="0" w:space="0" w:color="auto"/>
        <w:right w:val="none" w:sz="0" w:space="0" w:color="auto"/>
      </w:divBdr>
    </w:div>
    <w:div w:id="571308920">
      <w:bodyDiv w:val="1"/>
      <w:marLeft w:val="0"/>
      <w:marRight w:val="0"/>
      <w:marTop w:val="0"/>
      <w:marBottom w:val="0"/>
      <w:divBdr>
        <w:top w:val="none" w:sz="0" w:space="0" w:color="auto"/>
        <w:left w:val="none" w:sz="0" w:space="0" w:color="auto"/>
        <w:bottom w:val="none" w:sz="0" w:space="0" w:color="auto"/>
        <w:right w:val="none" w:sz="0" w:space="0" w:color="auto"/>
      </w:divBdr>
    </w:div>
    <w:div w:id="573011367">
      <w:bodyDiv w:val="1"/>
      <w:marLeft w:val="0"/>
      <w:marRight w:val="0"/>
      <w:marTop w:val="0"/>
      <w:marBottom w:val="0"/>
      <w:divBdr>
        <w:top w:val="none" w:sz="0" w:space="0" w:color="auto"/>
        <w:left w:val="none" w:sz="0" w:space="0" w:color="auto"/>
        <w:bottom w:val="none" w:sz="0" w:space="0" w:color="auto"/>
        <w:right w:val="none" w:sz="0" w:space="0" w:color="auto"/>
      </w:divBdr>
    </w:div>
    <w:div w:id="583951510">
      <w:bodyDiv w:val="1"/>
      <w:marLeft w:val="0"/>
      <w:marRight w:val="0"/>
      <w:marTop w:val="0"/>
      <w:marBottom w:val="0"/>
      <w:divBdr>
        <w:top w:val="none" w:sz="0" w:space="0" w:color="auto"/>
        <w:left w:val="none" w:sz="0" w:space="0" w:color="auto"/>
        <w:bottom w:val="none" w:sz="0" w:space="0" w:color="auto"/>
        <w:right w:val="none" w:sz="0" w:space="0" w:color="auto"/>
      </w:divBdr>
    </w:div>
    <w:div w:id="586959624">
      <w:bodyDiv w:val="1"/>
      <w:marLeft w:val="0"/>
      <w:marRight w:val="0"/>
      <w:marTop w:val="0"/>
      <w:marBottom w:val="0"/>
      <w:divBdr>
        <w:top w:val="none" w:sz="0" w:space="0" w:color="auto"/>
        <w:left w:val="none" w:sz="0" w:space="0" w:color="auto"/>
        <w:bottom w:val="none" w:sz="0" w:space="0" w:color="auto"/>
        <w:right w:val="none" w:sz="0" w:space="0" w:color="auto"/>
      </w:divBdr>
    </w:div>
    <w:div w:id="589201183">
      <w:bodyDiv w:val="1"/>
      <w:marLeft w:val="0"/>
      <w:marRight w:val="0"/>
      <w:marTop w:val="0"/>
      <w:marBottom w:val="0"/>
      <w:divBdr>
        <w:top w:val="none" w:sz="0" w:space="0" w:color="auto"/>
        <w:left w:val="none" w:sz="0" w:space="0" w:color="auto"/>
        <w:bottom w:val="none" w:sz="0" w:space="0" w:color="auto"/>
        <w:right w:val="none" w:sz="0" w:space="0" w:color="auto"/>
      </w:divBdr>
    </w:div>
    <w:div w:id="596060381">
      <w:bodyDiv w:val="1"/>
      <w:marLeft w:val="0"/>
      <w:marRight w:val="0"/>
      <w:marTop w:val="0"/>
      <w:marBottom w:val="0"/>
      <w:divBdr>
        <w:top w:val="none" w:sz="0" w:space="0" w:color="auto"/>
        <w:left w:val="none" w:sz="0" w:space="0" w:color="auto"/>
        <w:bottom w:val="none" w:sz="0" w:space="0" w:color="auto"/>
        <w:right w:val="none" w:sz="0" w:space="0" w:color="auto"/>
      </w:divBdr>
    </w:div>
    <w:div w:id="597953893">
      <w:bodyDiv w:val="1"/>
      <w:marLeft w:val="0"/>
      <w:marRight w:val="0"/>
      <w:marTop w:val="0"/>
      <w:marBottom w:val="0"/>
      <w:divBdr>
        <w:top w:val="none" w:sz="0" w:space="0" w:color="auto"/>
        <w:left w:val="none" w:sz="0" w:space="0" w:color="auto"/>
        <w:bottom w:val="none" w:sz="0" w:space="0" w:color="auto"/>
        <w:right w:val="none" w:sz="0" w:space="0" w:color="auto"/>
      </w:divBdr>
    </w:div>
    <w:div w:id="600258655">
      <w:bodyDiv w:val="1"/>
      <w:marLeft w:val="0"/>
      <w:marRight w:val="0"/>
      <w:marTop w:val="0"/>
      <w:marBottom w:val="0"/>
      <w:divBdr>
        <w:top w:val="none" w:sz="0" w:space="0" w:color="auto"/>
        <w:left w:val="none" w:sz="0" w:space="0" w:color="auto"/>
        <w:bottom w:val="none" w:sz="0" w:space="0" w:color="auto"/>
        <w:right w:val="none" w:sz="0" w:space="0" w:color="auto"/>
      </w:divBdr>
    </w:div>
    <w:div w:id="601498071">
      <w:bodyDiv w:val="1"/>
      <w:marLeft w:val="0"/>
      <w:marRight w:val="0"/>
      <w:marTop w:val="0"/>
      <w:marBottom w:val="0"/>
      <w:divBdr>
        <w:top w:val="none" w:sz="0" w:space="0" w:color="auto"/>
        <w:left w:val="none" w:sz="0" w:space="0" w:color="auto"/>
        <w:bottom w:val="none" w:sz="0" w:space="0" w:color="auto"/>
        <w:right w:val="none" w:sz="0" w:space="0" w:color="auto"/>
      </w:divBdr>
    </w:div>
    <w:div w:id="601913073">
      <w:bodyDiv w:val="1"/>
      <w:marLeft w:val="0"/>
      <w:marRight w:val="0"/>
      <w:marTop w:val="0"/>
      <w:marBottom w:val="0"/>
      <w:divBdr>
        <w:top w:val="none" w:sz="0" w:space="0" w:color="auto"/>
        <w:left w:val="none" w:sz="0" w:space="0" w:color="auto"/>
        <w:bottom w:val="none" w:sz="0" w:space="0" w:color="auto"/>
        <w:right w:val="none" w:sz="0" w:space="0" w:color="auto"/>
      </w:divBdr>
    </w:div>
    <w:div w:id="620498114">
      <w:bodyDiv w:val="1"/>
      <w:marLeft w:val="0"/>
      <w:marRight w:val="0"/>
      <w:marTop w:val="0"/>
      <w:marBottom w:val="0"/>
      <w:divBdr>
        <w:top w:val="none" w:sz="0" w:space="0" w:color="auto"/>
        <w:left w:val="none" w:sz="0" w:space="0" w:color="auto"/>
        <w:bottom w:val="none" w:sz="0" w:space="0" w:color="auto"/>
        <w:right w:val="none" w:sz="0" w:space="0" w:color="auto"/>
      </w:divBdr>
    </w:div>
    <w:div w:id="635644523">
      <w:bodyDiv w:val="1"/>
      <w:marLeft w:val="0"/>
      <w:marRight w:val="0"/>
      <w:marTop w:val="0"/>
      <w:marBottom w:val="0"/>
      <w:divBdr>
        <w:top w:val="none" w:sz="0" w:space="0" w:color="auto"/>
        <w:left w:val="none" w:sz="0" w:space="0" w:color="auto"/>
        <w:bottom w:val="none" w:sz="0" w:space="0" w:color="auto"/>
        <w:right w:val="none" w:sz="0" w:space="0" w:color="auto"/>
      </w:divBdr>
    </w:div>
    <w:div w:id="642394123">
      <w:bodyDiv w:val="1"/>
      <w:marLeft w:val="0"/>
      <w:marRight w:val="0"/>
      <w:marTop w:val="0"/>
      <w:marBottom w:val="0"/>
      <w:divBdr>
        <w:top w:val="none" w:sz="0" w:space="0" w:color="auto"/>
        <w:left w:val="none" w:sz="0" w:space="0" w:color="auto"/>
        <w:bottom w:val="none" w:sz="0" w:space="0" w:color="auto"/>
        <w:right w:val="none" w:sz="0" w:space="0" w:color="auto"/>
      </w:divBdr>
    </w:div>
    <w:div w:id="643463892">
      <w:bodyDiv w:val="1"/>
      <w:marLeft w:val="0"/>
      <w:marRight w:val="0"/>
      <w:marTop w:val="0"/>
      <w:marBottom w:val="0"/>
      <w:divBdr>
        <w:top w:val="none" w:sz="0" w:space="0" w:color="auto"/>
        <w:left w:val="none" w:sz="0" w:space="0" w:color="auto"/>
        <w:bottom w:val="none" w:sz="0" w:space="0" w:color="auto"/>
        <w:right w:val="none" w:sz="0" w:space="0" w:color="auto"/>
      </w:divBdr>
    </w:div>
    <w:div w:id="643855692">
      <w:bodyDiv w:val="1"/>
      <w:marLeft w:val="0"/>
      <w:marRight w:val="0"/>
      <w:marTop w:val="0"/>
      <w:marBottom w:val="0"/>
      <w:divBdr>
        <w:top w:val="none" w:sz="0" w:space="0" w:color="auto"/>
        <w:left w:val="none" w:sz="0" w:space="0" w:color="auto"/>
        <w:bottom w:val="none" w:sz="0" w:space="0" w:color="auto"/>
        <w:right w:val="none" w:sz="0" w:space="0" w:color="auto"/>
      </w:divBdr>
    </w:div>
    <w:div w:id="649601726">
      <w:bodyDiv w:val="1"/>
      <w:marLeft w:val="0"/>
      <w:marRight w:val="0"/>
      <w:marTop w:val="0"/>
      <w:marBottom w:val="0"/>
      <w:divBdr>
        <w:top w:val="none" w:sz="0" w:space="0" w:color="auto"/>
        <w:left w:val="none" w:sz="0" w:space="0" w:color="auto"/>
        <w:bottom w:val="none" w:sz="0" w:space="0" w:color="auto"/>
        <w:right w:val="none" w:sz="0" w:space="0" w:color="auto"/>
      </w:divBdr>
    </w:div>
    <w:div w:id="651566921">
      <w:bodyDiv w:val="1"/>
      <w:marLeft w:val="0"/>
      <w:marRight w:val="0"/>
      <w:marTop w:val="0"/>
      <w:marBottom w:val="0"/>
      <w:divBdr>
        <w:top w:val="none" w:sz="0" w:space="0" w:color="auto"/>
        <w:left w:val="none" w:sz="0" w:space="0" w:color="auto"/>
        <w:bottom w:val="none" w:sz="0" w:space="0" w:color="auto"/>
        <w:right w:val="none" w:sz="0" w:space="0" w:color="auto"/>
      </w:divBdr>
    </w:div>
    <w:div w:id="652374939">
      <w:bodyDiv w:val="1"/>
      <w:marLeft w:val="0"/>
      <w:marRight w:val="0"/>
      <w:marTop w:val="0"/>
      <w:marBottom w:val="0"/>
      <w:divBdr>
        <w:top w:val="none" w:sz="0" w:space="0" w:color="auto"/>
        <w:left w:val="none" w:sz="0" w:space="0" w:color="auto"/>
        <w:bottom w:val="none" w:sz="0" w:space="0" w:color="auto"/>
        <w:right w:val="none" w:sz="0" w:space="0" w:color="auto"/>
      </w:divBdr>
    </w:div>
    <w:div w:id="654189505">
      <w:bodyDiv w:val="1"/>
      <w:marLeft w:val="0"/>
      <w:marRight w:val="0"/>
      <w:marTop w:val="0"/>
      <w:marBottom w:val="0"/>
      <w:divBdr>
        <w:top w:val="none" w:sz="0" w:space="0" w:color="auto"/>
        <w:left w:val="none" w:sz="0" w:space="0" w:color="auto"/>
        <w:bottom w:val="none" w:sz="0" w:space="0" w:color="auto"/>
        <w:right w:val="none" w:sz="0" w:space="0" w:color="auto"/>
      </w:divBdr>
    </w:div>
    <w:div w:id="655110741">
      <w:bodyDiv w:val="1"/>
      <w:marLeft w:val="0"/>
      <w:marRight w:val="0"/>
      <w:marTop w:val="0"/>
      <w:marBottom w:val="0"/>
      <w:divBdr>
        <w:top w:val="none" w:sz="0" w:space="0" w:color="auto"/>
        <w:left w:val="none" w:sz="0" w:space="0" w:color="auto"/>
        <w:bottom w:val="none" w:sz="0" w:space="0" w:color="auto"/>
        <w:right w:val="none" w:sz="0" w:space="0" w:color="auto"/>
      </w:divBdr>
    </w:div>
    <w:div w:id="662003940">
      <w:bodyDiv w:val="1"/>
      <w:marLeft w:val="0"/>
      <w:marRight w:val="0"/>
      <w:marTop w:val="0"/>
      <w:marBottom w:val="0"/>
      <w:divBdr>
        <w:top w:val="none" w:sz="0" w:space="0" w:color="auto"/>
        <w:left w:val="none" w:sz="0" w:space="0" w:color="auto"/>
        <w:bottom w:val="none" w:sz="0" w:space="0" w:color="auto"/>
        <w:right w:val="none" w:sz="0" w:space="0" w:color="auto"/>
      </w:divBdr>
    </w:div>
    <w:div w:id="665667487">
      <w:bodyDiv w:val="1"/>
      <w:marLeft w:val="0"/>
      <w:marRight w:val="0"/>
      <w:marTop w:val="0"/>
      <w:marBottom w:val="0"/>
      <w:divBdr>
        <w:top w:val="none" w:sz="0" w:space="0" w:color="auto"/>
        <w:left w:val="none" w:sz="0" w:space="0" w:color="auto"/>
        <w:bottom w:val="none" w:sz="0" w:space="0" w:color="auto"/>
        <w:right w:val="none" w:sz="0" w:space="0" w:color="auto"/>
      </w:divBdr>
    </w:div>
    <w:div w:id="666790494">
      <w:bodyDiv w:val="1"/>
      <w:marLeft w:val="0"/>
      <w:marRight w:val="0"/>
      <w:marTop w:val="0"/>
      <w:marBottom w:val="0"/>
      <w:divBdr>
        <w:top w:val="none" w:sz="0" w:space="0" w:color="auto"/>
        <w:left w:val="none" w:sz="0" w:space="0" w:color="auto"/>
        <w:bottom w:val="none" w:sz="0" w:space="0" w:color="auto"/>
        <w:right w:val="none" w:sz="0" w:space="0" w:color="auto"/>
      </w:divBdr>
    </w:div>
    <w:div w:id="672150986">
      <w:bodyDiv w:val="1"/>
      <w:marLeft w:val="0"/>
      <w:marRight w:val="0"/>
      <w:marTop w:val="0"/>
      <w:marBottom w:val="0"/>
      <w:divBdr>
        <w:top w:val="none" w:sz="0" w:space="0" w:color="auto"/>
        <w:left w:val="none" w:sz="0" w:space="0" w:color="auto"/>
        <w:bottom w:val="none" w:sz="0" w:space="0" w:color="auto"/>
        <w:right w:val="none" w:sz="0" w:space="0" w:color="auto"/>
      </w:divBdr>
    </w:div>
    <w:div w:id="685600268">
      <w:bodyDiv w:val="1"/>
      <w:marLeft w:val="0"/>
      <w:marRight w:val="0"/>
      <w:marTop w:val="0"/>
      <w:marBottom w:val="0"/>
      <w:divBdr>
        <w:top w:val="none" w:sz="0" w:space="0" w:color="auto"/>
        <w:left w:val="none" w:sz="0" w:space="0" w:color="auto"/>
        <w:bottom w:val="none" w:sz="0" w:space="0" w:color="auto"/>
        <w:right w:val="none" w:sz="0" w:space="0" w:color="auto"/>
      </w:divBdr>
    </w:div>
    <w:div w:id="694697598">
      <w:bodyDiv w:val="1"/>
      <w:marLeft w:val="0"/>
      <w:marRight w:val="0"/>
      <w:marTop w:val="0"/>
      <w:marBottom w:val="0"/>
      <w:divBdr>
        <w:top w:val="none" w:sz="0" w:space="0" w:color="auto"/>
        <w:left w:val="none" w:sz="0" w:space="0" w:color="auto"/>
        <w:bottom w:val="none" w:sz="0" w:space="0" w:color="auto"/>
        <w:right w:val="none" w:sz="0" w:space="0" w:color="auto"/>
      </w:divBdr>
    </w:div>
    <w:div w:id="695697275">
      <w:bodyDiv w:val="1"/>
      <w:marLeft w:val="0"/>
      <w:marRight w:val="0"/>
      <w:marTop w:val="0"/>
      <w:marBottom w:val="0"/>
      <w:divBdr>
        <w:top w:val="none" w:sz="0" w:space="0" w:color="auto"/>
        <w:left w:val="none" w:sz="0" w:space="0" w:color="auto"/>
        <w:bottom w:val="none" w:sz="0" w:space="0" w:color="auto"/>
        <w:right w:val="none" w:sz="0" w:space="0" w:color="auto"/>
      </w:divBdr>
    </w:div>
    <w:div w:id="699209866">
      <w:bodyDiv w:val="1"/>
      <w:marLeft w:val="0"/>
      <w:marRight w:val="0"/>
      <w:marTop w:val="0"/>
      <w:marBottom w:val="0"/>
      <w:divBdr>
        <w:top w:val="none" w:sz="0" w:space="0" w:color="auto"/>
        <w:left w:val="none" w:sz="0" w:space="0" w:color="auto"/>
        <w:bottom w:val="none" w:sz="0" w:space="0" w:color="auto"/>
        <w:right w:val="none" w:sz="0" w:space="0" w:color="auto"/>
      </w:divBdr>
    </w:div>
    <w:div w:id="705251348">
      <w:bodyDiv w:val="1"/>
      <w:marLeft w:val="0"/>
      <w:marRight w:val="0"/>
      <w:marTop w:val="0"/>
      <w:marBottom w:val="0"/>
      <w:divBdr>
        <w:top w:val="none" w:sz="0" w:space="0" w:color="auto"/>
        <w:left w:val="none" w:sz="0" w:space="0" w:color="auto"/>
        <w:bottom w:val="none" w:sz="0" w:space="0" w:color="auto"/>
        <w:right w:val="none" w:sz="0" w:space="0" w:color="auto"/>
      </w:divBdr>
    </w:div>
    <w:div w:id="718669889">
      <w:bodyDiv w:val="1"/>
      <w:marLeft w:val="0"/>
      <w:marRight w:val="0"/>
      <w:marTop w:val="0"/>
      <w:marBottom w:val="0"/>
      <w:divBdr>
        <w:top w:val="none" w:sz="0" w:space="0" w:color="auto"/>
        <w:left w:val="none" w:sz="0" w:space="0" w:color="auto"/>
        <w:bottom w:val="none" w:sz="0" w:space="0" w:color="auto"/>
        <w:right w:val="none" w:sz="0" w:space="0" w:color="auto"/>
      </w:divBdr>
    </w:div>
    <w:div w:id="725221889">
      <w:bodyDiv w:val="1"/>
      <w:marLeft w:val="0"/>
      <w:marRight w:val="0"/>
      <w:marTop w:val="0"/>
      <w:marBottom w:val="0"/>
      <w:divBdr>
        <w:top w:val="none" w:sz="0" w:space="0" w:color="auto"/>
        <w:left w:val="none" w:sz="0" w:space="0" w:color="auto"/>
        <w:bottom w:val="none" w:sz="0" w:space="0" w:color="auto"/>
        <w:right w:val="none" w:sz="0" w:space="0" w:color="auto"/>
      </w:divBdr>
    </w:div>
    <w:div w:id="726537590">
      <w:bodyDiv w:val="1"/>
      <w:marLeft w:val="0"/>
      <w:marRight w:val="0"/>
      <w:marTop w:val="0"/>
      <w:marBottom w:val="0"/>
      <w:divBdr>
        <w:top w:val="none" w:sz="0" w:space="0" w:color="auto"/>
        <w:left w:val="none" w:sz="0" w:space="0" w:color="auto"/>
        <w:bottom w:val="none" w:sz="0" w:space="0" w:color="auto"/>
        <w:right w:val="none" w:sz="0" w:space="0" w:color="auto"/>
      </w:divBdr>
    </w:div>
    <w:div w:id="732889454">
      <w:bodyDiv w:val="1"/>
      <w:marLeft w:val="0"/>
      <w:marRight w:val="0"/>
      <w:marTop w:val="0"/>
      <w:marBottom w:val="0"/>
      <w:divBdr>
        <w:top w:val="none" w:sz="0" w:space="0" w:color="auto"/>
        <w:left w:val="none" w:sz="0" w:space="0" w:color="auto"/>
        <w:bottom w:val="none" w:sz="0" w:space="0" w:color="auto"/>
        <w:right w:val="none" w:sz="0" w:space="0" w:color="auto"/>
      </w:divBdr>
    </w:div>
    <w:div w:id="740643828">
      <w:bodyDiv w:val="1"/>
      <w:marLeft w:val="0"/>
      <w:marRight w:val="0"/>
      <w:marTop w:val="0"/>
      <w:marBottom w:val="0"/>
      <w:divBdr>
        <w:top w:val="none" w:sz="0" w:space="0" w:color="auto"/>
        <w:left w:val="none" w:sz="0" w:space="0" w:color="auto"/>
        <w:bottom w:val="none" w:sz="0" w:space="0" w:color="auto"/>
        <w:right w:val="none" w:sz="0" w:space="0" w:color="auto"/>
      </w:divBdr>
    </w:div>
    <w:div w:id="741755450">
      <w:bodyDiv w:val="1"/>
      <w:marLeft w:val="0"/>
      <w:marRight w:val="0"/>
      <w:marTop w:val="0"/>
      <w:marBottom w:val="0"/>
      <w:divBdr>
        <w:top w:val="none" w:sz="0" w:space="0" w:color="auto"/>
        <w:left w:val="none" w:sz="0" w:space="0" w:color="auto"/>
        <w:bottom w:val="none" w:sz="0" w:space="0" w:color="auto"/>
        <w:right w:val="none" w:sz="0" w:space="0" w:color="auto"/>
      </w:divBdr>
    </w:div>
    <w:div w:id="746537349">
      <w:bodyDiv w:val="1"/>
      <w:marLeft w:val="0"/>
      <w:marRight w:val="0"/>
      <w:marTop w:val="0"/>
      <w:marBottom w:val="0"/>
      <w:divBdr>
        <w:top w:val="none" w:sz="0" w:space="0" w:color="auto"/>
        <w:left w:val="none" w:sz="0" w:space="0" w:color="auto"/>
        <w:bottom w:val="none" w:sz="0" w:space="0" w:color="auto"/>
        <w:right w:val="none" w:sz="0" w:space="0" w:color="auto"/>
      </w:divBdr>
    </w:div>
    <w:div w:id="748618625">
      <w:bodyDiv w:val="1"/>
      <w:marLeft w:val="0"/>
      <w:marRight w:val="0"/>
      <w:marTop w:val="0"/>
      <w:marBottom w:val="0"/>
      <w:divBdr>
        <w:top w:val="none" w:sz="0" w:space="0" w:color="auto"/>
        <w:left w:val="none" w:sz="0" w:space="0" w:color="auto"/>
        <w:bottom w:val="none" w:sz="0" w:space="0" w:color="auto"/>
        <w:right w:val="none" w:sz="0" w:space="0" w:color="auto"/>
      </w:divBdr>
    </w:div>
    <w:div w:id="751663902">
      <w:bodyDiv w:val="1"/>
      <w:marLeft w:val="0"/>
      <w:marRight w:val="0"/>
      <w:marTop w:val="0"/>
      <w:marBottom w:val="0"/>
      <w:divBdr>
        <w:top w:val="none" w:sz="0" w:space="0" w:color="auto"/>
        <w:left w:val="none" w:sz="0" w:space="0" w:color="auto"/>
        <w:bottom w:val="none" w:sz="0" w:space="0" w:color="auto"/>
        <w:right w:val="none" w:sz="0" w:space="0" w:color="auto"/>
      </w:divBdr>
    </w:div>
    <w:div w:id="751778427">
      <w:bodyDiv w:val="1"/>
      <w:marLeft w:val="0"/>
      <w:marRight w:val="0"/>
      <w:marTop w:val="0"/>
      <w:marBottom w:val="0"/>
      <w:divBdr>
        <w:top w:val="none" w:sz="0" w:space="0" w:color="auto"/>
        <w:left w:val="none" w:sz="0" w:space="0" w:color="auto"/>
        <w:bottom w:val="none" w:sz="0" w:space="0" w:color="auto"/>
        <w:right w:val="none" w:sz="0" w:space="0" w:color="auto"/>
      </w:divBdr>
    </w:div>
    <w:div w:id="753622068">
      <w:bodyDiv w:val="1"/>
      <w:marLeft w:val="0"/>
      <w:marRight w:val="0"/>
      <w:marTop w:val="0"/>
      <w:marBottom w:val="0"/>
      <w:divBdr>
        <w:top w:val="none" w:sz="0" w:space="0" w:color="auto"/>
        <w:left w:val="none" w:sz="0" w:space="0" w:color="auto"/>
        <w:bottom w:val="none" w:sz="0" w:space="0" w:color="auto"/>
        <w:right w:val="none" w:sz="0" w:space="0" w:color="auto"/>
      </w:divBdr>
    </w:div>
    <w:div w:id="757211792">
      <w:bodyDiv w:val="1"/>
      <w:marLeft w:val="0"/>
      <w:marRight w:val="0"/>
      <w:marTop w:val="0"/>
      <w:marBottom w:val="0"/>
      <w:divBdr>
        <w:top w:val="none" w:sz="0" w:space="0" w:color="auto"/>
        <w:left w:val="none" w:sz="0" w:space="0" w:color="auto"/>
        <w:bottom w:val="none" w:sz="0" w:space="0" w:color="auto"/>
        <w:right w:val="none" w:sz="0" w:space="0" w:color="auto"/>
      </w:divBdr>
    </w:div>
    <w:div w:id="758212879">
      <w:bodyDiv w:val="1"/>
      <w:marLeft w:val="0"/>
      <w:marRight w:val="0"/>
      <w:marTop w:val="0"/>
      <w:marBottom w:val="0"/>
      <w:divBdr>
        <w:top w:val="none" w:sz="0" w:space="0" w:color="auto"/>
        <w:left w:val="none" w:sz="0" w:space="0" w:color="auto"/>
        <w:bottom w:val="none" w:sz="0" w:space="0" w:color="auto"/>
        <w:right w:val="none" w:sz="0" w:space="0" w:color="auto"/>
      </w:divBdr>
    </w:div>
    <w:div w:id="758409333">
      <w:bodyDiv w:val="1"/>
      <w:marLeft w:val="0"/>
      <w:marRight w:val="0"/>
      <w:marTop w:val="0"/>
      <w:marBottom w:val="0"/>
      <w:divBdr>
        <w:top w:val="none" w:sz="0" w:space="0" w:color="auto"/>
        <w:left w:val="none" w:sz="0" w:space="0" w:color="auto"/>
        <w:bottom w:val="none" w:sz="0" w:space="0" w:color="auto"/>
        <w:right w:val="none" w:sz="0" w:space="0" w:color="auto"/>
      </w:divBdr>
    </w:div>
    <w:div w:id="764116076">
      <w:bodyDiv w:val="1"/>
      <w:marLeft w:val="0"/>
      <w:marRight w:val="0"/>
      <w:marTop w:val="0"/>
      <w:marBottom w:val="0"/>
      <w:divBdr>
        <w:top w:val="none" w:sz="0" w:space="0" w:color="auto"/>
        <w:left w:val="none" w:sz="0" w:space="0" w:color="auto"/>
        <w:bottom w:val="none" w:sz="0" w:space="0" w:color="auto"/>
        <w:right w:val="none" w:sz="0" w:space="0" w:color="auto"/>
      </w:divBdr>
    </w:div>
    <w:div w:id="766389736">
      <w:bodyDiv w:val="1"/>
      <w:marLeft w:val="0"/>
      <w:marRight w:val="0"/>
      <w:marTop w:val="0"/>
      <w:marBottom w:val="0"/>
      <w:divBdr>
        <w:top w:val="none" w:sz="0" w:space="0" w:color="auto"/>
        <w:left w:val="none" w:sz="0" w:space="0" w:color="auto"/>
        <w:bottom w:val="none" w:sz="0" w:space="0" w:color="auto"/>
        <w:right w:val="none" w:sz="0" w:space="0" w:color="auto"/>
      </w:divBdr>
    </w:div>
    <w:div w:id="771820055">
      <w:bodyDiv w:val="1"/>
      <w:marLeft w:val="0"/>
      <w:marRight w:val="0"/>
      <w:marTop w:val="0"/>
      <w:marBottom w:val="0"/>
      <w:divBdr>
        <w:top w:val="none" w:sz="0" w:space="0" w:color="auto"/>
        <w:left w:val="none" w:sz="0" w:space="0" w:color="auto"/>
        <w:bottom w:val="none" w:sz="0" w:space="0" w:color="auto"/>
        <w:right w:val="none" w:sz="0" w:space="0" w:color="auto"/>
      </w:divBdr>
    </w:div>
    <w:div w:id="774639555">
      <w:bodyDiv w:val="1"/>
      <w:marLeft w:val="0"/>
      <w:marRight w:val="0"/>
      <w:marTop w:val="0"/>
      <w:marBottom w:val="0"/>
      <w:divBdr>
        <w:top w:val="none" w:sz="0" w:space="0" w:color="auto"/>
        <w:left w:val="none" w:sz="0" w:space="0" w:color="auto"/>
        <w:bottom w:val="none" w:sz="0" w:space="0" w:color="auto"/>
        <w:right w:val="none" w:sz="0" w:space="0" w:color="auto"/>
      </w:divBdr>
    </w:div>
    <w:div w:id="778911561">
      <w:bodyDiv w:val="1"/>
      <w:marLeft w:val="0"/>
      <w:marRight w:val="0"/>
      <w:marTop w:val="0"/>
      <w:marBottom w:val="0"/>
      <w:divBdr>
        <w:top w:val="none" w:sz="0" w:space="0" w:color="auto"/>
        <w:left w:val="none" w:sz="0" w:space="0" w:color="auto"/>
        <w:bottom w:val="none" w:sz="0" w:space="0" w:color="auto"/>
        <w:right w:val="none" w:sz="0" w:space="0" w:color="auto"/>
      </w:divBdr>
    </w:div>
    <w:div w:id="781414434">
      <w:bodyDiv w:val="1"/>
      <w:marLeft w:val="0"/>
      <w:marRight w:val="0"/>
      <w:marTop w:val="0"/>
      <w:marBottom w:val="0"/>
      <w:divBdr>
        <w:top w:val="none" w:sz="0" w:space="0" w:color="auto"/>
        <w:left w:val="none" w:sz="0" w:space="0" w:color="auto"/>
        <w:bottom w:val="none" w:sz="0" w:space="0" w:color="auto"/>
        <w:right w:val="none" w:sz="0" w:space="0" w:color="auto"/>
      </w:divBdr>
    </w:div>
    <w:div w:id="781730098">
      <w:bodyDiv w:val="1"/>
      <w:marLeft w:val="0"/>
      <w:marRight w:val="0"/>
      <w:marTop w:val="0"/>
      <w:marBottom w:val="0"/>
      <w:divBdr>
        <w:top w:val="none" w:sz="0" w:space="0" w:color="auto"/>
        <w:left w:val="none" w:sz="0" w:space="0" w:color="auto"/>
        <w:bottom w:val="none" w:sz="0" w:space="0" w:color="auto"/>
        <w:right w:val="none" w:sz="0" w:space="0" w:color="auto"/>
      </w:divBdr>
    </w:div>
    <w:div w:id="784157248">
      <w:bodyDiv w:val="1"/>
      <w:marLeft w:val="0"/>
      <w:marRight w:val="0"/>
      <w:marTop w:val="0"/>
      <w:marBottom w:val="0"/>
      <w:divBdr>
        <w:top w:val="none" w:sz="0" w:space="0" w:color="auto"/>
        <w:left w:val="none" w:sz="0" w:space="0" w:color="auto"/>
        <w:bottom w:val="none" w:sz="0" w:space="0" w:color="auto"/>
        <w:right w:val="none" w:sz="0" w:space="0" w:color="auto"/>
      </w:divBdr>
    </w:div>
    <w:div w:id="792679150">
      <w:bodyDiv w:val="1"/>
      <w:marLeft w:val="0"/>
      <w:marRight w:val="0"/>
      <w:marTop w:val="0"/>
      <w:marBottom w:val="0"/>
      <w:divBdr>
        <w:top w:val="none" w:sz="0" w:space="0" w:color="auto"/>
        <w:left w:val="none" w:sz="0" w:space="0" w:color="auto"/>
        <w:bottom w:val="none" w:sz="0" w:space="0" w:color="auto"/>
        <w:right w:val="none" w:sz="0" w:space="0" w:color="auto"/>
      </w:divBdr>
    </w:div>
    <w:div w:id="794369053">
      <w:bodyDiv w:val="1"/>
      <w:marLeft w:val="0"/>
      <w:marRight w:val="0"/>
      <w:marTop w:val="0"/>
      <w:marBottom w:val="0"/>
      <w:divBdr>
        <w:top w:val="none" w:sz="0" w:space="0" w:color="auto"/>
        <w:left w:val="none" w:sz="0" w:space="0" w:color="auto"/>
        <w:bottom w:val="none" w:sz="0" w:space="0" w:color="auto"/>
        <w:right w:val="none" w:sz="0" w:space="0" w:color="auto"/>
      </w:divBdr>
    </w:div>
    <w:div w:id="798649327">
      <w:bodyDiv w:val="1"/>
      <w:marLeft w:val="0"/>
      <w:marRight w:val="0"/>
      <w:marTop w:val="0"/>
      <w:marBottom w:val="0"/>
      <w:divBdr>
        <w:top w:val="none" w:sz="0" w:space="0" w:color="auto"/>
        <w:left w:val="none" w:sz="0" w:space="0" w:color="auto"/>
        <w:bottom w:val="none" w:sz="0" w:space="0" w:color="auto"/>
        <w:right w:val="none" w:sz="0" w:space="0" w:color="auto"/>
      </w:divBdr>
    </w:div>
    <w:div w:id="799571492">
      <w:bodyDiv w:val="1"/>
      <w:marLeft w:val="0"/>
      <w:marRight w:val="0"/>
      <w:marTop w:val="0"/>
      <w:marBottom w:val="0"/>
      <w:divBdr>
        <w:top w:val="none" w:sz="0" w:space="0" w:color="auto"/>
        <w:left w:val="none" w:sz="0" w:space="0" w:color="auto"/>
        <w:bottom w:val="none" w:sz="0" w:space="0" w:color="auto"/>
        <w:right w:val="none" w:sz="0" w:space="0" w:color="auto"/>
      </w:divBdr>
    </w:div>
    <w:div w:id="802624183">
      <w:bodyDiv w:val="1"/>
      <w:marLeft w:val="0"/>
      <w:marRight w:val="0"/>
      <w:marTop w:val="0"/>
      <w:marBottom w:val="0"/>
      <w:divBdr>
        <w:top w:val="none" w:sz="0" w:space="0" w:color="auto"/>
        <w:left w:val="none" w:sz="0" w:space="0" w:color="auto"/>
        <w:bottom w:val="none" w:sz="0" w:space="0" w:color="auto"/>
        <w:right w:val="none" w:sz="0" w:space="0" w:color="auto"/>
      </w:divBdr>
    </w:div>
    <w:div w:id="807822244">
      <w:bodyDiv w:val="1"/>
      <w:marLeft w:val="0"/>
      <w:marRight w:val="0"/>
      <w:marTop w:val="0"/>
      <w:marBottom w:val="0"/>
      <w:divBdr>
        <w:top w:val="none" w:sz="0" w:space="0" w:color="auto"/>
        <w:left w:val="none" w:sz="0" w:space="0" w:color="auto"/>
        <w:bottom w:val="none" w:sz="0" w:space="0" w:color="auto"/>
        <w:right w:val="none" w:sz="0" w:space="0" w:color="auto"/>
      </w:divBdr>
    </w:div>
    <w:div w:id="815149849">
      <w:bodyDiv w:val="1"/>
      <w:marLeft w:val="0"/>
      <w:marRight w:val="0"/>
      <w:marTop w:val="0"/>
      <w:marBottom w:val="0"/>
      <w:divBdr>
        <w:top w:val="none" w:sz="0" w:space="0" w:color="auto"/>
        <w:left w:val="none" w:sz="0" w:space="0" w:color="auto"/>
        <w:bottom w:val="none" w:sz="0" w:space="0" w:color="auto"/>
        <w:right w:val="none" w:sz="0" w:space="0" w:color="auto"/>
      </w:divBdr>
    </w:div>
    <w:div w:id="822350381">
      <w:bodyDiv w:val="1"/>
      <w:marLeft w:val="0"/>
      <w:marRight w:val="0"/>
      <w:marTop w:val="0"/>
      <w:marBottom w:val="0"/>
      <w:divBdr>
        <w:top w:val="none" w:sz="0" w:space="0" w:color="auto"/>
        <w:left w:val="none" w:sz="0" w:space="0" w:color="auto"/>
        <w:bottom w:val="none" w:sz="0" w:space="0" w:color="auto"/>
        <w:right w:val="none" w:sz="0" w:space="0" w:color="auto"/>
      </w:divBdr>
    </w:div>
    <w:div w:id="826631321">
      <w:bodyDiv w:val="1"/>
      <w:marLeft w:val="0"/>
      <w:marRight w:val="0"/>
      <w:marTop w:val="0"/>
      <w:marBottom w:val="0"/>
      <w:divBdr>
        <w:top w:val="none" w:sz="0" w:space="0" w:color="auto"/>
        <w:left w:val="none" w:sz="0" w:space="0" w:color="auto"/>
        <w:bottom w:val="none" w:sz="0" w:space="0" w:color="auto"/>
        <w:right w:val="none" w:sz="0" w:space="0" w:color="auto"/>
      </w:divBdr>
    </w:div>
    <w:div w:id="829178189">
      <w:bodyDiv w:val="1"/>
      <w:marLeft w:val="0"/>
      <w:marRight w:val="0"/>
      <w:marTop w:val="0"/>
      <w:marBottom w:val="0"/>
      <w:divBdr>
        <w:top w:val="none" w:sz="0" w:space="0" w:color="auto"/>
        <w:left w:val="none" w:sz="0" w:space="0" w:color="auto"/>
        <w:bottom w:val="none" w:sz="0" w:space="0" w:color="auto"/>
        <w:right w:val="none" w:sz="0" w:space="0" w:color="auto"/>
      </w:divBdr>
    </w:div>
    <w:div w:id="829951814">
      <w:bodyDiv w:val="1"/>
      <w:marLeft w:val="0"/>
      <w:marRight w:val="0"/>
      <w:marTop w:val="0"/>
      <w:marBottom w:val="0"/>
      <w:divBdr>
        <w:top w:val="none" w:sz="0" w:space="0" w:color="auto"/>
        <w:left w:val="none" w:sz="0" w:space="0" w:color="auto"/>
        <w:bottom w:val="none" w:sz="0" w:space="0" w:color="auto"/>
        <w:right w:val="none" w:sz="0" w:space="0" w:color="auto"/>
      </w:divBdr>
    </w:div>
    <w:div w:id="833257174">
      <w:bodyDiv w:val="1"/>
      <w:marLeft w:val="0"/>
      <w:marRight w:val="0"/>
      <w:marTop w:val="0"/>
      <w:marBottom w:val="0"/>
      <w:divBdr>
        <w:top w:val="none" w:sz="0" w:space="0" w:color="auto"/>
        <w:left w:val="none" w:sz="0" w:space="0" w:color="auto"/>
        <w:bottom w:val="none" w:sz="0" w:space="0" w:color="auto"/>
        <w:right w:val="none" w:sz="0" w:space="0" w:color="auto"/>
      </w:divBdr>
    </w:div>
    <w:div w:id="833422065">
      <w:bodyDiv w:val="1"/>
      <w:marLeft w:val="0"/>
      <w:marRight w:val="0"/>
      <w:marTop w:val="0"/>
      <w:marBottom w:val="0"/>
      <w:divBdr>
        <w:top w:val="none" w:sz="0" w:space="0" w:color="auto"/>
        <w:left w:val="none" w:sz="0" w:space="0" w:color="auto"/>
        <w:bottom w:val="none" w:sz="0" w:space="0" w:color="auto"/>
        <w:right w:val="none" w:sz="0" w:space="0" w:color="auto"/>
      </w:divBdr>
    </w:div>
    <w:div w:id="837382111">
      <w:bodyDiv w:val="1"/>
      <w:marLeft w:val="0"/>
      <w:marRight w:val="0"/>
      <w:marTop w:val="0"/>
      <w:marBottom w:val="0"/>
      <w:divBdr>
        <w:top w:val="none" w:sz="0" w:space="0" w:color="auto"/>
        <w:left w:val="none" w:sz="0" w:space="0" w:color="auto"/>
        <w:bottom w:val="none" w:sz="0" w:space="0" w:color="auto"/>
        <w:right w:val="none" w:sz="0" w:space="0" w:color="auto"/>
      </w:divBdr>
    </w:div>
    <w:div w:id="840974197">
      <w:bodyDiv w:val="1"/>
      <w:marLeft w:val="0"/>
      <w:marRight w:val="0"/>
      <w:marTop w:val="0"/>
      <w:marBottom w:val="0"/>
      <w:divBdr>
        <w:top w:val="none" w:sz="0" w:space="0" w:color="auto"/>
        <w:left w:val="none" w:sz="0" w:space="0" w:color="auto"/>
        <w:bottom w:val="none" w:sz="0" w:space="0" w:color="auto"/>
        <w:right w:val="none" w:sz="0" w:space="0" w:color="auto"/>
      </w:divBdr>
    </w:div>
    <w:div w:id="859976674">
      <w:bodyDiv w:val="1"/>
      <w:marLeft w:val="0"/>
      <w:marRight w:val="0"/>
      <w:marTop w:val="0"/>
      <w:marBottom w:val="0"/>
      <w:divBdr>
        <w:top w:val="none" w:sz="0" w:space="0" w:color="auto"/>
        <w:left w:val="none" w:sz="0" w:space="0" w:color="auto"/>
        <w:bottom w:val="none" w:sz="0" w:space="0" w:color="auto"/>
        <w:right w:val="none" w:sz="0" w:space="0" w:color="auto"/>
      </w:divBdr>
    </w:div>
    <w:div w:id="870193097">
      <w:bodyDiv w:val="1"/>
      <w:marLeft w:val="0"/>
      <w:marRight w:val="0"/>
      <w:marTop w:val="0"/>
      <w:marBottom w:val="0"/>
      <w:divBdr>
        <w:top w:val="none" w:sz="0" w:space="0" w:color="auto"/>
        <w:left w:val="none" w:sz="0" w:space="0" w:color="auto"/>
        <w:bottom w:val="none" w:sz="0" w:space="0" w:color="auto"/>
        <w:right w:val="none" w:sz="0" w:space="0" w:color="auto"/>
      </w:divBdr>
    </w:div>
    <w:div w:id="875964104">
      <w:bodyDiv w:val="1"/>
      <w:marLeft w:val="0"/>
      <w:marRight w:val="0"/>
      <w:marTop w:val="0"/>
      <w:marBottom w:val="0"/>
      <w:divBdr>
        <w:top w:val="none" w:sz="0" w:space="0" w:color="auto"/>
        <w:left w:val="none" w:sz="0" w:space="0" w:color="auto"/>
        <w:bottom w:val="none" w:sz="0" w:space="0" w:color="auto"/>
        <w:right w:val="none" w:sz="0" w:space="0" w:color="auto"/>
      </w:divBdr>
    </w:div>
    <w:div w:id="878276046">
      <w:bodyDiv w:val="1"/>
      <w:marLeft w:val="0"/>
      <w:marRight w:val="0"/>
      <w:marTop w:val="0"/>
      <w:marBottom w:val="0"/>
      <w:divBdr>
        <w:top w:val="none" w:sz="0" w:space="0" w:color="auto"/>
        <w:left w:val="none" w:sz="0" w:space="0" w:color="auto"/>
        <w:bottom w:val="none" w:sz="0" w:space="0" w:color="auto"/>
        <w:right w:val="none" w:sz="0" w:space="0" w:color="auto"/>
      </w:divBdr>
    </w:div>
    <w:div w:id="880629941">
      <w:bodyDiv w:val="1"/>
      <w:marLeft w:val="0"/>
      <w:marRight w:val="0"/>
      <w:marTop w:val="0"/>
      <w:marBottom w:val="0"/>
      <w:divBdr>
        <w:top w:val="none" w:sz="0" w:space="0" w:color="auto"/>
        <w:left w:val="none" w:sz="0" w:space="0" w:color="auto"/>
        <w:bottom w:val="none" w:sz="0" w:space="0" w:color="auto"/>
        <w:right w:val="none" w:sz="0" w:space="0" w:color="auto"/>
      </w:divBdr>
    </w:div>
    <w:div w:id="891888275">
      <w:bodyDiv w:val="1"/>
      <w:marLeft w:val="0"/>
      <w:marRight w:val="0"/>
      <w:marTop w:val="0"/>
      <w:marBottom w:val="0"/>
      <w:divBdr>
        <w:top w:val="none" w:sz="0" w:space="0" w:color="auto"/>
        <w:left w:val="none" w:sz="0" w:space="0" w:color="auto"/>
        <w:bottom w:val="none" w:sz="0" w:space="0" w:color="auto"/>
        <w:right w:val="none" w:sz="0" w:space="0" w:color="auto"/>
      </w:divBdr>
    </w:div>
    <w:div w:id="891964907">
      <w:bodyDiv w:val="1"/>
      <w:marLeft w:val="0"/>
      <w:marRight w:val="0"/>
      <w:marTop w:val="0"/>
      <w:marBottom w:val="0"/>
      <w:divBdr>
        <w:top w:val="none" w:sz="0" w:space="0" w:color="auto"/>
        <w:left w:val="none" w:sz="0" w:space="0" w:color="auto"/>
        <w:bottom w:val="none" w:sz="0" w:space="0" w:color="auto"/>
        <w:right w:val="none" w:sz="0" w:space="0" w:color="auto"/>
      </w:divBdr>
    </w:div>
    <w:div w:id="894778982">
      <w:bodyDiv w:val="1"/>
      <w:marLeft w:val="0"/>
      <w:marRight w:val="0"/>
      <w:marTop w:val="0"/>
      <w:marBottom w:val="0"/>
      <w:divBdr>
        <w:top w:val="none" w:sz="0" w:space="0" w:color="auto"/>
        <w:left w:val="none" w:sz="0" w:space="0" w:color="auto"/>
        <w:bottom w:val="none" w:sz="0" w:space="0" w:color="auto"/>
        <w:right w:val="none" w:sz="0" w:space="0" w:color="auto"/>
      </w:divBdr>
    </w:div>
    <w:div w:id="905802072">
      <w:bodyDiv w:val="1"/>
      <w:marLeft w:val="0"/>
      <w:marRight w:val="0"/>
      <w:marTop w:val="0"/>
      <w:marBottom w:val="0"/>
      <w:divBdr>
        <w:top w:val="none" w:sz="0" w:space="0" w:color="auto"/>
        <w:left w:val="none" w:sz="0" w:space="0" w:color="auto"/>
        <w:bottom w:val="none" w:sz="0" w:space="0" w:color="auto"/>
        <w:right w:val="none" w:sz="0" w:space="0" w:color="auto"/>
      </w:divBdr>
    </w:div>
    <w:div w:id="906379957">
      <w:bodyDiv w:val="1"/>
      <w:marLeft w:val="0"/>
      <w:marRight w:val="0"/>
      <w:marTop w:val="0"/>
      <w:marBottom w:val="0"/>
      <w:divBdr>
        <w:top w:val="none" w:sz="0" w:space="0" w:color="auto"/>
        <w:left w:val="none" w:sz="0" w:space="0" w:color="auto"/>
        <w:bottom w:val="none" w:sz="0" w:space="0" w:color="auto"/>
        <w:right w:val="none" w:sz="0" w:space="0" w:color="auto"/>
      </w:divBdr>
    </w:div>
    <w:div w:id="912817080">
      <w:bodyDiv w:val="1"/>
      <w:marLeft w:val="0"/>
      <w:marRight w:val="0"/>
      <w:marTop w:val="0"/>
      <w:marBottom w:val="0"/>
      <w:divBdr>
        <w:top w:val="none" w:sz="0" w:space="0" w:color="auto"/>
        <w:left w:val="none" w:sz="0" w:space="0" w:color="auto"/>
        <w:bottom w:val="none" w:sz="0" w:space="0" w:color="auto"/>
        <w:right w:val="none" w:sz="0" w:space="0" w:color="auto"/>
      </w:divBdr>
    </w:div>
    <w:div w:id="919485502">
      <w:bodyDiv w:val="1"/>
      <w:marLeft w:val="0"/>
      <w:marRight w:val="0"/>
      <w:marTop w:val="0"/>
      <w:marBottom w:val="0"/>
      <w:divBdr>
        <w:top w:val="none" w:sz="0" w:space="0" w:color="auto"/>
        <w:left w:val="none" w:sz="0" w:space="0" w:color="auto"/>
        <w:bottom w:val="none" w:sz="0" w:space="0" w:color="auto"/>
        <w:right w:val="none" w:sz="0" w:space="0" w:color="auto"/>
      </w:divBdr>
    </w:div>
    <w:div w:id="920991739">
      <w:bodyDiv w:val="1"/>
      <w:marLeft w:val="0"/>
      <w:marRight w:val="0"/>
      <w:marTop w:val="0"/>
      <w:marBottom w:val="0"/>
      <w:divBdr>
        <w:top w:val="none" w:sz="0" w:space="0" w:color="auto"/>
        <w:left w:val="none" w:sz="0" w:space="0" w:color="auto"/>
        <w:bottom w:val="none" w:sz="0" w:space="0" w:color="auto"/>
        <w:right w:val="none" w:sz="0" w:space="0" w:color="auto"/>
      </w:divBdr>
    </w:div>
    <w:div w:id="925042560">
      <w:bodyDiv w:val="1"/>
      <w:marLeft w:val="0"/>
      <w:marRight w:val="0"/>
      <w:marTop w:val="0"/>
      <w:marBottom w:val="0"/>
      <w:divBdr>
        <w:top w:val="none" w:sz="0" w:space="0" w:color="auto"/>
        <w:left w:val="none" w:sz="0" w:space="0" w:color="auto"/>
        <w:bottom w:val="none" w:sz="0" w:space="0" w:color="auto"/>
        <w:right w:val="none" w:sz="0" w:space="0" w:color="auto"/>
      </w:divBdr>
    </w:div>
    <w:div w:id="929966184">
      <w:bodyDiv w:val="1"/>
      <w:marLeft w:val="0"/>
      <w:marRight w:val="0"/>
      <w:marTop w:val="0"/>
      <w:marBottom w:val="0"/>
      <w:divBdr>
        <w:top w:val="none" w:sz="0" w:space="0" w:color="auto"/>
        <w:left w:val="none" w:sz="0" w:space="0" w:color="auto"/>
        <w:bottom w:val="none" w:sz="0" w:space="0" w:color="auto"/>
        <w:right w:val="none" w:sz="0" w:space="0" w:color="auto"/>
      </w:divBdr>
    </w:div>
    <w:div w:id="932981415">
      <w:bodyDiv w:val="1"/>
      <w:marLeft w:val="0"/>
      <w:marRight w:val="0"/>
      <w:marTop w:val="0"/>
      <w:marBottom w:val="0"/>
      <w:divBdr>
        <w:top w:val="none" w:sz="0" w:space="0" w:color="auto"/>
        <w:left w:val="none" w:sz="0" w:space="0" w:color="auto"/>
        <w:bottom w:val="none" w:sz="0" w:space="0" w:color="auto"/>
        <w:right w:val="none" w:sz="0" w:space="0" w:color="auto"/>
      </w:divBdr>
    </w:div>
    <w:div w:id="934940805">
      <w:bodyDiv w:val="1"/>
      <w:marLeft w:val="0"/>
      <w:marRight w:val="0"/>
      <w:marTop w:val="0"/>
      <w:marBottom w:val="0"/>
      <w:divBdr>
        <w:top w:val="none" w:sz="0" w:space="0" w:color="auto"/>
        <w:left w:val="none" w:sz="0" w:space="0" w:color="auto"/>
        <w:bottom w:val="none" w:sz="0" w:space="0" w:color="auto"/>
        <w:right w:val="none" w:sz="0" w:space="0" w:color="auto"/>
      </w:divBdr>
    </w:div>
    <w:div w:id="937103475">
      <w:bodyDiv w:val="1"/>
      <w:marLeft w:val="0"/>
      <w:marRight w:val="0"/>
      <w:marTop w:val="0"/>
      <w:marBottom w:val="0"/>
      <w:divBdr>
        <w:top w:val="none" w:sz="0" w:space="0" w:color="auto"/>
        <w:left w:val="none" w:sz="0" w:space="0" w:color="auto"/>
        <w:bottom w:val="none" w:sz="0" w:space="0" w:color="auto"/>
        <w:right w:val="none" w:sz="0" w:space="0" w:color="auto"/>
      </w:divBdr>
    </w:div>
    <w:div w:id="937953936">
      <w:bodyDiv w:val="1"/>
      <w:marLeft w:val="0"/>
      <w:marRight w:val="0"/>
      <w:marTop w:val="0"/>
      <w:marBottom w:val="0"/>
      <w:divBdr>
        <w:top w:val="none" w:sz="0" w:space="0" w:color="auto"/>
        <w:left w:val="none" w:sz="0" w:space="0" w:color="auto"/>
        <w:bottom w:val="none" w:sz="0" w:space="0" w:color="auto"/>
        <w:right w:val="none" w:sz="0" w:space="0" w:color="auto"/>
      </w:divBdr>
    </w:div>
    <w:div w:id="946162611">
      <w:bodyDiv w:val="1"/>
      <w:marLeft w:val="0"/>
      <w:marRight w:val="0"/>
      <w:marTop w:val="0"/>
      <w:marBottom w:val="0"/>
      <w:divBdr>
        <w:top w:val="none" w:sz="0" w:space="0" w:color="auto"/>
        <w:left w:val="none" w:sz="0" w:space="0" w:color="auto"/>
        <w:bottom w:val="none" w:sz="0" w:space="0" w:color="auto"/>
        <w:right w:val="none" w:sz="0" w:space="0" w:color="auto"/>
      </w:divBdr>
    </w:div>
    <w:div w:id="953680355">
      <w:bodyDiv w:val="1"/>
      <w:marLeft w:val="0"/>
      <w:marRight w:val="0"/>
      <w:marTop w:val="0"/>
      <w:marBottom w:val="0"/>
      <w:divBdr>
        <w:top w:val="none" w:sz="0" w:space="0" w:color="auto"/>
        <w:left w:val="none" w:sz="0" w:space="0" w:color="auto"/>
        <w:bottom w:val="none" w:sz="0" w:space="0" w:color="auto"/>
        <w:right w:val="none" w:sz="0" w:space="0" w:color="auto"/>
      </w:divBdr>
    </w:div>
    <w:div w:id="955406216">
      <w:bodyDiv w:val="1"/>
      <w:marLeft w:val="0"/>
      <w:marRight w:val="0"/>
      <w:marTop w:val="0"/>
      <w:marBottom w:val="0"/>
      <w:divBdr>
        <w:top w:val="none" w:sz="0" w:space="0" w:color="auto"/>
        <w:left w:val="none" w:sz="0" w:space="0" w:color="auto"/>
        <w:bottom w:val="none" w:sz="0" w:space="0" w:color="auto"/>
        <w:right w:val="none" w:sz="0" w:space="0" w:color="auto"/>
      </w:divBdr>
    </w:div>
    <w:div w:id="955872342">
      <w:bodyDiv w:val="1"/>
      <w:marLeft w:val="0"/>
      <w:marRight w:val="0"/>
      <w:marTop w:val="0"/>
      <w:marBottom w:val="0"/>
      <w:divBdr>
        <w:top w:val="none" w:sz="0" w:space="0" w:color="auto"/>
        <w:left w:val="none" w:sz="0" w:space="0" w:color="auto"/>
        <w:bottom w:val="none" w:sz="0" w:space="0" w:color="auto"/>
        <w:right w:val="none" w:sz="0" w:space="0" w:color="auto"/>
      </w:divBdr>
    </w:div>
    <w:div w:id="960182728">
      <w:bodyDiv w:val="1"/>
      <w:marLeft w:val="0"/>
      <w:marRight w:val="0"/>
      <w:marTop w:val="0"/>
      <w:marBottom w:val="0"/>
      <w:divBdr>
        <w:top w:val="none" w:sz="0" w:space="0" w:color="auto"/>
        <w:left w:val="none" w:sz="0" w:space="0" w:color="auto"/>
        <w:bottom w:val="none" w:sz="0" w:space="0" w:color="auto"/>
        <w:right w:val="none" w:sz="0" w:space="0" w:color="auto"/>
      </w:divBdr>
    </w:div>
    <w:div w:id="965158730">
      <w:bodyDiv w:val="1"/>
      <w:marLeft w:val="0"/>
      <w:marRight w:val="0"/>
      <w:marTop w:val="0"/>
      <w:marBottom w:val="0"/>
      <w:divBdr>
        <w:top w:val="none" w:sz="0" w:space="0" w:color="auto"/>
        <w:left w:val="none" w:sz="0" w:space="0" w:color="auto"/>
        <w:bottom w:val="none" w:sz="0" w:space="0" w:color="auto"/>
        <w:right w:val="none" w:sz="0" w:space="0" w:color="auto"/>
      </w:divBdr>
      <w:divsChild>
        <w:div w:id="1772704065">
          <w:marLeft w:val="0"/>
          <w:marRight w:val="0"/>
          <w:marTop w:val="0"/>
          <w:marBottom w:val="0"/>
          <w:divBdr>
            <w:top w:val="none" w:sz="0" w:space="0" w:color="auto"/>
            <w:left w:val="none" w:sz="0" w:space="0" w:color="auto"/>
            <w:bottom w:val="none" w:sz="0" w:space="0" w:color="auto"/>
            <w:right w:val="none" w:sz="0" w:space="0" w:color="auto"/>
          </w:divBdr>
        </w:div>
      </w:divsChild>
    </w:div>
    <w:div w:id="970746018">
      <w:bodyDiv w:val="1"/>
      <w:marLeft w:val="0"/>
      <w:marRight w:val="0"/>
      <w:marTop w:val="0"/>
      <w:marBottom w:val="0"/>
      <w:divBdr>
        <w:top w:val="none" w:sz="0" w:space="0" w:color="auto"/>
        <w:left w:val="none" w:sz="0" w:space="0" w:color="auto"/>
        <w:bottom w:val="none" w:sz="0" w:space="0" w:color="auto"/>
        <w:right w:val="none" w:sz="0" w:space="0" w:color="auto"/>
      </w:divBdr>
    </w:div>
    <w:div w:id="973372561">
      <w:bodyDiv w:val="1"/>
      <w:marLeft w:val="0"/>
      <w:marRight w:val="0"/>
      <w:marTop w:val="0"/>
      <w:marBottom w:val="0"/>
      <w:divBdr>
        <w:top w:val="none" w:sz="0" w:space="0" w:color="auto"/>
        <w:left w:val="none" w:sz="0" w:space="0" w:color="auto"/>
        <w:bottom w:val="none" w:sz="0" w:space="0" w:color="auto"/>
        <w:right w:val="none" w:sz="0" w:space="0" w:color="auto"/>
      </w:divBdr>
    </w:div>
    <w:div w:id="978922027">
      <w:bodyDiv w:val="1"/>
      <w:marLeft w:val="0"/>
      <w:marRight w:val="0"/>
      <w:marTop w:val="0"/>
      <w:marBottom w:val="0"/>
      <w:divBdr>
        <w:top w:val="none" w:sz="0" w:space="0" w:color="auto"/>
        <w:left w:val="none" w:sz="0" w:space="0" w:color="auto"/>
        <w:bottom w:val="none" w:sz="0" w:space="0" w:color="auto"/>
        <w:right w:val="none" w:sz="0" w:space="0" w:color="auto"/>
      </w:divBdr>
    </w:div>
    <w:div w:id="984352847">
      <w:bodyDiv w:val="1"/>
      <w:marLeft w:val="0"/>
      <w:marRight w:val="0"/>
      <w:marTop w:val="0"/>
      <w:marBottom w:val="0"/>
      <w:divBdr>
        <w:top w:val="none" w:sz="0" w:space="0" w:color="auto"/>
        <w:left w:val="none" w:sz="0" w:space="0" w:color="auto"/>
        <w:bottom w:val="none" w:sz="0" w:space="0" w:color="auto"/>
        <w:right w:val="none" w:sz="0" w:space="0" w:color="auto"/>
      </w:divBdr>
    </w:div>
    <w:div w:id="993727066">
      <w:bodyDiv w:val="1"/>
      <w:marLeft w:val="0"/>
      <w:marRight w:val="0"/>
      <w:marTop w:val="0"/>
      <w:marBottom w:val="0"/>
      <w:divBdr>
        <w:top w:val="none" w:sz="0" w:space="0" w:color="auto"/>
        <w:left w:val="none" w:sz="0" w:space="0" w:color="auto"/>
        <w:bottom w:val="none" w:sz="0" w:space="0" w:color="auto"/>
        <w:right w:val="none" w:sz="0" w:space="0" w:color="auto"/>
      </w:divBdr>
    </w:div>
    <w:div w:id="994065254">
      <w:bodyDiv w:val="1"/>
      <w:marLeft w:val="0"/>
      <w:marRight w:val="0"/>
      <w:marTop w:val="0"/>
      <w:marBottom w:val="0"/>
      <w:divBdr>
        <w:top w:val="none" w:sz="0" w:space="0" w:color="auto"/>
        <w:left w:val="none" w:sz="0" w:space="0" w:color="auto"/>
        <w:bottom w:val="none" w:sz="0" w:space="0" w:color="auto"/>
        <w:right w:val="none" w:sz="0" w:space="0" w:color="auto"/>
      </w:divBdr>
    </w:div>
    <w:div w:id="1005547680">
      <w:bodyDiv w:val="1"/>
      <w:marLeft w:val="0"/>
      <w:marRight w:val="0"/>
      <w:marTop w:val="0"/>
      <w:marBottom w:val="0"/>
      <w:divBdr>
        <w:top w:val="none" w:sz="0" w:space="0" w:color="auto"/>
        <w:left w:val="none" w:sz="0" w:space="0" w:color="auto"/>
        <w:bottom w:val="none" w:sz="0" w:space="0" w:color="auto"/>
        <w:right w:val="none" w:sz="0" w:space="0" w:color="auto"/>
      </w:divBdr>
    </w:div>
    <w:div w:id="1020818370">
      <w:bodyDiv w:val="1"/>
      <w:marLeft w:val="0"/>
      <w:marRight w:val="0"/>
      <w:marTop w:val="0"/>
      <w:marBottom w:val="0"/>
      <w:divBdr>
        <w:top w:val="none" w:sz="0" w:space="0" w:color="auto"/>
        <w:left w:val="none" w:sz="0" w:space="0" w:color="auto"/>
        <w:bottom w:val="none" w:sz="0" w:space="0" w:color="auto"/>
        <w:right w:val="none" w:sz="0" w:space="0" w:color="auto"/>
      </w:divBdr>
    </w:div>
    <w:div w:id="1023480877">
      <w:bodyDiv w:val="1"/>
      <w:marLeft w:val="0"/>
      <w:marRight w:val="0"/>
      <w:marTop w:val="0"/>
      <w:marBottom w:val="0"/>
      <w:divBdr>
        <w:top w:val="none" w:sz="0" w:space="0" w:color="auto"/>
        <w:left w:val="none" w:sz="0" w:space="0" w:color="auto"/>
        <w:bottom w:val="none" w:sz="0" w:space="0" w:color="auto"/>
        <w:right w:val="none" w:sz="0" w:space="0" w:color="auto"/>
      </w:divBdr>
    </w:div>
    <w:div w:id="1024676683">
      <w:bodyDiv w:val="1"/>
      <w:marLeft w:val="0"/>
      <w:marRight w:val="0"/>
      <w:marTop w:val="0"/>
      <w:marBottom w:val="0"/>
      <w:divBdr>
        <w:top w:val="none" w:sz="0" w:space="0" w:color="auto"/>
        <w:left w:val="none" w:sz="0" w:space="0" w:color="auto"/>
        <w:bottom w:val="none" w:sz="0" w:space="0" w:color="auto"/>
        <w:right w:val="none" w:sz="0" w:space="0" w:color="auto"/>
      </w:divBdr>
    </w:div>
    <w:div w:id="1025132282">
      <w:bodyDiv w:val="1"/>
      <w:marLeft w:val="0"/>
      <w:marRight w:val="0"/>
      <w:marTop w:val="0"/>
      <w:marBottom w:val="0"/>
      <w:divBdr>
        <w:top w:val="none" w:sz="0" w:space="0" w:color="auto"/>
        <w:left w:val="none" w:sz="0" w:space="0" w:color="auto"/>
        <w:bottom w:val="none" w:sz="0" w:space="0" w:color="auto"/>
        <w:right w:val="none" w:sz="0" w:space="0" w:color="auto"/>
      </w:divBdr>
    </w:div>
    <w:div w:id="1026364988">
      <w:bodyDiv w:val="1"/>
      <w:marLeft w:val="0"/>
      <w:marRight w:val="0"/>
      <w:marTop w:val="0"/>
      <w:marBottom w:val="0"/>
      <w:divBdr>
        <w:top w:val="none" w:sz="0" w:space="0" w:color="auto"/>
        <w:left w:val="none" w:sz="0" w:space="0" w:color="auto"/>
        <w:bottom w:val="none" w:sz="0" w:space="0" w:color="auto"/>
        <w:right w:val="none" w:sz="0" w:space="0" w:color="auto"/>
      </w:divBdr>
    </w:div>
    <w:div w:id="1028801781">
      <w:bodyDiv w:val="1"/>
      <w:marLeft w:val="0"/>
      <w:marRight w:val="0"/>
      <w:marTop w:val="0"/>
      <w:marBottom w:val="0"/>
      <w:divBdr>
        <w:top w:val="none" w:sz="0" w:space="0" w:color="auto"/>
        <w:left w:val="none" w:sz="0" w:space="0" w:color="auto"/>
        <w:bottom w:val="none" w:sz="0" w:space="0" w:color="auto"/>
        <w:right w:val="none" w:sz="0" w:space="0" w:color="auto"/>
      </w:divBdr>
    </w:div>
    <w:div w:id="1033266804">
      <w:bodyDiv w:val="1"/>
      <w:marLeft w:val="0"/>
      <w:marRight w:val="0"/>
      <w:marTop w:val="0"/>
      <w:marBottom w:val="0"/>
      <w:divBdr>
        <w:top w:val="none" w:sz="0" w:space="0" w:color="auto"/>
        <w:left w:val="none" w:sz="0" w:space="0" w:color="auto"/>
        <w:bottom w:val="none" w:sz="0" w:space="0" w:color="auto"/>
        <w:right w:val="none" w:sz="0" w:space="0" w:color="auto"/>
      </w:divBdr>
    </w:div>
    <w:div w:id="1034845876">
      <w:bodyDiv w:val="1"/>
      <w:marLeft w:val="0"/>
      <w:marRight w:val="0"/>
      <w:marTop w:val="0"/>
      <w:marBottom w:val="0"/>
      <w:divBdr>
        <w:top w:val="none" w:sz="0" w:space="0" w:color="auto"/>
        <w:left w:val="none" w:sz="0" w:space="0" w:color="auto"/>
        <w:bottom w:val="none" w:sz="0" w:space="0" w:color="auto"/>
        <w:right w:val="none" w:sz="0" w:space="0" w:color="auto"/>
      </w:divBdr>
    </w:div>
    <w:div w:id="1040520540">
      <w:bodyDiv w:val="1"/>
      <w:marLeft w:val="0"/>
      <w:marRight w:val="0"/>
      <w:marTop w:val="0"/>
      <w:marBottom w:val="0"/>
      <w:divBdr>
        <w:top w:val="none" w:sz="0" w:space="0" w:color="auto"/>
        <w:left w:val="none" w:sz="0" w:space="0" w:color="auto"/>
        <w:bottom w:val="none" w:sz="0" w:space="0" w:color="auto"/>
        <w:right w:val="none" w:sz="0" w:space="0" w:color="auto"/>
      </w:divBdr>
    </w:div>
    <w:div w:id="1045640284">
      <w:bodyDiv w:val="1"/>
      <w:marLeft w:val="0"/>
      <w:marRight w:val="0"/>
      <w:marTop w:val="0"/>
      <w:marBottom w:val="0"/>
      <w:divBdr>
        <w:top w:val="none" w:sz="0" w:space="0" w:color="auto"/>
        <w:left w:val="none" w:sz="0" w:space="0" w:color="auto"/>
        <w:bottom w:val="none" w:sz="0" w:space="0" w:color="auto"/>
        <w:right w:val="none" w:sz="0" w:space="0" w:color="auto"/>
      </w:divBdr>
    </w:div>
    <w:div w:id="1052732139">
      <w:bodyDiv w:val="1"/>
      <w:marLeft w:val="0"/>
      <w:marRight w:val="0"/>
      <w:marTop w:val="0"/>
      <w:marBottom w:val="0"/>
      <w:divBdr>
        <w:top w:val="none" w:sz="0" w:space="0" w:color="auto"/>
        <w:left w:val="none" w:sz="0" w:space="0" w:color="auto"/>
        <w:bottom w:val="none" w:sz="0" w:space="0" w:color="auto"/>
        <w:right w:val="none" w:sz="0" w:space="0" w:color="auto"/>
      </w:divBdr>
    </w:div>
    <w:div w:id="1056314150">
      <w:bodyDiv w:val="1"/>
      <w:marLeft w:val="0"/>
      <w:marRight w:val="0"/>
      <w:marTop w:val="0"/>
      <w:marBottom w:val="0"/>
      <w:divBdr>
        <w:top w:val="none" w:sz="0" w:space="0" w:color="auto"/>
        <w:left w:val="none" w:sz="0" w:space="0" w:color="auto"/>
        <w:bottom w:val="none" w:sz="0" w:space="0" w:color="auto"/>
        <w:right w:val="none" w:sz="0" w:space="0" w:color="auto"/>
      </w:divBdr>
    </w:div>
    <w:div w:id="1058556937">
      <w:bodyDiv w:val="1"/>
      <w:marLeft w:val="0"/>
      <w:marRight w:val="0"/>
      <w:marTop w:val="0"/>
      <w:marBottom w:val="0"/>
      <w:divBdr>
        <w:top w:val="none" w:sz="0" w:space="0" w:color="auto"/>
        <w:left w:val="none" w:sz="0" w:space="0" w:color="auto"/>
        <w:bottom w:val="none" w:sz="0" w:space="0" w:color="auto"/>
        <w:right w:val="none" w:sz="0" w:space="0" w:color="auto"/>
      </w:divBdr>
    </w:div>
    <w:div w:id="1062556703">
      <w:bodyDiv w:val="1"/>
      <w:marLeft w:val="0"/>
      <w:marRight w:val="0"/>
      <w:marTop w:val="0"/>
      <w:marBottom w:val="0"/>
      <w:divBdr>
        <w:top w:val="none" w:sz="0" w:space="0" w:color="auto"/>
        <w:left w:val="none" w:sz="0" w:space="0" w:color="auto"/>
        <w:bottom w:val="none" w:sz="0" w:space="0" w:color="auto"/>
        <w:right w:val="none" w:sz="0" w:space="0" w:color="auto"/>
      </w:divBdr>
    </w:div>
    <w:div w:id="1064714307">
      <w:bodyDiv w:val="1"/>
      <w:marLeft w:val="0"/>
      <w:marRight w:val="0"/>
      <w:marTop w:val="0"/>
      <w:marBottom w:val="0"/>
      <w:divBdr>
        <w:top w:val="none" w:sz="0" w:space="0" w:color="auto"/>
        <w:left w:val="none" w:sz="0" w:space="0" w:color="auto"/>
        <w:bottom w:val="none" w:sz="0" w:space="0" w:color="auto"/>
        <w:right w:val="none" w:sz="0" w:space="0" w:color="auto"/>
      </w:divBdr>
    </w:div>
    <w:div w:id="1068919228">
      <w:bodyDiv w:val="1"/>
      <w:marLeft w:val="0"/>
      <w:marRight w:val="0"/>
      <w:marTop w:val="0"/>
      <w:marBottom w:val="0"/>
      <w:divBdr>
        <w:top w:val="none" w:sz="0" w:space="0" w:color="auto"/>
        <w:left w:val="none" w:sz="0" w:space="0" w:color="auto"/>
        <w:bottom w:val="none" w:sz="0" w:space="0" w:color="auto"/>
        <w:right w:val="none" w:sz="0" w:space="0" w:color="auto"/>
      </w:divBdr>
    </w:div>
    <w:div w:id="1069961974">
      <w:bodyDiv w:val="1"/>
      <w:marLeft w:val="0"/>
      <w:marRight w:val="0"/>
      <w:marTop w:val="0"/>
      <w:marBottom w:val="0"/>
      <w:divBdr>
        <w:top w:val="none" w:sz="0" w:space="0" w:color="auto"/>
        <w:left w:val="none" w:sz="0" w:space="0" w:color="auto"/>
        <w:bottom w:val="none" w:sz="0" w:space="0" w:color="auto"/>
        <w:right w:val="none" w:sz="0" w:space="0" w:color="auto"/>
      </w:divBdr>
    </w:div>
    <w:div w:id="1070083130">
      <w:bodyDiv w:val="1"/>
      <w:marLeft w:val="0"/>
      <w:marRight w:val="0"/>
      <w:marTop w:val="0"/>
      <w:marBottom w:val="0"/>
      <w:divBdr>
        <w:top w:val="none" w:sz="0" w:space="0" w:color="auto"/>
        <w:left w:val="none" w:sz="0" w:space="0" w:color="auto"/>
        <w:bottom w:val="none" w:sz="0" w:space="0" w:color="auto"/>
        <w:right w:val="none" w:sz="0" w:space="0" w:color="auto"/>
      </w:divBdr>
    </w:div>
    <w:div w:id="1073822339">
      <w:bodyDiv w:val="1"/>
      <w:marLeft w:val="0"/>
      <w:marRight w:val="0"/>
      <w:marTop w:val="0"/>
      <w:marBottom w:val="0"/>
      <w:divBdr>
        <w:top w:val="none" w:sz="0" w:space="0" w:color="auto"/>
        <w:left w:val="none" w:sz="0" w:space="0" w:color="auto"/>
        <w:bottom w:val="none" w:sz="0" w:space="0" w:color="auto"/>
        <w:right w:val="none" w:sz="0" w:space="0" w:color="auto"/>
      </w:divBdr>
    </w:div>
    <w:div w:id="1077674071">
      <w:bodyDiv w:val="1"/>
      <w:marLeft w:val="0"/>
      <w:marRight w:val="0"/>
      <w:marTop w:val="0"/>
      <w:marBottom w:val="0"/>
      <w:divBdr>
        <w:top w:val="none" w:sz="0" w:space="0" w:color="auto"/>
        <w:left w:val="none" w:sz="0" w:space="0" w:color="auto"/>
        <w:bottom w:val="none" w:sz="0" w:space="0" w:color="auto"/>
        <w:right w:val="none" w:sz="0" w:space="0" w:color="auto"/>
      </w:divBdr>
    </w:div>
    <w:div w:id="1082752740">
      <w:bodyDiv w:val="1"/>
      <w:marLeft w:val="0"/>
      <w:marRight w:val="0"/>
      <w:marTop w:val="0"/>
      <w:marBottom w:val="0"/>
      <w:divBdr>
        <w:top w:val="none" w:sz="0" w:space="0" w:color="auto"/>
        <w:left w:val="none" w:sz="0" w:space="0" w:color="auto"/>
        <w:bottom w:val="none" w:sz="0" w:space="0" w:color="auto"/>
        <w:right w:val="none" w:sz="0" w:space="0" w:color="auto"/>
      </w:divBdr>
    </w:div>
    <w:div w:id="1083723488">
      <w:bodyDiv w:val="1"/>
      <w:marLeft w:val="0"/>
      <w:marRight w:val="0"/>
      <w:marTop w:val="0"/>
      <w:marBottom w:val="0"/>
      <w:divBdr>
        <w:top w:val="none" w:sz="0" w:space="0" w:color="auto"/>
        <w:left w:val="none" w:sz="0" w:space="0" w:color="auto"/>
        <w:bottom w:val="none" w:sz="0" w:space="0" w:color="auto"/>
        <w:right w:val="none" w:sz="0" w:space="0" w:color="auto"/>
      </w:divBdr>
    </w:div>
    <w:div w:id="1092555352">
      <w:bodyDiv w:val="1"/>
      <w:marLeft w:val="0"/>
      <w:marRight w:val="0"/>
      <w:marTop w:val="0"/>
      <w:marBottom w:val="0"/>
      <w:divBdr>
        <w:top w:val="none" w:sz="0" w:space="0" w:color="auto"/>
        <w:left w:val="none" w:sz="0" w:space="0" w:color="auto"/>
        <w:bottom w:val="none" w:sz="0" w:space="0" w:color="auto"/>
        <w:right w:val="none" w:sz="0" w:space="0" w:color="auto"/>
      </w:divBdr>
    </w:div>
    <w:div w:id="1098335281">
      <w:bodyDiv w:val="1"/>
      <w:marLeft w:val="0"/>
      <w:marRight w:val="0"/>
      <w:marTop w:val="0"/>
      <w:marBottom w:val="0"/>
      <w:divBdr>
        <w:top w:val="none" w:sz="0" w:space="0" w:color="auto"/>
        <w:left w:val="none" w:sz="0" w:space="0" w:color="auto"/>
        <w:bottom w:val="none" w:sz="0" w:space="0" w:color="auto"/>
        <w:right w:val="none" w:sz="0" w:space="0" w:color="auto"/>
      </w:divBdr>
    </w:div>
    <w:div w:id="1103185982">
      <w:bodyDiv w:val="1"/>
      <w:marLeft w:val="0"/>
      <w:marRight w:val="0"/>
      <w:marTop w:val="0"/>
      <w:marBottom w:val="0"/>
      <w:divBdr>
        <w:top w:val="none" w:sz="0" w:space="0" w:color="auto"/>
        <w:left w:val="none" w:sz="0" w:space="0" w:color="auto"/>
        <w:bottom w:val="none" w:sz="0" w:space="0" w:color="auto"/>
        <w:right w:val="none" w:sz="0" w:space="0" w:color="auto"/>
      </w:divBdr>
    </w:div>
    <w:div w:id="1103526621">
      <w:bodyDiv w:val="1"/>
      <w:marLeft w:val="0"/>
      <w:marRight w:val="0"/>
      <w:marTop w:val="0"/>
      <w:marBottom w:val="0"/>
      <w:divBdr>
        <w:top w:val="none" w:sz="0" w:space="0" w:color="auto"/>
        <w:left w:val="none" w:sz="0" w:space="0" w:color="auto"/>
        <w:bottom w:val="none" w:sz="0" w:space="0" w:color="auto"/>
        <w:right w:val="none" w:sz="0" w:space="0" w:color="auto"/>
      </w:divBdr>
    </w:div>
    <w:div w:id="1104837986">
      <w:bodyDiv w:val="1"/>
      <w:marLeft w:val="0"/>
      <w:marRight w:val="0"/>
      <w:marTop w:val="0"/>
      <w:marBottom w:val="0"/>
      <w:divBdr>
        <w:top w:val="none" w:sz="0" w:space="0" w:color="auto"/>
        <w:left w:val="none" w:sz="0" w:space="0" w:color="auto"/>
        <w:bottom w:val="none" w:sz="0" w:space="0" w:color="auto"/>
        <w:right w:val="none" w:sz="0" w:space="0" w:color="auto"/>
      </w:divBdr>
    </w:div>
    <w:div w:id="1105416876">
      <w:bodyDiv w:val="1"/>
      <w:marLeft w:val="0"/>
      <w:marRight w:val="0"/>
      <w:marTop w:val="0"/>
      <w:marBottom w:val="0"/>
      <w:divBdr>
        <w:top w:val="none" w:sz="0" w:space="0" w:color="auto"/>
        <w:left w:val="none" w:sz="0" w:space="0" w:color="auto"/>
        <w:bottom w:val="none" w:sz="0" w:space="0" w:color="auto"/>
        <w:right w:val="none" w:sz="0" w:space="0" w:color="auto"/>
      </w:divBdr>
    </w:div>
    <w:div w:id="1107701661">
      <w:bodyDiv w:val="1"/>
      <w:marLeft w:val="0"/>
      <w:marRight w:val="0"/>
      <w:marTop w:val="0"/>
      <w:marBottom w:val="0"/>
      <w:divBdr>
        <w:top w:val="none" w:sz="0" w:space="0" w:color="auto"/>
        <w:left w:val="none" w:sz="0" w:space="0" w:color="auto"/>
        <w:bottom w:val="none" w:sz="0" w:space="0" w:color="auto"/>
        <w:right w:val="none" w:sz="0" w:space="0" w:color="auto"/>
      </w:divBdr>
    </w:div>
    <w:div w:id="1108890842">
      <w:bodyDiv w:val="1"/>
      <w:marLeft w:val="0"/>
      <w:marRight w:val="0"/>
      <w:marTop w:val="0"/>
      <w:marBottom w:val="0"/>
      <w:divBdr>
        <w:top w:val="none" w:sz="0" w:space="0" w:color="auto"/>
        <w:left w:val="none" w:sz="0" w:space="0" w:color="auto"/>
        <w:bottom w:val="none" w:sz="0" w:space="0" w:color="auto"/>
        <w:right w:val="none" w:sz="0" w:space="0" w:color="auto"/>
      </w:divBdr>
    </w:div>
    <w:div w:id="1110470977">
      <w:bodyDiv w:val="1"/>
      <w:marLeft w:val="0"/>
      <w:marRight w:val="0"/>
      <w:marTop w:val="0"/>
      <w:marBottom w:val="0"/>
      <w:divBdr>
        <w:top w:val="none" w:sz="0" w:space="0" w:color="auto"/>
        <w:left w:val="none" w:sz="0" w:space="0" w:color="auto"/>
        <w:bottom w:val="none" w:sz="0" w:space="0" w:color="auto"/>
        <w:right w:val="none" w:sz="0" w:space="0" w:color="auto"/>
      </w:divBdr>
    </w:div>
    <w:div w:id="1112089536">
      <w:bodyDiv w:val="1"/>
      <w:marLeft w:val="0"/>
      <w:marRight w:val="0"/>
      <w:marTop w:val="0"/>
      <w:marBottom w:val="0"/>
      <w:divBdr>
        <w:top w:val="none" w:sz="0" w:space="0" w:color="auto"/>
        <w:left w:val="none" w:sz="0" w:space="0" w:color="auto"/>
        <w:bottom w:val="none" w:sz="0" w:space="0" w:color="auto"/>
        <w:right w:val="none" w:sz="0" w:space="0" w:color="auto"/>
      </w:divBdr>
    </w:div>
    <w:div w:id="1117681221">
      <w:bodyDiv w:val="1"/>
      <w:marLeft w:val="0"/>
      <w:marRight w:val="0"/>
      <w:marTop w:val="0"/>
      <w:marBottom w:val="0"/>
      <w:divBdr>
        <w:top w:val="none" w:sz="0" w:space="0" w:color="auto"/>
        <w:left w:val="none" w:sz="0" w:space="0" w:color="auto"/>
        <w:bottom w:val="none" w:sz="0" w:space="0" w:color="auto"/>
        <w:right w:val="none" w:sz="0" w:space="0" w:color="auto"/>
      </w:divBdr>
    </w:div>
    <w:div w:id="1118140525">
      <w:bodyDiv w:val="1"/>
      <w:marLeft w:val="0"/>
      <w:marRight w:val="0"/>
      <w:marTop w:val="0"/>
      <w:marBottom w:val="0"/>
      <w:divBdr>
        <w:top w:val="none" w:sz="0" w:space="0" w:color="auto"/>
        <w:left w:val="none" w:sz="0" w:space="0" w:color="auto"/>
        <w:bottom w:val="none" w:sz="0" w:space="0" w:color="auto"/>
        <w:right w:val="none" w:sz="0" w:space="0" w:color="auto"/>
      </w:divBdr>
    </w:div>
    <w:div w:id="1130708031">
      <w:bodyDiv w:val="1"/>
      <w:marLeft w:val="0"/>
      <w:marRight w:val="0"/>
      <w:marTop w:val="0"/>
      <w:marBottom w:val="0"/>
      <w:divBdr>
        <w:top w:val="none" w:sz="0" w:space="0" w:color="auto"/>
        <w:left w:val="none" w:sz="0" w:space="0" w:color="auto"/>
        <w:bottom w:val="none" w:sz="0" w:space="0" w:color="auto"/>
        <w:right w:val="none" w:sz="0" w:space="0" w:color="auto"/>
      </w:divBdr>
    </w:div>
    <w:div w:id="1133596766">
      <w:bodyDiv w:val="1"/>
      <w:marLeft w:val="0"/>
      <w:marRight w:val="0"/>
      <w:marTop w:val="0"/>
      <w:marBottom w:val="0"/>
      <w:divBdr>
        <w:top w:val="none" w:sz="0" w:space="0" w:color="auto"/>
        <w:left w:val="none" w:sz="0" w:space="0" w:color="auto"/>
        <w:bottom w:val="none" w:sz="0" w:space="0" w:color="auto"/>
        <w:right w:val="none" w:sz="0" w:space="0" w:color="auto"/>
      </w:divBdr>
    </w:div>
    <w:div w:id="1146162826">
      <w:bodyDiv w:val="1"/>
      <w:marLeft w:val="0"/>
      <w:marRight w:val="0"/>
      <w:marTop w:val="0"/>
      <w:marBottom w:val="0"/>
      <w:divBdr>
        <w:top w:val="none" w:sz="0" w:space="0" w:color="auto"/>
        <w:left w:val="none" w:sz="0" w:space="0" w:color="auto"/>
        <w:bottom w:val="none" w:sz="0" w:space="0" w:color="auto"/>
        <w:right w:val="none" w:sz="0" w:space="0" w:color="auto"/>
      </w:divBdr>
    </w:div>
    <w:div w:id="1147284890">
      <w:bodyDiv w:val="1"/>
      <w:marLeft w:val="0"/>
      <w:marRight w:val="0"/>
      <w:marTop w:val="0"/>
      <w:marBottom w:val="0"/>
      <w:divBdr>
        <w:top w:val="none" w:sz="0" w:space="0" w:color="auto"/>
        <w:left w:val="none" w:sz="0" w:space="0" w:color="auto"/>
        <w:bottom w:val="none" w:sz="0" w:space="0" w:color="auto"/>
        <w:right w:val="none" w:sz="0" w:space="0" w:color="auto"/>
      </w:divBdr>
    </w:div>
    <w:div w:id="1152940313">
      <w:bodyDiv w:val="1"/>
      <w:marLeft w:val="0"/>
      <w:marRight w:val="0"/>
      <w:marTop w:val="0"/>
      <w:marBottom w:val="0"/>
      <w:divBdr>
        <w:top w:val="none" w:sz="0" w:space="0" w:color="auto"/>
        <w:left w:val="none" w:sz="0" w:space="0" w:color="auto"/>
        <w:bottom w:val="none" w:sz="0" w:space="0" w:color="auto"/>
        <w:right w:val="none" w:sz="0" w:space="0" w:color="auto"/>
      </w:divBdr>
    </w:div>
    <w:div w:id="1169633820">
      <w:bodyDiv w:val="1"/>
      <w:marLeft w:val="0"/>
      <w:marRight w:val="0"/>
      <w:marTop w:val="0"/>
      <w:marBottom w:val="0"/>
      <w:divBdr>
        <w:top w:val="none" w:sz="0" w:space="0" w:color="auto"/>
        <w:left w:val="none" w:sz="0" w:space="0" w:color="auto"/>
        <w:bottom w:val="none" w:sz="0" w:space="0" w:color="auto"/>
        <w:right w:val="none" w:sz="0" w:space="0" w:color="auto"/>
      </w:divBdr>
    </w:div>
    <w:div w:id="1169758681">
      <w:bodyDiv w:val="1"/>
      <w:marLeft w:val="0"/>
      <w:marRight w:val="0"/>
      <w:marTop w:val="0"/>
      <w:marBottom w:val="0"/>
      <w:divBdr>
        <w:top w:val="none" w:sz="0" w:space="0" w:color="auto"/>
        <w:left w:val="none" w:sz="0" w:space="0" w:color="auto"/>
        <w:bottom w:val="none" w:sz="0" w:space="0" w:color="auto"/>
        <w:right w:val="none" w:sz="0" w:space="0" w:color="auto"/>
      </w:divBdr>
    </w:div>
    <w:div w:id="1176192982">
      <w:bodyDiv w:val="1"/>
      <w:marLeft w:val="0"/>
      <w:marRight w:val="0"/>
      <w:marTop w:val="0"/>
      <w:marBottom w:val="0"/>
      <w:divBdr>
        <w:top w:val="none" w:sz="0" w:space="0" w:color="auto"/>
        <w:left w:val="none" w:sz="0" w:space="0" w:color="auto"/>
        <w:bottom w:val="none" w:sz="0" w:space="0" w:color="auto"/>
        <w:right w:val="none" w:sz="0" w:space="0" w:color="auto"/>
      </w:divBdr>
    </w:div>
    <w:div w:id="1179202393">
      <w:bodyDiv w:val="1"/>
      <w:marLeft w:val="0"/>
      <w:marRight w:val="0"/>
      <w:marTop w:val="0"/>
      <w:marBottom w:val="0"/>
      <w:divBdr>
        <w:top w:val="none" w:sz="0" w:space="0" w:color="auto"/>
        <w:left w:val="none" w:sz="0" w:space="0" w:color="auto"/>
        <w:bottom w:val="none" w:sz="0" w:space="0" w:color="auto"/>
        <w:right w:val="none" w:sz="0" w:space="0" w:color="auto"/>
      </w:divBdr>
    </w:div>
    <w:div w:id="1182277691">
      <w:bodyDiv w:val="1"/>
      <w:marLeft w:val="0"/>
      <w:marRight w:val="0"/>
      <w:marTop w:val="0"/>
      <w:marBottom w:val="0"/>
      <w:divBdr>
        <w:top w:val="none" w:sz="0" w:space="0" w:color="auto"/>
        <w:left w:val="none" w:sz="0" w:space="0" w:color="auto"/>
        <w:bottom w:val="none" w:sz="0" w:space="0" w:color="auto"/>
        <w:right w:val="none" w:sz="0" w:space="0" w:color="auto"/>
      </w:divBdr>
    </w:div>
    <w:div w:id="1183277380">
      <w:bodyDiv w:val="1"/>
      <w:marLeft w:val="0"/>
      <w:marRight w:val="0"/>
      <w:marTop w:val="0"/>
      <w:marBottom w:val="0"/>
      <w:divBdr>
        <w:top w:val="none" w:sz="0" w:space="0" w:color="auto"/>
        <w:left w:val="none" w:sz="0" w:space="0" w:color="auto"/>
        <w:bottom w:val="none" w:sz="0" w:space="0" w:color="auto"/>
        <w:right w:val="none" w:sz="0" w:space="0" w:color="auto"/>
      </w:divBdr>
    </w:div>
    <w:div w:id="1184706859">
      <w:bodyDiv w:val="1"/>
      <w:marLeft w:val="0"/>
      <w:marRight w:val="0"/>
      <w:marTop w:val="0"/>
      <w:marBottom w:val="0"/>
      <w:divBdr>
        <w:top w:val="none" w:sz="0" w:space="0" w:color="auto"/>
        <w:left w:val="none" w:sz="0" w:space="0" w:color="auto"/>
        <w:bottom w:val="none" w:sz="0" w:space="0" w:color="auto"/>
        <w:right w:val="none" w:sz="0" w:space="0" w:color="auto"/>
      </w:divBdr>
    </w:div>
    <w:div w:id="1184978582">
      <w:bodyDiv w:val="1"/>
      <w:marLeft w:val="0"/>
      <w:marRight w:val="0"/>
      <w:marTop w:val="0"/>
      <w:marBottom w:val="0"/>
      <w:divBdr>
        <w:top w:val="none" w:sz="0" w:space="0" w:color="auto"/>
        <w:left w:val="none" w:sz="0" w:space="0" w:color="auto"/>
        <w:bottom w:val="none" w:sz="0" w:space="0" w:color="auto"/>
        <w:right w:val="none" w:sz="0" w:space="0" w:color="auto"/>
      </w:divBdr>
    </w:div>
    <w:div w:id="1186795927">
      <w:bodyDiv w:val="1"/>
      <w:marLeft w:val="0"/>
      <w:marRight w:val="0"/>
      <w:marTop w:val="0"/>
      <w:marBottom w:val="0"/>
      <w:divBdr>
        <w:top w:val="none" w:sz="0" w:space="0" w:color="auto"/>
        <w:left w:val="none" w:sz="0" w:space="0" w:color="auto"/>
        <w:bottom w:val="none" w:sz="0" w:space="0" w:color="auto"/>
        <w:right w:val="none" w:sz="0" w:space="0" w:color="auto"/>
      </w:divBdr>
    </w:div>
    <w:div w:id="1189366258">
      <w:bodyDiv w:val="1"/>
      <w:marLeft w:val="0"/>
      <w:marRight w:val="0"/>
      <w:marTop w:val="0"/>
      <w:marBottom w:val="0"/>
      <w:divBdr>
        <w:top w:val="none" w:sz="0" w:space="0" w:color="auto"/>
        <w:left w:val="none" w:sz="0" w:space="0" w:color="auto"/>
        <w:bottom w:val="none" w:sz="0" w:space="0" w:color="auto"/>
        <w:right w:val="none" w:sz="0" w:space="0" w:color="auto"/>
      </w:divBdr>
    </w:div>
    <w:div w:id="1192766160">
      <w:bodyDiv w:val="1"/>
      <w:marLeft w:val="0"/>
      <w:marRight w:val="0"/>
      <w:marTop w:val="0"/>
      <w:marBottom w:val="0"/>
      <w:divBdr>
        <w:top w:val="none" w:sz="0" w:space="0" w:color="auto"/>
        <w:left w:val="none" w:sz="0" w:space="0" w:color="auto"/>
        <w:bottom w:val="none" w:sz="0" w:space="0" w:color="auto"/>
        <w:right w:val="none" w:sz="0" w:space="0" w:color="auto"/>
      </w:divBdr>
    </w:div>
    <w:div w:id="1193808621">
      <w:bodyDiv w:val="1"/>
      <w:marLeft w:val="0"/>
      <w:marRight w:val="0"/>
      <w:marTop w:val="0"/>
      <w:marBottom w:val="0"/>
      <w:divBdr>
        <w:top w:val="none" w:sz="0" w:space="0" w:color="auto"/>
        <w:left w:val="none" w:sz="0" w:space="0" w:color="auto"/>
        <w:bottom w:val="none" w:sz="0" w:space="0" w:color="auto"/>
        <w:right w:val="none" w:sz="0" w:space="0" w:color="auto"/>
      </w:divBdr>
    </w:div>
    <w:div w:id="1193877727">
      <w:bodyDiv w:val="1"/>
      <w:marLeft w:val="0"/>
      <w:marRight w:val="0"/>
      <w:marTop w:val="0"/>
      <w:marBottom w:val="0"/>
      <w:divBdr>
        <w:top w:val="none" w:sz="0" w:space="0" w:color="auto"/>
        <w:left w:val="none" w:sz="0" w:space="0" w:color="auto"/>
        <w:bottom w:val="none" w:sz="0" w:space="0" w:color="auto"/>
        <w:right w:val="none" w:sz="0" w:space="0" w:color="auto"/>
      </w:divBdr>
    </w:div>
    <w:div w:id="1200630128">
      <w:bodyDiv w:val="1"/>
      <w:marLeft w:val="0"/>
      <w:marRight w:val="0"/>
      <w:marTop w:val="0"/>
      <w:marBottom w:val="0"/>
      <w:divBdr>
        <w:top w:val="none" w:sz="0" w:space="0" w:color="auto"/>
        <w:left w:val="none" w:sz="0" w:space="0" w:color="auto"/>
        <w:bottom w:val="none" w:sz="0" w:space="0" w:color="auto"/>
        <w:right w:val="none" w:sz="0" w:space="0" w:color="auto"/>
      </w:divBdr>
    </w:div>
    <w:div w:id="1205949215">
      <w:bodyDiv w:val="1"/>
      <w:marLeft w:val="0"/>
      <w:marRight w:val="0"/>
      <w:marTop w:val="0"/>
      <w:marBottom w:val="0"/>
      <w:divBdr>
        <w:top w:val="none" w:sz="0" w:space="0" w:color="auto"/>
        <w:left w:val="none" w:sz="0" w:space="0" w:color="auto"/>
        <w:bottom w:val="none" w:sz="0" w:space="0" w:color="auto"/>
        <w:right w:val="none" w:sz="0" w:space="0" w:color="auto"/>
      </w:divBdr>
    </w:div>
    <w:div w:id="1211922863">
      <w:bodyDiv w:val="1"/>
      <w:marLeft w:val="0"/>
      <w:marRight w:val="0"/>
      <w:marTop w:val="0"/>
      <w:marBottom w:val="0"/>
      <w:divBdr>
        <w:top w:val="none" w:sz="0" w:space="0" w:color="auto"/>
        <w:left w:val="none" w:sz="0" w:space="0" w:color="auto"/>
        <w:bottom w:val="none" w:sz="0" w:space="0" w:color="auto"/>
        <w:right w:val="none" w:sz="0" w:space="0" w:color="auto"/>
      </w:divBdr>
    </w:div>
    <w:div w:id="1216308310">
      <w:bodyDiv w:val="1"/>
      <w:marLeft w:val="0"/>
      <w:marRight w:val="0"/>
      <w:marTop w:val="0"/>
      <w:marBottom w:val="0"/>
      <w:divBdr>
        <w:top w:val="none" w:sz="0" w:space="0" w:color="auto"/>
        <w:left w:val="none" w:sz="0" w:space="0" w:color="auto"/>
        <w:bottom w:val="none" w:sz="0" w:space="0" w:color="auto"/>
        <w:right w:val="none" w:sz="0" w:space="0" w:color="auto"/>
      </w:divBdr>
    </w:div>
    <w:div w:id="1223908776">
      <w:bodyDiv w:val="1"/>
      <w:marLeft w:val="0"/>
      <w:marRight w:val="0"/>
      <w:marTop w:val="0"/>
      <w:marBottom w:val="0"/>
      <w:divBdr>
        <w:top w:val="none" w:sz="0" w:space="0" w:color="auto"/>
        <w:left w:val="none" w:sz="0" w:space="0" w:color="auto"/>
        <w:bottom w:val="none" w:sz="0" w:space="0" w:color="auto"/>
        <w:right w:val="none" w:sz="0" w:space="0" w:color="auto"/>
      </w:divBdr>
    </w:div>
    <w:div w:id="1224294191">
      <w:bodyDiv w:val="1"/>
      <w:marLeft w:val="0"/>
      <w:marRight w:val="0"/>
      <w:marTop w:val="0"/>
      <w:marBottom w:val="0"/>
      <w:divBdr>
        <w:top w:val="none" w:sz="0" w:space="0" w:color="auto"/>
        <w:left w:val="none" w:sz="0" w:space="0" w:color="auto"/>
        <w:bottom w:val="none" w:sz="0" w:space="0" w:color="auto"/>
        <w:right w:val="none" w:sz="0" w:space="0" w:color="auto"/>
      </w:divBdr>
    </w:div>
    <w:div w:id="1230112101">
      <w:bodyDiv w:val="1"/>
      <w:marLeft w:val="0"/>
      <w:marRight w:val="0"/>
      <w:marTop w:val="0"/>
      <w:marBottom w:val="0"/>
      <w:divBdr>
        <w:top w:val="none" w:sz="0" w:space="0" w:color="auto"/>
        <w:left w:val="none" w:sz="0" w:space="0" w:color="auto"/>
        <w:bottom w:val="none" w:sz="0" w:space="0" w:color="auto"/>
        <w:right w:val="none" w:sz="0" w:space="0" w:color="auto"/>
      </w:divBdr>
    </w:div>
    <w:div w:id="1230845860">
      <w:bodyDiv w:val="1"/>
      <w:marLeft w:val="0"/>
      <w:marRight w:val="0"/>
      <w:marTop w:val="0"/>
      <w:marBottom w:val="0"/>
      <w:divBdr>
        <w:top w:val="none" w:sz="0" w:space="0" w:color="auto"/>
        <w:left w:val="none" w:sz="0" w:space="0" w:color="auto"/>
        <w:bottom w:val="none" w:sz="0" w:space="0" w:color="auto"/>
        <w:right w:val="none" w:sz="0" w:space="0" w:color="auto"/>
      </w:divBdr>
    </w:div>
    <w:div w:id="1242254266">
      <w:bodyDiv w:val="1"/>
      <w:marLeft w:val="0"/>
      <w:marRight w:val="0"/>
      <w:marTop w:val="0"/>
      <w:marBottom w:val="0"/>
      <w:divBdr>
        <w:top w:val="none" w:sz="0" w:space="0" w:color="auto"/>
        <w:left w:val="none" w:sz="0" w:space="0" w:color="auto"/>
        <w:bottom w:val="none" w:sz="0" w:space="0" w:color="auto"/>
        <w:right w:val="none" w:sz="0" w:space="0" w:color="auto"/>
      </w:divBdr>
    </w:div>
    <w:div w:id="1247109772">
      <w:bodyDiv w:val="1"/>
      <w:marLeft w:val="0"/>
      <w:marRight w:val="0"/>
      <w:marTop w:val="0"/>
      <w:marBottom w:val="0"/>
      <w:divBdr>
        <w:top w:val="none" w:sz="0" w:space="0" w:color="auto"/>
        <w:left w:val="none" w:sz="0" w:space="0" w:color="auto"/>
        <w:bottom w:val="none" w:sz="0" w:space="0" w:color="auto"/>
        <w:right w:val="none" w:sz="0" w:space="0" w:color="auto"/>
      </w:divBdr>
    </w:div>
    <w:div w:id="1248416262">
      <w:bodyDiv w:val="1"/>
      <w:marLeft w:val="0"/>
      <w:marRight w:val="0"/>
      <w:marTop w:val="0"/>
      <w:marBottom w:val="0"/>
      <w:divBdr>
        <w:top w:val="none" w:sz="0" w:space="0" w:color="auto"/>
        <w:left w:val="none" w:sz="0" w:space="0" w:color="auto"/>
        <w:bottom w:val="none" w:sz="0" w:space="0" w:color="auto"/>
        <w:right w:val="none" w:sz="0" w:space="0" w:color="auto"/>
      </w:divBdr>
    </w:div>
    <w:div w:id="1255241641">
      <w:bodyDiv w:val="1"/>
      <w:marLeft w:val="0"/>
      <w:marRight w:val="0"/>
      <w:marTop w:val="0"/>
      <w:marBottom w:val="0"/>
      <w:divBdr>
        <w:top w:val="none" w:sz="0" w:space="0" w:color="auto"/>
        <w:left w:val="none" w:sz="0" w:space="0" w:color="auto"/>
        <w:bottom w:val="none" w:sz="0" w:space="0" w:color="auto"/>
        <w:right w:val="none" w:sz="0" w:space="0" w:color="auto"/>
      </w:divBdr>
    </w:div>
    <w:div w:id="1259749737">
      <w:bodyDiv w:val="1"/>
      <w:marLeft w:val="0"/>
      <w:marRight w:val="0"/>
      <w:marTop w:val="0"/>
      <w:marBottom w:val="0"/>
      <w:divBdr>
        <w:top w:val="none" w:sz="0" w:space="0" w:color="auto"/>
        <w:left w:val="none" w:sz="0" w:space="0" w:color="auto"/>
        <w:bottom w:val="none" w:sz="0" w:space="0" w:color="auto"/>
        <w:right w:val="none" w:sz="0" w:space="0" w:color="auto"/>
      </w:divBdr>
    </w:div>
    <w:div w:id="1264453931">
      <w:bodyDiv w:val="1"/>
      <w:marLeft w:val="0"/>
      <w:marRight w:val="0"/>
      <w:marTop w:val="0"/>
      <w:marBottom w:val="0"/>
      <w:divBdr>
        <w:top w:val="none" w:sz="0" w:space="0" w:color="auto"/>
        <w:left w:val="none" w:sz="0" w:space="0" w:color="auto"/>
        <w:bottom w:val="none" w:sz="0" w:space="0" w:color="auto"/>
        <w:right w:val="none" w:sz="0" w:space="0" w:color="auto"/>
      </w:divBdr>
    </w:div>
    <w:div w:id="1270819433">
      <w:bodyDiv w:val="1"/>
      <w:marLeft w:val="0"/>
      <w:marRight w:val="0"/>
      <w:marTop w:val="0"/>
      <w:marBottom w:val="0"/>
      <w:divBdr>
        <w:top w:val="none" w:sz="0" w:space="0" w:color="auto"/>
        <w:left w:val="none" w:sz="0" w:space="0" w:color="auto"/>
        <w:bottom w:val="none" w:sz="0" w:space="0" w:color="auto"/>
        <w:right w:val="none" w:sz="0" w:space="0" w:color="auto"/>
      </w:divBdr>
    </w:div>
    <w:div w:id="1274170663">
      <w:bodyDiv w:val="1"/>
      <w:marLeft w:val="0"/>
      <w:marRight w:val="0"/>
      <w:marTop w:val="0"/>
      <w:marBottom w:val="0"/>
      <w:divBdr>
        <w:top w:val="none" w:sz="0" w:space="0" w:color="auto"/>
        <w:left w:val="none" w:sz="0" w:space="0" w:color="auto"/>
        <w:bottom w:val="none" w:sz="0" w:space="0" w:color="auto"/>
        <w:right w:val="none" w:sz="0" w:space="0" w:color="auto"/>
      </w:divBdr>
    </w:div>
    <w:div w:id="1274749602">
      <w:bodyDiv w:val="1"/>
      <w:marLeft w:val="0"/>
      <w:marRight w:val="0"/>
      <w:marTop w:val="0"/>
      <w:marBottom w:val="0"/>
      <w:divBdr>
        <w:top w:val="none" w:sz="0" w:space="0" w:color="auto"/>
        <w:left w:val="none" w:sz="0" w:space="0" w:color="auto"/>
        <w:bottom w:val="none" w:sz="0" w:space="0" w:color="auto"/>
        <w:right w:val="none" w:sz="0" w:space="0" w:color="auto"/>
      </w:divBdr>
    </w:div>
    <w:div w:id="1277759655">
      <w:bodyDiv w:val="1"/>
      <w:marLeft w:val="0"/>
      <w:marRight w:val="0"/>
      <w:marTop w:val="0"/>
      <w:marBottom w:val="0"/>
      <w:divBdr>
        <w:top w:val="none" w:sz="0" w:space="0" w:color="auto"/>
        <w:left w:val="none" w:sz="0" w:space="0" w:color="auto"/>
        <w:bottom w:val="none" w:sz="0" w:space="0" w:color="auto"/>
        <w:right w:val="none" w:sz="0" w:space="0" w:color="auto"/>
      </w:divBdr>
    </w:div>
    <w:div w:id="1281915344">
      <w:bodyDiv w:val="1"/>
      <w:marLeft w:val="0"/>
      <w:marRight w:val="0"/>
      <w:marTop w:val="0"/>
      <w:marBottom w:val="0"/>
      <w:divBdr>
        <w:top w:val="none" w:sz="0" w:space="0" w:color="auto"/>
        <w:left w:val="none" w:sz="0" w:space="0" w:color="auto"/>
        <w:bottom w:val="none" w:sz="0" w:space="0" w:color="auto"/>
        <w:right w:val="none" w:sz="0" w:space="0" w:color="auto"/>
      </w:divBdr>
    </w:div>
    <w:div w:id="1288853834">
      <w:bodyDiv w:val="1"/>
      <w:marLeft w:val="0"/>
      <w:marRight w:val="0"/>
      <w:marTop w:val="0"/>
      <w:marBottom w:val="0"/>
      <w:divBdr>
        <w:top w:val="none" w:sz="0" w:space="0" w:color="auto"/>
        <w:left w:val="none" w:sz="0" w:space="0" w:color="auto"/>
        <w:bottom w:val="none" w:sz="0" w:space="0" w:color="auto"/>
        <w:right w:val="none" w:sz="0" w:space="0" w:color="auto"/>
      </w:divBdr>
    </w:div>
    <w:div w:id="1292519559">
      <w:bodyDiv w:val="1"/>
      <w:marLeft w:val="0"/>
      <w:marRight w:val="0"/>
      <w:marTop w:val="0"/>
      <w:marBottom w:val="0"/>
      <w:divBdr>
        <w:top w:val="none" w:sz="0" w:space="0" w:color="auto"/>
        <w:left w:val="none" w:sz="0" w:space="0" w:color="auto"/>
        <w:bottom w:val="none" w:sz="0" w:space="0" w:color="auto"/>
        <w:right w:val="none" w:sz="0" w:space="0" w:color="auto"/>
      </w:divBdr>
    </w:div>
    <w:div w:id="1295981733">
      <w:bodyDiv w:val="1"/>
      <w:marLeft w:val="0"/>
      <w:marRight w:val="0"/>
      <w:marTop w:val="0"/>
      <w:marBottom w:val="0"/>
      <w:divBdr>
        <w:top w:val="none" w:sz="0" w:space="0" w:color="auto"/>
        <w:left w:val="none" w:sz="0" w:space="0" w:color="auto"/>
        <w:bottom w:val="none" w:sz="0" w:space="0" w:color="auto"/>
        <w:right w:val="none" w:sz="0" w:space="0" w:color="auto"/>
      </w:divBdr>
    </w:div>
    <w:div w:id="1302272251">
      <w:bodyDiv w:val="1"/>
      <w:marLeft w:val="0"/>
      <w:marRight w:val="0"/>
      <w:marTop w:val="0"/>
      <w:marBottom w:val="0"/>
      <w:divBdr>
        <w:top w:val="none" w:sz="0" w:space="0" w:color="auto"/>
        <w:left w:val="none" w:sz="0" w:space="0" w:color="auto"/>
        <w:bottom w:val="none" w:sz="0" w:space="0" w:color="auto"/>
        <w:right w:val="none" w:sz="0" w:space="0" w:color="auto"/>
      </w:divBdr>
    </w:div>
    <w:div w:id="1306665775">
      <w:bodyDiv w:val="1"/>
      <w:marLeft w:val="0"/>
      <w:marRight w:val="0"/>
      <w:marTop w:val="0"/>
      <w:marBottom w:val="0"/>
      <w:divBdr>
        <w:top w:val="none" w:sz="0" w:space="0" w:color="auto"/>
        <w:left w:val="none" w:sz="0" w:space="0" w:color="auto"/>
        <w:bottom w:val="none" w:sz="0" w:space="0" w:color="auto"/>
        <w:right w:val="none" w:sz="0" w:space="0" w:color="auto"/>
      </w:divBdr>
    </w:div>
    <w:div w:id="1306937202">
      <w:bodyDiv w:val="1"/>
      <w:marLeft w:val="0"/>
      <w:marRight w:val="0"/>
      <w:marTop w:val="0"/>
      <w:marBottom w:val="0"/>
      <w:divBdr>
        <w:top w:val="none" w:sz="0" w:space="0" w:color="auto"/>
        <w:left w:val="none" w:sz="0" w:space="0" w:color="auto"/>
        <w:bottom w:val="none" w:sz="0" w:space="0" w:color="auto"/>
        <w:right w:val="none" w:sz="0" w:space="0" w:color="auto"/>
      </w:divBdr>
    </w:div>
    <w:div w:id="1307591214">
      <w:bodyDiv w:val="1"/>
      <w:marLeft w:val="0"/>
      <w:marRight w:val="0"/>
      <w:marTop w:val="0"/>
      <w:marBottom w:val="0"/>
      <w:divBdr>
        <w:top w:val="none" w:sz="0" w:space="0" w:color="auto"/>
        <w:left w:val="none" w:sz="0" w:space="0" w:color="auto"/>
        <w:bottom w:val="none" w:sz="0" w:space="0" w:color="auto"/>
        <w:right w:val="none" w:sz="0" w:space="0" w:color="auto"/>
      </w:divBdr>
    </w:div>
    <w:div w:id="1316497485">
      <w:bodyDiv w:val="1"/>
      <w:marLeft w:val="0"/>
      <w:marRight w:val="0"/>
      <w:marTop w:val="0"/>
      <w:marBottom w:val="0"/>
      <w:divBdr>
        <w:top w:val="none" w:sz="0" w:space="0" w:color="auto"/>
        <w:left w:val="none" w:sz="0" w:space="0" w:color="auto"/>
        <w:bottom w:val="none" w:sz="0" w:space="0" w:color="auto"/>
        <w:right w:val="none" w:sz="0" w:space="0" w:color="auto"/>
      </w:divBdr>
    </w:div>
    <w:div w:id="1321495046">
      <w:bodyDiv w:val="1"/>
      <w:marLeft w:val="0"/>
      <w:marRight w:val="0"/>
      <w:marTop w:val="0"/>
      <w:marBottom w:val="0"/>
      <w:divBdr>
        <w:top w:val="none" w:sz="0" w:space="0" w:color="auto"/>
        <w:left w:val="none" w:sz="0" w:space="0" w:color="auto"/>
        <w:bottom w:val="none" w:sz="0" w:space="0" w:color="auto"/>
        <w:right w:val="none" w:sz="0" w:space="0" w:color="auto"/>
      </w:divBdr>
    </w:div>
    <w:div w:id="1322195382">
      <w:bodyDiv w:val="1"/>
      <w:marLeft w:val="0"/>
      <w:marRight w:val="0"/>
      <w:marTop w:val="0"/>
      <w:marBottom w:val="0"/>
      <w:divBdr>
        <w:top w:val="none" w:sz="0" w:space="0" w:color="auto"/>
        <w:left w:val="none" w:sz="0" w:space="0" w:color="auto"/>
        <w:bottom w:val="none" w:sz="0" w:space="0" w:color="auto"/>
        <w:right w:val="none" w:sz="0" w:space="0" w:color="auto"/>
      </w:divBdr>
    </w:div>
    <w:div w:id="1327904123">
      <w:bodyDiv w:val="1"/>
      <w:marLeft w:val="0"/>
      <w:marRight w:val="0"/>
      <w:marTop w:val="0"/>
      <w:marBottom w:val="0"/>
      <w:divBdr>
        <w:top w:val="none" w:sz="0" w:space="0" w:color="auto"/>
        <w:left w:val="none" w:sz="0" w:space="0" w:color="auto"/>
        <w:bottom w:val="none" w:sz="0" w:space="0" w:color="auto"/>
        <w:right w:val="none" w:sz="0" w:space="0" w:color="auto"/>
      </w:divBdr>
    </w:div>
    <w:div w:id="1333683126">
      <w:bodyDiv w:val="1"/>
      <w:marLeft w:val="0"/>
      <w:marRight w:val="0"/>
      <w:marTop w:val="0"/>
      <w:marBottom w:val="0"/>
      <w:divBdr>
        <w:top w:val="none" w:sz="0" w:space="0" w:color="auto"/>
        <w:left w:val="none" w:sz="0" w:space="0" w:color="auto"/>
        <w:bottom w:val="none" w:sz="0" w:space="0" w:color="auto"/>
        <w:right w:val="none" w:sz="0" w:space="0" w:color="auto"/>
      </w:divBdr>
    </w:div>
    <w:div w:id="1334919324">
      <w:bodyDiv w:val="1"/>
      <w:marLeft w:val="0"/>
      <w:marRight w:val="0"/>
      <w:marTop w:val="0"/>
      <w:marBottom w:val="0"/>
      <w:divBdr>
        <w:top w:val="none" w:sz="0" w:space="0" w:color="auto"/>
        <w:left w:val="none" w:sz="0" w:space="0" w:color="auto"/>
        <w:bottom w:val="none" w:sz="0" w:space="0" w:color="auto"/>
        <w:right w:val="none" w:sz="0" w:space="0" w:color="auto"/>
      </w:divBdr>
    </w:div>
    <w:div w:id="1337613850">
      <w:bodyDiv w:val="1"/>
      <w:marLeft w:val="0"/>
      <w:marRight w:val="0"/>
      <w:marTop w:val="0"/>
      <w:marBottom w:val="0"/>
      <w:divBdr>
        <w:top w:val="none" w:sz="0" w:space="0" w:color="auto"/>
        <w:left w:val="none" w:sz="0" w:space="0" w:color="auto"/>
        <w:bottom w:val="none" w:sz="0" w:space="0" w:color="auto"/>
        <w:right w:val="none" w:sz="0" w:space="0" w:color="auto"/>
      </w:divBdr>
    </w:div>
    <w:div w:id="1338268699">
      <w:bodyDiv w:val="1"/>
      <w:marLeft w:val="0"/>
      <w:marRight w:val="0"/>
      <w:marTop w:val="0"/>
      <w:marBottom w:val="0"/>
      <w:divBdr>
        <w:top w:val="none" w:sz="0" w:space="0" w:color="auto"/>
        <w:left w:val="none" w:sz="0" w:space="0" w:color="auto"/>
        <w:bottom w:val="none" w:sz="0" w:space="0" w:color="auto"/>
        <w:right w:val="none" w:sz="0" w:space="0" w:color="auto"/>
      </w:divBdr>
    </w:div>
    <w:div w:id="1339498672">
      <w:bodyDiv w:val="1"/>
      <w:marLeft w:val="0"/>
      <w:marRight w:val="0"/>
      <w:marTop w:val="0"/>
      <w:marBottom w:val="0"/>
      <w:divBdr>
        <w:top w:val="none" w:sz="0" w:space="0" w:color="auto"/>
        <w:left w:val="none" w:sz="0" w:space="0" w:color="auto"/>
        <w:bottom w:val="none" w:sz="0" w:space="0" w:color="auto"/>
        <w:right w:val="none" w:sz="0" w:space="0" w:color="auto"/>
      </w:divBdr>
    </w:div>
    <w:div w:id="1344161349">
      <w:bodyDiv w:val="1"/>
      <w:marLeft w:val="0"/>
      <w:marRight w:val="0"/>
      <w:marTop w:val="0"/>
      <w:marBottom w:val="0"/>
      <w:divBdr>
        <w:top w:val="none" w:sz="0" w:space="0" w:color="auto"/>
        <w:left w:val="none" w:sz="0" w:space="0" w:color="auto"/>
        <w:bottom w:val="none" w:sz="0" w:space="0" w:color="auto"/>
        <w:right w:val="none" w:sz="0" w:space="0" w:color="auto"/>
      </w:divBdr>
    </w:div>
    <w:div w:id="1344475973">
      <w:bodyDiv w:val="1"/>
      <w:marLeft w:val="0"/>
      <w:marRight w:val="0"/>
      <w:marTop w:val="0"/>
      <w:marBottom w:val="0"/>
      <w:divBdr>
        <w:top w:val="none" w:sz="0" w:space="0" w:color="auto"/>
        <w:left w:val="none" w:sz="0" w:space="0" w:color="auto"/>
        <w:bottom w:val="none" w:sz="0" w:space="0" w:color="auto"/>
        <w:right w:val="none" w:sz="0" w:space="0" w:color="auto"/>
      </w:divBdr>
    </w:div>
    <w:div w:id="1347294719">
      <w:bodyDiv w:val="1"/>
      <w:marLeft w:val="0"/>
      <w:marRight w:val="0"/>
      <w:marTop w:val="0"/>
      <w:marBottom w:val="0"/>
      <w:divBdr>
        <w:top w:val="none" w:sz="0" w:space="0" w:color="auto"/>
        <w:left w:val="none" w:sz="0" w:space="0" w:color="auto"/>
        <w:bottom w:val="none" w:sz="0" w:space="0" w:color="auto"/>
        <w:right w:val="none" w:sz="0" w:space="0" w:color="auto"/>
      </w:divBdr>
    </w:div>
    <w:div w:id="1356081611">
      <w:bodyDiv w:val="1"/>
      <w:marLeft w:val="0"/>
      <w:marRight w:val="0"/>
      <w:marTop w:val="0"/>
      <w:marBottom w:val="0"/>
      <w:divBdr>
        <w:top w:val="none" w:sz="0" w:space="0" w:color="auto"/>
        <w:left w:val="none" w:sz="0" w:space="0" w:color="auto"/>
        <w:bottom w:val="none" w:sz="0" w:space="0" w:color="auto"/>
        <w:right w:val="none" w:sz="0" w:space="0" w:color="auto"/>
      </w:divBdr>
    </w:div>
    <w:div w:id="1363553981">
      <w:bodyDiv w:val="1"/>
      <w:marLeft w:val="0"/>
      <w:marRight w:val="0"/>
      <w:marTop w:val="0"/>
      <w:marBottom w:val="0"/>
      <w:divBdr>
        <w:top w:val="none" w:sz="0" w:space="0" w:color="auto"/>
        <w:left w:val="none" w:sz="0" w:space="0" w:color="auto"/>
        <w:bottom w:val="none" w:sz="0" w:space="0" w:color="auto"/>
        <w:right w:val="none" w:sz="0" w:space="0" w:color="auto"/>
      </w:divBdr>
    </w:div>
    <w:div w:id="1366906750">
      <w:bodyDiv w:val="1"/>
      <w:marLeft w:val="0"/>
      <w:marRight w:val="0"/>
      <w:marTop w:val="0"/>
      <w:marBottom w:val="0"/>
      <w:divBdr>
        <w:top w:val="none" w:sz="0" w:space="0" w:color="auto"/>
        <w:left w:val="none" w:sz="0" w:space="0" w:color="auto"/>
        <w:bottom w:val="none" w:sz="0" w:space="0" w:color="auto"/>
        <w:right w:val="none" w:sz="0" w:space="0" w:color="auto"/>
      </w:divBdr>
    </w:div>
    <w:div w:id="1367831395">
      <w:bodyDiv w:val="1"/>
      <w:marLeft w:val="0"/>
      <w:marRight w:val="0"/>
      <w:marTop w:val="0"/>
      <w:marBottom w:val="0"/>
      <w:divBdr>
        <w:top w:val="none" w:sz="0" w:space="0" w:color="auto"/>
        <w:left w:val="none" w:sz="0" w:space="0" w:color="auto"/>
        <w:bottom w:val="none" w:sz="0" w:space="0" w:color="auto"/>
        <w:right w:val="none" w:sz="0" w:space="0" w:color="auto"/>
      </w:divBdr>
    </w:div>
    <w:div w:id="1368606265">
      <w:bodyDiv w:val="1"/>
      <w:marLeft w:val="0"/>
      <w:marRight w:val="0"/>
      <w:marTop w:val="0"/>
      <w:marBottom w:val="0"/>
      <w:divBdr>
        <w:top w:val="none" w:sz="0" w:space="0" w:color="auto"/>
        <w:left w:val="none" w:sz="0" w:space="0" w:color="auto"/>
        <w:bottom w:val="none" w:sz="0" w:space="0" w:color="auto"/>
        <w:right w:val="none" w:sz="0" w:space="0" w:color="auto"/>
      </w:divBdr>
    </w:div>
    <w:div w:id="1372530625">
      <w:bodyDiv w:val="1"/>
      <w:marLeft w:val="0"/>
      <w:marRight w:val="0"/>
      <w:marTop w:val="0"/>
      <w:marBottom w:val="0"/>
      <w:divBdr>
        <w:top w:val="none" w:sz="0" w:space="0" w:color="auto"/>
        <w:left w:val="none" w:sz="0" w:space="0" w:color="auto"/>
        <w:bottom w:val="none" w:sz="0" w:space="0" w:color="auto"/>
        <w:right w:val="none" w:sz="0" w:space="0" w:color="auto"/>
      </w:divBdr>
    </w:div>
    <w:div w:id="1375035518">
      <w:bodyDiv w:val="1"/>
      <w:marLeft w:val="0"/>
      <w:marRight w:val="0"/>
      <w:marTop w:val="0"/>
      <w:marBottom w:val="0"/>
      <w:divBdr>
        <w:top w:val="none" w:sz="0" w:space="0" w:color="auto"/>
        <w:left w:val="none" w:sz="0" w:space="0" w:color="auto"/>
        <w:bottom w:val="none" w:sz="0" w:space="0" w:color="auto"/>
        <w:right w:val="none" w:sz="0" w:space="0" w:color="auto"/>
      </w:divBdr>
    </w:div>
    <w:div w:id="1379547614">
      <w:bodyDiv w:val="1"/>
      <w:marLeft w:val="0"/>
      <w:marRight w:val="0"/>
      <w:marTop w:val="0"/>
      <w:marBottom w:val="0"/>
      <w:divBdr>
        <w:top w:val="none" w:sz="0" w:space="0" w:color="auto"/>
        <w:left w:val="none" w:sz="0" w:space="0" w:color="auto"/>
        <w:bottom w:val="none" w:sz="0" w:space="0" w:color="auto"/>
        <w:right w:val="none" w:sz="0" w:space="0" w:color="auto"/>
      </w:divBdr>
    </w:div>
    <w:div w:id="1381173812">
      <w:bodyDiv w:val="1"/>
      <w:marLeft w:val="0"/>
      <w:marRight w:val="0"/>
      <w:marTop w:val="0"/>
      <w:marBottom w:val="0"/>
      <w:divBdr>
        <w:top w:val="none" w:sz="0" w:space="0" w:color="auto"/>
        <w:left w:val="none" w:sz="0" w:space="0" w:color="auto"/>
        <w:bottom w:val="none" w:sz="0" w:space="0" w:color="auto"/>
        <w:right w:val="none" w:sz="0" w:space="0" w:color="auto"/>
      </w:divBdr>
    </w:div>
    <w:div w:id="1381589442">
      <w:bodyDiv w:val="1"/>
      <w:marLeft w:val="0"/>
      <w:marRight w:val="0"/>
      <w:marTop w:val="0"/>
      <w:marBottom w:val="0"/>
      <w:divBdr>
        <w:top w:val="none" w:sz="0" w:space="0" w:color="auto"/>
        <w:left w:val="none" w:sz="0" w:space="0" w:color="auto"/>
        <w:bottom w:val="none" w:sz="0" w:space="0" w:color="auto"/>
        <w:right w:val="none" w:sz="0" w:space="0" w:color="auto"/>
      </w:divBdr>
    </w:div>
    <w:div w:id="1386639769">
      <w:bodyDiv w:val="1"/>
      <w:marLeft w:val="0"/>
      <w:marRight w:val="0"/>
      <w:marTop w:val="0"/>
      <w:marBottom w:val="0"/>
      <w:divBdr>
        <w:top w:val="none" w:sz="0" w:space="0" w:color="auto"/>
        <w:left w:val="none" w:sz="0" w:space="0" w:color="auto"/>
        <w:bottom w:val="none" w:sz="0" w:space="0" w:color="auto"/>
        <w:right w:val="none" w:sz="0" w:space="0" w:color="auto"/>
      </w:divBdr>
    </w:div>
    <w:div w:id="1389572011">
      <w:bodyDiv w:val="1"/>
      <w:marLeft w:val="0"/>
      <w:marRight w:val="0"/>
      <w:marTop w:val="0"/>
      <w:marBottom w:val="0"/>
      <w:divBdr>
        <w:top w:val="none" w:sz="0" w:space="0" w:color="auto"/>
        <w:left w:val="none" w:sz="0" w:space="0" w:color="auto"/>
        <w:bottom w:val="none" w:sz="0" w:space="0" w:color="auto"/>
        <w:right w:val="none" w:sz="0" w:space="0" w:color="auto"/>
      </w:divBdr>
    </w:div>
    <w:div w:id="1396974994">
      <w:bodyDiv w:val="1"/>
      <w:marLeft w:val="0"/>
      <w:marRight w:val="0"/>
      <w:marTop w:val="0"/>
      <w:marBottom w:val="0"/>
      <w:divBdr>
        <w:top w:val="none" w:sz="0" w:space="0" w:color="auto"/>
        <w:left w:val="none" w:sz="0" w:space="0" w:color="auto"/>
        <w:bottom w:val="none" w:sz="0" w:space="0" w:color="auto"/>
        <w:right w:val="none" w:sz="0" w:space="0" w:color="auto"/>
      </w:divBdr>
    </w:div>
    <w:div w:id="1398045569">
      <w:bodyDiv w:val="1"/>
      <w:marLeft w:val="0"/>
      <w:marRight w:val="0"/>
      <w:marTop w:val="0"/>
      <w:marBottom w:val="0"/>
      <w:divBdr>
        <w:top w:val="none" w:sz="0" w:space="0" w:color="auto"/>
        <w:left w:val="none" w:sz="0" w:space="0" w:color="auto"/>
        <w:bottom w:val="none" w:sz="0" w:space="0" w:color="auto"/>
        <w:right w:val="none" w:sz="0" w:space="0" w:color="auto"/>
      </w:divBdr>
    </w:div>
    <w:div w:id="1405758397">
      <w:bodyDiv w:val="1"/>
      <w:marLeft w:val="0"/>
      <w:marRight w:val="0"/>
      <w:marTop w:val="0"/>
      <w:marBottom w:val="0"/>
      <w:divBdr>
        <w:top w:val="none" w:sz="0" w:space="0" w:color="auto"/>
        <w:left w:val="none" w:sz="0" w:space="0" w:color="auto"/>
        <w:bottom w:val="none" w:sz="0" w:space="0" w:color="auto"/>
        <w:right w:val="none" w:sz="0" w:space="0" w:color="auto"/>
      </w:divBdr>
    </w:div>
    <w:div w:id="1408183519">
      <w:bodyDiv w:val="1"/>
      <w:marLeft w:val="0"/>
      <w:marRight w:val="0"/>
      <w:marTop w:val="0"/>
      <w:marBottom w:val="0"/>
      <w:divBdr>
        <w:top w:val="none" w:sz="0" w:space="0" w:color="auto"/>
        <w:left w:val="none" w:sz="0" w:space="0" w:color="auto"/>
        <w:bottom w:val="none" w:sz="0" w:space="0" w:color="auto"/>
        <w:right w:val="none" w:sz="0" w:space="0" w:color="auto"/>
      </w:divBdr>
    </w:div>
    <w:div w:id="1417705930">
      <w:bodyDiv w:val="1"/>
      <w:marLeft w:val="0"/>
      <w:marRight w:val="0"/>
      <w:marTop w:val="0"/>
      <w:marBottom w:val="0"/>
      <w:divBdr>
        <w:top w:val="none" w:sz="0" w:space="0" w:color="auto"/>
        <w:left w:val="none" w:sz="0" w:space="0" w:color="auto"/>
        <w:bottom w:val="none" w:sz="0" w:space="0" w:color="auto"/>
        <w:right w:val="none" w:sz="0" w:space="0" w:color="auto"/>
      </w:divBdr>
    </w:div>
    <w:div w:id="1425762993">
      <w:bodyDiv w:val="1"/>
      <w:marLeft w:val="0"/>
      <w:marRight w:val="0"/>
      <w:marTop w:val="0"/>
      <w:marBottom w:val="0"/>
      <w:divBdr>
        <w:top w:val="none" w:sz="0" w:space="0" w:color="auto"/>
        <w:left w:val="none" w:sz="0" w:space="0" w:color="auto"/>
        <w:bottom w:val="none" w:sz="0" w:space="0" w:color="auto"/>
        <w:right w:val="none" w:sz="0" w:space="0" w:color="auto"/>
      </w:divBdr>
    </w:div>
    <w:div w:id="1430547226">
      <w:bodyDiv w:val="1"/>
      <w:marLeft w:val="0"/>
      <w:marRight w:val="0"/>
      <w:marTop w:val="0"/>
      <w:marBottom w:val="0"/>
      <w:divBdr>
        <w:top w:val="none" w:sz="0" w:space="0" w:color="auto"/>
        <w:left w:val="none" w:sz="0" w:space="0" w:color="auto"/>
        <w:bottom w:val="none" w:sz="0" w:space="0" w:color="auto"/>
        <w:right w:val="none" w:sz="0" w:space="0" w:color="auto"/>
      </w:divBdr>
    </w:div>
    <w:div w:id="1431849057">
      <w:bodyDiv w:val="1"/>
      <w:marLeft w:val="0"/>
      <w:marRight w:val="0"/>
      <w:marTop w:val="0"/>
      <w:marBottom w:val="0"/>
      <w:divBdr>
        <w:top w:val="none" w:sz="0" w:space="0" w:color="auto"/>
        <w:left w:val="none" w:sz="0" w:space="0" w:color="auto"/>
        <w:bottom w:val="none" w:sz="0" w:space="0" w:color="auto"/>
        <w:right w:val="none" w:sz="0" w:space="0" w:color="auto"/>
      </w:divBdr>
    </w:div>
    <w:div w:id="1434546877">
      <w:bodyDiv w:val="1"/>
      <w:marLeft w:val="0"/>
      <w:marRight w:val="0"/>
      <w:marTop w:val="0"/>
      <w:marBottom w:val="0"/>
      <w:divBdr>
        <w:top w:val="none" w:sz="0" w:space="0" w:color="auto"/>
        <w:left w:val="none" w:sz="0" w:space="0" w:color="auto"/>
        <w:bottom w:val="none" w:sz="0" w:space="0" w:color="auto"/>
        <w:right w:val="none" w:sz="0" w:space="0" w:color="auto"/>
      </w:divBdr>
    </w:div>
    <w:div w:id="1444183568">
      <w:bodyDiv w:val="1"/>
      <w:marLeft w:val="0"/>
      <w:marRight w:val="0"/>
      <w:marTop w:val="0"/>
      <w:marBottom w:val="0"/>
      <w:divBdr>
        <w:top w:val="none" w:sz="0" w:space="0" w:color="auto"/>
        <w:left w:val="none" w:sz="0" w:space="0" w:color="auto"/>
        <w:bottom w:val="none" w:sz="0" w:space="0" w:color="auto"/>
        <w:right w:val="none" w:sz="0" w:space="0" w:color="auto"/>
      </w:divBdr>
    </w:div>
    <w:div w:id="1446994913">
      <w:bodyDiv w:val="1"/>
      <w:marLeft w:val="0"/>
      <w:marRight w:val="0"/>
      <w:marTop w:val="0"/>
      <w:marBottom w:val="0"/>
      <w:divBdr>
        <w:top w:val="none" w:sz="0" w:space="0" w:color="auto"/>
        <w:left w:val="none" w:sz="0" w:space="0" w:color="auto"/>
        <w:bottom w:val="none" w:sz="0" w:space="0" w:color="auto"/>
        <w:right w:val="none" w:sz="0" w:space="0" w:color="auto"/>
      </w:divBdr>
    </w:div>
    <w:div w:id="1447113530">
      <w:bodyDiv w:val="1"/>
      <w:marLeft w:val="0"/>
      <w:marRight w:val="0"/>
      <w:marTop w:val="0"/>
      <w:marBottom w:val="0"/>
      <w:divBdr>
        <w:top w:val="none" w:sz="0" w:space="0" w:color="auto"/>
        <w:left w:val="none" w:sz="0" w:space="0" w:color="auto"/>
        <w:bottom w:val="none" w:sz="0" w:space="0" w:color="auto"/>
        <w:right w:val="none" w:sz="0" w:space="0" w:color="auto"/>
      </w:divBdr>
    </w:div>
    <w:div w:id="1454321505">
      <w:bodyDiv w:val="1"/>
      <w:marLeft w:val="0"/>
      <w:marRight w:val="0"/>
      <w:marTop w:val="0"/>
      <w:marBottom w:val="0"/>
      <w:divBdr>
        <w:top w:val="none" w:sz="0" w:space="0" w:color="auto"/>
        <w:left w:val="none" w:sz="0" w:space="0" w:color="auto"/>
        <w:bottom w:val="none" w:sz="0" w:space="0" w:color="auto"/>
        <w:right w:val="none" w:sz="0" w:space="0" w:color="auto"/>
      </w:divBdr>
    </w:div>
    <w:div w:id="1461730413">
      <w:bodyDiv w:val="1"/>
      <w:marLeft w:val="0"/>
      <w:marRight w:val="0"/>
      <w:marTop w:val="0"/>
      <w:marBottom w:val="0"/>
      <w:divBdr>
        <w:top w:val="none" w:sz="0" w:space="0" w:color="auto"/>
        <w:left w:val="none" w:sz="0" w:space="0" w:color="auto"/>
        <w:bottom w:val="none" w:sz="0" w:space="0" w:color="auto"/>
        <w:right w:val="none" w:sz="0" w:space="0" w:color="auto"/>
      </w:divBdr>
    </w:div>
    <w:div w:id="1463385804">
      <w:bodyDiv w:val="1"/>
      <w:marLeft w:val="0"/>
      <w:marRight w:val="0"/>
      <w:marTop w:val="0"/>
      <w:marBottom w:val="0"/>
      <w:divBdr>
        <w:top w:val="none" w:sz="0" w:space="0" w:color="auto"/>
        <w:left w:val="none" w:sz="0" w:space="0" w:color="auto"/>
        <w:bottom w:val="none" w:sz="0" w:space="0" w:color="auto"/>
        <w:right w:val="none" w:sz="0" w:space="0" w:color="auto"/>
      </w:divBdr>
    </w:div>
    <w:div w:id="1464927391">
      <w:bodyDiv w:val="1"/>
      <w:marLeft w:val="0"/>
      <w:marRight w:val="0"/>
      <w:marTop w:val="0"/>
      <w:marBottom w:val="0"/>
      <w:divBdr>
        <w:top w:val="none" w:sz="0" w:space="0" w:color="auto"/>
        <w:left w:val="none" w:sz="0" w:space="0" w:color="auto"/>
        <w:bottom w:val="none" w:sz="0" w:space="0" w:color="auto"/>
        <w:right w:val="none" w:sz="0" w:space="0" w:color="auto"/>
      </w:divBdr>
    </w:div>
    <w:div w:id="1466655265">
      <w:bodyDiv w:val="1"/>
      <w:marLeft w:val="0"/>
      <w:marRight w:val="0"/>
      <w:marTop w:val="0"/>
      <w:marBottom w:val="0"/>
      <w:divBdr>
        <w:top w:val="none" w:sz="0" w:space="0" w:color="auto"/>
        <w:left w:val="none" w:sz="0" w:space="0" w:color="auto"/>
        <w:bottom w:val="none" w:sz="0" w:space="0" w:color="auto"/>
        <w:right w:val="none" w:sz="0" w:space="0" w:color="auto"/>
      </w:divBdr>
    </w:div>
    <w:div w:id="1468352936">
      <w:bodyDiv w:val="1"/>
      <w:marLeft w:val="0"/>
      <w:marRight w:val="0"/>
      <w:marTop w:val="0"/>
      <w:marBottom w:val="0"/>
      <w:divBdr>
        <w:top w:val="none" w:sz="0" w:space="0" w:color="auto"/>
        <w:left w:val="none" w:sz="0" w:space="0" w:color="auto"/>
        <w:bottom w:val="none" w:sz="0" w:space="0" w:color="auto"/>
        <w:right w:val="none" w:sz="0" w:space="0" w:color="auto"/>
      </w:divBdr>
    </w:div>
    <w:div w:id="1468429721">
      <w:bodyDiv w:val="1"/>
      <w:marLeft w:val="0"/>
      <w:marRight w:val="0"/>
      <w:marTop w:val="0"/>
      <w:marBottom w:val="0"/>
      <w:divBdr>
        <w:top w:val="none" w:sz="0" w:space="0" w:color="auto"/>
        <w:left w:val="none" w:sz="0" w:space="0" w:color="auto"/>
        <w:bottom w:val="none" w:sz="0" w:space="0" w:color="auto"/>
        <w:right w:val="none" w:sz="0" w:space="0" w:color="auto"/>
      </w:divBdr>
    </w:div>
    <w:div w:id="1473059308">
      <w:bodyDiv w:val="1"/>
      <w:marLeft w:val="0"/>
      <w:marRight w:val="0"/>
      <w:marTop w:val="0"/>
      <w:marBottom w:val="0"/>
      <w:divBdr>
        <w:top w:val="none" w:sz="0" w:space="0" w:color="auto"/>
        <w:left w:val="none" w:sz="0" w:space="0" w:color="auto"/>
        <w:bottom w:val="none" w:sz="0" w:space="0" w:color="auto"/>
        <w:right w:val="none" w:sz="0" w:space="0" w:color="auto"/>
      </w:divBdr>
    </w:div>
    <w:div w:id="1473905708">
      <w:bodyDiv w:val="1"/>
      <w:marLeft w:val="0"/>
      <w:marRight w:val="0"/>
      <w:marTop w:val="0"/>
      <w:marBottom w:val="0"/>
      <w:divBdr>
        <w:top w:val="none" w:sz="0" w:space="0" w:color="auto"/>
        <w:left w:val="none" w:sz="0" w:space="0" w:color="auto"/>
        <w:bottom w:val="none" w:sz="0" w:space="0" w:color="auto"/>
        <w:right w:val="none" w:sz="0" w:space="0" w:color="auto"/>
      </w:divBdr>
    </w:div>
    <w:div w:id="1480227965">
      <w:bodyDiv w:val="1"/>
      <w:marLeft w:val="0"/>
      <w:marRight w:val="0"/>
      <w:marTop w:val="0"/>
      <w:marBottom w:val="0"/>
      <w:divBdr>
        <w:top w:val="none" w:sz="0" w:space="0" w:color="auto"/>
        <w:left w:val="none" w:sz="0" w:space="0" w:color="auto"/>
        <w:bottom w:val="none" w:sz="0" w:space="0" w:color="auto"/>
        <w:right w:val="none" w:sz="0" w:space="0" w:color="auto"/>
      </w:divBdr>
    </w:div>
    <w:div w:id="1482963015">
      <w:bodyDiv w:val="1"/>
      <w:marLeft w:val="0"/>
      <w:marRight w:val="0"/>
      <w:marTop w:val="0"/>
      <w:marBottom w:val="0"/>
      <w:divBdr>
        <w:top w:val="none" w:sz="0" w:space="0" w:color="auto"/>
        <w:left w:val="none" w:sz="0" w:space="0" w:color="auto"/>
        <w:bottom w:val="none" w:sz="0" w:space="0" w:color="auto"/>
        <w:right w:val="none" w:sz="0" w:space="0" w:color="auto"/>
      </w:divBdr>
    </w:div>
    <w:div w:id="1483616735">
      <w:bodyDiv w:val="1"/>
      <w:marLeft w:val="0"/>
      <w:marRight w:val="0"/>
      <w:marTop w:val="0"/>
      <w:marBottom w:val="0"/>
      <w:divBdr>
        <w:top w:val="none" w:sz="0" w:space="0" w:color="auto"/>
        <w:left w:val="none" w:sz="0" w:space="0" w:color="auto"/>
        <w:bottom w:val="none" w:sz="0" w:space="0" w:color="auto"/>
        <w:right w:val="none" w:sz="0" w:space="0" w:color="auto"/>
      </w:divBdr>
    </w:div>
    <w:div w:id="1485467984">
      <w:bodyDiv w:val="1"/>
      <w:marLeft w:val="0"/>
      <w:marRight w:val="0"/>
      <w:marTop w:val="0"/>
      <w:marBottom w:val="0"/>
      <w:divBdr>
        <w:top w:val="none" w:sz="0" w:space="0" w:color="auto"/>
        <w:left w:val="none" w:sz="0" w:space="0" w:color="auto"/>
        <w:bottom w:val="none" w:sz="0" w:space="0" w:color="auto"/>
        <w:right w:val="none" w:sz="0" w:space="0" w:color="auto"/>
      </w:divBdr>
    </w:div>
    <w:div w:id="1493060824">
      <w:bodyDiv w:val="1"/>
      <w:marLeft w:val="0"/>
      <w:marRight w:val="0"/>
      <w:marTop w:val="0"/>
      <w:marBottom w:val="0"/>
      <w:divBdr>
        <w:top w:val="none" w:sz="0" w:space="0" w:color="auto"/>
        <w:left w:val="none" w:sz="0" w:space="0" w:color="auto"/>
        <w:bottom w:val="none" w:sz="0" w:space="0" w:color="auto"/>
        <w:right w:val="none" w:sz="0" w:space="0" w:color="auto"/>
      </w:divBdr>
    </w:div>
    <w:div w:id="1497838040">
      <w:bodyDiv w:val="1"/>
      <w:marLeft w:val="0"/>
      <w:marRight w:val="0"/>
      <w:marTop w:val="0"/>
      <w:marBottom w:val="0"/>
      <w:divBdr>
        <w:top w:val="none" w:sz="0" w:space="0" w:color="auto"/>
        <w:left w:val="none" w:sz="0" w:space="0" w:color="auto"/>
        <w:bottom w:val="none" w:sz="0" w:space="0" w:color="auto"/>
        <w:right w:val="none" w:sz="0" w:space="0" w:color="auto"/>
      </w:divBdr>
    </w:div>
    <w:div w:id="1500541005">
      <w:bodyDiv w:val="1"/>
      <w:marLeft w:val="0"/>
      <w:marRight w:val="0"/>
      <w:marTop w:val="0"/>
      <w:marBottom w:val="0"/>
      <w:divBdr>
        <w:top w:val="none" w:sz="0" w:space="0" w:color="auto"/>
        <w:left w:val="none" w:sz="0" w:space="0" w:color="auto"/>
        <w:bottom w:val="none" w:sz="0" w:space="0" w:color="auto"/>
        <w:right w:val="none" w:sz="0" w:space="0" w:color="auto"/>
      </w:divBdr>
    </w:div>
    <w:div w:id="1502046894">
      <w:bodyDiv w:val="1"/>
      <w:marLeft w:val="0"/>
      <w:marRight w:val="0"/>
      <w:marTop w:val="0"/>
      <w:marBottom w:val="0"/>
      <w:divBdr>
        <w:top w:val="none" w:sz="0" w:space="0" w:color="auto"/>
        <w:left w:val="none" w:sz="0" w:space="0" w:color="auto"/>
        <w:bottom w:val="none" w:sz="0" w:space="0" w:color="auto"/>
        <w:right w:val="none" w:sz="0" w:space="0" w:color="auto"/>
      </w:divBdr>
    </w:div>
    <w:div w:id="1513257660">
      <w:bodyDiv w:val="1"/>
      <w:marLeft w:val="0"/>
      <w:marRight w:val="0"/>
      <w:marTop w:val="0"/>
      <w:marBottom w:val="0"/>
      <w:divBdr>
        <w:top w:val="none" w:sz="0" w:space="0" w:color="auto"/>
        <w:left w:val="none" w:sz="0" w:space="0" w:color="auto"/>
        <w:bottom w:val="none" w:sz="0" w:space="0" w:color="auto"/>
        <w:right w:val="none" w:sz="0" w:space="0" w:color="auto"/>
      </w:divBdr>
    </w:div>
    <w:div w:id="1517383094">
      <w:bodyDiv w:val="1"/>
      <w:marLeft w:val="0"/>
      <w:marRight w:val="0"/>
      <w:marTop w:val="0"/>
      <w:marBottom w:val="0"/>
      <w:divBdr>
        <w:top w:val="none" w:sz="0" w:space="0" w:color="auto"/>
        <w:left w:val="none" w:sz="0" w:space="0" w:color="auto"/>
        <w:bottom w:val="none" w:sz="0" w:space="0" w:color="auto"/>
        <w:right w:val="none" w:sz="0" w:space="0" w:color="auto"/>
      </w:divBdr>
    </w:div>
    <w:div w:id="1525437798">
      <w:bodyDiv w:val="1"/>
      <w:marLeft w:val="0"/>
      <w:marRight w:val="0"/>
      <w:marTop w:val="0"/>
      <w:marBottom w:val="0"/>
      <w:divBdr>
        <w:top w:val="none" w:sz="0" w:space="0" w:color="auto"/>
        <w:left w:val="none" w:sz="0" w:space="0" w:color="auto"/>
        <w:bottom w:val="none" w:sz="0" w:space="0" w:color="auto"/>
        <w:right w:val="none" w:sz="0" w:space="0" w:color="auto"/>
      </w:divBdr>
    </w:div>
    <w:div w:id="1532255699">
      <w:bodyDiv w:val="1"/>
      <w:marLeft w:val="0"/>
      <w:marRight w:val="0"/>
      <w:marTop w:val="0"/>
      <w:marBottom w:val="0"/>
      <w:divBdr>
        <w:top w:val="none" w:sz="0" w:space="0" w:color="auto"/>
        <w:left w:val="none" w:sz="0" w:space="0" w:color="auto"/>
        <w:bottom w:val="none" w:sz="0" w:space="0" w:color="auto"/>
        <w:right w:val="none" w:sz="0" w:space="0" w:color="auto"/>
      </w:divBdr>
    </w:div>
    <w:div w:id="1533301225">
      <w:bodyDiv w:val="1"/>
      <w:marLeft w:val="0"/>
      <w:marRight w:val="0"/>
      <w:marTop w:val="0"/>
      <w:marBottom w:val="0"/>
      <w:divBdr>
        <w:top w:val="none" w:sz="0" w:space="0" w:color="auto"/>
        <w:left w:val="none" w:sz="0" w:space="0" w:color="auto"/>
        <w:bottom w:val="none" w:sz="0" w:space="0" w:color="auto"/>
        <w:right w:val="none" w:sz="0" w:space="0" w:color="auto"/>
      </w:divBdr>
    </w:div>
    <w:div w:id="1535339402">
      <w:bodyDiv w:val="1"/>
      <w:marLeft w:val="0"/>
      <w:marRight w:val="0"/>
      <w:marTop w:val="0"/>
      <w:marBottom w:val="0"/>
      <w:divBdr>
        <w:top w:val="none" w:sz="0" w:space="0" w:color="auto"/>
        <w:left w:val="none" w:sz="0" w:space="0" w:color="auto"/>
        <w:bottom w:val="none" w:sz="0" w:space="0" w:color="auto"/>
        <w:right w:val="none" w:sz="0" w:space="0" w:color="auto"/>
      </w:divBdr>
    </w:div>
    <w:div w:id="1539320261">
      <w:bodyDiv w:val="1"/>
      <w:marLeft w:val="0"/>
      <w:marRight w:val="0"/>
      <w:marTop w:val="0"/>
      <w:marBottom w:val="0"/>
      <w:divBdr>
        <w:top w:val="none" w:sz="0" w:space="0" w:color="auto"/>
        <w:left w:val="none" w:sz="0" w:space="0" w:color="auto"/>
        <w:bottom w:val="none" w:sz="0" w:space="0" w:color="auto"/>
        <w:right w:val="none" w:sz="0" w:space="0" w:color="auto"/>
      </w:divBdr>
    </w:div>
    <w:div w:id="1541818431">
      <w:bodyDiv w:val="1"/>
      <w:marLeft w:val="0"/>
      <w:marRight w:val="0"/>
      <w:marTop w:val="0"/>
      <w:marBottom w:val="0"/>
      <w:divBdr>
        <w:top w:val="none" w:sz="0" w:space="0" w:color="auto"/>
        <w:left w:val="none" w:sz="0" w:space="0" w:color="auto"/>
        <w:bottom w:val="none" w:sz="0" w:space="0" w:color="auto"/>
        <w:right w:val="none" w:sz="0" w:space="0" w:color="auto"/>
      </w:divBdr>
    </w:div>
    <w:div w:id="1543401333">
      <w:bodyDiv w:val="1"/>
      <w:marLeft w:val="0"/>
      <w:marRight w:val="0"/>
      <w:marTop w:val="0"/>
      <w:marBottom w:val="0"/>
      <w:divBdr>
        <w:top w:val="none" w:sz="0" w:space="0" w:color="auto"/>
        <w:left w:val="none" w:sz="0" w:space="0" w:color="auto"/>
        <w:bottom w:val="none" w:sz="0" w:space="0" w:color="auto"/>
        <w:right w:val="none" w:sz="0" w:space="0" w:color="auto"/>
      </w:divBdr>
    </w:div>
    <w:div w:id="1548447256">
      <w:bodyDiv w:val="1"/>
      <w:marLeft w:val="0"/>
      <w:marRight w:val="0"/>
      <w:marTop w:val="0"/>
      <w:marBottom w:val="0"/>
      <w:divBdr>
        <w:top w:val="none" w:sz="0" w:space="0" w:color="auto"/>
        <w:left w:val="none" w:sz="0" w:space="0" w:color="auto"/>
        <w:bottom w:val="none" w:sz="0" w:space="0" w:color="auto"/>
        <w:right w:val="none" w:sz="0" w:space="0" w:color="auto"/>
      </w:divBdr>
    </w:div>
    <w:div w:id="1551065667">
      <w:bodyDiv w:val="1"/>
      <w:marLeft w:val="0"/>
      <w:marRight w:val="0"/>
      <w:marTop w:val="0"/>
      <w:marBottom w:val="0"/>
      <w:divBdr>
        <w:top w:val="none" w:sz="0" w:space="0" w:color="auto"/>
        <w:left w:val="none" w:sz="0" w:space="0" w:color="auto"/>
        <w:bottom w:val="none" w:sz="0" w:space="0" w:color="auto"/>
        <w:right w:val="none" w:sz="0" w:space="0" w:color="auto"/>
      </w:divBdr>
    </w:div>
    <w:div w:id="1559972320">
      <w:bodyDiv w:val="1"/>
      <w:marLeft w:val="0"/>
      <w:marRight w:val="0"/>
      <w:marTop w:val="0"/>
      <w:marBottom w:val="0"/>
      <w:divBdr>
        <w:top w:val="none" w:sz="0" w:space="0" w:color="auto"/>
        <w:left w:val="none" w:sz="0" w:space="0" w:color="auto"/>
        <w:bottom w:val="none" w:sz="0" w:space="0" w:color="auto"/>
        <w:right w:val="none" w:sz="0" w:space="0" w:color="auto"/>
      </w:divBdr>
    </w:div>
    <w:div w:id="1566455761">
      <w:bodyDiv w:val="1"/>
      <w:marLeft w:val="0"/>
      <w:marRight w:val="0"/>
      <w:marTop w:val="0"/>
      <w:marBottom w:val="0"/>
      <w:divBdr>
        <w:top w:val="none" w:sz="0" w:space="0" w:color="auto"/>
        <w:left w:val="none" w:sz="0" w:space="0" w:color="auto"/>
        <w:bottom w:val="none" w:sz="0" w:space="0" w:color="auto"/>
        <w:right w:val="none" w:sz="0" w:space="0" w:color="auto"/>
      </w:divBdr>
    </w:div>
    <w:div w:id="1571882615">
      <w:bodyDiv w:val="1"/>
      <w:marLeft w:val="0"/>
      <w:marRight w:val="0"/>
      <w:marTop w:val="0"/>
      <w:marBottom w:val="0"/>
      <w:divBdr>
        <w:top w:val="none" w:sz="0" w:space="0" w:color="auto"/>
        <w:left w:val="none" w:sz="0" w:space="0" w:color="auto"/>
        <w:bottom w:val="none" w:sz="0" w:space="0" w:color="auto"/>
        <w:right w:val="none" w:sz="0" w:space="0" w:color="auto"/>
      </w:divBdr>
    </w:div>
    <w:div w:id="1576163407">
      <w:bodyDiv w:val="1"/>
      <w:marLeft w:val="0"/>
      <w:marRight w:val="0"/>
      <w:marTop w:val="0"/>
      <w:marBottom w:val="0"/>
      <w:divBdr>
        <w:top w:val="none" w:sz="0" w:space="0" w:color="auto"/>
        <w:left w:val="none" w:sz="0" w:space="0" w:color="auto"/>
        <w:bottom w:val="none" w:sz="0" w:space="0" w:color="auto"/>
        <w:right w:val="none" w:sz="0" w:space="0" w:color="auto"/>
      </w:divBdr>
    </w:div>
    <w:div w:id="1584337083">
      <w:bodyDiv w:val="1"/>
      <w:marLeft w:val="0"/>
      <w:marRight w:val="0"/>
      <w:marTop w:val="0"/>
      <w:marBottom w:val="0"/>
      <w:divBdr>
        <w:top w:val="none" w:sz="0" w:space="0" w:color="auto"/>
        <w:left w:val="none" w:sz="0" w:space="0" w:color="auto"/>
        <w:bottom w:val="none" w:sz="0" w:space="0" w:color="auto"/>
        <w:right w:val="none" w:sz="0" w:space="0" w:color="auto"/>
      </w:divBdr>
    </w:div>
    <w:div w:id="1584797348">
      <w:bodyDiv w:val="1"/>
      <w:marLeft w:val="0"/>
      <w:marRight w:val="0"/>
      <w:marTop w:val="0"/>
      <w:marBottom w:val="0"/>
      <w:divBdr>
        <w:top w:val="none" w:sz="0" w:space="0" w:color="auto"/>
        <w:left w:val="none" w:sz="0" w:space="0" w:color="auto"/>
        <w:bottom w:val="none" w:sz="0" w:space="0" w:color="auto"/>
        <w:right w:val="none" w:sz="0" w:space="0" w:color="auto"/>
      </w:divBdr>
    </w:div>
    <w:div w:id="1587568231">
      <w:bodyDiv w:val="1"/>
      <w:marLeft w:val="0"/>
      <w:marRight w:val="0"/>
      <w:marTop w:val="0"/>
      <w:marBottom w:val="0"/>
      <w:divBdr>
        <w:top w:val="none" w:sz="0" w:space="0" w:color="auto"/>
        <w:left w:val="none" w:sz="0" w:space="0" w:color="auto"/>
        <w:bottom w:val="none" w:sz="0" w:space="0" w:color="auto"/>
        <w:right w:val="none" w:sz="0" w:space="0" w:color="auto"/>
      </w:divBdr>
    </w:div>
    <w:div w:id="1599563856">
      <w:bodyDiv w:val="1"/>
      <w:marLeft w:val="0"/>
      <w:marRight w:val="0"/>
      <w:marTop w:val="0"/>
      <w:marBottom w:val="0"/>
      <w:divBdr>
        <w:top w:val="none" w:sz="0" w:space="0" w:color="auto"/>
        <w:left w:val="none" w:sz="0" w:space="0" w:color="auto"/>
        <w:bottom w:val="none" w:sz="0" w:space="0" w:color="auto"/>
        <w:right w:val="none" w:sz="0" w:space="0" w:color="auto"/>
      </w:divBdr>
    </w:div>
    <w:div w:id="1601642216">
      <w:bodyDiv w:val="1"/>
      <w:marLeft w:val="0"/>
      <w:marRight w:val="0"/>
      <w:marTop w:val="0"/>
      <w:marBottom w:val="0"/>
      <w:divBdr>
        <w:top w:val="none" w:sz="0" w:space="0" w:color="auto"/>
        <w:left w:val="none" w:sz="0" w:space="0" w:color="auto"/>
        <w:bottom w:val="none" w:sz="0" w:space="0" w:color="auto"/>
        <w:right w:val="none" w:sz="0" w:space="0" w:color="auto"/>
      </w:divBdr>
    </w:div>
    <w:div w:id="1604873530">
      <w:bodyDiv w:val="1"/>
      <w:marLeft w:val="0"/>
      <w:marRight w:val="0"/>
      <w:marTop w:val="0"/>
      <w:marBottom w:val="0"/>
      <w:divBdr>
        <w:top w:val="none" w:sz="0" w:space="0" w:color="auto"/>
        <w:left w:val="none" w:sz="0" w:space="0" w:color="auto"/>
        <w:bottom w:val="none" w:sz="0" w:space="0" w:color="auto"/>
        <w:right w:val="none" w:sz="0" w:space="0" w:color="auto"/>
      </w:divBdr>
    </w:div>
    <w:div w:id="1608930535">
      <w:bodyDiv w:val="1"/>
      <w:marLeft w:val="0"/>
      <w:marRight w:val="0"/>
      <w:marTop w:val="0"/>
      <w:marBottom w:val="0"/>
      <w:divBdr>
        <w:top w:val="none" w:sz="0" w:space="0" w:color="auto"/>
        <w:left w:val="none" w:sz="0" w:space="0" w:color="auto"/>
        <w:bottom w:val="none" w:sz="0" w:space="0" w:color="auto"/>
        <w:right w:val="none" w:sz="0" w:space="0" w:color="auto"/>
      </w:divBdr>
    </w:div>
    <w:div w:id="1610818927">
      <w:bodyDiv w:val="1"/>
      <w:marLeft w:val="0"/>
      <w:marRight w:val="0"/>
      <w:marTop w:val="0"/>
      <w:marBottom w:val="0"/>
      <w:divBdr>
        <w:top w:val="none" w:sz="0" w:space="0" w:color="auto"/>
        <w:left w:val="none" w:sz="0" w:space="0" w:color="auto"/>
        <w:bottom w:val="none" w:sz="0" w:space="0" w:color="auto"/>
        <w:right w:val="none" w:sz="0" w:space="0" w:color="auto"/>
      </w:divBdr>
    </w:div>
    <w:div w:id="1615287083">
      <w:bodyDiv w:val="1"/>
      <w:marLeft w:val="0"/>
      <w:marRight w:val="0"/>
      <w:marTop w:val="0"/>
      <w:marBottom w:val="0"/>
      <w:divBdr>
        <w:top w:val="none" w:sz="0" w:space="0" w:color="auto"/>
        <w:left w:val="none" w:sz="0" w:space="0" w:color="auto"/>
        <w:bottom w:val="none" w:sz="0" w:space="0" w:color="auto"/>
        <w:right w:val="none" w:sz="0" w:space="0" w:color="auto"/>
      </w:divBdr>
    </w:div>
    <w:div w:id="1616522665">
      <w:bodyDiv w:val="1"/>
      <w:marLeft w:val="0"/>
      <w:marRight w:val="0"/>
      <w:marTop w:val="0"/>
      <w:marBottom w:val="0"/>
      <w:divBdr>
        <w:top w:val="none" w:sz="0" w:space="0" w:color="auto"/>
        <w:left w:val="none" w:sz="0" w:space="0" w:color="auto"/>
        <w:bottom w:val="none" w:sz="0" w:space="0" w:color="auto"/>
        <w:right w:val="none" w:sz="0" w:space="0" w:color="auto"/>
      </w:divBdr>
    </w:div>
    <w:div w:id="1620262549">
      <w:bodyDiv w:val="1"/>
      <w:marLeft w:val="0"/>
      <w:marRight w:val="0"/>
      <w:marTop w:val="0"/>
      <w:marBottom w:val="0"/>
      <w:divBdr>
        <w:top w:val="none" w:sz="0" w:space="0" w:color="auto"/>
        <w:left w:val="none" w:sz="0" w:space="0" w:color="auto"/>
        <w:bottom w:val="none" w:sz="0" w:space="0" w:color="auto"/>
        <w:right w:val="none" w:sz="0" w:space="0" w:color="auto"/>
      </w:divBdr>
    </w:div>
    <w:div w:id="1620794229">
      <w:bodyDiv w:val="1"/>
      <w:marLeft w:val="0"/>
      <w:marRight w:val="0"/>
      <w:marTop w:val="0"/>
      <w:marBottom w:val="0"/>
      <w:divBdr>
        <w:top w:val="none" w:sz="0" w:space="0" w:color="auto"/>
        <w:left w:val="none" w:sz="0" w:space="0" w:color="auto"/>
        <w:bottom w:val="none" w:sz="0" w:space="0" w:color="auto"/>
        <w:right w:val="none" w:sz="0" w:space="0" w:color="auto"/>
      </w:divBdr>
    </w:div>
    <w:div w:id="1622417381">
      <w:bodyDiv w:val="1"/>
      <w:marLeft w:val="0"/>
      <w:marRight w:val="0"/>
      <w:marTop w:val="0"/>
      <w:marBottom w:val="0"/>
      <w:divBdr>
        <w:top w:val="none" w:sz="0" w:space="0" w:color="auto"/>
        <w:left w:val="none" w:sz="0" w:space="0" w:color="auto"/>
        <w:bottom w:val="none" w:sz="0" w:space="0" w:color="auto"/>
        <w:right w:val="none" w:sz="0" w:space="0" w:color="auto"/>
      </w:divBdr>
    </w:div>
    <w:div w:id="1629774270">
      <w:bodyDiv w:val="1"/>
      <w:marLeft w:val="0"/>
      <w:marRight w:val="0"/>
      <w:marTop w:val="0"/>
      <w:marBottom w:val="0"/>
      <w:divBdr>
        <w:top w:val="none" w:sz="0" w:space="0" w:color="auto"/>
        <w:left w:val="none" w:sz="0" w:space="0" w:color="auto"/>
        <w:bottom w:val="none" w:sz="0" w:space="0" w:color="auto"/>
        <w:right w:val="none" w:sz="0" w:space="0" w:color="auto"/>
      </w:divBdr>
    </w:div>
    <w:div w:id="1630280383">
      <w:bodyDiv w:val="1"/>
      <w:marLeft w:val="0"/>
      <w:marRight w:val="0"/>
      <w:marTop w:val="0"/>
      <w:marBottom w:val="0"/>
      <w:divBdr>
        <w:top w:val="none" w:sz="0" w:space="0" w:color="auto"/>
        <w:left w:val="none" w:sz="0" w:space="0" w:color="auto"/>
        <w:bottom w:val="none" w:sz="0" w:space="0" w:color="auto"/>
        <w:right w:val="none" w:sz="0" w:space="0" w:color="auto"/>
      </w:divBdr>
    </w:div>
    <w:div w:id="1632635680">
      <w:bodyDiv w:val="1"/>
      <w:marLeft w:val="0"/>
      <w:marRight w:val="0"/>
      <w:marTop w:val="0"/>
      <w:marBottom w:val="0"/>
      <w:divBdr>
        <w:top w:val="none" w:sz="0" w:space="0" w:color="auto"/>
        <w:left w:val="none" w:sz="0" w:space="0" w:color="auto"/>
        <w:bottom w:val="none" w:sz="0" w:space="0" w:color="auto"/>
        <w:right w:val="none" w:sz="0" w:space="0" w:color="auto"/>
      </w:divBdr>
    </w:div>
    <w:div w:id="1632832425">
      <w:bodyDiv w:val="1"/>
      <w:marLeft w:val="0"/>
      <w:marRight w:val="0"/>
      <w:marTop w:val="0"/>
      <w:marBottom w:val="0"/>
      <w:divBdr>
        <w:top w:val="none" w:sz="0" w:space="0" w:color="auto"/>
        <w:left w:val="none" w:sz="0" w:space="0" w:color="auto"/>
        <w:bottom w:val="none" w:sz="0" w:space="0" w:color="auto"/>
        <w:right w:val="none" w:sz="0" w:space="0" w:color="auto"/>
      </w:divBdr>
    </w:div>
    <w:div w:id="1634947292">
      <w:bodyDiv w:val="1"/>
      <w:marLeft w:val="0"/>
      <w:marRight w:val="0"/>
      <w:marTop w:val="0"/>
      <w:marBottom w:val="0"/>
      <w:divBdr>
        <w:top w:val="none" w:sz="0" w:space="0" w:color="auto"/>
        <w:left w:val="none" w:sz="0" w:space="0" w:color="auto"/>
        <w:bottom w:val="none" w:sz="0" w:space="0" w:color="auto"/>
        <w:right w:val="none" w:sz="0" w:space="0" w:color="auto"/>
      </w:divBdr>
    </w:div>
    <w:div w:id="1640308069">
      <w:bodyDiv w:val="1"/>
      <w:marLeft w:val="0"/>
      <w:marRight w:val="0"/>
      <w:marTop w:val="0"/>
      <w:marBottom w:val="0"/>
      <w:divBdr>
        <w:top w:val="none" w:sz="0" w:space="0" w:color="auto"/>
        <w:left w:val="none" w:sz="0" w:space="0" w:color="auto"/>
        <w:bottom w:val="none" w:sz="0" w:space="0" w:color="auto"/>
        <w:right w:val="none" w:sz="0" w:space="0" w:color="auto"/>
      </w:divBdr>
    </w:div>
    <w:div w:id="1642929446">
      <w:bodyDiv w:val="1"/>
      <w:marLeft w:val="0"/>
      <w:marRight w:val="0"/>
      <w:marTop w:val="0"/>
      <w:marBottom w:val="0"/>
      <w:divBdr>
        <w:top w:val="none" w:sz="0" w:space="0" w:color="auto"/>
        <w:left w:val="none" w:sz="0" w:space="0" w:color="auto"/>
        <w:bottom w:val="none" w:sz="0" w:space="0" w:color="auto"/>
        <w:right w:val="none" w:sz="0" w:space="0" w:color="auto"/>
      </w:divBdr>
    </w:div>
    <w:div w:id="1643147357">
      <w:bodyDiv w:val="1"/>
      <w:marLeft w:val="0"/>
      <w:marRight w:val="0"/>
      <w:marTop w:val="0"/>
      <w:marBottom w:val="0"/>
      <w:divBdr>
        <w:top w:val="none" w:sz="0" w:space="0" w:color="auto"/>
        <w:left w:val="none" w:sz="0" w:space="0" w:color="auto"/>
        <w:bottom w:val="none" w:sz="0" w:space="0" w:color="auto"/>
        <w:right w:val="none" w:sz="0" w:space="0" w:color="auto"/>
      </w:divBdr>
    </w:div>
    <w:div w:id="1645768985">
      <w:bodyDiv w:val="1"/>
      <w:marLeft w:val="0"/>
      <w:marRight w:val="0"/>
      <w:marTop w:val="0"/>
      <w:marBottom w:val="0"/>
      <w:divBdr>
        <w:top w:val="none" w:sz="0" w:space="0" w:color="auto"/>
        <w:left w:val="none" w:sz="0" w:space="0" w:color="auto"/>
        <w:bottom w:val="none" w:sz="0" w:space="0" w:color="auto"/>
        <w:right w:val="none" w:sz="0" w:space="0" w:color="auto"/>
      </w:divBdr>
    </w:div>
    <w:div w:id="1665355958">
      <w:bodyDiv w:val="1"/>
      <w:marLeft w:val="0"/>
      <w:marRight w:val="0"/>
      <w:marTop w:val="0"/>
      <w:marBottom w:val="0"/>
      <w:divBdr>
        <w:top w:val="none" w:sz="0" w:space="0" w:color="auto"/>
        <w:left w:val="none" w:sz="0" w:space="0" w:color="auto"/>
        <w:bottom w:val="none" w:sz="0" w:space="0" w:color="auto"/>
        <w:right w:val="none" w:sz="0" w:space="0" w:color="auto"/>
      </w:divBdr>
    </w:div>
    <w:div w:id="1666279839">
      <w:bodyDiv w:val="1"/>
      <w:marLeft w:val="0"/>
      <w:marRight w:val="0"/>
      <w:marTop w:val="0"/>
      <w:marBottom w:val="0"/>
      <w:divBdr>
        <w:top w:val="none" w:sz="0" w:space="0" w:color="auto"/>
        <w:left w:val="none" w:sz="0" w:space="0" w:color="auto"/>
        <w:bottom w:val="none" w:sz="0" w:space="0" w:color="auto"/>
        <w:right w:val="none" w:sz="0" w:space="0" w:color="auto"/>
      </w:divBdr>
    </w:div>
    <w:div w:id="1669290119">
      <w:bodyDiv w:val="1"/>
      <w:marLeft w:val="0"/>
      <w:marRight w:val="0"/>
      <w:marTop w:val="0"/>
      <w:marBottom w:val="0"/>
      <w:divBdr>
        <w:top w:val="none" w:sz="0" w:space="0" w:color="auto"/>
        <w:left w:val="none" w:sz="0" w:space="0" w:color="auto"/>
        <w:bottom w:val="none" w:sz="0" w:space="0" w:color="auto"/>
        <w:right w:val="none" w:sz="0" w:space="0" w:color="auto"/>
      </w:divBdr>
    </w:div>
    <w:div w:id="1673096412">
      <w:bodyDiv w:val="1"/>
      <w:marLeft w:val="0"/>
      <w:marRight w:val="0"/>
      <w:marTop w:val="0"/>
      <w:marBottom w:val="0"/>
      <w:divBdr>
        <w:top w:val="none" w:sz="0" w:space="0" w:color="auto"/>
        <w:left w:val="none" w:sz="0" w:space="0" w:color="auto"/>
        <w:bottom w:val="none" w:sz="0" w:space="0" w:color="auto"/>
        <w:right w:val="none" w:sz="0" w:space="0" w:color="auto"/>
      </w:divBdr>
    </w:div>
    <w:div w:id="1674602148">
      <w:bodyDiv w:val="1"/>
      <w:marLeft w:val="0"/>
      <w:marRight w:val="0"/>
      <w:marTop w:val="0"/>
      <w:marBottom w:val="0"/>
      <w:divBdr>
        <w:top w:val="none" w:sz="0" w:space="0" w:color="auto"/>
        <w:left w:val="none" w:sz="0" w:space="0" w:color="auto"/>
        <w:bottom w:val="none" w:sz="0" w:space="0" w:color="auto"/>
        <w:right w:val="none" w:sz="0" w:space="0" w:color="auto"/>
      </w:divBdr>
    </w:div>
    <w:div w:id="1674918591">
      <w:bodyDiv w:val="1"/>
      <w:marLeft w:val="0"/>
      <w:marRight w:val="0"/>
      <w:marTop w:val="0"/>
      <w:marBottom w:val="0"/>
      <w:divBdr>
        <w:top w:val="none" w:sz="0" w:space="0" w:color="auto"/>
        <w:left w:val="none" w:sz="0" w:space="0" w:color="auto"/>
        <w:bottom w:val="none" w:sz="0" w:space="0" w:color="auto"/>
        <w:right w:val="none" w:sz="0" w:space="0" w:color="auto"/>
      </w:divBdr>
    </w:div>
    <w:div w:id="1682127916">
      <w:bodyDiv w:val="1"/>
      <w:marLeft w:val="0"/>
      <w:marRight w:val="0"/>
      <w:marTop w:val="0"/>
      <w:marBottom w:val="0"/>
      <w:divBdr>
        <w:top w:val="none" w:sz="0" w:space="0" w:color="auto"/>
        <w:left w:val="none" w:sz="0" w:space="0" w:color="auto"/>
        <w:bottom w:val="none" w:sz="0" w:space="0" w:color="auto"/>
        <w:right w:val="none" w:sz="0" w:space="0" w:color="auto"/>
      </w:divBdr>
    </w:div>
    <w:div w:id="1689797145">
      <w:bodyDiv w:val="1"/>
      <w:marLeft w:val="0"/>
      <w:marRight w:val="0"/>
      <w:marTop w:val="0"/>
      <w:marBottom w:val="0"/>
      <w:divBdr>
        <w:top w:val="none" w:sz="0" w:space="0" w:color="auto"/>
        <w:left w:val="none" w:sz="0" w:space="0" w:color="auto"/>
        <w:bottom w:val="none" w:sz="0" w:space="0" w:color="auto"/>
        <w:right w:val="none" w:sz="0" w:space="0" w:color="auto"/>
      </w:divBdr>
    </w:div>
    <w:div w:id="1696424957">
      <w:bodyDiv w:val="1"/>
      <w:marLeft w:val="0"/>
      <w:marRight w:val="0"/>
      <w:marTop w:val="0"/>
      <w:marBottom w:val="0"/>
      <w:divBdr>
        <w:top w:val="none" w:sz="0" w:space="0" w:color="auto"/>
        <w:left w:val="none" w:sz="0" w:space="0" w:color="auto"/>
        <w:bottom w:val="none" w:sz="0" w:space="0" w:color="auto"/>
        <w:right w:val="none" w:sz="0" w:space="0" w:color="auto"/>
      </w:divBdr>
    </w:div>
    <w:div w:id="1702436103">
      <w:bodyDiv w:val="1"/>
      <w:marLeft w:val="0"/>
      <w:marRight w:val="0"/>
      <w:marTop w:val="0"/>
      <w:marBottom w:val="0"/>
      <w:divBdr>
        <w:top w:val="none" w:sz="0" w:space="0" w:color="auto"/>
        <w:left w:val="none" w:sz="0" w:space="0" w:color="auto"/>
        <w:bottom w:val="none" w:sz="0" w:space="0" w:color="auto"/>
        <w:right w:val="none" w:sz="0" w:space="0" w:color="auto"/>
      </w:divBdr>
    </w:div>
    <w:div w:id="1702632712">
      <w:bodyDiv w:val="1"/>
      <w:marLeft w:val="0"/>
      <w:marRight w:val="0"/>
      <w:marTop w:val="0"/>
      <w:marBottom w:val="0"/>
      <w:divBdr>
        <w:top w:val="none" w:sz="0" w:space="0" w:color="auto"/>
        <w:left w:val="none" w:sz="0" w:space="0" w:color="auto"/>
        <w:bottom w:val="none" w:sz="0" w:space="0" w:color="auto"/>
        <w:right w:val="none" w:sz="0" w:space="0" w:color="auto"/>
      </w:divBdr>
    </w:div>
    <w:div w:id="1703087765">
      <w:bodyDiv w:val="1"/>
      <w:marLeft w:val="0"/>
      <w:marRight w:val="0"/>
      <w:marTop w:val="0"/>
      <w:marBottom w:val="0"/>
      <w:divBdr>
        <w:top w:val="none" w:sz="0" w:space="0" w:color="auto"/>
        <w:left w:val="none" w:sz="0" w:space="0" w:color="auto"/>
        <w:bottom w:val="none" w:sz="0" w:space="0" w:color="auto"/>
        <w:right w:val="none" w:sz="0" w:space="0" w:color="auto"/>
      </w:divBdr>
    </w:div>
    <w:div w:id="1716664062">
      <w:bodyDiv w:val="1"/>
      <w:marLeft w:val="0"/>
      <w:marRight w:val="0"/>
      <w:marTop w:val="0"/>
      <w:marBottom w:val="0"/>
      <w:divBdr>
        <w:top w:val="none" w:sz="0" w:space="0" w:color="auto"/>
        <w:left w:val="none" w:sz="0" w:space="0" w:color="auto"/>
        <w:bottom w:val="none" w:sz="0" w:space="0" w:color="auto"/>
        <w:right w:val="none" w:sz="0" w:space="0" w:color="auto"/>
      </w:divBdr>
    </w:div>
    <w:div w:id="1721784117">
      <w:bodyDiv w:val="1"/>
      <w:marLeft w:val="0"/>
      <w:marRight w:val="0"/>
      <w:marTop w:val="0"/>
      <w:marBottom w:val="0"/>
      <w:divBdr>
        <w:top w:val="none" w:sz="0" w:space="0" w:color="auto"/>
        <w:left w:val="none" w:sz="0" w:space="0" w:color="auto"/>
        <w:bottom w:val="none" w:sz="0" w:space="0" w:color="auto"/>
        <w:right w:val="none" w:sz="0" w:space="0" w:color="auto"/>
      </w:divBdr>
    </w:div>
    <w:div w:id="1728801783">
      <w:bodyDiv w:val="1"/>
      <w:marLeft w:val="0"/>
      <w:marRight w:val="0"/>
      <w:marTop w:val="0"/>
      <w:marBottom w:val="0"/>
      <w:divBdr>
        <w:top w:val="none" w:sz="0" w:space="0" w:color="auto"/>
        <w:left w:val="none" w:sz="0" w:space="0" w:color="auto"/>
        <w:bottom w:val="none" w:sz="0" w:space="0" w:color="auto"/>
        <w:right w:val="none" w:sz="0" w:space="0" w:color="auto"/>
      </w:divBdr>
    </w:div>
    <w:div w:id="1731536383">
      <w:bodyDiv w:val="1"/>
      <w:marLeft w:val="0"/>
      <w:marRight w:val="0"/>
      <w:marTop w:val="0"/>
      <w:marBottom w:val="0"/>
      <w:divBdr>
        <w:top w:val="none" w:sz="0" w:space="0" w:color="auto"/>
        <w:left w:val="none" w:sz="0" w:space="0" w:color="auto"/>
        <w:bottom w:val="none" w:sz="0" w:space="0" w:color="auto"/>
        <w:right w:val="none" w:sz="0" w:space="0" w:color="auto"/>
      </w:divBdr>
    </w:div>
    <w:div w:id="1742409896">
      <w:bodyDiv w:val="1"/>
      <w:marLeft w:val="0"/>
      <w:marRight w:val="0"/>
      <w:marTop w:val="0"/>
      <w:marBottom w:val="0"/>
      <w:divBdr>
        <w:top w:val="none" w:sz="0" w:space="0" w:color="auto"/>
        <w:left w:val="none" w:sz="0" w:space="0" w:color="auto"/>
        <w:bottom w:val="none" w:sz="0" w:space="0" w:color="auto"/>
        <w:right w:val="none" w:sz="0" w:space="0" w:color="auto"/>
      </w:divBdr>
    </w:div>
    <w:div w:id="1748457126">
      <w:bodyDiv w:val="1"/>
      <w:marLeft w:val="0"/>
      <w:marRight w:val="0"/>
      <w:marTop w:val="0"/>
      <w:marBottom w:val="0"/>
      <w:divBdr>
        <w:top w:val="none" w:sz="0" w:space="0" w:color="auto"/>
        <w:left w:val="none" w:sz="0" w:space="0" w:color="auto"/>
        <w:bottom w:val="none" w:sz="0" w:space="0" w:color="auto"/>
        <w:right w:val="none" w:sz="0" w:space="0" w:color="auto"/>
      </w:divBdr>
    </w:div>
    <w:div w:id="1751074901">
      <w:bodyDiv w:val="1"/>
      <w:marLeft w:val="0"/>
      <w:marRight w:val="0"/>
      <w:marTop w:val="0"/>
      <w:marBottom w:val="0"/>
      <w:divBdr>
        <w:top w:val="none" w:sz="0" w:space="0" w:color="auto"/>
        <w:left w:val="none" w:sz="0" w:space="0" w:color="auto"/>
        <w:bottom w:val="none" w:sz="0" w:space="0" w:color="auto"/>
        <w:right w:val="none" w:sz="0" w:space="0" w:color="auto"/>
      </w:divBdr>
    </w:div>
    <w:div w:id="1759327478">
      <w:bodyDiv w:val="1"/>
      <w:marLeft w:val="0"/>
      <w:marRight w:val="0"/>
      <w:marTop w:val="0"/>
      <w:marBottom w:val="0"/>
      <w:divBdr>
        <w:top w:val="none" w:sz="0" w:space="0" w:color="auto"/>
        <w:left w:val="none" w:sz="0" w:space="0" w:color="auto"/>
        <w:bottom w:val="none" w:sz="0" w:space="0" w:color="auto"/>
        <w:right w:val="none" w:sz="0" w:space="0" w:color="auto"/>
      </w:divBdr>
    </w:div>
    <w:div w:id="1762606801">
      <w:bodyDiv w:val="1"/>
      <w:marLeft w:val="0"/>
      <w:marRight w:val="0"/>
      <w:marTop w:val="0"/>
      <w:marBottom w:val="0"/>
      <w:divBdr>
        <w:top w:val="none" w:sz="0" w:space="0" w:color="auto"/>
        <w:left w:val="none" w:sz="0" w:space="0" w:color="auto"/>
        <w:bottom w:val="none" w:sz="0" w:space="0" w:color="auto"/>
        <w:right w:val="none" w:sz="0" w:space="0" w:color="auto"/>
      </w:divBdr>
    </w:div>
    <w:div w:id="1763603482">
      <w:bodyDiv w:val="1"/>
      <w:marLeft w:val="0"/>
      <w:marRight w:val="0"/>
      <w:marTop w:val="0"/>
      <w:marBottom w:val="0"/>
      <w:divBdr>
        <w:top w:val="none" w:sz="0" w:space="0" w:color="auto"/>
        <w:left w:val="none" w:sz="0" w:space="0" w:color="auto"/>
        <w:bottom w:val="none" w:sz="0" w:space="0" w:color="auto"/>
        <w:right w:val="none" w:sz="0" w:space="0" w:color="auto"/>
      </w:divBdr>
    </w:div>
    <w:div w:id="1768184938">
      <w:bodyDiv w:val="1"/>
      <w:marLeft w:val="0"/>
      <w:marRight w:val="0"/>
      <w:marTop w:val="0"/>
      <w:marBottom w:val="0"/>
      <w:divBdr>
        <w:top w:val="none" w:sz="0" w:space="0" w:color="auto"/>
        <w:left w:val="none" w:sz="0" w:space="0" w:color="auto"/>
        <w:bottom w:val="none" w:sz="0" w:space="0" w:color="auto"/>
        <w:right w:val="none" w:sz="0" w:space="0" w:color="auto"/>
      </w:divBdr>
    </w:div>
    <w:div w:id="1768454532">
      <w:bodyDiv w:val="1"/>
      <w:marLeft w:val="0"/>
      <w:marRight w:val="0"/>
      <w:marTop w:val="0"/>
      <w:marBottom w:val="0"/>
      <w:divBdr>
        <w:top w:val="none" w:sz="0" w:space="0" w:color="auto"/>
        <w:left w:val="none" w:sz="0" w:space="0" w:color="auto"/>
        <w:bottom w:val="none" w:sz="0" w:space="0" w:color="auto"/>
        <w:right w:val="none" w:sz="0" w:space="0" w:color="auto"/>
      </w:divBdr>
    </w:div>
    <w:div w:id="1769232515">
      <w:bodyDiv w:val="1"/>
      <w:marLeft w:val="0"/>
      <w:marRight w:val="0"/>
      <w:marTop w:val="0"/>
      <w:marBottom w:val="0"/>
      <w:divBdr>
        <w:top w:val="none" w:sz="0" w:space="0" w:color="auto"/>
        <w:left w:val="none" w:sz="0" w:space="0" w:color="auto"/>
        <w:bottom w:val="none" w:sz="0" w:space="0" w:color="auto"/>
        <w:right w:val="none" w:sz="0" w:space="0" w:color="auto"/>
      </w:divBdr>
    </w:div>
    <w:div w:id="1772974812">
      <w:bodyDiv w:val="1"/>
      <w:marLeft w:val="0"/>
      <w:marRight w:val="0"/>
      <w:marTop w:val="0"/>
      <w:marBottom w:val="0"/>
      <w:divBdr>
        <w:top w:val="none" w:sz="0" w:space="0" w:color="auto"/>
        <w:left w:val="none" w:sz="0" w:space="0" w:color="auto"/>
        <w:bottom w:val="none" w:sz="0" w:space="0" w:color="auto"/>
        <w:right w:val="none" w:sz="0" w:space="0" w:color="auto"/>
      </w:divBdr>
    </w:div>
    <w:div w:id="1777554420">
      <w:bodyDiv w:val="1"/>
      <w:marLeft w:val="0"/>
      <w:marRight w:val="0"/>
      <w:marTop w:val="0"/>
      <w:marBottom w:val="0"/>
      <w:divBdr>
        <w:top w:val="none" w:sz="0" w:space="0" w:color="auto"/>
        <w:left w:val="none" w:sz="0" w:space="0" w:color="auto"/>
        <w:bottom w:val="none" w:sz="0" w:space="0" w:color="auto"/>
        <w:right w:val="none" w:sz="0" w:space="0" w:color="auto"/>
      </w:divBdr>
    </w:div>
    <w:div w:id="1779982887">
      <w:bodyDiv w:val="1"/>
      <w:marLeft w:val="0"/>
      <w:marRight w:val="0"/>
      <w:marTop w:val="0"/>
      <w:marBottom w:val="0"/>
      <w:divBdr>
        <w:top w:val="none" w:sz="0" w:space="0" w:color="auto"/>
        <w:left w:val="none" w:sz="0" w:space="0" w:color="auto"/>
        <w:bottom w:val="none" w:sz="0" w:space="0" w:color="auto"/>
        <w:right w:val="none" w:sz="0" w:space="0" w:color="auto"/>
      </w:divBdr>
    </w:div>
    <w:div w:id="1781290368">
      <w:bodyDiv w:val="1"/>
      <w:marLeft w:val="0"/>
      <w:marRight w:val="0"/>
      <w:marTop w:val="0"/>
      <w:marBottom w:val="0"/>
      <w:divBdr>
        <w:top w:val="none" w:sz="0" w:space="0" w:color="auto"/>
        <w:left w:val="none" w:sz="0" w:space="0" w:color="auto"/>
        <w:bottom w:val="none" w:sz="0" w:space="0" w:color="auto"/>
        <w:right w:val="none" w:sz="0" w:space="0" w:color="auto"/>
      </w:divBdr>
    </w:div>
    <w:div w:id="1786466297">
      <w:bodyDiv w:val="1"/>
      <w:marLeft w:val="0"/>
      <w:marRight w:val="0"/>
      <w:marTop w:val="0"/>
      <w:marBottom w:val="0"/>
      <w:divBdr>
        <w:top w:val="none" w:sz="0" w:space="0" w:color="auto"/>
        <w:left w:val="none" w:sz="0" w:space="0" w:color="auto"/>
        <w:bottom w:val="none" w:sz="0" w:space="0" w:color="auto"/>
        <w:right w:val="none" w:sz="0" w:space="0" w:color="auto"/>
      </w:divBdr>
    </w:div>
    <w:div w:id="1788888008">
      <w:bodyDiv w:val="1"/>
      <w:marLeft w:val="0"/>
      <w:marRight w:val="0"/>
      <w:marTop w:val="0"/>
      <w:marBottom w:val="0"/>
      <w:divBdr>
        <w:top w:val="none" w:sz="0" w:space="0" w:color="auto"/>
        <w:left w:val="none" w:sz="0" w:space="0" w:color="auto"/>
        <w:bottom w:val="none" w:sz="0" w:space="0" w:color="auto"/>
        <w:right w:val="none" w:sz="0" w:space="0" w:color="auto"/>
      </w:divBdr>
    </w:div>
    <w:div w:id="1791126041">
      <w:bodyDiv w:val="1"/>
      <w:marLeft w:val="0"/>
      <w:marRight w:val="0"/>
      <w:marTop w:val="0"/>
      <w:marBottom w:val="0"/>
      <w:divBdr>
        <w:top w:val="none" w:sz="0" w:space="0" w:color="auto"/>
        <w:left w:val="none" w:sz="0" w:space="0" w:color="auto"/>
        <w:bottom w:val="none" w:sz="0" w:space="0" w:color="auto"/>
        <w:right w:val="none" w:sz="0" w:space="0" w:color="auto"/>
      </w:divBdr>
    </w:div>
    <w:div w:id="1799638490">
      <w:bodyDiv w:val="1"/>
      <w:marLeft w:val="0"/>
      <w:marRight w:val="0"/>
      <w:marTop w:val="0"/>
      <w:marBottom w:val="0"/>
      <w:divBdr>
        <w:top w:val="none" w:sz="0" w:space="0" w:color="auto"/>
        <w:left w:val="none" w:sz="0" w:space="0" w:color="auto"/>
        <w:bottom w:val="none" w:sz="0" w:space="0" w:color="auto"/>
        <w:right w:val="none" w:sz="0" w:space="0" w:color="auto"/>
      </w:divBdr>
    </w:div>
    <w:div w:id="1807773883">
      <w:bodyDiv w:val="1"/>
      <w:marLeft w:val="0"/>
      <w:marRight w:val="0"/>
      <w:marTop w:val="0"/>
      <w:marBottom w:val="0"/>
      <w:divBdr>
        <w:top w:val="none" w:sz="0" w:space="0" w:color="auto"/>
        <w:left w:val="none" w:sz="0" w:space="0" w:color="auto"/>
        <w:bottom w:val="none" w:sz="0" w:space="0" w:color="auto"/>
        <w:right w:val="none" w:sz="0" w:space="0" w:color="auto"/>
      </w:divBdr>
    </w:div>
    <w:div w:id="1811896926">
      <w:bodyDiv w:val="1"/>
      <w:marLeft w:val="0"/>
      <w:marRight w:val="0"/>
      <w:marTop w:val="0"/>
      <w:marBottom w:val="0"/>
      <w:divBdr>
        <w:top w:val="none" w:sz="0" w:space="0" w:color="auto"/>
        <w:left w:val="none" w:sz="0" w:space="0" w:color="auto"/>
        <w:bottom w:val="none" w:sz="0" w:space="0" w:color="auto"/>
        <w:right w:val="none" w:sz="0" w:space="0" w:color="auto"/>
      </w:divBdr>
    </w:div>
    <w:div w:id="1813253514">
      <w:bodyDiv w:val="1"/>
      <w:marLeft w:val="0"/>
      <w:marRight w:val="0"/>
      <w:marTop w:val="0"/>
      <w:marBottom w:val="0"/>
      <w:divBdr>
        <w:top w:val="none" w:sz="0" w:space="0" w:color="auto"/>
        <w:left w:val="none" w:sz="0" w:space="0" w:color="auto"/>
        <w:bottom w:val="none" w:sz="0" w:space="0" w:color="auto"/>
        <w:right w:val="none" w:sz="0" w:space="0" w:color="auto"/>
      </w:divBdr>
    </w:div>
    <w:div w:id="1818300680">
      <w:bodyDiv w:val="1"/>
      <w:marLeft w:val="0"/>
      <w:marRight w:val="0"/>
      <w:marTop w:val="0"/>
      <w:marBottom w:val="0"/>
      <w:divBdr>
        <w:top w:val="none" w:sz="0" w:space="0" w:color="auto"/>
        <w:left w:val="none" w:sz="0" w:space="0" w:color="auto"/>
        <w:bottom w:val="none" w:sz="0" w:space="0" w:color="auto"/>
        <w:right w:val="none" w:sz="0" w:space="0" w:color="auto"/>
      </w:divBdr>
    </w:div>
    <w:div w:id="1828087594">
      <w:bodyDiv w:val="1"/>
      <w:marLeft w:val="0"/>
      <w:marRight w:val="0"/>
      <w:marTop w:val="0"/>
      <w:marBottom w:val="0"/>
      <w:divBdr>
        <w:top w:val="none" w:sz="0" w:space="0" w:color="auto"/>
        <w:left w:val="none" w:sz="0" w:space="0" w:color="auto"/>
        <w:bottom w:val="none" w:sz="0" w:space="0" w:color="auto"/>
        <w:right w:val="none" w:sz="0" w:space="0" w:color="auto"/>
      </w:divBdr>
    </w:div>
    <w:div w:id="1828092264">
      <w:bodyDiv w:val="1"/>
      <w:marLeft w:val="0"/>
      <w:marRight w:val="0"/>
      <w:marTop w:val="0"/>
      <w:marBottom w:val="0"/>
      <w:divBdr>
        <w:top w:val="none" w:sz="0" w:space="0" w:color="auto"/>
        <w:left w:val="none" w:sz="0" w:space="0" w:color="auto"/>
        <w:bottom w:val="none" w:sz="0" w:space="0" w:color="auto"/>
        <w:right w:val="none" w:sz="0" w:space="0" w:color="auto"/>
      </w:divBdr>
    </w:div>
    <w:div w:id="1844391474">
      <w:bodyDiv w:val="1"/>
      <w:marLeft w:val="0"/>
      <w:marRight w:val="0"/>
      <w:marTop w:val="0"/>
      <w:marBottom w:val="0"/>
      <w:divBdr>
        <w:top w:val="none" w:sz="0" w:space="0" w:color="auto"/>
        <w:left w:val="none" w:sz="0" w:space="0" w:color="auto"/>
        <w:bottom w:val="none" w:sz="0" w:space="0" w:color="auto"/>
        <w:right w:val="none" w:sz="0" w:space="0" w:color="auto"/>
      </w:divBdr>
    </w:div>
    <w:div w:id="1847671999">
      <w:bodyDiv w:val="1"/>
      <w:marLeft w:val="0"/>
      <w:marRight w:val="0"/>
      <w:marTop w:val="0"/>
      <w:marBottom w:val="0"/>
      <w:divBdr>
        <w:top w:val="none" w:sz="0" w:space="0" w:color="auto"/>
        <w:left w:val="none" w:sz="0" w:space="0" w:color="auto"/>
        <w:bottom w:val="none" w:sz="0" w:space="0" w:color="auto"/>
        <w:right w:val="none" w:sz="0" w:space="0" w:color="auto"/>
      </w:divBdr>
    </w:div>
    <w:div w:id="1849100166">
      <w:bodyDiv w:val="1"/>
      <w:marLeft w:val="0"/>
      <w:marRight w:val="0"/>
      <w:marTop w:val="0"/>
      <w:marBottom w:val="0"/>
      <w:divBdr>
        <w:top w:val="none" w:sz="0" w:space="0" w:color="auto"/>
        <w:left w:val="none" w:sz="0" w:space="0" w:color="auto"/>
        <w:bottom w:val="none" w:sz="0" w:space="0" w:color="auto"/>
        <w:right w:val="none" w:sz="0" w:space="0" w:color="auto"/>
      </w:divBdr>
    </w:div>
    <w:div w:id="1856073440">
      <w:bodyDiv w:val="1"/>
      <w:marLeft w:val="0"/>
      <w:marRight w:val="0"/>
      <w:marTop w:val="0"/>
      <w:marBottom w:val="0"/>
      <w:divBdr>
        <w:top w:val="none" w:sz="0" w:space="0" w:color="auto"/>
        <w:left w:val="none" w:sz="0" w:space="0" w:color="auto"/>
        <w:bottom w:val="none" w:sz="0" w:space="0" w:color="auto"/>
        <w:right w:val="none" w:sz="0" w:space="0" w:color="auto"/>
      </w:divBdr>
    </w:div>
    <w:div w:id="1860317163">
      <w:bodyDiv w:val="1"/>
      <w:marLeft w:val="0"/>
      <w:marRight w:val="0"/>
      <w:marTop w:val="0"/>
      <w:marBottom w:val="0"/>
      <w:divBdr>
        <w:top w:val="none" w:sz="0" w:space="0" w:color="auto"/>
        <w:left w:val="none" w:sz="0" w:space="0" w:color="auto"/>
        <w:bottom w:val="none" w:sz="0" w:space="0" w:color="auto"/>
        <w:right w:val="none" w:sz="0" w:space="0" w:color="auto"/>
      </w:divBdr>
    </w:div>
    <w:div w:id="1863669527">
      <w:bodyDiv w:val="1"/>
      <w:marLeft w:val="0"/>
      <w:marRight w:val="0"/>
      <w:marTop w:val="0"/>
      <w:marBottom w:val="0"/>
      <w:divBdr>
        <w:top w:val="none" w:sz="0" w:space="0" w:color="auto"/>
        <w:left w:val="none" w:sz="0" w:space="0" w:color="auto"/>
        <w:bottom w:val="none" w:sz="0" w:space="0" w:color="auto"/>
        <w:right w:val="none" w:sz="0" w:space="0" w:color="auto"/>
      </w:divBdr>
    </w:div>
    <w:div w:id="1863856038">
      <w:bodyDiv w:val="1"/>
      <w:marLeft w:val="0"/>
      <w:marRight w:val="0"/>
      <w:marTop w:val="0"/>
      <w:marBottom w:val="0"/>
      <w:divBdr>
        <w:top w:val="none" w:sz="0" w:space="0" w:color="auto"/>
        <w:left w:val="none" w:sz="0" w:space="0" w:color="auto"/>
        <w:bottom w:val="none" w:sz="0" w:space="0" w:color="auto"/>
        <w:right w:val="none" w:sz="0" w:space="0" w:color="auto"/>
      </w:divBdr>
    </w:div>
    <w:div w:id="1869485910">
      <w:bodyDiv w:val="1"/>
      <w:marLeft w:val="0"/>
      <w:marRight w:val="0"/>
      <w:marTop w:val="0"/>
      <w:marBottom w:val="0"/>
      <w:divBdr>
        <w:top w:val="none" w:sz="0" w:space="0" w:color="auto"/>
        <w:left w:val="none" w:sz="0" w:space="0" w:color="auto"/>
        <w:bottom w:val="none" w:sz="0" w:space="0" w:color="auto"/>
        <w:right w:val="none" w:sz="0" w:space="0" w:color="auto"/>
      </w:divBdr>
    </w:div>
    <w:div w:id="1869641490">
      <w:bodyDiv w:val="1"/>
      <w:marLeft w:val="0"/>
      <w:marRight w:val="0"/>
      <w:marTop w:val="0"/>
      <w:marBottom w:val="0"/>
      <w:divBdr>
        <w:top w:val="none" w:sz="0" w:space="0" w:color="auto"/>
        <w:left w:val="none" w:sz="0" w:space="0" w:color="auto"/>
        <w:bottom w:val="none" w:sz="0" w:space="0" w:color="auto"/>
        <w:right w:val="none" w:sz="0" w:space="0" w:color="auto"/>
      </w:divBdr>
    </w:div>
    <w:div w:id="1870409073">
      <w:bodyDiv w:val="1"/>
      <w:marLeft w:val="0"/>
      <w:marRight w:val="0"/>
      <w:marTop w:val="0"/>
      <w:marBottom w:val="0"/>
      <w:divBdr>
        <w:top w:val="none" w:sz="0" w:space="0" w:color="auto"/>
        <w:left w:val="none" w:sz="0" w:space="0" w:color="auto"/>
        <w:bottom w:val="none" w:sz="0" w:space="0" w:color="auto"/>
        <w:right w:val="none" w:sz="0" w:space="0" w:color="auto"/>
      </w:divBdr>
    </w:div>
    <w:div w:id="1879900422">
      <w:bodyDiv w:val="1"/>
      <w:marLeft w:val="0"/>
      <w:marRight w:val="0"/>
      <w:marTop w:val="0"/>
      <w:marBottom w:val="0"/>
      <w:divBdr>
        <w:top w:val="none" w:sz="0" w:space="0" w:color="auto"/>
        <w:left w:val="none" w:sz="0" w:space="0" w:color="auto"/>
        <w:bottom w:val="none" w:sz="0" w:space="0" w:color="auto"/>
        <w:right w:val="none" w:sz="0" w:space="0" w:color="auto"/>
      </w:divBdr>
    </w:div>
    <w:div w:id="1880967011">
      <w:bodyDiv w:val="1"/>
      <w:marLeft w:val="0"/>
      <w:marRight w:val="0"/>
      <w:marTop w:val="0"/>
      <w:marBottom w:val="0"/>
      <w:divBdr>
        <w:top w:val="none" w:sz="0" w:space="0" w:color="auto"/>
        <w:left w:val="none" w:sz="0" w:space="0" w:color="auto"/>
        <w:bottom w:val="none" w:sz="0" w:space="0" w:color="auto"/>
        <w:right w:val="none" w:sz="0" w:space="0" w:color="auto"/>
      </w:divBdr>
    </w:div>
    <w:div w:id="1884173407">
      <w:bodyDiv w:val="1"/>
      <w:marLeft w:val="0"/>
      <w:marRight w:val="0"/>
      <w:marTop w:val="0"/>
      <w:marBottom w:val="0"/>
      <w:divBdr>
        <w:top w:val="none" w:sz="0" w:space="0" w:color="auto"/>
        <w:left w:val="none" w:sz="0" w:space="0" w:color="auto"/>
        <w:bottom w:val="none" w:sz="0" w:space="0" w:color="auto"/>
        <w:right w:val="none" w:sz="0" w:space="0" w:color="auto"/>
      </w:divBdr>
    </w:div>
    <w:div w:id="1891724708">
      <w:bodyDiv w:val="1"/>
      <w:marLeft w:val="0"/>
      <w:marRight w:val="0"/>
      <w:marTop w:val="0"/>
      <w:marBottom w:val="0"/>
      <w:divBdr>
        <w:top w:val="none" w:sz="0" w:space="0" w:color="auto"/>
        <w:left w:val="none" w:sz="0" w:space="0" w:color="auto"/>
        <w:bottom w:val="none" w:sz="0" w:space="0" w:color="auto"/>
        <w:right w:val="none" w:sz="0" w:space="0" w:color="auto"/>
      </w:divBdr>
    </w:div>
    <w:div w:id="1895695281">
      <w:bodyDiv w:val="1"/>
      <w:marLeft w:val="0"/>
      <w:marRight w:val="0"/>
      <w:marTop w:val="0"/>
      <w:marBottom w:val="0"/>
      <w:divBdr>
        <w:top w:val="none" w:sz="0" w:space="0" w:color="auto"/>
        <w:left w:val="none" w:sz="0" w:space="0" w:color="auto"/>
        <w:bottom w:val="none" w:sz="0" w:space="0" w:color="auto"/>
        <w:right w:val="none" w:sz="0" w:space="0" w:color="auto"/>
      </w:divBdr>
    </w:div>
    <w:div w:id="1900283471">
      <w:bodyDiv w:val="1"/>
      <w:marLeft w:val="0"/>
      <w:marRight w:val="0"/>
      <w:marTop w:val="0"/>
      <w:marBottom w:val="0"/>
      <w:divBdr>
        <w:top w:val="none" w:sz="0" w:space="0" w:color="auto"/>
        <w:left w:val="none" w:sz="0" w:space="0" w:color="auto"/>
        <w:bottom w:val="none" w:sz="0" w:space="0" w:color="auto"/>
        <w:right w:val="none" w:sz="0" w:space="0" w:color="auto"/>
      </w:divBdr>
    </w:div>
    <w:div w:id="1909804205">
      <w:bodyDiv w:val="1"/>
      <w:marLeft w:val="0"/>
      <w:marRight w:val="0"/>
      <w:marTop w:val="0"/>
      <w:marBottom w:val="0"/>
      <w:divBdr>
        <w:top w:val="none" w:sz="0" w:space="0" w:color="auto"/>
        <w:left w:val="none" w:sz="0" w:space="0" w:color="auto"/>
        <w:bottom w:val="none" w:sz="0" w:space="0" w:color="auto"/>
        <w:right w:val="none" w:sz="0" w:space="0" w:color="auto"/>
      </w:divBdr>
    </w:div>
    <w:div w:id="1911958492">
      <w:bodyDiv w:val="1"/>
      <w:marLeft w:val="0"/>
      <w:marRight w:val="0"/>
      <w:marTop w:val="0"/>
      <w:marBottom w:val="0"/>
      <w:divBdr>
        <w:top w:val="none" w:sz="0" w:space="0" w:color="auto"/>
        <w:left w:val="none" w:sz="0" w:space="0" w:color="auto"/>
        <w:bottom w:val="none" w:sz="0" w:space="0" w:color="auto"/>
        <w:right w:val="none" w:sz="0" w:space="0" w:color="auto"/>
      </w:divBdr>
    </w:div>
    <w:div w:id="1915309223">
      <w:bodyDiv w:val="1"/>
      <w:marLeft w:val="0"/>
      <w:marRight w:val="0"/>
      <w:marTop w:val="0"/>
      <w:marBottom w:val="0"/>
      <w:divBdr>
        <w:top w:val="none" w:sz="0" w:space="0" w:color="auto"/>
        <w:left w:val="none" w:sz="0" w:space="0" w:color="auto"/>
        <w:bottom w:val="none" w:sz="0" w:space="0" w:color="auto"/>
        <w:right w:val="none" w:sz="0" w:space="0" w:color="auto"/>
      </w:divBdr>
    </w:div>
    <w:div w:id="1922105978">
      <w:bodyDiv w:val="1"/>
      <w:marLeft w:val="0"/>
      <w:marRight w:val="0"/>
      <w:marTop w:val="0"/>
      <w:marBottom w:val="0"/>
      <w:divBdr>
        <w:top w:val="none" w:sz="0" w:space="0" w:color="auto"/>
        <w:left w:val="none" w:sz="0" w:space="0" w:color="auto"/>
        <w:bottom w:val="none" w:sz="0" w:space="0" w:color="auto"/>
        <w:right w:val="none" w:sz="0" w:space="0" w:color="auto"/>
      </w:divBdr>
    </w:div>
    <w:div w:id="1936159979">
      <w:bodyDiv w:val="1"/>
      <w:marLeft w:val="0"/>
      <w:marRight w:val="0"/>
      <w:marTop w:val="0"/>
      <w:marBottom w:val="0"/>
      <w:divBdr>
        <w:top w:val="none" w:sz="0" w:space="0" w:color="auto"/>
        <w:left w:val="none" w:sz="0" w:space="0" w:color="auto"/>
        <w:bottom w:val="none" w:sz="0" w:space="0" w:color="auto"/>
        <w:right w:val="none" w:sz="0" w:space="0" w:color="auto"/>
      </w:divBdr>
    </w:div>
    <w:div w:id="1938976673">
      <w:bodyDiv w:val="1"/>
      <w:marLeft w:val="0"/>
      <w:marRight w:val="0"/>
      <w:marTop w:val="0"/>
      <w:marBottom w:val="0"/>
      <w:divBdr>
        <w:top w:val="none" w:sz="0" w:space="0" w:color="auto"/>
        <w:left w:val="none" w:sz="0" w:space="0" w:color="auto"/>
        <w:bottom w:val="none" w:sz="0" w:space="0" w:color="auto"/>
        <w:right w:val="none" w:sz="0" w:space="0" w:color="auto"/>
      </w:divBdr>
    </w:div>
    <w:div w:id="1951426512">
      <w:bodyDiv w:val="1"/>
      <w:marLeft w:val="0"/>
      <w:marRight w:val="0"/>
      <w:marTop w:val="0"/>
      <w:marBottom w:val="0"/>
      <w:divBdr>
        <w:top w:val="none" w:sz="0" w:space="0" w:color="auto"/>
        <w:left w:val="none" w:sz="0" w:space="0" w:color="auto"/>
        <w:bottom w:val="none" w:sz="0" w:space="0" w:color="auto"/>
        <w:right w:val="none" w:sz="0" w:space="0" w:color="auto"/>
      </w:divBdr>
    </w:div>
    <w:div w:id="1954172393">
      <w:bodyDiv w:val="1"/>
      <w:marLeft w:val="0"/>
      <w:marRight w:val="0"/>
      <w:marTop w:val="0"/>
      <w:marBottom w:val="0"/>
      <w:divBdr>
        <w:top w:val="none" w:sz="0" w:space="0" w:color="auto"/>
        <w:left w:val="none" w:sz="0" w:space="0" w:color="auto"/>
        <w:bottom w:val="none" w:sz="0" w:space="0" w:color="auto"/>
        <w:right w:val="none" w:sz="0" w:space="0" w:color="auto"/>
      </w:divBdr>
    </w:div>
    <w:div w:id="1955598525">
      <w:bodyDiv w:val="1"/>
      <w:marLeft w:val="0"/>
      <w:marRight w:val="0"/>
      <w:marTop w:val="0"/>
      <w:marBottom w:val="0"/>
      <w:divBdr>
        <w:top w:val="none" w:sz="0" w:space="0" w:color="auto"/>
        <w:left w:val="none" w:sz="0" w:space="0" w:color="auto"/>
        <w:bottom w:val="none" w:sz="0" w:space="0" w:color="auto"/>
        <w:right w:val="none" w:sz="0" w:space="0" w:color="auto"/>
      </w:divBdr>
    </w:div>
    <w:div w:id="1955749387">
      <w:bodyDiv w:val="1"/>
      <w:marLeft w:val="0"/>
      <w:marRight w:val="0"/>
      <w:marTop w:val="0"/>
      <w:marBottom w:val="0"/>
      <w:divBdr>
        <w:top w:val="none" w:sz="0" w:space="0" w:color="auto"/>
        <w:left w:val="none" w:sz="0" w:space="0" w:color="auto"/>
        <w:bottom w:val="none" w:sz="0" w:space="0" w:color="auto"/>
        <w:right w:val="none" w:sz="0" w:space="0" w:color="auto"/>
      </w:divBdr>
    </w:div>
    <w:div w:id="1956517612">
      <w:bodyDiv w:val="1"/>
      <w:marLeft w:val="0"/>
      <w:marRight w:val="0"/>
      <w:marTop w:val="0"/>
      <w:marBottom w:val="0"/>
      <w:divBdr>
        <w:top w:val="none" w:sz="0" w:space="0" w:color="auto"/>
        <w:left w:val="none" w:sz="0" w:space="0" w:color="auto"/>
        <w:bottom w:val="none" w:sz="0" w:space="0" w:color="auto"/>
        <w:right w:val="none" w:sz="0" w:space="0" w:color="auto"/>
      </w:divBdr>
    </w:div>
    <w:div w:id="1965386182">
      <w:bodyDiv w:val="1"/>
      <w:marLeft w:val="0"/>
      <w:marRight w:val="0"/>
      <w:marTop w:val="0"/>
      <w:marBottom w:val="0"/>
      <w:divBdr>
        <w:top w:val="none" w:sz="0" w:space="0" w:color="auto"/>
        <w:left w:val="none" w:sz="0" w:space="0" w:color="auto"/>
        <w:bottom w:val="none" w:sz="0" w:space="0" w:color="auto"/>
        <w:right w:val="none" w:sz="0" w:space="0" w:color="auto"/>
      </w:divBdr>
    </w:div>
    <w:div w:id="1966620238">
      <w:bodyDiv w:val="1"/>
      <w:marLeft w:val="0"/>
      <w:marRight w:val="0"/>
      <w:marTop w:val="0"/>
      <w:marBottom w:val="0"/>
      <w:divBdr>
        <w:top w:val="none" w:sz="0" w:space="0" w:color="auto"/>
        <w:left w:val="none" w:sz="0" w:space="0" w:color="auto"/>
        <w:bottom w:val="none" w:sz="0" w:space="0" w:color="auto"/>
        <w:right w:val="none" w:sz="0" w:space="0" w:color="auto"/>
      </w:divBdr>
    </w:div>
    <w:div w:id="1974485320">
      <w:bodyDiv w:val="1"/>
      <w:marLeft w:val="0"/>
      <w:marRight w:val="0"/>
      <w:marTop w:val="0"/>
      <w:marBottom w:val="0"/>
      <w:divBdr>
        <w:top w:val="none" w:sz="0" w:space="0" w:color="auto"/>
        <w:left w:val="none" w:sz="0" w:space="0" w:color="auto"/>
        <w:bottom w:val="none" w:sz="0" w:space="0" w:color="auto"/>
        <w:right w:val="none" w:sz="0" w:space="0" w:color="auto"/>
      </w:divBdr>
    </w:div>
    <w:div w:id="1978946411">
      <w:bodyDiv w:val="1"/>
      <w:marLeft w:val="0"/>
      <w:marRight w:val="0"/>
      <w:marTop w:val="0"/>
      <w:marBottom w:val="0"/>
      <w:divBdr>
        <w:top w:val="none" w:sz="0" w:space="0" w:color="auto"/>
        <w:left w:val="none" w:sz="0" w:space="0" w:color="auto"/>
        <w:bottom w:val="none" w:sz="0" w:space="0" w:color="auto"/>
        <w:right w:val="none" w:sz="0" w:space="0" w:color="auto"/>
      </w:divBdr>
    </w:div>
    <w:div w:id="1979678209">
      <w:bodyDiv w:val="1"/>
      <w:marLeft w:val="0"/>
      <w:marRight w:val="0"/>
      <w:marTop w:val="0"/>
      <w:marBottom w:val="0"/>
      <w:divBdr>
        <w:top w:val="none" w:sz="0" w:space="0" w:color="auto"/>
        <w:left w:val="none" w:sz="0" w:space="0" w:color="auto"/>
        <w:bottom w:val="none" w:sz="0" w:space="0" w:color="auto"/>
        <w:right w:val="none" w:sz="0" w:space="0" w:color="auto"/>
      </w:divBdr>
    </w:div>
    <w:div w:id="1980263772">
      <w:bodyDiv w:val="1"/>
      <w:marLeft w:val="0"/>
      <w:marRight w:val="0"/>
      <w:marTop w:val="0"/>
      <w:marBottom w:val="0"/>
      <w:divBdr>
        <w:top w:val="none" w:sz="0" w:space="0" w:color="auto"/>
        <w:left w:val="none" w:sz="0" w:space="0" w:color="auto"/>
        <w:bottom w:val="none" w:sz="0" w:space="0" w:color="auto"/>
        <w:right w:val="none" w:sz="0" w:space="0" w:color="auto"/>
      </w:divBdr>
    </w:div>
    <w:div w:id="1981618263">
      <w:bodyDiv w:val="1"/>
      <w:marLeft w:val="0"/>
      <w:marRight w:val="0"/>
      <w:marTop w:val="0"/>
      <w:marBottom w:val="0"/>
      <w:divBdr>
        <w:top w:val="none" w:sz="0" w:space="0" w:color="auto"/>
        <w:left w:val="none" w:sz="0" w:space="0" w:color="auto"/>
        <w:bottom w:val="none" w:sz="0" w:space="0" w:color="auto"/>
        <w:right w:val="none" w:sz="0" w:space="0" w:color="auto"/>
      </w:divBdr>
    </w:div>
    <w:div w:id="1983608804">
      <w:bodyDiv w:val="1"/>
      <w:marLeft w:val="0"/>
      <w:marRight w:val="0"/>
      <w:marTop w:val="0"/>
      <w:marBottom w:val="0"/>
      <w:divBdr>
        <w:top w:val="none" w:sz="0" w:space="0" w:color="auto"/>
        <w:left w:val="none" w:sz="0" w:space="0" w:color="auto"/>
        <w:bottom w:val="none" w:sz="0" w:space="0" w:color="auto"/>
        <w:right w:val="none" w:sz="0" w:space="0" w:color="auto"/>
      </w:divBdr>
    </w:div>
    <w:div w:id="1984432300">
      <w:bodyDiv w:val="1"/>
      <w:marLeft w:val="0"/>
      <w:marRight w:val="0"/>
      <w:marTop w:val="0"/>
      <w:marBottom w:val="0"/>
      <w:divBdr>
        <w:top w:val="none" w:sz="0" w:space="0" w:color="auto"/>
        <w:left w:val="none" w:sz="0" w:space="0" w:color="auto"/>
        <w:bottom w:val="none" w:sz="0" w:space="0" w:color="auto"/>
        <w:right w:val="none" w:sz="0" w:space="0" w:color="auto"/>
      </w:divBdr>
    </w:div>
    <w:div w:id="1993219423">
      <w:bodyDiv w:val="1"/>
      <w:marLeft w:val="0"/>
      <w:marRight w:val="0"/>
      <w:marTop w:val="0"/>
      <w:marBottom w:val="0"/>
      <w:divBdr>
        <w:top w:val="none" w:sz="0" w:space="0" w:color="auto"/>
        <w:left w:val="none" w:sz="0" w:space="0" w:color="auto"/>
        <w:bottom w:val="none" w:sz="0" w:space="0" w:color="auto"/>
        <w:right w:val="none" w:sz="0" w:space="0" w:color="auto"/>
      </w:divBdr>
    </w:div>
    <w:div w:id="1997567177">
      <w:bodyDiv w:val="1"/>
      <w:marLeft w:val="0"/>
      <w:marRight w:val="0"/>
      <w:marTop w:val="0"/>
      <w:marBottom w:val="0"/>
      <w:divBdr>
        <w:top w:val="none" w:sz="0" w:space="0" w:color="auto"/>
        <w:left w:val="none" w:sz="0" w:space="0" w:color="auto"/>
        <w:bottom w:val="none" w:sz="0" w:space="0" w:color="auto"/>
        <w:right w:val="none" w:sz="0" w:space="0" w:color="auto"/>
      </w:divBdr>
    </w:div>
    <w:div w:id="1998534749">
      <w:bodyDiv w:val="1"/>
      <w:marLeft w:val="0"/>
      <w:marRight w:val="0"/>
      <w:marTop w:val="0"/>
      <w:marBottom w:val="0"/>
      <w:divBdr>
        <w:top w:val="none" w:sz="0" w:space="0" w:color="auto"/>
        <w:left w:val="none" w:sz="0" w:space="0" w:color="auto"/>
        <w:bottom w:val="none" w:sz="0" w:space="0" w:color="auto"/>
        <w:right w:val="none" w:sz="0" w:space="0" w:color="auto"/>
      </w:divBdr>
    </w:div>
    <w:div w:id="1998923050">
      <w:bodyDiv w:val="1"/>
      <w:marLeft w:val="0"/>
      <w:marRight w:val="0"/>
      <w:marTop w:val="0"/>
      <w:marBottom w:val="0"/>
      <w:divBdr>
        <w:top w:val="none" w:sz="0" w:space="0" w:color="auto"/>
        <w:left w:val="none" w:sz="0" w:space="0" w:color="auto"/>
        <w:bottom w:val="none" w:sz="0" w:space="0" w:color="auto"/>
        <w:right w:val="none" w:sz="0" w:space="0" w:color="auto"/>
      </w:divBdr>
    </w:div>
    <w:div w:id="2003314894">
      <w:bodyDiv w:val="1"/>
      <w:marLeft w:val="0"/>
      <w:marRight w:val="0"/>
      <w:marTop w:val="0"/>
      <w:marBottom w:val="0"/>
      <w:divBdr>
        <w:top w:val="none" w:sz="0" w:space="0" w:color="auto"/>
        <w:left w:val="none" w:sz="0" w:space="0" w:color="auto"/>
        <w:bottom w:val="none" w:sz="0" w:space="0" w:color="auto"/>
        <w:right w:val="none" w:sz="0" w:space="0" w:color="auto"/>
      </w:divBdr>
    </w:div>
    <w:div w:id="2004896321">
      <w:bodyDiv w:val="1"/>
      <w:marLeft w:val="0"/>
      <w:marRight w:val="0"/>
      <w:marTop w:val="0"/>
      <w:marBottom w:val="0"/>
      <w:divBdr>
        <w:top w:val="none" w:sz="0" w:space="0" w:color="auto"/>
        <w:left w:val="none" w:sz="0" w:space="0" w:color="auto"/>
        <w:bottom w:val="none" w:sz="0" w:space="0" w:color="auto"/>
        <w:right w:val="none" w:sz="0" w:space="0" w:color="auto"/>
      </w:divBdr>
    </w:div>
    <w:div w:id="2005821188">
      <w:bodyDiv w:val="1"/>
      <w:marLeft w:val="0"/>
      <w:marRight w:val="0"/>
      <w:marTop w:val="0"/>
      <w:marBottom w:val="0"/>
      <w:divBdr>
        <w:top w:val="none" w:sz="0" w:space="0" w:color="auto"/>
        <w:left w:val="none" w:sz="0" w:space="0" w:color="auto"/>
        <w:bottom w:val="none" w:sz="0" w:space="0" w:color="auto"/>
        <w:right w:val="none" w:sz="0" w:space="0" w:color="auto"/>
      </w:divBdr>
    </w:div>
    <w:div w:id="2007855496">
      <w:bodyDiv w:val="1"/>
      <w:marLeft w:val="0"/>
      <w:marRight w:val="0"/>
      <w:marTop w:val="0"/>
      <w:marBottom w:val="0"/>
      <w:divBdr>
        <w:top w:val="none" w:sz="0" w:space="0" w:color="auto"/>
        <w:left w:val="none" w:sz="0" w:space="0" w:color="auto"/>
        <w:bottom w:val="none" w:sz="0" w:space="0" w:color="auto"/>
        <w:right w:val="none" w:sz="0" w:space="0" w:color="auto"/>
      </w:divBdr>
    </w:div>
    <w:div w:id="2010598873">
      <w:bodyDiv w:val="1"/>
      <w:marLeft w:val="0"/>
      <w:marRight w:val="0"/>
      <w:marTop w:val="0"/>
      <w:marBottom w:val="0"/>
      <w:divBdr>
        <w:top w:val="none" w:sz="0" w:space="0" w:color="auto"/>
        <w:left w:val="none" w:sz="0" w:space="0" w:color="auto"/>
        <w:bottom w:val="none" w:sz="0" w:space="0" w:color="auto"/>
        <w:right w:val="none" w:sz="0" w:space="0" w:color="auto"/>
      </w:divBdr>
    </w:div>
    <w:div w:id="2011516179">
      <w:bodyDiv w:val="1"/>
      <w:marLeft w:val="0"/>
      <w:marRight w:val="0"/>
      <w:marTop w:val="0"/>
      <w:marBottom w:val="0"/>
      <w:divBdr>
        <w:top w:val="none" w:sz="0" w:space="0" w:color="auto"/>
        <w:left w:val="none" w:sz="0" w:space="0" w:color="auto"/>
        <w:bottom w:val="none" w:sz="0" w:space="0" w:color="auto"/>
        <w:right w:val="none" w:sz="0" w:space="0" w:color="auto"/>
      </w:divBdr>
    </w:div>
    <w:div w:id="2019891671">
      <w:bodyDiv w:val="1"/>
      <w:marLeft w:val="0"/>
      <w:marRight w:val="0"/>
      <w:marTop w:val="0"/>
      <w:marBottom w:val="0"/>
      <w:divBdr>
        <w:top w:val="none" w:sz="0" w:space="0" w:color="auto"/>
        <w:left w:val="none" w:sz="0" w:space="0" w:color="auto"/>
        <w:bottom w:val="none" w:sz="0" w:space="0" w:color="auto"/>
        <w:right w:val="none" w:sz="0" w:space="0" w:color="auto"/>
      </w:divBdr>
    </w:div>
    <w:div w:id="2020232051">
      <w:bodyDiv w:val="1"/>
      <w:marLeft w:val="0"/>
      <w:marRight w:val="0"/>
      <w:marTop w:val="0"/>
      <w:marBottom w:val="0"/>
      <w:divBdr>
        <w:top w:val="none" w:sz="0" w:space="0" w:color="auto"/>
        <w:left w:val="none" w:sz="0" w:space="0" w:color="auto"/>
        <w:bottom w:val="none" w:sz="0" w:space="0" w:color="auto"/>
        <w:right w:val="none" w:sz="0" w:space="0" w:color="auto"/>
      </w:divBdr>
    </w:div>
    <w:div w:id="2026244668">
      <w:bodyDiv w:val="1"/>
      <w:marLeft w:val="0"/>
      <w:marRight w:val="0"/>
      <w:marTop w:val="0"/>
      <w:marBottom w:val="0"/>
      <w:divBdr>
        <w:top w:val="none" w:sz="0" w:space="0" w:color="auto"/>
        <w:left w:val="none" w:sz="0" w:space="0" w:color="auto"/>
        <w:bottom w:val="none" w:sz="0" w:space="0" w:color="auto"/>
        <w:right w:val="none" w:sz="0" w:space="0" w:color="auto"/>
      </w:divBdr>
    </w:div>
    <w:div w:id="2029679347">
      <w:bodyDiv w:val="1"/>
      <w:marLeft w:val="0"/>
      <w:marRight w:val="0"/>
      <w:marTop w:val="0"/>
      <w:marBottom w:val="0"/>
      <w:divBdr>
        <w:top w:val="none" w:sz="0" w:space="0" w:color="auto"/>
        <w:left w:val="none" w:sz="0" w:space="0" w:color="auto"/>
        <w:bottom w:val="none" w:sz="0" w:space="0" w:color="auto"/>
        <w:right w:val="none" w:sz="0" w:space="0" w:color="auto"/>
      </w:divBdr>
    </w:div>
    <w:div w:id="2035574319">
      <w:bodyDiv w:val="1"/>
      <w:marLeft w:val="0"/>
      <w:marRight w:val="0"/>
      <w:marTop w:val="0"/>
      <w:marBottom w:val="0"/>
      <w:divBdr>
        <w:top w:val="none" w:sz="0" w:space="0" w:color="auto"/>
        <w:left w:val="none" w:sz="0" w:space="0" w:color="auto"/>
        <w:bottom w:val="none" w:sz="0" w:space="0" w:color="auto"/>
        <w:right w:val="none" w:sz="0" w:space="0" w:color="auto"/>
      </w:divBdr>
    </w:div>
    <w:div w:id="2035692863">
      <w:bodyDiv w:val="1"/>
      <w:marLeft w:val="0"/>
      <w:marRight w:val="0"/>
      <w:marTop w:val="0"/>
      <w:marBottom w:val="0"/>
      <w:divBdr>
        <w:top w:val="none" w:sz="0" w:space="0" w:color="auto"/>
        <w:left w:val="none" w:sz="0" w:space="0" w:color="auto"/>
        <w:bottom w:val="none" w:sz="0" w:space="0" w:color="auto"/>
        <w:right w:val="none" w:sz="0" w:space="0" w:color="auto"/>
      </w:divBdr>
    </w:div>
    <w:div w:id="2052881615">
      <w:bodyDiv w:val="1"/>
      <w:marLeft w:val="0"/>
      <w:marRight w:val="0"/>
      <w:marTop w:val="0"/>
      <w:marBottom w:val="0"/>
      <w:divBdr>
        <w:top w:val="none" w:sz="0" w:space="0" w:color="auto"/>
        <w:left w:val="none" w:sz="0" w:space="0" w:color="auto"/>
        <w:bottom w:val="none" w:sz="0" w:space="0" w:color="auto"/>
        <w:right w:val="none" w:sz="0" w:space="0" w:color="auto"/>
      </w:divBdr>
    </w:div>
    <w:div w:id="2059274977">
      <w:bodyDiv w:val="1"/>
      <w:marLeft w:val="0"/>
      <w:marRight w:val="0"/>
      <w:marTop w:val="0"/>
      <w:marBottom w:val="0"/>
      <w:divBdr>
        <w:top w:val="none" w:sz="0" w:space="0" w:color="auto"/>
        <w:left w:val="none" w:sz="0" w:space="0" w:color="auto"/>
        <w:bottom w:val="none" w:sz="0" w:space="0" w:color="auto"/>
        <w:right w:val="none" w:sz="0" w:space="0" w:color="auto"/>
      </w:divBdr>
    </w:div>
    <w:div w:id="2061056415">
      <w:bodyDiv w:val="1"/>
      <w:marLeft w:val="0"/>
      <w:marRight w:val="0"/>
      <w:marTop w:val="0"/>
      <w:marBottom w:val="0"/>
      <w:divBdr>
        <w:top w:val="none" w:sz="0" w:space="0" w:color="auto"/>
        <w:left w:val="none" w:sz="0" w:space="0" w:color="auto"/>
        <w:bottom w:val="none" w:sz="0" w:space="0" w:color="auto"/>
        <w:right w:val="none" w:sz="0" w:space="0" w:color="auto"/>
      </w:divBdr>
    </w:div>
    <w:div w:id="2063941238">
      <w:bodyDiv w:val="1"/>
      <w:marLeft w:val="0"/>
      <w:marRight w:val="0"/>
      <w:marTop w:val="0"/>
      <w:marBottom w:val="0"/>
      <w:divBdr>
        <w:top w:val="none" w:sz="0" w:space="0" w:color="auto"/>
        <w:left w:val="none" w:sz="0" w:space="0" w:color="auto"/>
        <w:bottom w:val="none" w:sz="0" w:space="0" w:color="auto"/>
        <w:right w:val="none" w:sz="0" w:space="0" w:color="auto"/>
      </w:divBdr>
    </w:div>
    <w:div w:id="2066490513">
      <w:bodyDiv w:val="1"/>
      <w:marLeft w:val="0"/>
      <w:marRight w:val="0"/>
      <w:marTop w:val="0"/>
      <w:marBottom w:val="0"/>
      <w:divBdr>
        <w:top w:val="none" w:sz="0" w:space="0" w:color="auto"/>
        <w:left w:val="none" w:sz="0" w:space="0" w:color="auto"/>
        <w:bottom w:val="none" w:sz="0" w:space="0" w:color="auto"/>
        <w:right w:val="none" w:sz="0" w:space="0" w:color="auto"/>
      </w:divBdr>
    </w:div>
    <w:div w:id="2067876392">
      <w:bodyDiv w:val="1"/>
      <w:marLeft w:val="0"/>
      <w:marRight w:val="0"/>
      <w:marTop w:val="0"/>
      <w:marBottom w:val="0"/>
      <w:divBdr>
        <w:top w:val="none" w:sz="0" w:space="0" w:color="auto"/>
        <w:left w:val="none" w:sz="0" w:space="0" w:color="auto"/>
        <w:bottom w:val="none" w:sz="0" w:space="0" w:color="auto"/>
        <w:right w:val="none" w:sz="0" w:space="0" w:color="auto"/>
      </w:divBdr>
    </w:div>
    <w:div w:id="2078554692">
      <w:bodyDiv w:val="1"/>
      <w:marLeft w:val="0"/>
      <w:marRight w:val="0"/>
      <w:marTop w:val="0"/>
      <w:marBottom w:val="0"/>
      <w:divBdr>
        <w:top w:val="none" w:sz="0" w:space="0" w:color="auto"/>
        <w:left w:val="none" w:sz="0" w:space="0" w:color="auto"/>
        <w:bottom w:val="none" w:sz="0" w:space="0" w:color="auto"/>
        <w:right w:val="none" w:sz="0" w:space="0" w:color="auto"/>
      </w:divBdr>
    </w:div>
    <w:div w:id="2079589661">
      <w:bodyDiv w:val="1"/>
      <w:marLeft w:val="0"/>
      <w:marRight w:val="0"/>
      <w:marTop w:val="0"/>
      <w:marBottom w:val="0"/>
      <w:divBdr>
        <w:top w:val="none" w:sz="0" w:space="0" w:color="auto"/>
        <w:left w:val="none" w:sz="0" w:space="0" w:color="auto"/>
        <w:bottom w:val="none" w:sz="0" w:space="0" w:color="auto"/>
        <w:right w:val="none" w:sz="0" w:space="0" w:color="auto"/>
      </w:divBdr>
    </w:div>
    <w:div w:id="2084447479">
      <w:bodyDiv w:val="1"/>
      <w:marLeft w:val="0"/>
      <w:marRight w:val="0"/>
      <w:marTop w:val="0"/>
      <w:marBottom w:val="0"/>
      <w:divBdr>
        <w:top w:val="none" w:sz="0" w:space="0" w:color="auto"/>
        <w:left w:val="none" w:sz="0" w:space="0" w:color="auto"/>
        <w:bottom w:val="none" w:sz="0" w:space="0" w:color="auto"/>
        <w:right w:val="none" w:sz="0" w:space="0" w:color="auto"/>
      </w:divBdr>
    </w:div>
    <w:div w:id="2094037469">
      <w:bodyDiv w:val="1"/>
      <w:marLeft w:val="0"/>
      <w:marRight w:val="0"/>
      <w:marTop w:val="0"/>
      <w:marBottom w:val="0"/>
      <w:divBdr>
        <w:top w:val="none" w:sz="0" w:space="0" w:color="auto"/>
        <w:left w:val="none" w:sz="0" w:space="0" w:color="auto"/>
        <w:bottom w:val="none" w:sz="0" w:space="0" w:color="auto"/>
        <w:right w:val="none" w:sz="0" w:space="0" w:color="auto"/>
      </w:divBdr>
    </w:div>
    <w:div w:id="2095087554">
      <w:bodyDiv w:val="1"/>
      <w:marLeft w:val="0"/>
      <w:marRight w:val="0"/>
      <w:marTop w:val="0"/>
      <w:marBottom w:val="0"/>
      <w:divBdr>
        <w:top w:val="none" w:sz="0" w:space="0" w:color="auto"/>
        <w:left w:val="none" w:sz="0" w:space="0" w:color="auto"/>
        <w:bottom w:val="none" w:sz="0" w:space="0" w:color="auto"/>
        <w:right w:val="none" w:sz="0" w:space="0" w:color="auto"/>
      </w:divBdr>
    </w:div>
    <w:div w:id="2099016418">
      <w:bodyDiv w:val="1"/>
      <w:marLeft w:val="0"/>
      <w:marRight w:val="0"/>
      <w:marTop w:val="0"/>
      <w:marBottom w:val="0"/>
      <w:divBdr>
        <w:top w:val="none" w:sz="0" w:space="0" w:color="auto"/>
        <w:left w:val="none" w:sz="0" w:space="0" w:color="auto"/>
        <w:bottom w:val="none" w:sz="0" w:space="0" w:color="auto"/>
        <w:right w:val="none" w:sz="0" w:space="0" w:color="auto"/>
      </w:divBdr>
    </w:div>
    <w:div w:id="2099596574">
      <w:bodyDiv w:val="1"/>
      <w:marLeft w:val="0"/>
      <w:marRight w:val="0"/>
      <w:marTop w:val="0"/>
      <w:marBottom w:val="0"/>
      <w:divBdr>
        <w:top w:val="none" w:sz="0" w:space="0" w:color="auto"/>
        <w:left w:val="none" w:sz="0" w:space="0" w:color="auto"/>
        <w:bottom w:val="none" w:sz="0" w:space="0" w:color="auto"/>
        <w:right w:val="none" w:sz="0" w:space="0" w:color="auto"/>
      </w:divBdr>
    </w:div>
    <w:div w:id="2100171754">
      <w:bodyDiv w:val="1"/>
      <w:marLeft w:val="0"/>
      <w:marRight w:val="0"/>
      <w:marTop w:val="0"/>
      <w:marBottom w:val="0"/>
      <w:divBdr>
        <w:top w:val="none" w:sz="0" w:space="0" w:color="auto"/>
        <w:left w:val="none" w:sz="0" w:space="0" w:color="auto"/>
        <w:bottom w:val="none" w:sz="0" w:space="0" w:color="auto"/>
        <w:right w:val="none" w:sz="0" w:space="0" w:color="auto"/>
      </w:divBdr>
    </w:div>
    <w:div w:id="2108889904">
      <w:bodyDiv w:val="1"/>
      <w:marLeft w:val="0"/>
      <w:marRight w:val="0"/>
      <w:marTop w:val="0"/>
      <w:marBottom w:val="0"/>
      <w:divBdr>
        <w:top w:val="none" w:sz="0" w:space="0" w:color="auto"/>
        <w:left w:val="none" w:sz="0" w:space="0" w:color="auto"/>
        <w:bottom w:val="none" w:sz="0" w:space="0" w:color="auto"/>
        <w:right w:val="none" w:sz="0" w:space="0" w:color="auto"/>
      </w:divBdr>
    </w:div>
    <w:div w:id="2109156485">
      <w:bodyDiv w:val="1"/>
      <w:marLeft w:val="0"/>
      <w:marRight w:val="0"/>
      <w:marTop w:val="0"/>
      <w:marBottom w:val="0"/>
      <w:divBdr>
        <w:top w:val="none" w:sz="0" w:space="0" w:color="auto"/>
        <w:left w:val="none" w:sz="0" w:space="0" w:color="auto"/>
        <w:bottom w:val="none" w:sz="0" w:space="0" w:color="auto"/>
        <w:right w:val="none" w:sz="0" w:space="0" w:color="auto"/>
      </w:divBdr>
    </w:div>
    <w:div w:id="2110154615">
      <w:bodyDiv w:val="1"/>
      <w:marLeft w:val="0"/>
      <w:marRight w:val="0"/>
      <w:marTop w:val="0"/>
      <w:marBottom w:val="0"/>
      <w:divBdr>
        <w:top w:val="none" w:sz="0" w:space="0" w:color="auto"/>
        <w:left w:val="none" w:sz="0" w:space="0" w:color="auto"/>
        <w:bottom w:val="none" w:sz="0" w:space="0" w:color="auto"/>
        <w:right w:val="none" w:sz="0" w:space="0" w:color="auto"/>
      </w:divBdr>
    </w:div>
    <w:div w:id="2112309652">
      <w:bodyDiv w:val="1"/>
      <w:marLeft w:val="0"/>
      <w:marRight w:val="0"/>
      <w:marTop w:val="0"/>
      <w:marBottom w:val="0"/>
      <w:divBdr>
        <w:top w:val="none" w:sz="0" w:space="0" w:color="auto"/>
        <w:left w:val="none" w:sz="0" w:space="0" w:color="auto"/>
        <w:bottom w:val="none" w:sz="0" w:space="0" w:color="auto"/>
        <w:right w:val="none" w:sz="0" w:space="0" w:color="auto"/>
      </w:divBdr>
    </w:div>
    <w:div w:id="2121022549">
      <w:bodyDiv w:val="1"/>
      <w:marLeft w:val="0"/>
      <w:marRight w:val="0"/>
      <w:marTop w:val="0"/>
      <w:marBottom w:val="0"/>
      <w:divBdr>
        <w:top w:val="none" w:sz="0" w:space="0" w:color="auto"/>
        <w:left w:val="none" w:sz="0" w:space="0" w:color="auto"/>
        <w:bottom w:val="none" w:sz="0" w:space="0" w:color="auto"/>
        <w:right w:val="none" w:sz="0" w:space="0" w:color="auto"/>
      </w:divBdr>
    </w:div>
    <w:div w:id="2122257354">
      <w:bodyDiv w:val="1"/>
      <w:marLeft w:val="0"/>
      <w:marRight w:val="0"/>
      <w:marTop w:val="0"/>
      <w:marBottom w:val="0"/>
      <w:divBdr>
        <w:top w:val="none" w:sz="0" w:space="0" w:color="auto"/>
        <w:left w:val="none" w:sz="0" w:space="0" w:color="auto"/>
        <w:bottom w:val="none" w:sz="0" w:space="0" w:color="auto"/>
        <w:right w:val="none" w:sz="0" w:space="0" w:color="auto"/>
      </w:divBdr>
    </w:div>
    <w:div w:id="2122258811">
      <w:bodyDiv w:val="1"/>
      <w:marLeft w:val="0"/>
      <w:marRight w:val="0"/>
      <w:marTop w:val="0"/>
      <w:marBottom w:val="0"/>
      <w:divBdr>
        <w:top w:val="none" w:sz="0" w:space="0" w:color="auto"/>
        <w:left w:val="none" w:sz="0" w:space="0" w:color="auto"/>
        <w:bottom w:val="none" w:sz="0" w:space="0" w:color="auto"/>
        <w:right w:val="none" w:sz="0" w:space="0" w:color="auto"/>
      </w:divBdr>
    </w:div>
    <w:div w:id="2122916318">
      <w:bodyDiv w:val="1"/>
      <w:marLeft w:val="0"/>
      <w:marRight w:val="0"/>
      <w:marTop w:val="0"/>
      <w:marBottom w:val="0"/>
      <w:divBdr>
        <w:top w:val="none" w:sz="0" w:space="0" w:color="auto"/>
        <w:left w:val="none" w:sz="0" w:space="0" w:color="auto"/>
        <w:bottom w:val="none" w:sz="0" w:space="0" w:color="auto"/>
        <w:right w:val="none" w:sz="0" w:space="0" w:color="auto"/>
      </w:divBdr>
    </w:div>
    <w:div w:id="2137333011">
      <w:bodyDiv w:val="1"/>
      <w:marLeft w:val="0"/>
      <w:marRight w:val="0"/>
      <w:marTop w:val="0"/>
      <w:marBottom w:val="0"/>
      <w:divBdr>
        <w:top w:val="none" w:sz="0" w:space="0" w:color="auto"/>
        <w:left w:val="none" w:sz="0" w:space="0" w:color="auto"/>
        <w:bottom w:val="none" w:sz="0" w:space="0" w:color="auto"/>
        <w:right w:val="none" w:sz="0" w:space="0" w:color="auto"/>
      </w:divBdr>
    </w:div>
    <w:div w:id="2142531915">
      <w:bodyDiv w:val="1"/>
      <w:marLeft w:val="0"/>
      <w:marRight w:val="0"/>
      <w:marTop w:val="0"/>
      <w:marBottom w:val="0"/>
      <w:divBdr>
        <w:top w:val="none" w:sz="0" w:space="0" w:color="auto"/>
        <w:left w:val="none" w:sz="0" w:space="0" w:color="auto"/>
        <w:bottom w:val="none" w:sz="0" w:space="0" w:color="auto"/>
        <w:right w:val="none" w:sz="0" w:space="0" w:color="auto"/>
      </w:divBdr>
    </w:div>
    <w:div w:id="2145387645">
      <w:bodyDiv w:val="1"/>
      <w:marLeft w:val="0"/>
      <w:marRight w:val="0"/>
      <w:marTop w:val="0"/>
      <w:marBottom w:val="0"/>
      <w:divBdr>
        <w:top w:val="none" w:sz="0" w:space="0" w:color="auto"/>
        <w:left w:val="none" w:sz="0" w:space="0" w:color="auto"/>
        <w:bottom w:val="none" w:sz="0" w:space="0" w:color="auto"/>
        <w:right w:val="none" w:sz="0" w:space="0" w:color="auto"/>
      </w:divBdr>
      <w:divsChild>
        <w:div w:id="901983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header" Target="header22.xm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header" Target="header17.xml"/><Relationship Id="rId42" Type="http://schemas.openxmlformats.org/officeDocument/2006/relationships/header" Target="header25.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header" Target="header21.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3.xml"/><Relationship Id="rId41" Type="http://schemas.openxmlformats.org/officeDocument/2006/relationships/header" Target="header2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footer" Target="footer7.xml"/><Relationship Id="rId37" Type="http://schemas.openxmlformats.org/officeDocument/2006/relationships/header" Target="header20.xml"/><Relationship Id="rId40" Type="http://schemas.openxmlformats.org/officeDocument/2006/relationships/header" Target="header23.xml"/><Relationship Id="rId45" Type="http://schemas.openxmlformats.org/officeDocument/2006/relationships/footer" Target="foot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footer" Target="footer6.xml"/><Relationship Id="rId36" Type="http://schemas.openxmlformats.org/officeDocument/2006/relationships/header" Target="header1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eader" Target="header15.xml"/><Relationship Id="rId44" Type="http://schemas.openxmlformats.org/officeDocument/2006/relationships/header" Target="header2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header" Target="header18.xml"/><Relationship Id="rId43" Type="http://schemas.openxmlformats.org/officeDocument/2006/relationships/header" Target="head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8E407602BF0CC458F4BB1ED0BE1AC95" ma:contentTypeVersion="11" ma:contentTypeDescription="Create a new document." ma:contentTypeScope="" ma:versionID="0c9e1eb7c494136fda683bea1b798af7">
  <xsd:schema xmlns:xsd="http://www.w3.org/2001/XMLSchema" xmlns:xs="http://www.w3.org/2001/XMLSchema" xmlns:p="http://schemas.microsoft.com/office/2006/metadata/properties" xmlns:ns3="1895004b-7702-48cc-a7f0-019083d2b228" xmlns:ns4="614c2222-0cde-48d6-842f-4ce546e60a78" targetNamespace="http://schemas.microsoft.com/office/2006/metadata/properties" ma:root="true" ma:fieldsID="15e3a0ee71d9f77dd99af235b650ab93" ns3:_="" ns4:_="">
    <xsd:import namespace="1895004b-7702-48cc-a7f0-019083d2b228"/>
    <xsd:import namespace="614c2222-0cde-48d6-842f-4ce546e60a7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5004b-7702-48cc-a7f0-019083d2b2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4c2222-0cde-48d6-842f-4ce546e60a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5F0D45-15C3-40EA-8C10-A7E780EEE78B}">
  <ds:schemaRefs>
    <ds:schemaRef ds:uri="http://schemas.openxmlformats.org/officeDocument/2006/bibliography"/>
  </ds:schemaRefs>
</ds:datastoreItem>
</file>

<file path=customXml/itemProps2.xml><?xml version="1.0" encoding="utf-8"?>
<ds:datastoreItem xmlns:ds="http://schemas.openxmlformats.org/officeDocument/2006/customXml" ds:itemID="{DDA8D2E3-C1FE-4406-B25A-9109C5DCA9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924196-A7A9-4288-85F6-23B2D9853A3F}">
  <ds:schemaRefs>
    <ds:schemaRef ds:uri="http://schemas.microsoft.com/sharepoint/v3/contenttype/forms"/>
  </ds:schemaRefs>
</ds:datastoreItem>
</file>

<file path=customXml/itemProps4.xml><?xml version="1.0" encoding="utf-8"?>
<ds:datastoreItem xmlns:ds="http://schemas.openxmlformats.org/officeDocument/2006/customXml" ds:itemID="{8085A3D4-2AAA-4241-AC3E-7694C9162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95004b-7702-48cc-a7f0-019083d2b228"/>
    <ds:schemaRef ds:uri="614c2222-0cde-48d6-842f-4ce546e60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53</Pages>
  <Words>14430</Words>
  <Characters>82252</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MEDTT</Company>
  <LinksUpToDate>false</LinksUpToDate>
  <CharactersWithSpaces>96490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 Vietnam</dc:creator>
  <cp:keywords/>
  <dc:description/>
  <cp:lastModifiedBy>Hai Quang Le</cp:lastModifiedBy>
  <cp:revision>205</cp:revision>
  <cp:lastPrinted>2019-08-14T00:16:00Z</cp:lastPrinted>
  <dcterms:created xsi:type="dcterms:W3CDTF">2022-03-07T03:33:00Z</dcterms:created>
  <dcterms:modified xsi:type="dcterms:W3CDTF">2023-02-27T13:41:00Z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0x010100E8E407602BF0CC458F4BB1ED0BE1AC95</vt:lpwstr>
  </property>
  <property fmtid="{D5CDD505-2E9C-101B-9397-08002B2CF9AE}" pid="3" name="Order">
    <vt:r8>4859100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