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767E" w14:textId="6BDF34DD" w:rsidR="00D843DD" w:rsidRPr="00FB2BE0" w:rsidRDefault="00C872E1" w:rsidP="00F3462E">
      <w:pPr>
        <w:spacing w:after="0" w:line="240" w:lineRule="auto"/>
        <w:jc w:val="both"/>
        <w:rPr>
          <w:rFonts w:ascii="Arial" w:hAnsi="Arial" w:cs="Arial"/>
          <w:color w:val="000000" w:themeColor="text1"/>
          <w:sz w:val="20"/>
          <w:szCs w:val="20"/>
        </w:rPr>
      </w:pPr>
      <w:r w:rsidRPr="00FB2BE0">
        <w:rPr>
          <w:rFonts w:ascii="Arial" w:hAnsi="Arial" w:cs="Arial"/>
          <w:b/>
          <w:bCs/>
          <w:color w:val="000000" w:themeColor="text1"/>
          <w:sz w:val="20"/>
          <w:szCs w:val="20"/>
        </w:rPr>
        <w:t>To</w:t>
      </w:r>
      <w:r w:rsidR="00604639" w:rsidRPr="00FB2BE0">
        <w:rPr>
          <w:rFonts w:ascii="Arial" w:hAnsi="Arial" w:cs="Arial"/>
          <w:b/>
          <w:bCs/>
          <w:color w:val="000000" w:themeColor="text1"/>
          <w:sz w:val="20"/>
          <w:szCs w:val="20"/>
        </w:rPr>
        <w:t>:</w:t>
      </w:r>
      <w:r w:rsidR="00F3462E" w:rsidRPr="00FB2BE0">
        <w:rPr>
          <w:rFonts w:ascii="Arial" w:hAnsi="Arial" w:cs="Arial"/>
          <w:color w:val="000000" w:themeColor="text1"/>
          <w:sz w:val="20"/>
          <w:szCs w:val="20"/>
        </w:rPr>
        <w:tab/>
      </w:r>
      <w:r w:rsidR="00F3462E" w:rsidRPr="00FB2BE0">
        <w:rPr>
          <w:rFonts w:ascii="Arial" w:hAnsi="Arial" w:cs="Arial"/>
          <w:color w:val="000000" w:themeColor="text1"/>
          <w:sz w:val="20"/>
          <w:szCs w:val="20"/>
        </w:rPr>
        <w:tab/>
      </w:r>
      <w:r w:rsidR="000936AC">
        <w:rPr>
          <w:rFonts w:ascii="Arial" w:hAnsi="Arial" w:cs="Arial"/>
          <w:color w:val="000000" w:themeColor="text1"/>
          <w:sz w:val="20"/>
          <w:szCs w:val="20"/>
        </w:rPr>
        <w:t xml:space="preserve">Ha Phuong Dang - </w:t>
      </w:r>
      <w:r w:rsidR="00C96F63" w:rsidRPr="00FB2BE0">
        <w:rPr>
          <w:rFonts w:ascii="Arial" w:hAnsi="Arial" w:cs="Arial"/>
          <w:color w:val="000000" w:themeColor="text1"/>
          <w:sz w:val="20"/>
          <w:szCs w:val="20"/>
        </w:rPr>
        <w:t>Audit</w:t>
      </w:r>
      <w:r w:rsidR="00D843DD" w:rsidRPr="00FB2BE0">
        <w:rPr>
          <w:rFonts w:ascii="Arial" w:hAnsi="Arial" w:cs="Arial"/>
          <w:color w:val="000000" w:themeColor="text1"/>
          <w:sz w:val="20"/>
          <w:szCs w:val="20"/>
        </w:rPr>
        <w:t xml:space="preserve"> </w:t>
      </w:r>
      <w:r w:rsidR="003C4351" w:rsidRPr="00FB2BE0">
        <w:rPr>
          <w:rFonts w:ascii="Arial" w:hAnsi="Arial" w:cs="Arial"/>
          <w:color w:val="000000" w:themeColor="text1"/>
          <w:sz w:val="20"/>
          <w:szCs w:val="20"/>
        </w:rPr>
        <w:t>P</w:t>
      </w:r>
      <w:r w:rsidR="00D843DD" w:rsidRPr="00FB2BE0">
        <w:rPr>
          <w:rFonts w:ascii="Arial" w:hAnsi="Arial" w:cs="Arial"/>
          <w:color w:val="000000" w:themeColor="text1"/>
          <w:sz w:val="20"/>
          <w:szCs w:val="20"/>
        </w:rPr>
        <w:t>artner</w:t>
      </w:r>
    </w:p>
    <w:p w14:paraId="734187ED" w14:textId="0628D87A" w:rsidR="00C872E1" w:rsidRPr="00FB2BE0" w:rsidRDefault="00C872E1" w:rsidP="004C52BA">
      <w:pPr>
        <w:spacing w:before="240"/>
        <w:rPr>
          <w:rFonts w:ascii="Arial" w:hAnsi="Arial" w:cs="Arial"/>
          <w:color w:val="000000" w:themeColor="text1"/>
          <w:sz w:val="20"/>
          <w:szCs w:val="20"/>
        </w:rPr>
      </w:pPr>
      <w:r w:rsidRPr="00FB2BE0">
        <w:rPr>
          <w:rFonts w:ascii="Arial" w:hAnsi="Arial" w:cs="Arial"/>
          <w:b/>
          <w:bCs/>
          <w:color w:val="000000" w:themeColor="text1"/>
          <w:sz w:val="20"/>
          <w:szCs w:val="20"/>
        </w:rPr>
        <w:t>From:</w:t>
      </w:r>
      <w:r w:rsidR="00CE4938" w:rsidRPr="00FB2BE0">
        <w:rPr>
          <w:rFonts w:ascii="Arial" w:hAnsi="Arial" w:cs="Arial"/>
          <w:color w:val="000000" w:themeColor="text1"/>
          <w:sz w:val="20"/>
          <w:szCs w:val="20"/>
        </w:rPr>
        <w:tab/>
      </w:r>
      <w:r w:rsidR="00F3462E" w:rsidRPr="00FB2BE0">
        <w:rPr>
          <w:rFonts w:ascii="Arial" w:hAnsi="Arial" w:cs="Arial"/>
          <w:color w:val="000000" w:themeColor="text1"/>
          <w:sz w:val="20"/>
          <w:szCs w:val="20"/>
        </w:rPr>
        <w:tab/>
      </w:r>
      <w:r w:rsidR="00244763" w:rsidRPr="00FB2BE0">
        <w:rPr>
          <w:rFonts w:ascii="Arial" w:hAnsi="Arial" w:cs="Arial"/>
          <w:color w:val="000000" w:themeColor="text1"/>
          <w:sz w:val="20"/>
          <w:szCs w:val="20"/>
        </w:rPr>
        <w:t xml:space="preserve">Nhung Thi Hong </w:t>
      </w:r>
      <w:r w:rsidR="003C4351" w:rsidRPr="00FB2BE0">
        <w:rPr>
          <w:rFonts w:ascii="Arial" w:hAnsi="Arial" w:cs="Arial"/>
          <w:color w:val="000000" w:themeColor="text1"/>
          <w:sz w:val="20"/>
          <w:szCs w:val="20"/>
        </w:rPr>
        <w:t>Nguyen</w:t>
      </w:r>
      <w:r w:rsidR="00CE4938" w:rsidRPr="00FB2BE0">
        <w:rPr>
          <w:rFonts w:ascii="Arial" w:hAnsi="Arial" w:cs="Arial"/>
          <w:color w:val="000000" w:themeColor="text1"/>
          <w:sz w:val="20"/>
          <w:szCs w:val="20"/>
        </w:rPr>
        <w:t xml:space="preserve"> -</w:t>
      </w:r>
      <w:r w:rsidR="008B2094" w:rsidRPr="00FB2BE0">
        <w:rPr>
          <w:rFonts w:ascii="Arial" w:hAnsi="Arial" w:cs="Arial"/>
          <w:color w:val="000000" w:themeColor="text1"/>
          <w:sz w:val="20"/>
          <w:szCs w:val="20"/>
        </w:rPr>
        <w:t xml:space="preserve"> </w:t>
      </w:r>
      <w:r w:rsidR="00357403" w:rsidRPr="00FB2BE0">
        <w:rPr>
          <w:rFonts w:ascii="Arial" w:hAnsi="Arial" w:cs="Arial"/>
          <w:color w:val="000000" w:themeColor="text1"/>
          <w:sz w:val="20"/>
          <w:szCs w:val="20"/>
        </w:rPr>
        <w:t>Associate Tax Partner</w:t>
      </w:r>
    </w:p>
    <w:p w14:paraId="34088C3B" w14:textId="01DCAFCD" w:rsidR="00C872E1" w:rsidRPr="00FB2BE0" w:rsidRDefault="00C872E1">
      <w:pPr>
        <w:rPr>
          <w:rFonts w:ascii="Arial" w:hAnsi="Arial" w:cs="Arial"/>
          <w:color w:val="000000" w:themeColor="text1"/>
          <w:sz w:val="20"/>
          <w:szCs w:val="20"/>
        </w:rPr>
      </w:pPr>
      <w:r w:rsidRPr="00FB2BE0">
        <w:rPr>
          <w:rFonts w:ascii="Arial" w:hAnsi="Arial" w:cs="Arial"/>
          <w:color w:val="000000" w:themeColor="text1"/>
          <w:sz w:val="20"/>
          <w:szCs w:val="20"/>
        </w:rPr>
        <w:t xml:space="preserve">The purpose of this memorandum is to summarize the procedures undertaken by us with respect to the tax review for the </w:t>
      </w:r>
      <w:r w:rsidR="00CE4938" w:rsidRPr="00FB2BE0">
        <w:rPr>
          <w:rFonts w:ascii="Arial" w:hAnsi="Arial" w:cs="Arial"/>
          <w:color w:val="000000" w:themeColor="text1"/>
          <w:sz w:val="20"/>
          <w:szCs w:val="20"/>
        </w:rPr>
        <w:t>above-mentioned</w:t>
      </w:r>
      <w:r w:rsidRPr="00FB2BE0">
        <w:rPr>
          <w:rFonts w:ascii="Arial" w:hAnsi="Arial" w:cs="Arial"/>
          <w:color w:val="000000" w:themeColor="text1"/>
          <w:sz w:val="20"/>
          <w:szCs w:val="20"/>
        </w:rPr>
        <w:t xml:space="preserve"> </w:t>
      </w:r>
      <w:r w:rsidR="00177B74">
        <w:rPr>
          <w:rFonts w:ascii="Arial" w:hAnsi="Arial" w:cs="Arial"/>
          <w:color w:val="000000" w:themeColor="text1"/>
          <w:sz w:val="20"/>
          <w:szCs w:val="20"/>
        </w:rPr>
        <w:t>Bank</w:t>
      </w:r>
      <w:r w:rsidRPr="00FB2BE0">
        <w:rPr>
          <w:rFonts w:ascii="Arial" w:hAnsi="Arial" w:cs="Arial"/>
          <w:color w:val="000000" w:themeColor="text1"/>
          <w:sz w:val="20"/>
          <w:szCs w:val="20"/>
        </w:rPr>
        <w:t xml:space="preserve"> for the current financial year.</w:t>
      </w:r>
    </w:p>
    <w:p w14:paraId="46F87419" w14:textId="77777777" w:rsidR="00C872E1" w:rsidRPr="00FB2BE0" w:rsidRDefault="00C872E1" w:rsidP="00D01100">
      <w:pPr>
        <w:pStyle w:val="ListParagraph"/>
        <w:numPr>
          <w:ilvl w:val="0"/>
          <w:numId w:val="1"/>
        </w:numPr>
        <w:ind w:hanging="720"/>
        <w:rPr>
          <w:rFonts w:ascii="Arial" w:hAnsi="Arial" w:cs="Arial"/>
          <w:b/>
          <w:color w:val="000000" w:themeColor="text1"/>
          <w:sz w:val="20"/>
          <w:szCs w:val="20"/>
        </w:rPr>
      </w:pPr>
      <w:r w:rsidRPr="00FB2BE0">
        <w:rPr>
          <w:rFonts w:ascii="Arial" w:hAnsi="Arial" w:cs="Arial"/>
          <w:b/>
          <w:color w:val="000000" w:themeColor="text1"/>
          <w:sz w:val="20"/>
          <w:szCs w:val="20"/>
        </w:rPr>
        <w:t>Scope</w:t>
      </w:r>
    </w:p>
    <w:p w14:paraId="448AB38E" w14:textId="77777777" w:rsidR="00C872E1" w:rsidRPr="00FB2BE0" w:rsidRDefault="00C872E1" w:rsidP="00A15BCA">
      <w:pPr>
        <w:ind w:left="720"/>
        <w:jc w:val="both"/>
        <w:rPr>
          <w:rFonts w:ascii="Arial" w:hAnsi="Arial" w:cs="Arial"/>
          <w:i/>
          <w:color w:val="000000" w:themeColor="text1"/>
          <w:sz w:val="20"/>
          <w:szCs w:val="20"/>
        </w:rPr>
      </w:pPr>
      <w:r w:rsidRPr="00FB2BE0">
        <w:rPr>
          <w:rFonts w:ascii="Arial" w:hAnsi="Arial" w:cs="Arial"/>
          <w:color w:val="000000" w:themeColor="text1"/>
          <w:sz w:val="20"/>
          <w:szCs w:val="20"/>
        </w:rPr>
        <w:t>Our procedures consisted of the following</w:t>
      </w:r>
      <w:r w:rsidR="00E90962" w:rsidRPr="00FB2BE0">
        <w:rPr>
          <w:rFonts w:ascii="Arial" w:hAnsi="Arial" w:cs="Arial"/>
          <w:color w:val="000000" w:themeColor="text1"/>
          <w:sz w:val="20"/>
          <w:szCs w:val="20"/>
        </w:rPr>
        <w:t>:</w:t>
      </w:r>
      <w:r w:rsidR="009A37C4" w:rsidRPr="00FB2BE0">
        <w:rPr>
          <w:rFonts w:ascii="Arial" w:hAnsi="Arial" w:cs="Arial"/>
          <w:color w:val="000000" w:themeColor="text1"/>
          <w:sz w:val="20"/>
          <w:szCs w:val="20"/>
        </w:rPr>
        <w:t xml:space="preserve"> </w:t>
      </w:r>
    </w:p>
    <w:p w14:paraId="18172B93" w14:textId="77777777" w:rsidR="009B0048" w:rsidRPr="00FB2BE0" w:rsidRDefault="009B0048" w:rsidP="00A15BCA">
      <w:pPr>
        <w:pStyle w:val="ListParagraph"/>
        <w:numPr>
          <w:ilvl w:val="0"/>
          <w:numId w:val="2"/>
        </w:numPr>
        <w:ind w:left="1080"/>
        <w:jc w:val="both"/>
        <w:rPr>
          <w:rFonts w:ascii="Arial" w:hAnsi="Arial" w:cs="Arial"/>
          <w:sz w:val="20"/>
          <w:szCs w:val="20"/>
        </w:rPr>
      </w:pPr>
      <w:r w:rsidRPr="00FB2BE0">
        <w:rPr>
          <w:rFonts w:ascii="Arial" w:hAnsi="Arial" w:cs="Arial"/>
          <w:sz w:val="20"/>
          <w:szCs w:val="20"/>
        </w:rPr>
        <w:t>Our scope of tax review includes the following kinds of taxes:</w:t>
      </w:r>
    </w:p>
    <w:p w14:paraId="4BEF69D6" w14:textId="77777777"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Corporate Income Tax (CIT)</w:t>
      </w:r>
    </w:p>
    <w:p w14:paraId="3ABC22DD" w14:textId="77777777"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Value Added Tax (VAT)</w:t>
      </w:r>
    </w:p>
    <w:p w14:paraId="5E92563E" w14:textId="77777777"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Foreign Contractor Tax (FCT)</w:t>
      </w:r>
    </w:p>
    <w:p w14:paraId="2F03802F" w14:textId="77777777"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Personal Income Tax (PIT)</w:t>
      </w:r>
    </w:p>
    <w:p w14:paraId="345967FD" w14:textId="77777777" w:rsidR="00DB5D46" w:rsidRPr="00FB2BE0" w:rsidRDefault="00DB5D46" w:rsidP="00A15BCA">
      <w:pPr>
        <w:ind w:left="1080"/>
        <w:jc w:val="both"/>
        <w:rPr>
          <w:rFonts w:ascii="Arial" w:hAnsi="Arial" w:cs="Arial"/>
          <w:sz w:val="20"/>
          <w:szCs w:val="20"/>
        </w:rPr>
      </w:pPr>
      <w:r w:rsidRPr="00FB2BE0">
        <w:rPr>
          <w:rFonts w:ascii="Arial" w:hAnsi="Arial" w:cs="Arial"/>
          <w:sz w:val="20"/>
          <w:szCs w:val="20"/>
        </w:rPr>
        <w:t>During the review of the above taxes, if there are any risks in relation to other kinds of taxes other than the above, we will highlight to audit team for further communication with the client.</w:t>
      </w:r>
    </w:p>
    <w:p w14:paraId="64F71160" w14:textId="77777777" w:rsidR="009B0048" w:rsidRPr="00FB2BE0" w:rsidRDefault="00C872E1" w:rsidP="00A15BCA">
      <w:pPr>
        <w:pStyle w:val="ListParagraph"/>
        <w:numPr>
          <w:ilvl w:val="0"/>
          <w:numId w:val="2"/>
        </w:numPr>
        <w:ind w:left="1080"/>
        <w:jc w:val="both"/>
        <w:rPr>
          <w:rFonts w:ascii="Arial" w:hAnsi="Arial" w:cs="Arial"/>
          <w:sz w:val="20"/>
          <w:szCs w:val="20"/>
        </w:rPr>
      </w:pPr>
      <w:r w:rsidRPr="00FB2BE0">
        <w:rPr>
          <w:rFonts w:ascii="Arial" w:hAnsi="Arial" w:cs="Arial"/>
          <w:sz w:val="20"/>
          <w:szCs w:val="20"/>
        </w:rPr>
        <w:t>Review</w:t>
      </w:r>
      <w:r w:rsidR="00B600ED" w:rsidRPr="00FB2BE0">
        <w:rPr>
          <w:rFonts w:ascii="Arial" w:hAnsi="Arial" w:cs="Arial"/>
          <w:sz w:val="20"/>
          <w:szCs w:val="20"/>
        </w:rPr>
        <w:t xml:space="preserve">ed </w:t>
      </w:r>
      <w:r w:rsidRPr="00FB2BE0">
        <w:rPr>
          <w:rFonts w:ascii="Arial" w:hAnsi="Arial" w:cs="Arial"/>
          <w:sz w:val="20"/>
          <w:szCs w:val="20"/>
        </w:rPr>
        <w:t>the audit tax working papers</w:t>
      </w:r>
      <w:r w:rsidR="009B0048" w:rsidRPr="00FB2BE0">
        <w:rPr>
          <w:rFonts w:ascii="Arial" w:hAnsi="Arial" w:cs="Arial"/>
          <w:sz w:val="20"/>
          <w:szCs w:val="20"/>
        </w:rPr>
        <w:t xml:space="preserve"> to understand significant tax-related issues identified by the audit team,</w:t>
      </w:r>
      <w:r w:rsidR="00185641" w:rsidRPr="00FB2BE0">
        <w:rPr>
          <w:rFonts w:ascii="Arial" w:hAnsi="Arial" w:cs="Arial"/>
          <w:sz w:val="20"/>
          <w:szCs w:val="20"/>
        </w:rPr>
        <w:t xml:space="preserve"> including</w:t>
      </w:r>
      <w:r w:rsidR="009B0048" w:rsidRPr="00FB2BE0">
        <w:rPr>
          <w:rFonts w:ascii="Arial" w:hAnsi="Arial" w:cs="Arial"/>
          <w:sz w:val="20"/>
          <w:szCs w:val="20"/>
        </w:rPr>
        <w:t>:</w:t>
      </w:r>
    </w:p>
    <w:p w14:paraId="7562801D" w14:textId="77777777"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I</w:t>
      </w:r>
      <w:r w:rsidR="00185641" w:rsidRPr="00FB2BE0">
        <w:rPr>
          <w:rFonts w:ascii="Arial" w:hAnsi="Arial" w:cs="Arial"/>
          <w:sz w:val="20"/>
          <w:szCs w:val="20"/>
        </w:rPr>
        <w:t>ncome tax provision calculation</w:t>
      </w:r>
      <w:r w:rsidRPr="00FB2BE0">
        <w:rPr>
          <w:rFonts w:ascii="Arial" w:hAnsi="Arial" w:cs="Arial"/>
          <w:sz w:val="20"/>
          <w:szCs w:val="20"/>
        </w:rPr>
        <w:t xml:space="preserve"> prepared by the management and reviewed by the auditor;</w:t>
      </w:r>
    </w:p>
    <w:p w14:paraId="5ED9DC7B" w14:textId="1DF56766" w:rsidR="009B0048" w:rsidRPr="00FB2BE0" w:rsidRDefault="009B0048" w:rsidP="00A15BCA">
      <w:pPr>
        <w:pStyle w:val="ListParagraph"/>
        <w:numPr>
          <w:ilvl w:val="0"/>
          <w:numId w:val="9"/>
        </w:numPr>
        <w:jc w:val="both"/>
        <w:rPr>
          <w:rFonts w:ascii="Arial" w:hAnsi="Arial" w:cs="Arial"/>
          <w:sz w:val="20"/>
          <w:szCs w:val="20"/>
        </w:rPr>
      </w:pPr>
      <w:r w:rsidRPr="00FB2BE0">
        <w:rPr>
          <w:rFonts w:ascii="Arial" w:hAnsi="Arial" w:cs="Arial"/>
          <w:sz w:val="20"/>
          <w:szCs w:val="20"/>
        </w:rPr>
        <w:t>Comment/assess on the approaches which audit team is applying to determine material temporary difference (</w:t>
      </w:r>
      <w:r w:rsidR="00636D97" w:rsidRPr="00FB2BE0">
        <w:rPr>
          <w:rFonts w:ascii="Arial" w:hAnsi="Arial" w:cs="Arial"/>
          <w:sz w:val="20"/>
          <w:szCs w:val="20"/>
        </w:rPr>
        <w:t>e.g.,</w:t>
      </w:r>
      <w:r w:rsidRPr="00FB2BE0">
        <w:rPr>
          <w:rFonts w:ascii="Arial" w:hAnsi="Arial" w:cs="Arial"/>
          <w:sz w:val="20"/>
          <w:szCs w:val="20"/>
        </w:rPr>
        <w:t xml:space="preserve"> which items should be classified as temporary </w:t>
      </w:r>
      <w:r w:rsidR="00CE4938" w:rsidRPr="00FB2BE0">
        <w:rPr>
          <w:rFonts w:ascii="Arial" w:hAnsi="Arial" w:cs="Arial"/>
          <w:sz w:val="20"/>
          <w:szCs w:val="20"/>
        </w:rPr>
        <w:t>difference;</w:t>
      </w:r>
      <w:r w:rsidRPr="00FB2BE0">
        <w:rPr>
          <w:rFonts w:ascii="Arial" w:hAnsi="Arial" w:cs="Arial"/>
          <w:sz w:val="20"/>
          <w:szCs w:val="20"/>
        </w:rPr>
        <w:t xml:space="preserve"> correct tax rate should be applied to calculate deferred tax.</w:t>
      </w:r>
    </w:p>
    <w:p w14:paraId="66EC55F0" w14:textId="77777777" w:rsidR="008319E5" w:rsidRPr="00FB2BE0" w:rsidRDefault="008319E5" w:rsidP="00A15BCA">
      <w:pPr>
        <w:pStyle w:val="ListParagraph"/>
        <w:ind w:left="1080"/>
        <w:jc w:val="both"/>
        <w:rPr>
          <w:rFonts w:ascii="Arial" w:hAnsi="Arial" w:cs="Arial"/>
          <w:color w:val="FF0000"/>
          <w:sz w:val="20"/>
          <w:szCs w:val="20"/>
        </w:rPr>
      </w:pPr>
    </w:p>
    <w:p w14:paraId="13A9D0AD" w14:textId="5CE20070" w:rsidR="00C872E1" w:rsidRPr="00FB2BE0" w:rsidRDefault="00C872E1" w:rsidP="00A15BCA">
      <w:pPr>
        <w:pStyle w:val="ListParagraph"/>
        <w:numPr>
          <w:ilvl w:val="0"/>
          <w:numId w:val="2"/>
        </w:numPr>
        <w:ind w:left="1080"/>
        <w:jc w:val="both"/>
        <w:rPr>
          <w:rFonts w:ascii="Arial" w:hAnsi="Arial" w:cs="Arial"/>
          <w:sz w:val="20"/>
          <w:szCs w:val="20"/>
        </w:rPr>
      </w:pPr>
      <w:r w:rsidRPr="00FB2BE0">
        <w:rPr>
          <w:rFonts w:ascii="Arial" w:hAnsi="Arial" w:cs="Arial"/>
          <w:sz w:val="20"/>
          <w:szCs w:val="20"/>
        </w:rPr>
        <w:t>Review</w:t>
      </w:r>
      <w:r w:rsidR="00B600ED" w:rsidRPr="00FB2BE0">
        <w:rPr>
          <w:rFonts w:ascii="Arial" w:hAnsi="Arial" w:cs="Arial"/>
          <w:sz w:val="20"/>
          <w:szCs w:val="20"/>
        </w:rPr>
        <w:t>ed</w:t>
      </w:r>
      <w:r w:rsidRPr="00FB2BE0">
        <w:rPr>
          <w:rFonts w:ascii="Arial" w:hAnsi="Arial" w:cs="Arial"/>
          <w:sz w:val="20"/>
          <w:szCs w:val="20"/>
        </w:rPr>
        <w:t xml:space="preserve"> correspondence</w:t>
      </w:r>
      <w:r w:rsidR="00185641" w:rsidRPr="00FB2BE0">
        <w:rPr>
          <w:rFonts w:ascii="Arial" w:hAnsi="Arial" w:cs="Arial"/>
          <w:sz w:val="20"/>
          <w:szCs w:val="20"/>
        </w:rPr>
        <w:t>s</w:t>
      </w:r>
      <w:r w:rsidRPr="00FB2BE0">
        <w:rPr>
          <w:rFonts w:ascii="Arial" w:hAnsi="Arial" w:cs="Arial"/>
          <w:sz w:val="20"/>
          <w:szCs w:val="20"/>
        </w:rPr>
        <w:t xml:space="preserve"> between the </w:t>
      </w:r>
      <w:r w:rsidR="00177B74">
        <w:rPr>
          <w:rFonts w:ascii="Arial" w:hAnsi="Arial" w:cs="Arial"/>
          <w:sz w:val="20"/>
          <w:szCs w:val="20"/>
        </w:rPr>
        <w:t>Bank</w:t>
      </w:r>
      <w:r w:rsidRPr="00FB2BE0">
        <w:rPr>
          <w:rFonts w:ascii="Arial" w:hAnsi="Arial" w:cs="Arial"/>
          <w:sz w:val="20"/>
          <w:szCs w:val="20"/>
        </w:rPr>
        <w:t xml:space="preserve"> and </w:t>
      </w:r>
      <w:r w:rsidR="00B600ED" w:rsidRPr="00FB2BE0">
        <w:rPr>
          <w:rFonts w:ascii="Arial" w:hAnsi="Arial" w:cs="Arial"/>
          <w:sz w:val="20"/>
          <w:szCs w:val="20"/>
        </w:rPr>
        <w:t>tax authorities (if any)</w:t>
      </w:r>
      <w:r w:rsidRPr="00FB2BE0">
        <w:rPr>
          <w:rFonts w:ascii="Arial" w:hAnsi="Arial" w:cs="Arial"/>
          <w:sz w:val="20"/>
          <w:szCs w:val="20"/>
        </w:rPr>
        <w:t>; and</w:t>
      </w:r>
    </w:p>
    <w:p w14:paraId="74B73351" w14:textId="77777777" w:rsidR="00185641" w:rsidRPr="00FB2BE0" w:rsidRDefault="00185641" w:rsidP="00A15BCA">
      <w:pPr>
        <w:pStyle w:val="ListParagraph"/>
        <w:ind w:left="1080"/>
        <w:jc w:val="both"/>
        <w:rPr>
          <w:rFonts w:ascii="Arial" w:hAnsi="Arial" w:cs="Arial"/>
          <w:sz w:val="20"/>
          <w:szCs w:val="20"/>
        </w:rPr>
      </w:pPr>
    </w:p>
    <w:p w14:paraId="3338ACA7" w14:textId="758BEDD7" w:rsidR="00C872E1" w:rsidRPr="00FB2BE0" w:rsidRDefault="00C872E1" w:rsidP="00A15BCA">
      <w:pPr>
        <w:pStyle w:val="ListParagraph"/>
        <w:numPr>
          <w:ilvl w:val="0"/>
          <w:numId w:val="2"/>
        </w:numPr>
        <w:ind w:left="1080"/>
        <w:jc w:val="both"/>
        <w:rPr>
          <w:rFonts w:ascii="Arial" w:hAnsi="Arial" w:cs="Arial"/>
          <w:sz w:val="20"/>
          <w:szCs w:val="20"/>
        </w:rPr>
      </w:pPr>
      <w:r w:rsidRPr="00FB2BE0">
        <w:rPr>
          <w:rFonts w:ascii="Arial" w:hAnsi="Arial" w:cs="Arial"/>
          <w:sz w:val="20"/>
          <w:szCs w:val="20"/>
        </w:rPr>
        <w:t xml:space="preserve">Attend TPE and PIE where we have </w:t>
      </w:r>
      <w:r w:rsidR="00CE4938" w:rsidRPr="00FB2BE0">
        <w:rPr>
          <w:rFonts w:ascii="Arial" w:hAnsi="Arial" w:cs="Arial"/>
          <w:sz w:val="20"/>
          <w:szCs w:val="20"/>
        </w:rPr>
        <w:t>discussed</w:t>
      </w:r>
      <w:r w:rsidRPr="00FB2BE0">
        <w:rPr>
          <w:rFonts w:ascii="Arial" w:hAnsi="Arial" w:cs="Arial"/>
          <w:sz w:val="20"/>
          <w:szCs w:val="20"/>
        </w:rPr>
        <w:t xml:space="preserve"> on tax matters with the audit engagement team.</w:t>
      </w:r>
    </w:p>
    <w:p w14:paraId="204450D2" w14:textId="1899613E" w:rsidR="00C872E1" w:rsidRPr="00FB2BE0" w:rsidRDefault="00C872E1" w:rsidP="00A15BCA">
      <w:pPr>
        <w:ind w:left="720" w:right="90"/>
        <w:jc w:val="both"/>
        <w:rPr>
          <w:rFonts w:ascii="Arial" w:hAnsi="Arial" w:cs="Arial"/>
          <w:color w:val="000000" w:themeColor="text1"/>
          <w:sz w:val="20"/>
          <w:szCs w:val="20"/>
        </w:rPr>
      </w:pPr>
      <w:r w:rsidRPr="00FB2BE0">
        <w:rPr>
          <w:rFonts w:ascii="Arial" w:hAnsi="Arial" w:cs="Arial"/>
          <w:color w:val="000000" w:themeColor="text1"/>
          <w:sz w:val="20"/>
          <w:szCs w:val="20"/>
        </w:rPr>
        <w:t xml:space="preserve">We have </w:t>
      </w:r>
      <w:r w:rsidR="00F21BAB" w:rsidRPr="00FB2BE0">
        <w:rPr>
          <w:rFonts w:ascii="Arial" w:hAnsi="Arial" w:cs="Arial"/>
          <w:color w:val="000000" w:themeColor="text1"/>
          <w:sz w:val="20"/>
          <w:szCs w:val="20"/>
        </w:rPr>
        <w:t xml:space="preserve">assessed </w:t>
      </w:r>
      <w:r w:rsidRPr="00FB2BE0">
        <w:rPr>
          <w:rFonts w:ascii="Arial" w:hAnsi="Arial" w:cs="Arial"/>
          <w:color w:val="000000" w:themeColor="text1"/>
          <w:sz w:val="20"/>
          <w:szCs w:val="20"/>
        </w:rPr>
        <w:t>the potential effects of significant tax exposure items</w:t>
      </w:r>
      <w:r w:rsidR="00F21BAB" w:rsidRPr="00FB2BE0">
        <w:rPr>
          <w:rFonts w:ascii="Arial" w:hAnsi="Arial" w:cs="Arial"/>
          <w:color w:val="000000" w:themeColor="text1"/>
          <w:sz w:val="20"/>
          <w:szCs w:val="20"/>
        </w:rPr>
        <w:t xml:space="preserve"> identified by the audit </w:t>
      </w:r>
      <w:r w:rsidR="00CE4938" w:rsidRPr="00FB2BE0">
        <w:rPr>
          <w:rFonts w:ascii="Arial" w:hAnsi="Arial" w:cs="Arial"/>
          <w:color w:val="000000" w:themeColor="text1"/>
          <w:sz w:val="20"/>
          <w:szCs w:val="20"/>
        </w:rPr>
        <w:t>professional and</w:t>
      </w:r>
      <w:r w:rsidRPr="00FB2BE0">
        <w:rPr>
          <w:rFonts w:ascii="Arial" w:hAnsi="Arial" w:cs="Arial"/>
          <w:color w:val="000000" w:themeColor="text1"/>
          <w:sz w:val="20"/>
          <w:szCs w:val="20"/>
        </w:rPr>
        <w:t xml:space="preserve"> have discussed the significant matters</w:t>
      </w:r>
      <w:r w:rsidR="00185641" w:rsidRPr="00FB2BE0">
        <w:rPr>
          <w:rFonts w:ascii="Arial" w:hAnsi="Arial" w:cs="Arial"/>
          <w:color w:val="000000" w:themeColor="text1"/>
          <w:sz w:val="20"/>
          <w:szCs w:val="20"/>
        </w:rPr>
        <w:t xml:space="preserve"> </w:t>
      </w:r>
      <w:r w:rsidR="00185641" w:rsidRPr="00FB2BE0">
        <w:rPr>
          <w:rFonts w:ascii="Arial" w:hAnsi="Arial" w:cs="Arial"/>
          <w:sz w:val="20"/>
          <w:szCs w:val="20"/>
        </w:rPr>
        <w:t xml:space="preserve">subject to materiality thresholds </w:t>
      </w:r>
      <w:r w:rsidRPr="00FB2BE0">
        <w:rPr>
          <w:rFonts w:ascii="Arial" w:hAnsi="Arial" w:cs="Arial"/>
          <w:sz w:val="20"/>
          <w:szCs w:val="20"/>
        </w:rPr>
        <w:t xml:space="preserve">and </w:t>
      </w:r>
      <w:r w:rsidRPr="00FB2BE0">
        <w:rPr>
          <w:rFonts w:ascii="Arial" w:hAnsi="Arial" w:cs="Arial"/>
          <w:color w:val="000000" w:themeColor="text1"/>
          <w:sz w:val="20"/>
          <w:szCs w:val="20"/>
        </w:rPr>
        <w:t>tax exposure items as further explained in Section 2 of this Memorandum with the partner in charge of the engagement and key executives for this engagement.</w:t>
      </w:r>
    </w:p>
    <w:p w14:paraId="77DD4D12" w14:textId="4EA49A7B" w:rsidR="00A15BCA" w:rsidRPr="00FB2BE0" w:rsidRDefault="00C872E1" w:rsidP="00A15BCA">
      <w:pPr>
        <w:ind w:left="720"/>
        <w:jc w:val="both"/>
        <w:rPr>
          <w:rFonts w:ascii="Arial" w:hAnsi="Arial" w:cs="Arial"/>
          <w:color w:val="000000" w:themeColor="text1"/>
          <w:sz w:val="20"/>
          <w:szCs w:val="20"/>
        </w:rPr>
      </w:pPr>
      <w:r w:rsidRPr="00FB2BE0">
        <w:rPr>
          <w:rFonts w:ascii="Arial" w:hAnsi="Arial" w:cs="Arial"/>
          <w:color w:val="000000" w:themeColor="text1"/>
          <w:sz w:val="20"/>
          <w:szCs w:val="20"/>
        </w:rPr>
        <w:t xml:space="preserve">The scope of our work does not include the </w:t>
      </w:r>
      <w:r w:rsidR="009B0048" w:rsidRPr="00FB2BE0">
        <w:rPr>
          <w:rFonts w:ascii="Arial" w:hAnsi="Arial" w:cs="Arial"/>
          <w:color w:val="000000" w:themeColor="text1"/>
          <w:sz w:val="20"/>
          <w:szCs w:val="20"/>
        </w:rPr>
        <w:t xml:space="preserve">re-calculation of </w:t>
      </w:r>
      <w:r w:rsidR="00914046" w:rsidRPr="00FB2BE0">
        <w:rPr>
          <w:rFonts w:ascii="Arial" w:hAnsi="Arial" w:cs="Arial"/>
          <w:color w:val="000000" w:themeColor="text1"/>
          <w:sz w:val="20"/>
          <w:szCs w:val="20"/>
        </w:rPr>
        <w:t xml:space="preserve">deferred tax and </w:t>
      </w:r>
      <w:r w:rsidR="009B0048" w:rsidRPr="00FB2BE0">
        <w:rPr>
          <w:rFonts w:ascii="Arial" w:hAnsi="Arial" w:cs="Arial"/>
          <w:color w:val="000000" w:themeColor="text1"/>
          <w:sz w:val="20"/>
          <w:szCs w:val="20"/>
        </w:rPr>
        <w:t xml:space="preserve">review </w:t>
      </w:r>
      <w:r w:rsidRPr="00FB2BE0">
        <w:rPr>
          <w:rFonts w:ascii="Arial" w:hAnsi="Arial" w:cs="Arial"/>
          <w:color w:val="000000" w:themeColor="text1"/>
          <w:sz w:val="20"/>
          <w:szCs w:val="20"/>
        </w:rPr>
        <w:t xml:space="preserve">the income tax presentation and disclosures in the financial statements as such procedures </w:t>
      </w:r>
      <w:r w:rsidR="00F45DF4" w:rsidRPr="00FB2BE0">
        <w:rPr>
          <w:rFonts w:ascii="Arial" w:hAnsi="Arial" w:cs="Arial"/>
          <w:color w:val="000000" w:themeColor="text1"/>
          <w:sz w:val="20"/>
          <w:szCs w:val="20"/>
        </w:rPr>
        <w:t>will be performed by audit team.</w:t>
      </w:r>
    </w:p>
    <w:p w14:paraId="7FE2A1FF" w14:textId="77777777" w:rsidR="009B0048" w:rsidRPr="00FB2BE0" w:rsidRDefault="009B0048" w:rsidP="00D01100">
      <w:pPr>
        <w:pStyle w:val="ListParagraph"/>
        <w:numPr>
          <w:ilvl w:val="0"/>
          <w:numId w:val="1"/>
        </w:numPr>
        <w:ind w:hanging="720"/>
        <w:rPr>
          <w:rFonts w:ascii="Arial" w:hAnsi="Arial" w:cs="Arial"/>
          <w:b/>
          <w:color w:val="000000" w:themeColor="text1"/>
          <w:sz w:val="20"/>
          <w:szCs w:val="20"/>
        </w:rPr>
      </w:pPr>
      <w:r w:rsidRPr="00FB2BE0">
        <w:rPr>
          <w:rFonts w:ascii="Arial" w:hAnsi="Arial" w:cs="Arial"/>
          <w:b/>
          <w:color w:val="000000" w:themeColor="text1"/>
          <w:sz w:val="20"/>
          <w:szCs w:val="20"/>
        </w:rPr>
        <w:t>Materiality</w:t>
      </w:r>
    </w:p>
    <w:p w14:paraId="346DBA95" w14:textId="00DE6235" w:rsidR="009B0048" w:rsidRDefault="009B0048" w:rsidP="00A15BCA">
      <w:pPr>
        <w:ind w:left="720"/>
        <w:jc w:val="both"/>
        <w:rPr>
          <w:rFonts w:ascii="Arial" w:hAnsi="Arial" w:cs="Arial"/>
          <w:color w:val="000000" w:themeColor="text1"/>
          <w:sz w:val="20"/>
          <w:szCs w:val="20"/>
        </w:rPr>
      </w:pPr>
      <w:r w:rsidRPr="00FB2BE0">
        <w:rPr>
          <w:rFonts w:ascii="Arial" w:hAnsi="Arial" w:cs="Arial"/>
          <w:color w:val="000000" w:themeColor="text1"/>
          <w:sz w:val="20"/>
          <w:szCs w:val="20"/>
        </w:rPr>
        <w:t>We have conducted our procedures for the individual entities listed below</w:t>
      </w:r>
      <w:r w:rsidR="00DB5D46" w:rsidRPr="00FB2BE0">
        <w:rPr>
          <w:rFonts w:ascii="Arial" w:hAnsi="Arial" w:cs="Arial"/>
          <w:color w:val="000000" w:themeColor="text1"/>
          <w:sz w:val="20"/>
          <w:szCs w:val="20"/>
        </w:rPr>
        <w:t xml:space="preserve"> and determined</w:t>
      </w:r>
      <w:r w:rsidR="007844CC" w:rsidRPr="00FB2BE0">
        <w:rPr>
          <w:rFonts w:ascii="Arial" w:hAnsi="Arial" w:cs="Arial"/>
          <w:color w:val="000000" w:themeColor="text1"/>
          <w:sz w:val="20"/>
          <w:szCs w:val="20"/>
        </w:rPr>
        <w:t xml:space="preserve"> the materiality threshold applied for each individual entity is as below</w:t>
      </w:r>
      <w:r w:rsidRPr="00FB2BE0">
        <w:rPr>
          <w:rFonts w:ascii="Arial" w:hAnsi="Arial" w:cs="Arial"/>
          <w:color w:val="000000" w:themeColor="text1"/>
          <w:sz w:val="20"/>
          <w:szCs w:val="20"/>
        </w:rPr>
        <w:t>, having regard to the following “tax scope”</w:t>
      </w:r>
      <w:r w:rsidR="007844CC" w:rsidRPr="00FB2BE0">
        <w:rPr>
          <w:rFonts w:ascii="Arial" w:hAnsi="Arial" w:cs="Arial"/>
          <w:color w:val="000000" w:themeColor="text1"/>
          <w:sz w:val="20"/>
          <w:szCs w:val="20"/>
        </w:rPr>
        <w:t xml:space="preserve"> on a pre-tax basis when considering whether any adjustments are necessary.</w:t>
      </w:r>
    </w:p>
    <w:p w14:paraId="6E6A3FA0" w14:textId="77777777" w:rsidR="00F477B7" w:rsidRPr="00FB2BE0" w:rsidRDefault="00F477B7" w:rsidP="00A15BCA">
      <w:pPr>
        <w:ind w:left="720"/>
        <w:jc w:val="both"/>
        <w:rPr>
          <w:rFonts w:ascii="Arial" w:hAnsi="Arial" w:cs="Arial"/>
          <w:color w:val="000000" w:themeColor="text1"/>
          <w:sz w:val="20"/>
          <w:szCs w:val="20"/>
        </w:rPr>
      </w:pPr>
    </w:p>
    <w:tbl>
      <w:tblPr>
        <w:tblStyle w:val="PlainTable5"/>
        <w:tblW w:w="7740" w:type="dxa"/>
        <w:jc w:val="center"/>
        <w:tblLook w:val="04A0" w:firstRow="1" w:lastRow="0" w:firstColumn="1" w:lastColumn="0" w:noHBand="0" w:noVBand="1"/>
      </w:tblPr>
      <w:tblGrid>
        <w:gridCol w:w="3150"/>
        <w:gridCol w:w="4590"/>
      </w:tblGrid>
      <w:tr w:rsidR="00D843DD" w:rsidRPr="00FB2BE0" w14:paraId="762152F0" w14:textId="77777777" w:rsidTr="00821B7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50" w:type="dxa"/>
          </w:tcPr>
          <w:p w14:paraId="709BC536" w14:textId="77777777" w:rsidR="00D843DD" w:rsidRPr="00FB2BE0" w:rsidRDefault="00D843DD" w:rsidP="00D843DD">
            <w:pPr>
              <w:jc w:val="both"/>
              <w:rPr>
                <w:rFonts w:ascii="Arial" w:hAnsi="Arial" w:cs="Arial"/>
                <w:b/>
                <w:color w:val="000000" w:themeColor="text1"/>
                <w:sz w:val="20"/>
                <w:szCs w:val="20"/>
              </w:rPr>
            </w:pPr>
            <w:r w:rsidRPr="00FB2BE0">
              <w:rPr>
                <w:rFonts w:ascii="Arial" w:hAnsi="Arial" w:cs="Arial"/>
                <w:b/>
                <w:color w:val="000000" w:themeColor="text1"/>
                <w:sz w:val="20"/>
                <w:szCs w:val="20"/>
              </w:rPr>
              <w:lastRenderedPageBreak/>
              <w:t xml:space="preserve">Entity </w:t>
            </w:r>
          </w:p>
        </w:tc>
        <w:tc>
          <w:tcPr>
            <w:tcW w:w="4590" w:type="dxa"/>
          </w:tcPr>
          <w:p w14:paraId="22E995B7" w14:textId="51CAB92F" w:rsidR="00D843DD" w:rsidRPr="00FB2BE0" w:rsidRDefault="00D843DD" w:rsidP="00D843DD">
            <w:pPr>
              <w:jc w:val="both"/>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FB2BE0">
              <w:rPr>
                <w:rFonts w:ascii="Arial" w:hAnsi="Arial" w:cs="Arial"/>
                <w:b/>
                <w:color w:val="000000" w:themeColor="text1"/>
                <w:sz w:val="20"/>
                <w:szCs w:val="20"/>
              </w:rPr>
              <w:t>Materiality threshold (</w:t>
            </w:r>
            <w:r w:rsidR="00777434">
              <w:rPr>
                <w:rFonts w:ascii="Arial" w:hAnsi="Arial" w:cs="Arial"/>
                <w:b/>
                <w:color w:val="000000" w:themeColor="text1"/>
                <w:sz w:val="20"/>
                <w:szCs w:val="20"/>
              </w:rPr>
              <w:t>m</w:t>
            </w:r>
            <w:r w:rsidRPr="00FB2BE0">
              <w:rPr>
                <w:rFonts w:ascii="Arial" w:hAnsi="Arial" w:cs="Arial"/>
                <w:b/>
                <w:color w:val="000000" w:themeColor="text1"/>
                <w:sz w:val="20"/>
                <w:szCs w:val="20"/>
              </w:rPr>
              <w:t>VND)</w:t>
            </w:r>
          </w:p>
        </w:tc>
      </w:tr>
      <w:tr w:rsidR="00D843DD" w:rsidRPr="00FB2BE0" w14:paraId="3D12D8DE" w14:textId="77777777" w:rsidTr="00F97AE5">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3150" w:type="dxa"/>
          </w:tcPr>
          <w:p w14:paraId="7777A9A2" w14:textId="7DA44A8C" w:rsidR="00D843DD" w:rsidRPr="00FB2BE0" w:rsidRDefault="00F855CF" w:rsidP="00D843DD">
            <w:pPr>
              <w:jc w:val="both"/>
              <w:rPr>
                <w:rFonts w:ascii="Arial" w:hAnsi="Arial" w:cs="Arial"/>
                <w:color w:val="000000" w:themeColor="text1"/>
                <w:sz w:val="20"/>
                <w:szCs w:val="20"/>
              </w:rPr>
            </w:pPr>
            <w:r>
              <w:rPr>
                <w:rFonts w:ascii="Arial" w:hAnsi="Arial" w:cs="Arial"/>
                <w:color w:val="000000" w:themeColor="text1"/>
                <w:sz w:val="20"/>
                <w:szCs w:val="20"/>
              </w:rPr>
              <w:t>VCB</w:t>
            </w:r>
          </w:p>
        </w:tc>
        <w:tc>
          <w:tcPr>
            <w:tcW w:w="4590" w:type="dxa"/>
          </w:tcPr>
          <w:p w14:paraId="1B6439C9" w14:textId="5AD8FFB1" w:rsidR="00D843DD" w:rsidRDefault="00F477B7" w:rsidP="00D843D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 xml:space="preserve">TE: </w:t>
            </w:r>
            <w:r w:rsidR="00777434" w:rsidRPr="00466E78">
              <w:rPr>
                <w:rFonts w:ascii="Arial" w:hAnsi="Arial" w:cs="Arial"/>
                <w:sz w:val="20"/>
              </w:rPr>
              <w:t>934</w:t>
            </w:r>
            <w:r w:rsidR="00777434">
              <w:rPr>
                <w:rFonts w:ascii="Arial" w:hAnsi="Arial" w:cs="Arial"/>
                <w:sz w:val="20"/>
              </w:rPr>
              <w:t>,</w:t>
            </w:r>
            <w:r w:rsidR="00777434" w:rsidRPr="00466E78">
              <w:rPr>
                <w:rFonts w:ascii="Arial" w:hAnsi="Arial" w:cs="Arial"/>
                <w:sz w:val="20"/>
              </w:rPr>
              <w:t>194</w:t>
            </w:r>
            <w:r w:rsidR="00777434">
              <w:rPr>
                <w:rFonts w:ascii="Arial" w:hAnsi="Arial" w:cs="Arial"/>
                <w:sz w:val="20"/>
              </w:rPr>
              <w:t xml:space="preserve"> mVND</w:t>
            </w:r>
          </w:p>
          <w:p w14:paraId="44B3B425" w14:textId="4C978B54" w:rsidR="00F477B7" w:rsidRPr="00FB2BE0" w:rsidRDefault="00F477B7" w:rsidP="00D843D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 xml:space="preserve">SAD: </w:t>
            </w:r>
            <w:r w:rsidR="00040A45">
              <w:rPr>
                <w:rFonts w:ascii="Arial" w:hAnsi="Arial" w:cs="Arial"/>
                <w:sz w:val="20"/>
              </w:rPr>
              <w:t>93,419 mVND</w:t>
            </w:r>
          </w:p>
        </w:tc>
      </w:tr>
      <w:tr w:rsidR="004D55F3" w:rsidRPr="00FB2BE0" w14:paraId="252B24DE" w14:textId="77777777" w:rsidTr="00F97AE5">
        <w:trPr>
          <w:trHeight w:val="239"/>
          <w:jc w:val="center"/>
        </w:trPr>
        <w:tc>
          <w:tcPr>
            <w:cnfStyle w:val="001000000000" w:firstRow="0" w:lastRow="0" w:firstColumn="1" w:lastColumn="0" w:oddVBand="0" w:evenVBand="0" w:oddHBand="0" w:evenHBand="0" w:firstRowFirstColumn="0" w:firstRowLastColumn="0" w:lastRowFirstColumn="0" w:lastRowLastColumn="0"/>
            <w:tcW w:w="3150" w:type="dxa"/>
          </w:tcPr>
          <w:p w14:paraId="1B4A9682" w14:textId="77777777" w:rsidR="004D55F3" w:rsidRDefault="004D55F3" w:rsidP="00D843DD">
            <w:pPr>
              <w:jc w:val="both"/>
              <w:rPr>
                <w:rFonts w:ascii="Arial" w:hAnsi="Arial" w:cs="Arial"/>
                <w:color w:val="000000" w:themeColor="text1"/>
                <w:sz w:val="20"/>
                <w:szCs w:val="20"/>
              </w:rPr>
            </w:pPr>
          </w:p>
        </w:tc>
        <w:tc>
          <w:tcPr>
            <w:tcW w:w="4590" w:type="dxa"/>
          </w:tcPr>
          <w:p w14:paraId="177CADFB" w14:textId="77777777" w:rsidR="004D55F3" w:rsidRDefault="004D55F3" w:rsidP="00D843DD">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bl>
    <w:p w14:paraId="561CC7A9" w14:textId="77777777" w:rsidR="00F45DF4" w:rsidRPr="00FB2BE0" w:rsidRDefault="00F45DF4" w:rsidP="00D01100">
      <w:pPr>
        <w:pStyle w:val="ListParagraph"/>
        <w:numPr>
          <w:ilvl w:val="0"/>
          <w:numId w:val="1"/>
        </w:numPr>
        <w:ind w:hanging="720"/>
        <w:rPr>
          <w:rFonts w:ascii="Arial" w:hAnsi="Arial" w:cs="Arial"/>
          <w:b/>
          <w:color w:val="000000" w:themeColor="text1"/>
          <w:sz w:val="20"/>
          <w:szCs w:val="20"/>
        </w:rPr>
      </w:pPr>
      <w:r w:rsidRPr="00FB2BE0">
        <w:rPr>
          <w:rFonts w:ascii="Arial" w:hAnsi="Arial" w:cs="Arial"/>
          <w:b/>
          <w:color w:val="000000" w:themeColor="text1"/>
          <w:sz w:val="20"/>
          <w:szCs w:val="20"/>
        </w:rPr>
        <w:t>Summary of Significant Tax Matters</w:t>
      </w:r>
    </w:p>
    <w:p w14:paraId="2924942F" w14:textId="2F6F2FC1" w:rsidR="00D843DD" w:rsidRPr="00FB2BE0" w:rsidRDefault="00D843DD" w:rsidP="00D843DD">
      <w:pPr>
        <w:spacing w:after="0" w:line="240" w:lineRule="auto"/>
        <w:ind w:left="720"/>
        <w:jc w:val="both"/>
        <w:rPr>
          <w:rFonts w:ascii="Arial" w:hAnsi="Arial" w:cs="Arial"/>
          <w:color w:val="000000" w:themeColor="text1"/>
          <w:sz w:val="20"/>
          <w:szCs w:val="20"/>
        </w:rPr>
      </w:pPr>
      <w:r w:rsidRPr="00FB2BE0">
        <w:rPr>
          <w:rFonts w:ascii="Arial" w:hAnsi="Arial" w:cs="Arial"/>
          <w:color w:val="000000" w:themeColor="text1"/>
          <w:sz w:val="20"/>
          <w:szCs w:val="20"/>
        </w:rPr>
        <w:t xml:space="preserve">Based on our review and discussion with the audit professional, we would like to highlight the </w:t>
      </w:r>
      <w:r w:rsidR="00177B74">
        <w:rPr>
          <w:rFonts w:ascii="Arial" w:hAnsi="Arial" w:cs="Arial"/>
          <w:color w:val="000000" w:themeColor="text1"/>
          <w:sz w:val="20"/>
          <w:szCs w:val="20"/>
        </w:rPr>
        <w:t>Bank</w:t>
      </w:r>
      <w:r w:rsidRPr="00FB2BE0">
        <w:rPr>
          <w:rFonts w:ascii="Arial" w:hAnsi="Arial" w:cs="Arial"/>
          <w:color w:val="000000" w:themeColor="text1"/>
          <w:sz w:val="20"/>
          <w:szCs w:val="20"/>
        </w:rPr>
        <w:t>’s significant tax matters or potential tax issues as below:</w:t>
      </w:r>
    </w:p>
    <w:p w14:paraId="199738C7" w14:textId="5969DD05" w:rsidR="00474480" w:rsidRDefault="00D67ACD" w:rsidP="00474480">
      <w:pPr>
        <w:jc w:val="both"/>
        <w:rPr>
          <w:rFonts w:ascii="Arial" w:hAnsi="Arial" w:cs="Arial"/>
          <w:color w:val="000000" w:themeColor="text1"/>
          <w:sz w:val="20"/>
          <w:szCs w:val="20"/>
        </w:rPr>
      </w:pPr>
      <w:r w:rsidRPr="00FB2BE0">
        <w:rPr>
          <w:rFonts w:ascii="Arial" w:hAnsi="Arial" w:cs="Arial"/>
          <w:color w:val="000000" w:themeColor="text1"/>
          <w:sz w:val="20"/>
          <w:szCs w:val="20"/>
        </w:rPr>
        <w:tab/>
      </w:r>
    </w:p>
    <w:p w14:paraId="4D50E188" w14:textId="5D1190D2" w:rsidR="00474480" w:rsidRDefault="004238EE" w:rsidP="00474480">
      <w:pPr>
        <w:jc w:val="both"/>
        <w:rPr>
          <w:rFonts w:ascii="Arial" w:hAnsi="Arial" w:cs="Arial"/>
          <w:b/>
          <w:bCs/>
          <w:color w:val="000000" w:themeColor="text1"/>
          <w:sz w:val="20"/>
          <w:szCs w:val="20"/>
          <w:u w:val="single"/>
        </w:rPr>
      </w:pPr>
      <w:r w:rsidRPr="00451D70">
        <w:rPr>
          <w:rFonts w:ascii="Arial" w:hAnsi="Arial" w:cs="Arial"/>
          <w:b/>
          <w:bCs/>
          <w:color w:val="000000" w:themeColor="text1"/>
          <w:sz w:val="20"/>
          <w:szCs w:val="20"/>
          <w:u w:val="single"/>
        </w:rPr>
        <w:t>Corporate Income Tax</w:t>
      </w:r>
    </w:p>
    <w:p w14:paraId="1AE4401D" w14:textId="03EECD16" w:rsidR="00087F39" w:rsidRDefault="00087F39" w:rsidP="00087F39">
      <w:pPr>
        <w:ind w:firstLine="709"/>
        <w:jc w:val="both"/>
        <w:rPr>
          <w:rFonts w:ascii="Arial" w:hAnsi="Arial" w:cs="Arial"/>
          <w:b/>
          <w:color w:val="000000" w:themeColor="text1"/>
          <w:sz w:val="20"/>
          <w:szCs w:val="20"/>
        </w:rPr>
      </w:pPr>
      <w:r>
        <w:rPr>
          <w:rFonts w:ascii="Arial" w:hAnsi="Arial" w:cs="Arial"/>
          <w:b/>
          <w:color w:val="000000" w:themeColor="text1"/>
          <w:sz w:val="20"/>
          <w:szCs w:val="20"/>
        </w:rPr>
        <w:t>Non-deductible expenses for VAT output of gift</w:t>
      </w:r>
    </w:p>
    <w:p w14:paraId="1473F7DA" w14:textId="77777777" w:rsidR="001679E6" w:rsidRDefault="00087F39" w:rsidP="001679E6">
      <w:pPr>
        <w:ind w:left="720"/>
        <w:jc w:val="both"/>
        <w:rPr>
          <w:rFonts w:ascii="Arial" w:hAnsi="Arial" w:cs="Arial"/>
          <w:bCs/>
          <w:color w:val="000000" w:themeColor="text1"/>
          <w:sz w:val="20"/>
          <w:szCs w:val="20"/>
        </w:rPr>
      </w:pPr>
      <w:r w:rsidRPr="000936AC">
        <w:rPr>
          <w:rFonts w:ascii="Arial" w:hAnsi="Arial" w:cs="Arial"/>
          <w:bCs/>
          <w:color w:val="000000" w:themeColor="text1"/>
          <w:sz w:val="20"/>
          <w:szCs w:val="20"/>
        </w:rPr>
        <w:t>During the period,</w:t>
      </w:r>
      <w:r>
        <w:rPr>
          <w:rFonts w:ascii="Arial" w:hAnsi="Arial" w:cs="Arial"/>
          <w:bCs/>
          <w:color w:val="000000" w:themeColor="text1"/>
          <w:sz w:val="20"/>
          <w:szCs w:val="20"/>
        </w:rPr>
        <w:t xml:space="preserve"> </w:t>
      </w:r>
      <w:r w:rsidR="00713087">
        <w:rPr>
          <w:rFonts w:ascii="Arial" w:hAnsi="Arial" w:cs="Arial"/>
          <w:bCs/>
          <w:color w:val="000000" w:themeColor="text1"/>
          <w:sz w:val="20"/>
          <w:szCs w:val="20"/>
        </w:rPr>
        <w:t>t</w:t>
      </w:r>
      <w:r w:rsidRPr="000936AC">
        <w:rPr>
          <w:rFonts w:ascii="Arial" w:hAnsi="Arial" w:cs="Arial"/>
          <w:bCs/>
          <w:color w:val="000000" w:themeColor="text1"/>
          <w:sz w:val="20"/>
          <w:szCs w:val="20"/>
        </w:rPr>
        <w:t>he bank</w:t>
      </w:r>
      <w:r w:rsidR="00E11417">
        <w:rPr>
          <w:rFonts w:ascii="Arial" w:hAnsi="Arial" w:cs="Arial"/>
          <w:bCs/>
          <w:color w:val="000000" w:themeColor="text1"/>
          <w:sz w:val="20"/>
          <w:szCs w:val="20"/>
        </w:rPr>
        <w:t xml:space="preserve"> issued</w:t>
      </w:r>
      <w:r w:rsidR="00702DA7">
        <w:rPr>
          <w:rFonts w:ascii="Arial" w:hAnsi="Arial" w:cs="Arial"/>
          <w:bCs/>
          <w:color w:val="000000" w:themeColor="text1"/>
          <w:sz w:val="20"/>
          <w:szCs w:val="20"/>
        </w:rPr>
        <w:t xml:space="preserve"> VAT invoices </w:t>
      </w:r>
      <w:r w:rsidR="0073501A">
        <w:rPr>
          <w:rFonts w:ascii="Arial" w:hAnsi="Arial" w:cs="Arial"/>
          <w:bCs/>
          <w:color w:val="000000" w:themeColor="text1"/>
          <w:sz w:val="20"/>
          <w:szCs w:val="20"/>
        </w:rPr>
        <w:t xml:space="preserve">for </w:t>
      </w:r>
      <w:r w:rsidRPr="000936AC">
        <w:rPr>
          <w:rFonts w:ascii="Arial" w:hAnsi="Arial" w:cs="Arial"/>
          <w:bCs/>
          <w:color w:val="000000" w:themeColor="text1"/>
          <w:sz w:val="20"/>
          <w:szCs w:val="20"/>
        </w:rPr>
        <w:t>gift</w:t>
      </w:r>
      <w:r w:rsidR="0005512C">
        <w:rPr>
          <w:rFonts w:ascii="Arial" w:hAnsi="Arial" w:cs="Arial"/>
          <w:bCs/>
          <w:color w:val="000000" w:themeColor="text1"/>
          <w:sz w:val="20"/>
          <w:szCs w:val="20"/>
        </w:rPr>
        <w:t>s</w:t>
      </w:r>
      <w:r w:rsidR="00745FAD">
        <w:rPr>
          <w:rFonts w:ascii="Arial" w:hAnsi="Arial" w:cs="Arial"/>
          <w:bCs/>
          <w:color w:val="000000" w:themeColor="text1"/>
          <w:sz w:val="20"/>
          <w:szCs w:val="20"/>
        </w:rPr>
        <w:t xml:space="preserve"> to its employees </w:t>
      </w:r>
      <w:r w:rsidR="00A0277B">
        <w:rPr>
          <w:rFonts w:ascii="Arial" w:hAnsi="Arial" w:cs="Arial"/>
          <w:bCs/>
          <w:color w:val="000000" w:themeColor="text1"/>
          <w:sz w:val="20"/>
          <w:szCs w:val="20"/>
        </w:rPr>
        <w:t>and customers</w:t>
      </w:r>
      <w:r w:rsidR="00E15723">
        <w:rPr>
          <w:rFonts w:ascii="Arial" w:hAnsi="Arial" w:cs="Arial"/>
          <w:bCs/>
          <w:color w:val="000000" w:themeColor="text1"/>
          <w:sz w:val="20"/>
          <w:szCs w:val="20"/>
        </w:rPr>
        <w:t xml:space="preserve">. Such </w:t>
      </w:r>
      <w:r w:rsidR="00081DB7">
        <w:rPr>
          <w:rFonts w:ascii="Arial" w:hAnsi="Arial" w:cs="Arial"/>
          <w:bCs/>
          <w:color w:val="000000" w:themeColor="text1"/>
          <w:sz w:val="20"/>
          <w:szCs w:val="20"/>
        </w:rPr>
        <w:t xml:space="preserve">output VAT amount </w:t>
      </w:r>
      <w:r w:rsidR="00BB1920">
        <w:rPr>
          <w:rFonts w:ascii="Arial" w:hAnsi="Arial" w:cs="Arial"/>
          <w:bCs/>
          <w:color w:val="000000" w:themeColor="text1"/>
          <w:sz w:val="20"/>
          <w:szCs w:val="20"/>
        </w:rPr>
        <w:t xml:space="preserve">is accounted </w:t>
      </w:r>
      <w:r w:rsidR="008E2F9F">
        <w:rPr>
          <w:rFonts w:ascii="Arial" w:hAnsi="Arial" w:cs="Arial"/>
          <w:bCs/>
          <w:color w:val="000000" w:themeColor="text1"/>
          <w:sz w:val="20"/>
          <w:szCs w:val="20"/>
        </w:rPr>
        <w:t>as the expense</w:t>
      </w:r>
      <w:r w:rsidR="00A347D9">
        <w:rPr>
          <w:rFonts w:ascii="Arial" w:hAnsi="Arial" w:cs="Arial"/>
          <w:bCs/>
          <w:color w:val="000000" w:themeColor="text1"/>
          <w:sz w:val="20"/>
          <w:szCs w:val="20"/>
        </w:rPr>
        <w:t xml:space="preserve"> account </w:t>
      </w:r>
      <w:r w:rsidR="00A9549F">
        <w:rPr>
          <w:rFonts w:ascii="Arial" w:hAnsi="Arial" w:cs="Arial"/>
          <w:bCs/>
          <w:color w:val="000000" w:themeColor="text1"/>
          <w:sz w:val="20"/>
          <w:szCs w:val="20"/>
        </w:rPr>
        <w:t>under the</w:t>
      </w:r>
      <w:r w:rsidR="00D60B4B">
        <w:rPr>
          <w:rFonts w:ascii="Arial" w:hAnsi="Arial" w:cs="Arial"/>
          <w:bCs/>
          <w:color w:val="000000" w:themeColor="text1"/>
          <w:sz w:val="20"/>
          <w:szCs w:val="20"/>
        </w:rPr>
        <w:t xml:space="preserve"> </w:t>
      </w:r>
      <w:r w:rsidR="008608F3">
        <w:rPr>
          <w:rFonts w:ascii="Arial" w:hAnsi="Arial" w:cs="Arial"/>
          <w:bCs/>
          <w:color w:val="000000" w:themeColor="text1"/>
          <w:sz w:val="20"/>
          <w:szCs w:val="20"/>
        </w:rPr>
        <w:t xml:space="preserve">accounting </w:t>
      </w:r>
      <w:r w:rsidR="00F32D3C">
        <w:rPr>
          <w:rFonts w:ascii="Arial" w:hAnsi="Arial" w:cs="Arial"/>
          <w:bCs/>
          <w:color w:val="000000" w:themeColor="text1"/>
          <w:sz w:val="20"/>
          <w:szCs w:val="20"/>
        </w:rPr>
        <w:t>perspective.</w:t>
      </w:r>
      <w:r w:rsidR="001679E6">
        <w:rPr>
          <w:rFonts w:ascii="Arial" w:hAnsi="Arial" w:cs="Arial"/>
          <w:bCs/>
          <w:color w:val="000000" w:themeColor="text1"/>
          <w:sz w:val="20"/>
          <w:szCs w:val="20"/>
        </w:rPr>
        <w:t xml:space="preserve"> </w:t>
      </w:r>
    </w:p>
    <w:p w14:paraId="2D43805B" w14:textId="1C3191A1" w:rsidR="001679E6" w:rsidRPr="001679E6" w:rsidRDefault="001679E6" w:rsidP="001679E6">
      <w:pPr>
        <w:ind w:left="720"/>
        <w:jc w:val="both"/>
        <w:rPr>
          <w:rFonts w:ascii="Arial" w:hAnsi="Arial" w:cs="Arial"/>
          <w:bCs/>
          <w:color w:val="000000" w:themeColor="text1"/>
          <w:sz w:val="20"/>
          <w:szCs w:val="20"/>
        </w:rPr>
      </w:pPr>
      <w:r w:rsidRPr="00F26985">
        <w:rPr>
          <w:rFonts w:ascii="Arial" w:hAnsi="Arial" w:cs="Arial"/>
          <w:color w:val="000000"/>
          <w:sz w:val="20"/>
          <w:szCs w:val="20"/>
        </w:rPr>
        <w:t xml:space="preserve">GDT and some local tax departments have recently issued some ruling to provide the guidance that, if the Company incurs goods for promotion, gift, internal uses, donation, the output VAT payables under </w:t>
      </w:r>
      <w:r w:rsidR="00B1112E">
        <w:rPr>
          <w:rFonts w:ascii="Arial" w:hAnsi="Arial" w:cs="Arial"/>
          <w:color w:val="000000"/>
          <w:sz w:val="20"/>
          <w:szCs w:val="20"/>
        </w:rPr>
        <w:t xml:space="preserve">the </w:t>
      </w:r>
      <w:r w:rsidRPr="00F26985">
        <w:rPr>
          <w:rFonts w:ascii="Arial" w:hAnsi="Arial" w:cs="Arial"/>
          <w:color w:val="000000"/>
          <w:sz w:val="20"/>
          <w:szCs w:val="20"/>
        </w:rPr>
        <w:t>credit method is not deductible for CIT purpose which is pursuant to Point 5, Article 1, Law 32 on CIT.</w:t>
      </w:r>
    </w:p>
    <w:p w14:paraId="3BEBAF9C" w14:textId="3C323020" w:rsidR="00A9549F" w:rsidRDefault="001679E6" w:rsidP="001679E6">
      <w:pPr>
        <w:ind w:left="720"/>
        <w:jc w:val="both"/>
        <w:rPr>
          <w:rFonts w:ascii="Arial" w:hAnsi="Arial" w:cs="Arial"/>
          <w:bCs/>
          <w:color w:val="000000" w:themeColor="text1"/>
          <w:sz w:val="20"/>
          <w:szCs w:val="20"/>
        </w:rPr>
      </w:pPr>
      <w:r w:rsidRPr="00F26985">
        <w:rPr>
          <w:rFonts w:ascii="Arial" w:hAnsi="Arial" w:cs="Arial"/>
          <w:color w:val="000000"/>
          <w:sz w:val="20"/>
          <w:szCs w:val="20"/>
        </w:rPr>
        <w:t xml:space="preserve">Therefore, there is a risk that the VAT of </w:t>
      </w:r>
      <w:r w:rsidR="0023598F">
        <w:rPr>
          <w:rFonts w:ascii="Arial" w:hAnsi="Arial" w:cs="Arial"/>
          <w:color w:val="000000"/>
          <w:sz w:val="20"/>
          <w:szCs w:val="20"/>
        </w:rPr>
        <w:t xml:space="preserve">the </w:t>
      </w:r>
      <w:r w:rsidRPr="00F26985">
        <w:rPr>
          <w:rFonts w:ascii="Arial" w:hAnsi="Arial" w:cs="Arial"/>
          <w:color w:val="000000"/>
          <w:sz w:val="20"/>
          <w:szCs w:val="20"/>
        </w:rPr>
        <w:t xml:space="preserve">invoice for such aforementioned transactions recorded as expenses of </w:t>
      </w:r>
      <w:r w:rsidR="00116C6D">
        <w:rPr>
          <w:rFonts w:ascii="Arial" w:hAnsi="Arial" w:cs="Arial"/>
          <w:color w:val="000000"/>
          <w:sz w:val="20"/>
          <w:szCs w:val="20"/>
        </w:rPr>
        <w:t>the Bank</w:t>
      </w:r>
      <w:r w:rsidRPr="00F26985">
        <w:rPr>
          <w:rFonts w:ascii="Arial" w:hAnsi="Arial" w:cs="Arial"/>
          <w:color w:val="000000"/>
          <w:sz w:val="20"/>
          <w:szCs w:val="20"/>
        </w:rPr>
        <w:t xml:space="preserve"> will be non-deductible when determining CIT liabilities.</w:t>
      </w:r>
      <w:r w:rsidR="00087F39" w:rsidRPr="000936AC">
        <w:rPr>
          <w:rFonts w:ascii="Arial" w:hAnsi="Arial" w:cs="Arial"/>
          <w:bCs/>
          <w:color w:val="000000" w:themeColor="text1"/>
          <w:sz w:val="20"/>
          <w:szCs w:val="20"/>
        </w:rPr>
        <w:t xml:space="preserve"> </w:t>
      </w:r>
    </w:p>
    <w:p w14:paraId="6C6D1889" w14:textId="06BE5DC7" w:rsidR="004149C7" w:rsidRDefault="009A342C" w:rsidP="001679E6">
      <w:pPr>
        <w:ind w:left="720"/>
        <w:jc w:val="both"/>
        <w:rPr>
          <w:rFonts w:ascii="Arial" w:hAnsi="Arial" w:cs="Arial"/>
          <w:bCs/>
          <w:i/>
          <w:iCs/>
          <w:color w:val="000000" w:themeColor="text1"/>
          <w:sz w:val="20"/>
          <w:szCs w:val="20"/>
          <w:u w:val="single"/>
        </w:rPr>
      </w:pPr>
      <w:r w:rsidRPr="00D31116">
        <w:rPr>
          <w:rFonts w:ascii="Arial" w:hAnsi="Arial" w:cs="Arial"/>
          <w:bCs/>
          <w:i/>
          <w:iCs/>
          <w:color w:val="000000" w:themeColor="text1"/>
          <w:sz w:val="20"/>
          <w:szCs w:val="20"/>
          <w:u w:val="single"/>
        </w:rPr>
        <w:t>Audit response:</w:t>
      </w:r>
    </w:p>
    <w:p w14:paraId="50205596" w14:textId="1D19E4E8" w:rsidR="002A51A8" w:rsidRPr="00FF25D3" w:rsidRDefault="002A51A8" w:rsidP="00FF25D3">
      <w:pPr>
        <w:ind w:left="720"/>
        <w:jc w:val="both"/>
        <w:rPr>
          <w:rFonts w:ascii="Arial" w:hAnsi="Arial" w:cs="Arial"/>
          <w:bCs/>
          <w:color w:val="000000" w:themeColor="text1"/>
          <w:sz w:val="20"/>
          <w:szCs w:val="20"/>
        </w:rPr>
      </w:pPr>
      <w:r w:rsidRPr="00FF25D3">
        <w:rPr>
          <w:rFonts w:ascii="Arial" w:hAnsi="Arial" w:cs="Arial"/>
          <w:bCs/>
          <w:color w:val="000000" w:themeColor="text1"/>
          <w:sz w:val="20"/>
          <w:szCs w:val="20"/>
        </w:rPr>
        <w:t>We obtained General ledger of accounts related to gift expense and estimated VAT output of gift to be approximately 55.6 VND</w:t>
      </w:r>
      <w:r w:rsidR="000672A2">
        <w:rPr>
          <w:rFonts w:ascii="Arial" w:hAnsi="Arial" w:cs="Arial"/>
          <w:bCs/>
          <w:color w:val="000000" w:themeColor="text1"/>
          <w:sz w:val="20"/>
          <w:szCs w:val="20"/>
        </w:rPr>
        <w:t>b</w:t>
      </w:r>
      <w:r w:rsidRPr="00FF25D3">
        <w:rPr>
          <w:rFonts w:ascii="Arial" w:hAnsi="Arial" w:cs="Arial"/>
          <w:bCs/>
          <w:color w:val="000000" w:themeColor="text1"/>
          <w:sz w:val="20"/>
          <w:szCs w:val="20"/>
        </w:rPr>
        <w:t>. This amount is lower than SAD so it is immaterial.</w:t>
      </w:r>
    </w:p>
    <w:p w14:paraId="3FEB0AE4" w14:textId="287CC724" w:rsidR="002A51A8" w:rsidRPr="00FF25D3" w:rsidRDefault="002A51A8" w:rsidP="00FF25D3">
      <w:pPr>
        <w:ind w:left="720"/>
        <w:jc w:val="both"/>
        <w:rPr>
          <w:rFonts w:ascii="Arial" w:hAnsi="Arial" w:cs="Arial"/>
          <w:bCs/>
          <w:color w:val="000000" w:themeColor="text1"/>
          <w:sz w:val="20"/>
          <w:szCs w:val="20"/>
        </w:rPr>
      </w:pPr>
      <w:r w:rsidRPr="00FF25D3">
        <w:rPr>
          <w:rFonts w:ascii="Arial" w:hAnsi="Arial" w:cs="Arial"/>
          <w:bCs/>
          <w:color w:val="000000" w:themeColor="text1"/>
          <w:sz w:val="20"/>
          <w:szCs w:val="20"/>
        </w:rPr>
        <w:t xml:space="preserve">After estimating the impact of this non-deductible expenses </w:t>
      </w:r>
      <w:r w:rsidR="00FF25D3" w:rsidRPr="00FF25D3">
        <w:rPr>
          <w:rFonts w:ascii="Arial" w:hAnsi="Arial" w:cs="Arial"/>
          <w:bCs/>
          <w:color w:val="000000" w:themeColor="text1"/>
          <w:sz w:val="20"/>
          <w:szCs w:val="20"/>
        </w:rPr>
        <w:t>for VAT output of gift</w:t>
      </w:r>
      <w:r w:rsidRPr="00FF25D3">
        <w:rPr>
          <w:rFonts w:ascii="Arial" w:hAnsi="Arial" w:cs="Arial"/>
          <w:bCs/>
          <w:color w:val="000000" w:themeColor="text1"/>
          <w:sz w:val="20"/>
          <w:szCs w:val="20"/>
        </w:rPr>
        <w:t>, we informed VCB for them to review and make the final settlement for 2022 and inform</w:t>
      </w:r>
      <w:r w:rsidR="00FF25D3" w:rsidRPr="00FF25D3">
        <w:rPr>
          <w:rFonts w:ascii="Arial" w:hAnsi="Arial" w:cs="Arial"/>
          <w:bCs/>
          <w:color w:val="000000" w:themeColor="text1"/>
          <w:sz w:val="20"/>
          <w:szCs w:val="20"/>
        </w:rPr>
        <w:t>ed</w:t>
      </w:r>
      <w:r w:rsidRPr="00FF25D3">
        <w:rPr>
          <w:rFonts w:ascii="Arial" w:hAnsi="Arial" w:cs="Arial"/>
          <w:bCs/>
          <w:color w:val="000000" w:themeColor="text1"/>
          <w:sz w:val="20"/>
          <w:szCs w:val="20"/>
        </w:rPr>
        <w:t xml:space="preserve"> the head office department to guide the implementation for the whole system by 2023</w:t>
      </w:r>
    </w:p>
    <w:p w14:paraId="2E4CA315" w14:textId="25C64787" w:rsidR="00D67ACD" w:rsidRPr="00FB2BE0" w:rsidRDefault="00575770" w:rsidP="00087F39">
      <w:pPr>
        <w:ind w:left="720"/>
        <w:jc w:val="both"/>
        <w:rPr>
          <w:rFonts w:ascii="Arial" w:hAnsi="Arial" w:cs="Arial"/>
          <w:b/>
          <w:color w:val="000000" w:themeColor="text1"/>
          <w:sz w:val="20"/>
          <w:szCs w:val="20"/>
        </w:rPr>
      </w:pPr>
      <w:r>
        <w:rPr>
          <w:rFonts w:ascii="Arial" w:hAnsi="Arial" w:cs="Arial"/>
          <w:b/>
          <w:color w:val="000000" w:themeColor="text1"/>
          <w:sz w:val="20"/>
          <w:szCs w:val="20"/>
        </w:rPr>
        <w:t>VAT on</w:t>
      </w:r>
      <w:r w:rsidR="00D67ACD" w:rsidRPr="00FB2BE0">
        <w:rPr>
          <w:rFonts w:ascii="Arial" w:hAnsi="Arial" w:cs="Arial"/>
          <w:b/>
          <w:color w:val="000000" w:themeColor="text1"/>
          <w:sz w:val="20"/>
          <w:szCs w:val="20"/>
        </w:rPr>
        <w:t xml:space="preserve"> L/C fee</w:t>
      </w:r>
    </w:p>
    <w:p w14:paraId="4D19333F" w14:textId="709D7668" w:rsidR="00D67ACD" w:rsidRPr="00FB2BE0" w:rsidRDefault="00D67ACD" w:rsidP="00D67ACD">
      <w:pPr>
        <w:pStyle w:val="ListParagraph"/>
        <w:ind w:left="709"/>
        <w:jc w:val="both"/>
        <w:rPr>
          <w:rFonts w:ascii="Arial" w:hAnsi="Arial" w:cs="Arial"/>
          <w:color w:val="000000" w:themeColor="text1"/>
          <w:sz w:val="20"/>
          <w:szCs w:val="20"/>
        </w:rPr>
      </w:pPr>
      <w:r w:rsidRPr="00FB2BE0">
        <w:rPr>
          <w:rFonts w:ascii="Arial" w:hAnsi="Arial" w:cs="Arial"/>
          <w:color w:val="000000" w:themeColor="text1"/>
          <w:sz w:val="20"/>
          <w:szCs w:val="20"/>
        </w:rPr>
        <w:t xml:space="preserve">According to a recent official letter (1606/TCT-DNL dated 22 Apr 2020) of the General Department of Taxation (GDT), L/C services do not fall into the list of finance &amp; credit services </w:t>
      </w:r>
      <w:r w:rsidR="00D269AD">
        <w:rPr>
          <w:rFonts w:ascii="Arial" w:hAnsi="Arial" w:cs="Arial"/>
          <w:color w:val="000000" w:themeColor="text1"/>
          <w:sz w:val="20"/>
          <w:szCs w:val="20"/>
        </w:rPr>
        <w:t>that</w:t>
      </w:r>
      <w:r w:rsidRPr="00FB2BE0">
        <w:rPr>
          <w:rFonts w:ascii="Arial" w:hAnsi="Arial" w:cs="Arial"/>
          <w:color w:val="000000" w:themeColor="text1"/>
          <w:sz w:val="20"/>
          <w:szCs w:val="20"/>
        </w:rPr>
        <w:t xml:space="preserve"> are subject to VAT exemption but in fact</w:t>
      </w:r>
      <w:r w:rsidR="00D269AD">
        <w:rPr>
          <w:rFonts w:ascii="Arial" w:hAnsi="Arial" w:cs="Arial"/>
          <w:color w:val="000000" w:themeColor="text1"/>
          <w:sz w:val="20"/>
          <w:szCs w:val="20"/>
        </w:rPr>
        <w:t>,</w:t>
      </w:r>
      <w:r w:rsidRPr="00FB2BE0">
        <w:rPr>
          <w:rFonts w:ascii="Arial" w:hAnsi="Arial" w:cs="Arial"/>
          <w:color w:val="000000" w:themeColor="text1"/>
          <w:sz w:val="20"/>
          <w:szCs w:val="20"/>
        </w:rPr>
        <w:t xml:space="preserve"> L/C is the provision of payment services per the Law on Credit Institutions. This means the GDT holds the view that L/C services should be subject to VAT 10%.</w:t>
      </w:r>
    </w:p>
    <w:p w14:paraId="5ACFD0D3" w14:textId="77777777" w:rsidR="00D67ACD" w:rsidRPr="00FB2BE0" w:rsidRDefault="00D67ACD" w:rsidP="00D67ACD">
      <w:pPr>
        <w:pStyle w:val="ListParagraph"/>
        <w:ind w:left="709"/>
        <w:jc w:val="both"/>
        <w:rPr>
          <w:rFonts w:ascii="Arial" w:hAnsi="Arial" w:cs="Arial"/>
          <w:color w:val="000000" w:themeColor="text1"/>
          <w:sz w:val="20"/>
          <w:szCs w:val="20"/>
        </w:rPr>
      </w:pPr>
    </w:p>
    <w:p w14:paraId="69309AFA" w14:textId="023559FB" w:rsidR="000B07FA" w:rsidRDefault="00D67ACD" w:rsidP="00FB2BE0">
      <w:pPr>
        <w:pStyle w:val="ListParagraph"/>
        <w:ind w:left="709"/>
        <w:jc w:val="both"/>
        <w:rPr>
          <w:rFonts w:ascii="Arial" w:hAnsi="Arial" w:cs="Arial"/>
          <w:color w:val="000000" w:themeColor="text1"/>
          <w:sz w:val="20"/>
          <w:szCs w:val="20"/>
        </w:rPr>
      </w:pPr>
      <w:r w:rsidRPr="00FB2BE0">
        <w:rPr>
          <w:rFonts w:ascii="Arial" w:hAnsi="Arial" w:cs="Arial"/>
          <w:color w:val="000000" w:themeColor="text1"/>
          <w:sz w:val="20"/>
          <w:szCs w:val="20"/>
        </w:rPr>
        <w:t xml:space="preserve">Notwithstanding this, the SBV has raised an official letter to the MoF (2032/NHNN-TD dated 29/03/2021) explaining that L/C activities are mixed of payment services and credit extension services and requesting the MoF to remain the current VAT treatment on L/C activities (i.e. VAT exemption). Even that, </w:t>
      </w:r>
      <w:r w:rsidR="00D269AD">
        <w:rPr>
          <w:rFonts w:ascii="Arial" w:hAnsi="Arial" w:cs="Arial"/>
          <w:color w:val="000000" w:themeColor="text1"/>
          <w:sz w:val="20"/>
          <w:szCs w:val="20"/>
        </w:rPr>
        <w:t>from</w:t>
      </w:r>
      <w:r w:rsidRPr="00FB2BE0">
        <w:rPr>
          <w:rFonts w:ascii="Arial" w:hAnsi="Arial" w:cs="Arial"/>
          <w:color w:val="000000" w:themeColor="text1"/>
          <w:sz w:val="20"/>
          <w:szCs w:val="20"/>
        </w:rPr>
        <w:t xml:space="preserve"> </w:t>
      </w:r>
      <w:r w:rsidR="00D269AD">
        <w:rPr>
          <w:rFonts w:ascii="Arial" w:hAnsi="Arial" w:cs="Arial"/>
          <w:color w:val="000000" w:themeColor="text1"/>
          <w:sz w:val="20"/>
          <w:szCs w:val="20"/>
        </w:rPr>
        <w:t>a</w:t>
      </w:r>
      <w:r w:rsidRPr="00FB2BE0">
        <w:rPr>
          <w:rFonts w:ascii="Arial" w:hAnsi="Arial" w:cs="Arial"/>
          <w:color w:val="000000" w:themeColor="text1"/>
          <w:sz w:val="20"/>
          <w:szCs w:val="20"/>
        </w:rPr>
        <w:t xml:space="preserve"> tax perspective, technically in case any services are mixed of unseparated portions, the highest tax rate normally applies. </w:t>
      </w:r>
    </w:p>
    <w:p w14:paraId="57A5EB56" w14:textId="77777777" w:rsidR="000B07FA" w:rsidRDefault="000B07FA" w:rsidP="00FB2BE0">
      <w:pPr>
        <w:pStyle w:val="ListParagraph"/>
        <w:ind w:left="709"/>
        <w:jc w:val="both"/>
        <w:rPr>
          <w:rFonts w:ascii="Arial" w:hAnsi="Arial" w:cs="Arial"/>
          <w:color w:val="000000" w:themeColor="text1"/>
          <w:sz w:val="20"/>
          <w:szCs w:val="20"/>
        </w:rPr>
      </w:pPr>
    </w:p>
    <w:p w14:paraId="6FA2B874" w14:textId="152CDB67" w:rsidR="00064595" w:rsidRDefault="00D67ACD" w:rsidP="00064595">
      <w:pPr>
        <w:pStyle w:val="ListParagraph"/>
        <w:ind w:left="709"/>
        <w:jc w:val="both"/>
        <w:rPr>
          <w:rFonts w:ascii="Arial" w:hAnsi="Arial" w:cs="Arial"/>
          <w:color w:val="000000" w:themeColor="text1"/>
          <w:sz w:val="20"/>
          <w:szCs w:val="20"/>
        </w:rPr>
      </w:pPr>
      <w:r w:rsidRPr="00FB2BE0">
        <w:rPr>
          <w:rFonts w:ascii="Arial" w:hAnsi="Arial" w:cs="Arial"/>
          <w:color w:val="000000" w:themeColor="text1"/>
          <w:sz w:val="20"/>
          <w:szCs w:val="20"/>
        </w:rPr>
        <w:t xml:space="preserve">The audit team should inform the client </w:t>
      </w:r>
      <w:r w:rsidR="00D269AD">
        <w:rPr>
          <w:rFonts w:ascii="Arial" w:hAnsi="Arial" w:cs="Arial"/>
          <w:color w:val="000000" w:themeColor="text1"/>
          <w:sz w:val="20"/>
          <w:szCs w:val="20"/>
        </w:rPr>
        <w:t>of</w:t>
      </w:r>
      <w:r w:rsidRPr="00FB2BE0">
        <w:rPr>
          <w:rFonts w:ascii="Arial" w:hAnsi="Arial" w:cs="Arial"/>
          <w:color w:val="000000" w:themeColor="text1"/>
          <w:sz w:val="20"/>
          <w:szCs w:val="20"/>
        </w:rPr>
        <w:t xml:space="preserve"> this matter. If necessary, the Bank might consider submitting the petition letter to further clarify with the tax authority.</w:t>
      </w:r>
    </w:p>
    <w:p w14:paraId="74E9B44A" w14:textId="44B66BBA" w:rsidR="00D31116" w:rsidRDefault="00D31116" w:rsidP="00064595">
      <w:pPr>
        <w:pStyle w:val="ListParagraph"/>
        <w:ind w:left="709"/>
        <w:jc w:val="both"/>
        <w:rPr>
          <w:rFonts w:ascii="Arial" w:hAnsi="Arial" w:cs="Arial"/>
          <w:color w:val="000000" w:themeColor="text1"/>
          <w:sz w:val="20"/>
          <w:szCs w:val="20"/>
        </w:rPr>
      </w:pPr>
    </w:p>
    <w:p w14:paraId="7707634D" w14:textId="77777777" w:rsidR="00D31116" w:rsidRPr="00D31116" w:rsidRDefault="00D31116" w:rsidP="00D31116">
      <w:pPr>
        <w:ind w:left="720"/>
        <w:jc w:val="both"/>
        <w:rPr>
          <w:rFonts w:ascii="Arial" w:hAnsi="Arial" w:cs="Arial"/>
          <w:bCs/>
          <w:i/>
          <w:iCs/>
          <w:color w:val="000000" w:themeColor="text1"/>
          <w:sz w:val="20"/>
          <w:szCs w:val="20"/>
          <w:u w:val="single"/>
        </w:rPr>
      </w:pPr>
      <w:r w:rsidRPr="00D31116">
        <w:rPr>
          <w:rFonts w:ascii="Arial" w:hAnsi="Arial" w:cs="Arial"/>
          <w:bCs/>
          <w:i/>
          <w:iCs/>
          <w:color w:val="000000" w:themeColor="text1"/>
          <w:sz w:val="20"/>
          <w:szCs w:val="20"/>
          <w:u w:val="single"/>
        </w:rPr>
        <w:t>Audit response:</w:t>
      </w:r>
    </w:p>
    <w:p w14:paraId="603D347F" w14:textId="44D78656" w:rsidR="00D31116" w:rsidRPr="000672A2" w:rsidRDefault="00D31116" w:rsidP="00D31116">
      <w:pPr>
        <w:pStyle w:val="ListParagraph"/>
        <w:numPr>
          <w:ilvl w:val="0"/>
          <w:numId w:val="9"/>
        </w:numPr>
        <w:spacing w:before="60"/>
        <w:jc w:val="both"/>
        <w:rPr>
          <w:rFonts w:ascii="Arial" w:hAnsi="Arial" w:cs="Arial"/>
          <w:color w:val="000000"/>
          <w:sz w:val="20"/>
          <w:szCs w:val="20"/>
        </w:rPr>
      </w:pPr>
      <w:r w:rsidRPr="000672A2">
        <w:rPr>
          <w:rFonts w:ascii="Arial" w:hAnsi="Arial" w:cs="Arial"/>
          <w:color w:val="000000"/>
          <w:sz w:val="20"/>
          <w:szCs w:val="20"/>
        </w:rPr>
        <w:t>In the market, there is inconsistence in applying VAT for LC contract. Some banks apply VAT at 10% but some consider LC as credit services under VAT law, hence treat LC as VAT exempt services like VCB.</w:t>
      </w:r>
    </w:p>
    <w:p w14:paraId="2713DD48" w14:textId="1DA02576" w:rsidR="00D31116" w:rsidRPr="000672A2" w:rsidRDefault="00D31116" w:rsidP="00D31116">
      <w:pPr>
        <w:pStyle w:val="ListParagraph"/>
        <w:numPr>
          <w:ilvl w:val="0"/>
          <w:numId w:val="9"/>
        </w:numPr>
        <w:spacing w:before="60"/>
        <w:jc w:val="both"/>
        <w:rPr>
          <w:rFonts w:ascii="Arial" w:hAnsi="Arial" w:cs="Arial"/>
          <w:color w:val="000000"/>
          <w:sz w:val="20"/>
          <w:szCs w:val="20"/>
        </w:rPr>
      </w:pPr>
      <w:r w:rsidRPr="000672A2">
        <w:rPr>
          <w:rFonts w:ascii="Arial" w:hAnsi="Arial" w:cs="Arial"/>
          <w:color w:val="000000"/>
          <w:sz w:val="20"/>
          <w:szCs w:val="20"/>
        </w:rPr>
        <w:t>It is also negotiating area with pending responses from MOF/Tax authority for OL by VCB and the SBV on this matter. GDT &amp; MOF need to give clearer guidelines for the application of VAT to fees related to LC, in which it is necessary to clearly separate:</w:t>
      </w:r>
    </w:p>
    <w:p w14:paraId="401CD146" w14:textId="739A72B3" w:rsidR="00D31116" w:rsidRPr="000672A2" w:rsidRDefault="00D31116" w:rsidP="00D31116">
      <w:pPr>
        <w:pStyle w:val="ListParagraph"/>
        <w:numPr>
          <w:ilvl w:val="0"/>
          <w:numId w:val="20"/>
        </w:numPr>
        <w:spacing w:before="60"/>
        <w:ind w:left="2430"/>
        <w:jc w:val="both"/>
        <w:rPr>
          <w:rFonts w:ascii="Arial" w:hAnsi="Arial" w:cs="Arial"/>
          <w:color w:val="000000"/>
          <w:sz w:val="20"/>
          <w:szCs w:val="20"/>
        </w:rPr>
      </w:pPr>
      <w:r w:rsidRPr="000672A2">
        <w:rPr>
          <w:rFonts w:ascii="Arial" w:hAnsi="Arial" w:cs="Arial"/>
          <w:color w:val="000000"/>
          <w:sz w:val="20"/>
          <w:szCs w:val="20"/>
        </w:rPr>
        <w:t>any fees related to LC services in which the Bank acts as an issuer/confirmer which the Bank has an irrevocable commitment to pay the beneficiary, and</w:t>
      </w:r>
    </w:p>
    <w:p w14:paraId="2C953429" w14:textId="3B77C4BB" w:rsidR="00D31116" w:rsidRPr="000672A2" w:rsidRDefault="00D31116" w:rsidP="00D31116">
      <w:pPr>
        <w:pStyle w:val="ListParagraph"/>
        <w:numPr>
          <w:ilvl w:val="0"/>
          <w:numId w:val="20"/>
        </w:numPr>
        <w:spacing w:before="60"/>
        <w:ind w:left="2430"/>
        <w:jc w:val="both"/>
        <w:rPr>
          <w:rFonts w:ascii="Arial" w:hAnsi="Arial" w:cs="Arial"/>
          <w:color w:val="000000"/>
          <w:sz w:val="20"/>
          <w:szCs w:val="20"/>
        </w:rPr>
      </w:pPr>
      <w:r w:rsidRPr="000672A2">
        <w:rPr>
          <w:rFonts w:ascii="Arial" w:hAnsi="Arial" w:cs="Arial"/>
          <w:color w:val="000000"/>
          <w:sz w:val="20"/>
          <w:szCs w:val="20"/>
        </w:rPr>
        <w:t>any fees related to LC services in which the Bank only acts as an informer...no commitment/guarantee for payment...</w:t>
      </w:r>
    </w:p>
    <w:p w14:paraId="254F8754" w14:textId="4B8DBFBD" w:rsidR="00D31116" w:rsidRPr="000672A2" w:rsidRDefault="00D31116" w:rsidP="00D31116">
      <w:pPr>
        <w:pStyle w:val="ListParagraph"/>
        <w:numPr>
          <w:ilvl w:val="0"/>
          <w:numId w:val="9"/>
        </w:numPr>
        <w:jc w:val="both"/>
        <w:rPr>
          <w:rFonts w:ascii="Arial" w:hAnsi="Arial" w:cs="Arial"/>
          <w:color w:val="000000" w:themeColor="text1"/>
          <w:sz w:val="20"/>
          <w:szCs w:val="20"/>
        </w:rPr>
      </w:pPr>
      <w:r w:rsidRPr="000672A2">
        <w:rPr>
          <w:rFonts w:ascii="Arial" w:hAnsi="Arial" w:cs="Arial"/>
          <w:color w:val="000000"/>
          <w:sz w:val="20"/>
          <w:szCs w:val="20"/>
        </w:rPr>
        <w:t xml:space="preserve">In the view that the 2021 FS being audited by KPMG is correct and the restatement made by VCB to 2022 FSs based on the SAV's report is merely to comply with the Law on State Auditing rather than an action to correct significant deficiency in the Bank’s FS preparation, </w:t>
      </w:r>
      <w:r w:rsidRPr="000672A2">
        <w:rPr>
          <w:rFonts w:ascii="Arial" w:hAnsi="Arial" w:cs="Arial"/>
          <w:b/>
          <w:color w:val="000000"/>
          <w:sz w:val="20"/>
          <w:szCs w:val="20"/>
        </w:rPr>
        <w:t>EY team did not agree</w:t>
      </w:r>
      <w:r w:rsidRPr="000672A2">
        <w:rPr>
          <w:rFonts w:ascii="Arial" w:hAnsi="Arial" w:cs="Arial"/>
          <w:color w:val="000000"/>
          <w:sz w:val="20"/>
          <w:szCs w:val="20"/>
        </w:rPr>
        <w:t xml:space="preserve"> with the VCB’s </w:t>
      </w:r>
      <w:r w:rsidR="00A42BE9" w:rsidRPr="000672A2">
        <w:rPr>
          <w:rFonts w:ascii="Arial" w:hAnsi="Arial" w:cs="Arial"/>
          <w:color w:val="000000"/>
          <w:sz w:val="20"/>
          <w:szCs w:val="20"/>
        </w:rPr>
        <w:t>restatement</w:t>
      </w:r>
      <w:r w:rsidRPr="000672A2">
        <w:rPr>
          <w:rFonts w:ascii="Arial" w:hAnsi="Arial" w:cs="Arial"/>
          <w:color w:val="000000"/>
          <w:sz w:val="20"/>
          <w:szCs w:val="20"/>
        </w:rPr>
        <w:t xml:space="preserve"> and considered this to be an uncorrected SAD in OB of FSs 2022 with the amount of 83,764 VNDm (&lt;TE).</w:t>
      </w:r>
    </w:p>
    <w:p w14:paraId="49B1DAE4" w14:textId="744E2189" w:rsidR="00D31116" w:rsidRPr="000672A2" w:rsidRDefault="00A42BE9" w:rsidP="00A42BE9">
      <w:pPr>
        <w:pStyle w:val="ListParagraph"/>
        <w:numPr>
          <w:ilvl w:val="0"/>
          <w:numId w:val="9"/>
        </w:numPr>
        <w:jc w:val="both"/>
        <w:rPr>
          <w:rFonts w:ascii="Arial" w:hAnsi="Arial" w:cs="Arial"/>
          <w:color w:val="000000" w:themeColor="text1"/>
          <w:sz w:val="20"/>
          <w:szCs w:val="20"/>
        </w:rPr>
      </w:pPr>
      <w:r w:rsidRPr="000672A2">
        <w:rPr>
          <w:rFonts w:ascii="Arial" w:hAnsi="Arial" w:cs="Arial"/>
          <w:color w:val="000000"/>
          <w:sz w:val="20"/>
          <w:szCs w:val="20"/>
        </w:rPr>
        <w:t>In 2022, VCB has restate the OB in the 2022 FSs but they did not calculate and adjust similarly for the figures for 2022. W</w:t>
      </w:r>
      <w:r w:rsidR="00D31116" w:rsidRPr="000672A2">
        <w:rPr>
          <w:rFonts w:ascii="Arial" w:hAnsi="Arial" w:cs="Arial"/>
          <w:color w:val="000000"/>
          <w:sz w:val="20"/>
          <w:szCs w:val="20"/>
        </w:rPr>
        <w:t xml:space="preserve">e estimated the maximum impact of this VAT payable amount at 10% x total LC fee (1,133 VNDb) equal to 113 VNDb which is much less than TE (467 bVND). </w:t>
      </w:r>
    </w:p>
    <w:p w14:paraId="74697F33" w14:textId="6281436A" w:rsidR="00A42BE9" w:rsidRPr="00A42BE9" w:rsidRDefault="00A42BE9" w:rsidP="00A42BE9">
      <w:pPr>
        <w:ind w:left="1440"/>
        <w:jc w:val="both"/>
        <w:rPr>
          <w:rFonts w:ascii="Arial" w:hAnsi="Arial" w:cs="Arial"/>
          <w:color w:val="000000" w:themeColor="text1"/>
          <w:sz w:val="20"/>
          <w:szCs w:val="20"/>
        </w:rPr>
      </w:pPr>
      <w:r>
        <w:rPr>
          <w:rFonts w:ascii="Arial" w:hAnsi="Arial" w:cs="Arial"/>
          <w:color w:val="000000" w:themeColor="text1"/>
          <w:sz w:val="20"/>
          <w:szCs w:val="20"/>
        </w:rPr>
        <w:t>In conclusion, w</w:t>
      </w:r>
      <w:r w:rsidRPr="00A42BE9">
        <w:rPr>
          <w:rFonts w:ascii="Arial" w:hAnsi="Arial" w:cs="Arial"/>
          <w:color w:val="000000" w:themeColor="text1"/>
          <w:sz w:val="20"/>
          <w:szCs w:val="20"/>
        </w:rPr>
        <w:t xml:space="preserve">e agree with VCB that </w:t>
      </w:r>
      <w:r>
        <w:rPr>
          <w:rFonts w:ascii="Arial" w:hAnsi="Arial" w:cs="Arial"/>
          <w:color w:val="000000" w:themeColor="text1"/>
          <w:sz w:val="20"/>
          <w:szCs w:val="20"/>
        </w:rPr>
        <w:t>they</w:t>
      </w:r>
      <w:r w:rsidRPr="00A42BE9">
        <w:rPr>
          <w:rFonts w:ascii="Arial" w:hAnsi="Arial" w:cs="Arial"/>
          <w:color w:val="000000" w:themeColor="text1"/>
          <w:sz w:val="20"/>
          <w:szCs w:val="20"/>
        </w:rPr>
        <w:t xml:space="preserve"> will make adjustments when there are specific instructions on the application of vat rate for each type of fee for LC</w:t>
      </w:r>
    </w:p>
    <w:p w14:paraId="092A49A2" w14:textId="77777777" w:rsidR="00064595" w:rsidRDefault="00064595" w:rsidP="00064595">
      <w:pPr>
        <w:pStyle w:val="ListParagraph"/>
        <w:ind w:left="709"/>
        <w:jc w:val="both"/>
        <w:rPr>
          <w:rFonts w:ascii="Arial" w:hAnsi="Arial" w:cs="Arial"/>
          <w:color w:val="000000" w:themeColor="text1"/>
          <w:sz w:val="20"/>
          <w:szCs w:val="20"/>
        </w:rPr>
      </w:pPr>
    </w:p>
    <w:p w14:paraId="692DE0EB" w14:textId="77777777" w:rsidR="00FD5159" w:rsidRPr="004149C7" w:rsidRDefault="00064595" w:rsidP="00FD5159">
      <w:pPr>
        <w:pStyle w:val="ListParagraph"/>
        <w:ind w:left="709"/>
        <w:jc w:val="both"/>
        <w:rPr>
          <w:rFonts w:ascii="Arial" w:hAnsi="Arial" w:cs="Arial"/>
          <w:b/>
          <w:color w:val="000000" w:themeColor="text1"/>
          <w:sz w:val="20"/>
          <w:szCs w:val="20"/>
          <w:highlight w:val="yellow"/>
        </w:rPr>
      </w:pPr>
      <w:r w:rsidRPr="004149C7">
        <w:rPr>
          <w:rFonts w:ascii="Arial" w:hAnsi="Arial" w:cs="Arial"/>
          <w:b/>
          <w:color w:val="000000" w:themeColor="text1"/>
          <w:sz w:val="20"/>
          <w:szCs w:val="20"/>
          <w:highlight w:val="yellow"/>
        </w:rPr>
        <w:t>Potential non-creditable VAT input</w:t>
      </w:r>
    </w:p>
    <w:p w14:paraId="34DFCEFA" w14:textId="77777777" w:rsidR="00FD5159" w:rsidRPr="004149C7" w:rsidRDefault="00FD5159" w:rsidP="00FD5159">
      <w:pPr>
        <w:pStyle w:val="ListParagraph"/>
        <w:ind w:left="709"/>
        <w:jc w:val="both"/>
        <w:rPr>
          <w:rFonts w:ascii="Arial" w:hAnsi="Arial" w:cs="Arial"/>
          <w:b/>
          <w:color w:val="000000" w:themeColor="text1"/>
          <w:sz w:val="20"/>
          <w:szCs w:val="20"/>
          <w:highlight w:val="yellow"/>
        </w:rPr>
      </w:pPr>
    </w:p>
    <w:p w14:paraId="15254292" w14:textId="0EA33D3A" w:rsidR="000672A2" w:rsidRPr="00521CCD" w:rsidRDefault="00064595" w:rsidP="00521CCD">
      <w:pPr>
        <w:pStyle w:val="ListParagraph"/>
        <w:ind w:left="709"/>
        <w:jc w:val="both"/>
        <w:rPr>
          <w:rFonts w:ascii="Arial" w:eastAsia="Times New Roman" w:hAnsi="Arial" w:cs="Arial"/>
          <w:color w:val="000000"/>
          <w:sz w:val="20"/>
          <w:szCs w:val="20"/>
        </w:rPr>
      </w:pPr>
      <w:r w:rsidRPr="004149C7">
        <w:rPr>
          <w:rFonts w:ascii="Arial" w:eastAsia="Times New Roman" w:hAnsi="Arial" w:cs="Arial"/>
          <w:color w:val="000000"/>
          <w:sz w:val="20"/>
          <w:szCs w:val="20"/>
          <w:highlight w:val="yellow"/>
        </w:rPr>
        <w:t xml:space="preserve">According to Article 1 Decree 15/2022/ND-CP dated 1st February 2022, some type of goods and services from February 1, 2022 to the end of December 31, 2022 which are specified in this clause shall be eligible for 20% reduction in VAT rates. In case, the Company purchased and received the VAT invoice at </w:t>
      </w:r>
      <w:r w:rsidR="00580961" w:rsidRPr="004149C7">
        <w:rPr>
          <w:rFonts w:ascii="Arial" w:eastAsia="Times New Roman" w:hAnsi="Arial" w:cs="Arial"/>
          <w:color w:val="000000"/>
          <w:sz w:val="20"/>
          <w:szCs w:val="20"/>
          <w:highlight w:val="yellow"/>
        </w:rPr>
        <w:t xml:space="preserve">an </w:t>
      </w:r>
      <w:r w:rsidRPr="004149C7">
        <w:rPr>
          <w:rFonts w:ascii="Arial" w:eastAsia="Times New Roman" w:hAnsi="Arial" w:cs="Arial"/>
          <w:color w:val="000000"/>
          <w:sz w:val="20"/>
          <w:szCs w:val="20"/>
          <w:highlight w:val="yellow"/>
        </w:rPr>
        <w:t xml:space="preserve">unreduced rate (i.e., at </w:t>
      </w:r>
      <w:r w:rsidR="00580961" w:rsidRPr="004149C7">
        <w:rPr>
          <w:rFonts w:ascii="Arial" w:eastAsia="Times New Roman" w:hAnsi="Arial" w:cs="Arial"/>
          <w:color w:val="000000"/>
          <w:sz w:val="20"/>
          <w:szCs w:val="20"/>
          <w:highlight w:val="yellow"/>
        </w:rPr>
        <w:t xml:space="preserve">the </w:t>
      </w:r>
      <w:r w:rsidRPr="004149C7">
        <w:rPr>
          <w:rFonts w:ascii="Arial" w:eastAsia="Times New Roman" w:hAnsi="Arial" w:cs="Arial"/>
          <w:color w:val="000000"/>
          <w:sz w:val="20"/>
          <w:szCs w:val="20"/>
          <w:highlight w:val="yellow"/>
        </w:rPr>
        <w:t xml:space="preserve">rate of 10% VAT) for the goods and services which are qualified </w:t>
      </w:r>
      <w:r w:rsidR="00580961" w:rsidRPr="004149C7">
        <w:rPr>
          <w:rFonts w:ascii="Arial" w:eastAsia="Times New Roman" w:hAnsi="Arial" w:cs="Arial"/>
          <w:color w:val="000000"/>
          <w:sz w:val="20"/>
          <w:szCs w:val="20"/>
          <w:highlight w:val="yellow"/>
        </w:rPr>
        <w:t>for</w:t>
      </w:r>
      <w:r w:rsidRPr="004149C7">
        <w:rPr>
          <w:rFonts w:ascii="Arial" w:eastAsia="Times New Roman" w:hAnsi="Arial" w:cs="Arial"/>
          <w:color w:val="000000"/>
          <w:sz w:val="20"/>
          <w:szCs w:val="20"/>
          <w:highlight w:val="yellow"/>
        </w:rPr>
        <w:t xml:space="preserve"> VAT reduction, the Company shall not allow to fully deduct the VAT amount and need contact to the supplier for revising the VAT rate of such invoice in line Article 1 Decree 15/2022/ND-CP. The audit team should inform the client to identify any potential VAT risk.</w:t>
      </w:r>
    </w:p>
    <w:p w14:paraId="19FDEF35" w14:textId="77777777" w:rsidR="000672A2" w:rsidRPr="00D31116" w:rsidRDefault="000672A2" w:rsidP="000672A2">
      <w:pPr>
        <w:ind w:left="720"/>
        <w:jc w:val="both"/>
        <w:rPr>
          <w:rFonts w:ascii="Arial" w:hAnsi="Arial" w:cs="Arial"/>
          <w:bCs/>
          <w:i/>
          <w:iCs/>
          <w:color w:val="000000" w:themeColor="text1"/>
          <w:sz w:val="20"/>
          <w:szCs w:val="20"/>
          <w:u w:val="single"/>
        </w:rPr>
      </w:pPr>
      <w:r w:rsidRPr="00D31116">
        <w:rPr>
          <w:rFonts w:ascii="Arial" w:hAnsi="Arial" w:cs="Arial"/>
          <w:bCs/>
          <w:i/>
          <w:iCs/>
          <w:color w:val="000000" w:themeColor="text1"/>
          <w:sz w:val="20"/>
          <w:szCs w:val="20"/>
          <w:u w:val="single"/>
        </w:rPr>
        <w:t>Audit response:</w:t>
      </w:r>
    </w:p>
    <w:p w14:paraId="6CC2A337" w14:textId="77777777" w:rsidR="000672A2" w:rsidRPr="000672A2" w:rsidRDefault="000672A2" w:rsidP="000672A2">
      <w:pPr>
        <w:ind w:firstLine="709"/>
        <w:jc w:val="both"/>
        <w:rPr>
          <w:rFonts w:ascii="Arial" w:hAnsi="Arial" w:cs="Arial"/>
          <w:color w:val="000000" w:themeColor="text1"/>
          <w:sz w:val="20"/>
          <w:szCs w:val="20"/>
        </w:rPr>
      </w:pPr>
      <w:r w:rsidRPr="000672A2">
        <w:rPr>
          <w:rFonts w:ascii="Arial" w:hAnsi="Arial" w:cs="Arial"/>
          <w:color w:val="000000" w:themeColor="text1"/>
          <w:sz w:val="20"/>
          <w:szCs w:val="20"/>
        </w:rPr>
        <w:t>During the audit, we became aware of this issue and informed VCB</w:t>
      </w:r>
    </w:p>
    <w:p w14:paraId="2FEEE095" w14:textId="66A93AA2" w:rsidR="000672A2" w:rsidRDefault="000672A2" w:rsidP="00521CCD">
      <w:pPr>
        <w:ind w:left="709" w:firstLine="11"/>
        <w:jc w:val="both"/>
        <w:rPr>
          <w:rFonts w:ascii="Arial" w:hAnsi="Arial" w:cs="Arial"/>
          <w:color w:val="000000" w:themeColor="text1"/>
          <w:sz w:val="20"/>
          <w:szCs w:val="20"/>
        </w:rPr>
      </w:pPr>
      <w:r w:rsidRPr="000672A2">
        <w:rPr>
          <w:rFonts w:ascii="Arial" w:hAnsi="Arial" w:cs="Arial"/>
          <w:color w:val="000000" w:themeColor="text1"/>
          <w:sz w:val="20"/>
          <w:szCs w:val="20"/>
        </w:rPr>
        <w:t xml:space="preserve">VCB's response in 2022, when the </w:t>
      </w:r>
      <w:r w:rsidR="00521CCD">
        <w:rPr>
          <w:rFonts w:ascii="Arial" w:hAnsi="Arial" w:cs="Arial"/>
          <w:color w:val="000000" w:themeColor="text1"/>
          <w:sz w:val="20"/>
          <w:szCs w:val="20"/>
        </w:rPr>
        <w:t>D</w:t>
      </w:r>
      <w:r w:rsidRPr="000672A2">
        <w:rPr>
          <w:rFonts w:ascii="Arial" w:hAnsi="Arial" w:cs="Arial"/>
          <w:color w:val="000000" w:themeColor="text1"/>
          <w:sz w:val="20"/>
          <w:szCs w:val="20"/>
        </w:rPr>
        <w:t>ecree was issued, the head office made an official dispatch and sent it to the branches to guide the implementation of Decree 15/2022/ND-CP</w:t>
      </w:r>
      <w:r w:rsidR="00521CCD">
        <w:rPr>
          <w:rFonts w:ascii="Arial" w:hAnsi="Arial" w:cs="Arial"/>
          <w:color w:val="000000" w:themeColor="text1"/>
          <w:sz w:val="20"/>
          <w:szCs w:val="20"/>
        </w:rPr>
        <w:t xml:space="preserve">. </w:t>
      </w:r>
      <w:r w:rsidRPr="000672A2">
        <w:rPr>
          <w:rFonts w:ascii="Arial" w:hAnsi="Arial" w:cs="Arial"/>
          <w:color w:val="000000" w:themeColor="text1"/>
          <w:sz w:val="20"/>
          <w:szCs w:val="20"/>
        </w:rPr>
        <w:t xml:space="preserve">In addition, during the first period when the </w:t>
      </w:r>
      <w:r w:rsidR="00521CCD">
        <w:rPr>
          <w:rFonts w:ascii="Arial" w:hAnsi="Arial" w:cs="Arial"/>
          <w:color w:val="000000" w:themeColor="text1"/>
          <w:sz w:val="20"/>
          <w:szCs w:val="20"/>
        </w:rPr>
        <w:t>D</w:t>
      </w:r>
      <w:r w:rsidRPr="000672A2">
        <w:rPr>
          <w:rFonts w:ascii="Arial" w:hAnsi="Arial" w:cs="Arial"/>
          <w:color w:val="000000" w:themeColor="text1"/>
          <w:sz w:val="20"/>
          <w:szCs w:val="20"/>
        </w:rPr>
        <w:t xml:space="preserve">ecree came into effect, </w:t>
      </w:r>
      <w:r w:rsidR="00521CCD">
        <w:rPr>
          <w:rFonts w:ascii="Arial" w:hAnsi="Arial" w:cs="Arial"/>
          <w:color w:val="000000" w:themeColor="text1"/>
          <w:sz w:val="20"/>
          <w:szCs w:val="20"/>
        </w:rPr>
        <w:t>each branch</w:t>
      </w:r>
      <w:r w:rsidRPr="000672A2">
        <w:rPr>
          <w:rFonts w:ascii="Arial" w:hAnsi="Arial" w:cs="Arial"/>
          <w:color w:val="000000" w:themeColor="text1"/>
          <w:sz w:val="20"/>
          <w:szCs w:val="20"/>
        </w:rPr>
        <w:t xml:space="preserve"> reviewed these costs</w:t>
      </w:r>
      <w:r w:rsidR="00342D26">
        <w:rPr>
          <w:rFonts w:ascii="Arial" w:hAnsi="Arial" w:cs="Arial"/>
          <w:color w:val="000000" w:themeColor="text1"/>
          <w:sz w:val="20"/>
          <w:szCs w:val="20"/>
        </w:rPr>
        <w:t xml:space="preserve">, </w:t>
      </w:r>
      <w:r w:rsidR="00E56561">
        <w:rPr>
          <w:rFonts w:ascii="Arial" w:hAnsi="Arial" w:cs="Arial"/>
          <w:color w:val="000000" w:themeColor="text1"/>
          <w:sz w:val="20"/>
          <w:szCs w:val="20"/>
        </w:rPr>
        <w:t>f</w:t>
      </w:r>
      <w:r w:rsidR="00E56561" w:rsidRPr="00E56561">
        <w:rPr>
          <w:rFonts w:ascii="Arial" w:hAnsi="Arial" w:cs="Arial"/>
          <w:color w:val="000000" w:themeColor="text1"/>
          <w:sz w:val="20"/>
          <w:szCs w:val="20"/>
        </w:rPr>
        <w:t>or invoices with incorrect tax rates, VCB has excluded them when declaring VAT</w:t>
      </w:r>
      <w:r w:rsidRPr="000672A2">
        <w:rPr>
          <w:rFonts w:ascii="Arial" w:hAnsi="Arial" w:cs="Arial"/>
          <w:color w:val="000000" w:themeColor="text1"/>
          <w:sz w:val="20"/>
          <w:szCs w:val="20"/>
        </w:rPr>
        <w:t>.</w:t>
      </w:r>
    </w:p>
    <w:p w14:paraId="5F1D7665" w14:textId="3F54B6A0" w:rsidR="00C723C2" w:rsidRDefault="00C723C2" w:rsidP="000672A2">
      <w:pPr>
        <w:ind w:firstLine="709"/>
        <w:jc w:val="both"/>
        <w:rPr>
          <w:rFonts w:ascii="Arial" w:hAnsi="Arial" w:cs="Arial"/>
          <w:b/>
          <w:color w:val="000000" w:themeColor="text1"/>
          <w:sz w:val="20"/>
          <w:szCs w:val="20"/>
        </w:rPr>
      </w:pPr>
      <w:r>
        <w:rPr>
          <w:rFonts w:ascii="Arial" w:hAnsi="Arial" w:cs="Arial"/>
          <w:b/>
          <w:color w:val="000000" w:themeColor="text1"/>
          <w:sz w:val="20"/>
          <w:szCs w:val="20"/>
        </w:rPr>
        <w:lastRenderedPageBreak/>
        <w:t>Other notes</w:t>
      </w:r>
    </w:p>
    <w:p w14:paraId="0853E8FF" w14:textId="5245CDB8" w:rsidR="00C723C2" w:rsidRDefault="00C723C2" w:rsidP="00C723C2">
      <w:pPr>
        <w:ind w:left="720"/>
        <w:jc w:val="both"/>
        <w:rPr>
          <w:rFonts w:ascii="Arial" w:eastAsia="Times New Roman" w:hAnsi="Arial" w:cs="Arial"/>
          <w:color w:val="000000"/>
          <w:sz w:val="20"/>
          <w:szCs w:val="20"/>
        </w:rPr>
      </w:pPr>
      <w:r w:rsidRPr="00C723C2">
        <w:rPr>
          <w:rFonts w:ascii="Arial" w:eastAsia="Times New Roman" w:hAnsi="Arial" w:cs="Arial"/>
          <w:color w:val="000000"/>
          <w:sz w:val="20"/>
          <w:szCs w:val="20"/>
        </w:rPr>
        <w:t xml:space="preserve">Since the transactions of the </w:t>
      </w:r>
      <w:r w:rsidRPr="00F04C45">
        <w:rPr>
          <w:rFonts w:ascii="Arial" w:hAnsi="Arial" w:cs="Arial"/>
          <w:color w:val="000000" w:themeColor="text1"/>
          <w:sz w:val="20"/>
          <w:szCs w:val="20"/>
        </w:rPr>
        <w:t>commercial bank</w:t>
      </w:r>
      <w:r w:rsidRPr="00C723C2">
        <w:rPr>
          <w:rFonts w:ascii="Arial" w:eastAsia="Times New Roman" w:hAnsi="Arial" w:cs="Arial"/>
          <w:color w:val="000000"/>
          <w:sz w:val="20"/>
          <w:szCs w:val="20"/>
        </w:rPr>
        <w:t xml:space="preserve"> may be numerous, among which there might be potentially non-deductible expenses for not being properly supported by documents or not related to business of the </w:t>
      </w:r>
      <w:r w:rsidR="00177B74">
        <w:rPr>
          <w:rFonts w:ascii="Arial" w:eastAsia="Times New Roman" w:hAnsi="Arial" w:cs="Arial"/>
          <w:color w:val="000000"/>
          <w:sz w:val="20"/>
          <w:szCs w:val="20"/>
        </w:rPr>
        <w:t>Bank</w:t>
      </w:r>
      <w:r w:rsidRPr="00C723C2">
        <w:rPr>
          <w:rFonts w:ascii="Arial" w:eastAsia="Times New Roman" w:hAnsi="Arial" w:cs="Arial"/>
          <w:color w:val="000000"/>
          <w:sz w:val="20"/>
          <w:szCs w:val="20"/>
        </w:rPr>
        <w:t>, exhaustive checking should be performed to identify potential items. However, as confirmed by the audit team, sample checking is performed based on materiality threshold and hence no further non-deductible expenses are identified. Kindly please consider broadening the checking scope as well as carefully scanning the General ledger expenses.</w:t>
      </w:r>
    </w:p>
    <w:p w14:paraId="2AA2835A" w14:textId="7EEE52FB" w:rsidR="00351A4B" w:rsidRDefault="00351A4B" w:rsidP="00C723C2">
      <w:pPr>
        <w:ind w:left="720"/>
        <w:jc w:val="both"/>
        <w:rPr>
          <w:rFonts w:ascii="Arial" w:hAnsi="Arial" w:cs="Arial"/>
          <w:sz w:val="20"/>
          <w:szCs w:val="20"/>
        </w:rPr>
      </w:pPr>
      <w:r>
        <w:rPr>
          <w:rFonts w:ascii="Arial" w:hAnsi="Arial" w:cs="Arial"/>
          <w:sz w:val="20"/>
          <w:szCs w:val="20"/>
        </w:rPr>
        <w:t xml:space="preserve">Of </w:t>
      </w:r>
      <w:r w:rsidR="00F833ED">
        <w:rPr>
          <w:rFonts w:ascii="Arial" w:hAnsi="Arial" w:cs="Arial"/>
          <w:sz w:val="20"/>
          <w:szCs w:val="20"/>
        </w:rPr>
        <w:t>note</w:t>
      </w:r>
      <w:r>
        <w:rPr>
          <w:rFonts w:ascii="Arial" w:hAnsi="Arial" w:cs="Arial"/>
          <w:sz w:val="20"/>
          <w:szCs w:val="20"/>
        </w:rPr>
        <w:t xml:space="preserve">, the tax authorities are now increasingly paying more attention to </w:t>
      </w:r>
      <w:r w:rsidR="00102F83">
        <w:rPr>
          <w:rFonts w:ascii="Arial" w:hAnsi="Arial" w:cs="Arial"/>
          <w:sz w:val="20"/>
          <w:szCs w:val="20"/>
        </w:rPr>
        <w:t>reviewing</w:t>
      </w:r>
      <w:r>
        <w:rPr>
          <w:rFonts w:ascii="Arial" w:hAnsi="Arial" w:cs="Arial"/>
          <w:sz w:val="20"/>
          <w:szCs w:val="20"/>
        </w:rPr>
        <w:t xml:space="preserve"> the method of making </w:t>
      </w:r>
      <w:r w:rsidR="00F833ED">
        <w:rPr>
          <w:rFonts w:ascii="Arial" w:hAnsi="Arial" w:cs="Arial"/>
          <w:sz w:val="20"/>
          <w:szCs w:val="20"/>
        </w:rPr>
        <w:t>provisions</w:t>
      </w:r>
      <w:r>
        <w:rPr>
          <w:rFonts w:ascii="Arial" w:hAnsi="Arial" w:cs="Arial"/>
          <w:sz w:val="20"/>
          <w:szCs w:val="20"/>
        </w:rPr>
        <w:t xml:space="preserve"> for credit loss at the Bank. </w:t>
      </w:r>
      <w:r w:rsidR="004D1C24">
        <w:rPr>
          <w:rFonts w:ascii="Arial" w:hAnsi="Arial" w:cs="Arial"/>
          <w:sz w:val="20"/>
          <w:szCs w:val="20"/>
        </w:rPr>
        <w:t>Es</w:t>
      </w:r>
      <w:r w:rsidR="00321958">
        <w:rPr>
          <w:rFonts w:ascii="Arial" w:hAnsi="Arial" w:cs="Arial"/>
          <w:sz w:val="20"/>
          <w:szCs w:val="20"/>
        </w:rPr>
        <w:t>pecially</w:t>
      </w:r>
      <w:r w:rsidR="00102F83">
        <w:rPr>
          <w:rFonts w:ascii="Arial" w:hAnsi="Arial" w:cs="Arial"/>
          <w:sz w:val="20"/>
          <w:szCs w:val="20"/>
        </w:rPr>
        <w:t xml:space="preserve">, they are focused on </w:t>
      </w:r>
      <w:r w:rsidR="000E2CBE">
        <w:rPr>
          <w:rFonts w:ascii="Arial" w:hAnsi="Arial" w:cs="Arial"/>
          <w:sz w:val="20"/>
          <w:szCs w:val="20"/>
        </w:rPr>
        <w:t xml:space="preserve">examine some aspects such as </w:t>
      </w:r>
      <w:r w:rsidR="00656364">
        <w:rPr>
          <w:rFonts w:ascii="Arial" w:hAnsi="Arial" w:cs="Arial"/>
          <w:sz w:val="20"/>
          <w:szCs w:val="20"/>
        </w:rPr>
        <w:t>the basic to determine the loan groups</w:t>
      </w:r>
      <w:r w:rsidR="000E2CBE">
        <w:rPr>
          <w:rFonts w:ascii="Arial" w:hAnsi="Arial" w:cs="Arial"/>
          <w:sz w:val="20"/>
          <w:szCs w:val="20"/>
        </w:rPr>
        <w:t>;</w:t>
      </w:r>
      <w:r w:rsidR="00656364">
        <w:rPr>
          <w:rFonts w:ascii="Arial" w:hAnsi="Arial" w:cs="Arial"/>
          <w:sz w:val="20"/>
          <w:szCs w:val="20"/>
        </w:rPr>
        <w:t xml:space="preserve"> the </w:t>
      </w:r>
      <w:r w:rsidR="000A726E">
        <w:rPr>
          <w:rFonts w:ascii="Arial" w:hAnsi="Arial" w:cs="Arial"/>
          <w:sz w:val="20"/>
          <w:szCs w:val="20"/>
        </w:rPr>
        <w:t xml:space="preserve">reliabilities of </w:t>
      </w:r>
      <w:r w:rsidR="00F833ED">
        <w:rPr>
          <w:rFonts w:ascii="Arial" w:hAnsi="Arial" w:cs="Arial"/>
          <w:sz w:val="20"/>
          <w:szCs w:val="20"/>
        </w:rPr>
        <w:t>the valuation of the collateral</w:t>
      </w:r>
      <w:r w:rsidR="007D4576">
        <w:rPr>
          <w:rFonts w:ascii="Arial" w:hAnsi="Arial" w:cs="Arial"/>
          <w:sz w:val="20"/>
          <w:szCs w:val="20"/>
        </w:rPr>
        <w:t xml:space="preserve">; or the supporting documents when calculating the specific provisions; etc. The audit team should inform the client </w:t>
      </w:r>
      <w:r w:rsidR="006A2ADF">
        <w:rPr>
          <w:rFonts w:ascii="Arial" w:hAnsi="Arial" w:cs="Arial"/>
          <w:sz w:val="20"/>
          <w:szCs w:val="20"/>
        </w:rPr>
        <w:t xml:space="preserve">to carefully review and identify any potential </w:t>
      </w:r>
      <w:r w:rsidR="000B3E63">
        <w:rPr>
          <w:rFonts w:ascii="Arial" w:hAnsi="Arial" w:cs="Arial"/>
          <w:sz w:val="20"/>
          <w:szCs w:val="20"/>
        </w:rPr>
        <w:t>non-deductible expenses related such items.</w:t>
      </w:r>
    </w:p>
    <w:p w14:paraId="3D280BCC" w14:textId="77777777" w:rsidR="00521CCD" w:rsidRPr="00D31116" w:rsidRDefault="00521CCD" w:rsidP="00521CCD">
      <w:pPr>
        <w:ind w:left="720"/>
        <w:jc w:val="both"/>
        <w:rPr>
          <w:rFonts w:ascii="Arial" w:hAnsi="Arial" w:cs="Arial"/>
          <w:bCs/>
          <w:i/>
          <w:iCs/>
          <w:color w:val="000000" w:themeColor="text1"/>
          <w:sz w:val="20"/>
          <w:szCs w:val="20"/>
          <w:u w:val="single"/>
        </w:rPr>
      </w:pPr>
      <w:r w:rsidRPr="00D31116">
        <w:rPr>
          <w:rFonts w:ascii="Arial" w:hAnsi="Arial" w:cs="Arial"/>
          <w:bCs/>
          <w:i/>
          <w:iCs/>
          <w:color w:val="000000" w:themeColor="text1"/>
          <w:sz w:val="20"/>
          <w:szCs w:val="20"/>
          <w:u w:val="single"/>
        </w:rPr>
        <w:t>Audit response:</w:t>
      </w:r>
    </w:p>
    <w:p w14:paraId="17F262AB" w14:textId="4D3462CF" w:rsidR="00FF25D3" w:rsidRPr="00521CCD" w:rsidRDefault="00521CCD" w:rsidP="00521CCD">
      <w:pPr>
        <w:ind w:left="720"/>
        <w:jc w:val="both"/>
        <w:rPr>
          <w:rFonts w:ascii="Arial" w:hAnsi="Arial" w:cs="Arial"/>
          <w:sz w:val="20"/>
          <w:szCs w:val="20"/>
        </w:rPr>
      </w:pPr>
      <w:r w:rsidRPr="00521CCD">
        <w:rPr>
          <w:rFonts w:ascii="Arial" w:hAnsi="Arial" w:cs="Arial"/>
          <w:sz w:val="20"/>
          <w:szCs w:val="20"/>
        </w:rPr>
        <w:t>Sample selection was based not only on the materiality threshold but also on risk. We carefully reviewed the nature of transactions in each expense account via description, including the transactions with a higher risk of being non-deductible expenses. In addition, we considered last year finding of State audit and found that VCB was strictly followed for year end 2022</w:t>
      </w:r>
      <w:r>
        <w:rPr>
          <w:rFonts w:ascii="Arial" w:hAnsi="Arial" w:cs="Arial"/>
          <w:sz w:val="20"/>
          <w:szCs w:val="20"/>
        </w:rPr>
        <w:t>. Therefore,</w:t>
      </w:r>
      <w:r w:rsidRPr="00521CCD">
        <w:rPr>
          <w:rFonts w:ascii="Arial" w:hAnsi="Arial" w:cs="Arial"/>
          <w:sz w:val="20"/>
          <w:szCs w:val="20"/>
        </w:rPr>
        <w:t xml:space="preserve"> </w:t>
      </w:r>
      <w:r>
        <w:rPr>
          <w:rFonts w:ascii="Arial" w:hAnsi="Arial" w:cs="Arial"/>
          <w:sz w:val="20"/>
          <w:szCs w:val="20"/>
        </w:rPr>
        <w:t xml:space="preserve">we </w:t>
      </w:r>
      <w:r w:rsidRPr="00521CCD">
        <w:rPr>
          <w:rFonts w:ascii="Arial" w:hAnsi="Arial" w:cs="Arial"/>
          <w:sz w:val="20"/>
          <w:szCs w:val="20"/>
        </w:rPr>
        <w:t>appreciate that</w:t>
      </w:r>
      <w:r>
        <w:rPr>
          <w:rFonts w:ascii="Arial" w:hAnsi="Arial" w:cs="Arial"/>
          <w:sz w:val="20"/>
          <w:szCs w:val="20"/>
        </w:rPr>
        <w:t xml:space="preserve"> </w:t>
      </w:r>
      <w:r w:rsidRPr="00521CCD">
        <w:rPr>
          <w:rFonts w:ascii="Arial" w:hAnsi="Arial" w:cs="Arial"/>
          <w:sz w:val="20"/>
          <w:szCs w:val="20"/>
        </w:rPr>
        <w:t>no further testing in GA expenses account required.</w:t>
      </w:r>
    </w:p>
    <w:p w14:paraId="0804C17F" w14:textId="182BF8C4" w:rsidR="00FF25D3" w:rsidRDefault="00521CCD" w:rsidP="00C723C2">
      <w:pPr>
        <w:ind w:left="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VCB </w:t>
      </w:r>
      <w:r w:rsidRPr="00521CCD">
        <w:rPr>
          <w:rFonts w:ascii="Arial" w:eastAsia="Times New Roman" w:hAnsi="Arial" w:cs="Arial"/>
          <w:color w:val="000000"/>
          <w:sz w:val="20"/>
          <w:szCs w:val="20"/>
        </w:rPr>
        <w:t>is aware of this problem and they have reviewed the backup customers not according to the decision in Circular 11</w:t>
      </w:r>
      <w:r>
        <w:rPr>
          <w:rFonts w:ascii="Arial" w:eastAsia="Times New Roman" w:hAnsi="Arial" w:cs="Arial"/>
          <w:color w:val="000000"/>
          <w:sz w:val="20"/>
          <w:szCs w:val="20"/>
        </w:rPr>
        <w:t>/2021/TT-NHNN</w:t>
      </w:r>
      <w:r w:rsidRPr="00521CCD">
        <w:rPr>
          <w:rFonts w:ascii="Arial" w:eastAsia="Times New Roman" w:hAnsi="Arial" w:cs="Arial"/>
          <w:color w:val="000000"/>
          <w:sz w:val="20"/>
          <w:szCs w:val="20"/>
        </w:rPr>
        <w:t xml:space="preserve"> and excluded when calculating tax.</w:t>
      </w:r>
    </w:p>
    <w:p w14:paraId="7978DF0D" w14:textId="0E456EBD" w:rsidR="00FB2BE0" w:rsidRPr="004749BF" w:rsidRDefault="00FB2BE0" w:rsidP="004749BF">
      <w:pPr>
        <w:ind w:left="720"/>
        <w:jc w:val="both"/>
        <w:rPr>
          <w:rFonts w:ascii="Arial" w:hAnsi="Arial" w:cs="Arial"/>
          <w:color w:val="000000" w:themeColor="text1"/>
          <w:sz w:val="20"/>
          <w:szCs w:val="20"/>
        </w:rPr>
      </w:pPr>
      <w:r w:rsidRPr="004749BF">
        <w:rPr>
          <w:rFonts w:ascii="Arial" w:hAnsi="Arial" w:cs="Arial"/>
          <w:b/>
          <w:color w:val="000000" w:themeColor="text1"/>
          <w:sz w:val="20"/>
          <w:szCs w:val="20"/>
        </w:rPr>
        <w:t xml:space="preserve">Transfer pricing issues: </w:t>
      </w:r>
    </w:p>
    <w:p w14:paraId="6AA9B5D7" w14:textId="77777777" w:rsidR="003170ED" w:rsidRPr="008246B2" w:rsidRDefault="003170ED" w:rsidP="003170ED">
      <w:pPr>
        <w:pStyle w:val="ListParagraph"/>
        <w:spacing w:after="0" w:line="240" w:lineRule="auto"/>
        <w:jc w:val="both"/>
        <w:rPr>
          <w:rFonts w:ascii="Arial" w:hAnsi="Arial" w:cs="Arial"/>
          <w:color w:val="000000" w:themeColor="text1"/>
          <w:sz w:val="20"/>
          <w:szCs w:val="20"/>
        </w:rPr>
      </w:pPr>
      <w:r w:rsidRPr="008246B2">
        <w:rPr>
          <w:rFonts w:ascii="Arial" w:hAnsi="Arial" w:cs="Arial"/>
          <w:color w:val="000000" w:themeColor="text1"/>
          <w:sz w:val="20"/>
          <w:szCs w:val="20"/>
        </w:rPr>
        <w:t>Vietnam’s transfer pricing rules require enterprises to disclose transactions with related parties on annual basis, by submitting Transfer Pricing Disclosure Form (“TPF”) together with annual CIT returns. Pursuant to guidance on Decree 132/2020/ND-CP, in case the company only engaged in a related-party transaction with an entity who must pay corporate income tax within the territory of Vietnam, is subject to the same corporate income tax rate as applied to the Company, and where neither of them is not offered the corporate income tax incentive within a specified tax period, the company shall be exempted to disclose Section III and IV in Annex 01 but shall be required to provide bases for such exemption in Section I, II included in Annex 01.</w:t>
      </w:r>
    </w:p>
    <w:p w14:paraId="0BB1F437" w14:textId="77777777" w:rsidR="003170ED" w:rsidRDefault="003170ED" w:rsidP="003170ED">
      <w:pPr>
        <w:pStyle w:val="ListParagraph"/>
        <w:spacing w:after="0" w:line="240" w:lineRule="auto"/>
        <w:jc w:val="both"/>
        <w:rPr>
          <w:rFonts w:ascii="Arial" w:hAnsi="Arial" w:cs="Arial"/>
          <w:color w:val="000000" w:themeColor="text1"/>
          <w:sz w:val="20"/>
          <w:szCs w:val="20"/>
        </w:rPr>
      </w:pPr>
    </w:p>
    <w:p w14:paraId="44F2A62A" w14:textId="0CEBA111" w:rsidR="003170ED" w:rsidRPr="008246B2" w:rsidRDefault="003170ED" w:rsidP="003170ED">
      <w:pPr>
        <w:pStyle w:val="ListParagraph"/>
        <w:spacing w:after="0" w:line="240" w:lineRule="auto"/>
        <w:jc w:val="both"/>
        <w:rPr>
          <w:rFonts w:ascii="Arial" w:hAnsi="Arial" w:cs="Arial"/>
          <w:color w:val="000000" w:themeColor="text1"/>
          <w:sz w:val="20"/>
          <w:szCs w:val="20"/>
        </w:rPr>
      </w:pPr>
      <w:r w:rsidRPr="008246B2">
        <w:rPr>
          <w:rFonts w:ascii="Arial" w:hAnsi="Arial" w:cs="Arial"/>
          <w:color w:val="000000" w:themeColor="text1"/>
          <w:sz w:val="20"/>
          <w:szCs w:val="20"/>
        </w:rPr>
        <w:t xml:space="preserve">The </w:t>
      </w:r>
      <w:r w:rsidR="0042398A">
        <w:rPr>
          <w:rFonts w:ascii="Arial" w:hAnsi="Arial" w:cs="Arial"/>
          <w:color w:val="000000" w:themeColor="text1"/>
          <w:sz w:val="20"/>
          <w:szCs w:val="20"/>
        </w:rPr>
        <w:t>Bank</w:t>
      </w:r>
      <w:r w:rsidRPr="008246B2">
        <w:rPr>
          <w:rFonts w:ascii="Arial" w:hAnsi="Arial" w:cs="Arial"/>
          <w:color w:val="000000" w:themeColor="text1"/>
          <w:sz w:val="20"/>
          <w:szCs w:val="20"/>
        </w:rPr>
        <w:t xml:space="preserve"> should carefully review the requirements as well as the conditions for exemption above to comply with TP regulations</w:t>
      </w:r>
    </w:p>
    <w:p w14:paraId="2BDD7E56" w14:textId="77777777" w:rsidR="003170ED" w:rsidRDefault="003170ED" w:rsidP="003170ED">
      <w:pPr>
        <w:pStyle w:val="ListParagraph"/>
        <w:spacing w:after="0" w:line="240" w:lineRule="auto"/>
        <w:jc w:val="both"/>
        <w:rPr>
          <w:rFonts w:ascii="Arial" w:hAnsi="Arial" w:cs="Arial"/>
          <w:color w:val="000000" w:themeColor="text1"/>
          <w:sz w:val="20"/>
          <w:szCs w:val="20"/>
        </w:rPr>
      </w:pPr>
    </w:p>
    <w:p w14:paraId="6B44845A" w14:textId="053B3877" w:rsidR="003170ED" w:rsidRDefault="003170ED" w:rsidP="003170ED">
      <w:pPr>
        <w:pStyle w:val="ListParagraph"/>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In addition, we understand that the </w:t>
      </w:r>
      <w:r w:rsidR="0042398A">
        <w:rPr>
          <w:rFonts w:ascii="Arial" w:hAnsi="Arial" w:cs="Arial"/>
          <w:color w:val="000000" w:themeColor="text1"/>
          <w:sz w:val="20"/>
          <w:szCs w:val="20"/>
        </w:rPr>
        <w:t>Bank</w:t>
      </w:r>
      <w:r>
        <w:rPr>
          <w:rFonts w:ascii="Arial" w:hAnsi="Arial" w:cs="Arial"/>
          <w:color w:val="000000" w:themeColor="text1"/>
          <w:sz w:val="20"/>
          <w:szCs w:val="20"/>
        </w:rPr>
        <w:t xml:space="preserve"> incurred some transaction with other related parties (such as purchasing goods, receiving the support amount, etc.)</w:t>
      </w:r>
      <w:r w:rsidRPr="005B71D1">
        <w:rPr>
          <w:rFonts w:ascii="Arial" w:hAnsi="Arial" w:cs="Arial"/>
          <w:color w:val="000000" w:themeColor="text1"/>
          <w:sz w:val="20"/>
          <w:szCs w:val="20"/>
        </w:rPr>
        <w:t xml:space="preserve"> </w:t>
      </w:r>
      <w:r>
        <w:rPr>
          <w:rFonts w:ascii="Arial" w:hAnsi="Arial" w:cs="Arial"/>
          <w:color w:val="000000" w:themeColor="text1"/>
          <w:sz w:val="20"/>
          <w:szCs w:val="20"/>
        </w:rPr>
        <w:t>Based on</w:t>
      </w:r>
      <w:r w:rsidRPr="00CE14FE">
        <w:rPr>
          <w:rFonts w:ascii="Arial" w:hAnsi="Arial" w:cs="Arial"/>
          <w:color w:val="000000" w:themeColor="text1"/>
          <w:sz w:val="20"/>
          <w:szCs w:val="20"/>
        </w:rPr>
        <w:t xml:space="preserve"> our practice observation, Tax authority has </w:t>
      </w:r>
      <w:r>
        <w:rPr>
          <w:rFonts w:ascii="Arial" w:hAnsi="Arial" w:cs="Arial"/>
          <w:color w:val="000000" w:themeColor="text1"/>
          <w:sz w:val="20"/>
          <w:szCs w:val="20"/>
        </w:rPr>
        <w:t xml:space="preserve">strictly </w:t>
      </w:r>
      <w:r w:rsidRPr="00CE14FE">
        <w:rPr>
          <w:rFonts w:ascii="Arial" w:hAnsi="Arial" w:cs="Arial"/>
          <w:color w:val="000000" w:themeColor="text1"/>
          <w:sz w:val="20"/>
          <w:szCs w:val="20"/>
        </w:rPr>
        <w:t xml:space="preserve">challenged and </w:t>
      </w:r>
      <w:r>
        <w:rPr>
          <w:rFonts w:ascii="Arial" w:hAnsi="Arial" w:cs="Arial"/>
          <w:color w:val="000000" w:themeColor="text1"/>
          <w:sz w:val="20"/>
          <w:szCs w:val="20"/>
        </w:rPr>
        <w:t>pay attention</w:t>
      </w:r>
      <w:r w:rsidRPr="00CE14FE">
        <w:rPr>
          <w:rFonts w:ascii="Arial" w:hAnsi="Arial" w:cs="Arial"/>
          <w:color w:val="000000" w:themeColor="text1"/>
          <w:sz w:val="20"/>
          <w:szCs w:val="20"/>
        </w:rPr>
        <w:t xml:space="preserve"> </w:t>
      </w:r>
      <w:r>
        <w:rPr>
          <w:rFonts w:ascii="Arial" w:hAnsi="Arial" w:cs="Arial"/>
          <w:color w:val="000000" w:themeColor="text1"/>
          <w:sz w:val="20"/>
          <w:szCs w:val="20"/>
        </w:rPr>
        <w:t>to</w:t>
      </w:r>
      <w:r w:rsidRPr="00CE14FE">
        <w:rPr>
          <w:rFonts w:ascii="Arial" w:hAnsi="Arial" w:cs="Arial"/>
          <w:color w:val="000000" w:themeColor="text1"/>
          <w:sz w:val="20"/>
          <w:szCs w:val="20"/>
        </w:rPr>
        <w:t xml:space="preserve"> intercompany transactions</w:t>
      </w:r>
      <w:r>
        <w:rPr>
          <w:rFonts w:ascii="Arial" w:hAnsi="Arial" w:cs="Arial"/>
          <w:color w:val="000000" w:themeColor="text1"/>
          <w:sz w:val="20"/>
          <w:szCs w:val="20"/>
        </w:rPr>
        <w:t xml:space="preserve">. Therefore, Audit team should inform the </w:t>
      </w:r>
      <w:r w:rsidR="00177B74">
        <w:rPr>
          <w:rFonts w:ascii="Arial" w:hAnsi="Arial" w:cs="Arial"/>
          <w:color w:val="000000" w:themeColor="text1"/>
          <w:sz w:val="20"/>
          <w:szCs w:val="20"/>
        </w:rPr>
        <w:t>Bank</w:t>
      </w:r>
      <w:r>
        <w:rPr>
          <w:rFonts w:ascii="Arial" w:hAnsi="Arial" w:cs="Arial"/>
          <w:color w:val="000000" w:themeColor="text1"/>
          <w:sz w:val="20"/>
          <w:szCs w:val="20"/>
        </w:rPr>
        <w:t xml:space="preserve"> to well prepare sufficient supporting documents and proper explanation to prove and support its position (if requested).</w:t>
      </w:r>
    </w:p>
    <w:p w14:paraId="4BF1D804" w14:textId="17F8E06E" w:rsidR="00E56561" w:rsidRDefault="00E56561" w:rsidP="003170ED">
      <w:pPr>
        <w:pStyle w:val="ListParagraph"/>
        <w:spacing w:after="0" w:line="240" w:lineRule="auto"/>
        <w:jc w:val="both"/>
        <w:rPr>
          <w:rFonts w:ascii="Arial" w:hAnsi="Arial" w:cs="Arial"/>
          <w:color w:val="000000" w:themeColor="text1"/>
          <w:sz w:val="20"/>
          <w:szCs w:val="20"/>
        </w:rPr>
      </w:pPr>
    </w:p>
    <w:p w14:paraId="51A9D7E0" w14:textId="77777777" w:rsidR="00E56561" w:rsidRPr="00D31116" w:rsidRDefault="00E56561" w:rsidP="00E56561">
      <w:pPr>
        <w:ind w:left="720"/>
        <w:jc w:val="both"/>
        <w:rPr>
          <w:rFonts w:ascii="Arial" w:hAnsi="Arial" w:cs="Arial"/>
          <w:bCs/>
          <w:i/>
          <w:iCs/>
          <w:color w:val="000000" w:themeColor="text1"/>
          <w:sz w:val="20"/>
          <w:szCs w:val="20"/>
          <w:u w:val="single"/>
        </w:rPr>
      </w:pPr>
      <w:r w:rsidRPr="00D31116">
        <w:rPr>
          <w:rFonts w:ascii="Arial" w:hAnsi="Arial" w:cs="Arial"/>
          <w:bCs/>
          <w:i/>
          <w:iCs/>
          <w:color w:val="000000" w:themeColor="text1"/>
          <w:sz w:val="20"/>
          <w:szCs w:val="20"/>
          <w:u w:val="single"/>
        </w:rPr>
        <w:t>Audit response:</w:t>
      </w:r>
    </w:p>
    <w:p w14:paraId="41C6A0AC" w14:textId="16725756" w:rsidR="00E56561" w:rsidRDefault="0000039E" w:rsidP="00E56561">
      <w:pPr>
        <w:pStyle w:val="ListParagraph"/>
        <w:spacing w:after="0" w:line="240" w:lineRule="auto"/>
        <w:jc w:val="both"/>
        <w:rPr>
          <w:rFonts w:ascii="Arial" w:hAnsi="Arial" w:cs="Arial"/>
          <w:color w:val="000000" w:themeColor="text1"/>
          <w:sz w:val="20"/>
          <w:szCs w:val="20"/>
        </w:rPr>
      </w:pPr>
      <w:r>
        <w:rPr>
          <w:rFonts w:ascii="Arial" w:hAnsi="Arial" w:cs="Arial"/>
          <w:sz w:val="20"/>
          <w:szCs w:val="20"/>
        </w:rPr>
        <w:t xml:space="preserve">We discussed this matter with VCB and </w:t>
      </w:r>
      <w:r>
        <w:rPr>
          <w:rFonts w:ascii="Arial" w:eastAsia="Times New Roman" w:hAnsi="Arial" w:cs="Arial"/>
          <w:color w:val="000000"/>
          <w:sz w:val="20"/>
          <w:szCs w:val="20"/>
        </w:rPr>
        <w:t xml:space="preserve">VCB </w:t>
      </w:r>
      <w:r w:rsidRPr="00521CCD">
        <w:rPr>
          <w:rFonts w:ascii="Arial" w:eastAsia="Times New Roman" w:hAnsi="Arial" w:cs="Arial"/>
          <w:color w:val="000000"/>
          <w:sz w:val="20"/>
          <w:szCs w:val="20"/>
        </w:rPr>
        <w:t xml:space="preserve">is aware of this </w:t>
      </w:r>
      <w:r>
        <w:rPr>
          <w:rFonts w:ascii="Arial" w:eastAsia="Times New Roman" w:hAnsi="Arial" w:cs="Arial"/>
          <w:color w:val="000000"/>
          <w:sz w:val="20"/>
          <w:szCs w:val="20"/>
        </w:rPr>
        <w:t>risk.</w:t>
      </w:r>
      <w:r>
        <w:rPr>
          <w:rFonts w:ascii="Arial" w:hAnsi="Arial" w:cs="Arial"/>
          <w:sz w:val="20"/>
          <w:szCs w:val="20"/>
        </w:rPr>
        <w:t xml:space="preserve"> </w:t>
      </w:r>
    </w:p>
    <w:p w14:paraId="5BEC45ED" w14:textId="6CA4003B" w:rsidR="00FB2BE0" w:rsidRPr="00FB2BE0" w:rsidRDefault="00FB2BE0" w:rsidP="00FB2BE0">
      <w:pPr>
        <w:ind w:left="720"/>
        <w:jc w:val="both"/>
        <w:rPr>
          <w:rFonts w:ascii="Arial" w:hAnsi="Arial" w:cs="Arial"/>
          <w:color w:val="000000" w:themeColor="text1"/>
          <w:sz w:val="20"/>
          <w:szCs w:val="20"/>
        </w:rPr>
      </w:pPr>
    </w:p>
    <w:p w14:paraId="1A66B6E0" w14:textId="77777777" w:rsidR="00E90962" w:rsidRPr="00FB2BE0" w:rsidRDefault="0077763E" w:rsidP="00EB65DB">
      <w:pPr>
        <w:pStyle w:val="ListParagraph"/>
        <w:numPr>
          <w:ilvl w:val="0"/>
          <w:numId w:val="1"/>
        </w:numPr>
        <w:ind w:hanging="720"/>
        <w:rPr>
          <w:rFonts w:ascii="Arial" w:hAnsi="Arial" w:cs="Arial"/>
          <w:b/>
          <w:color w:val="000000" w:themeColor="text1"/>
          <w:sz w:val="20"/>
          <w:szCs w:val="20"/>
        </w:rPr>
      </w:pPr>
      <w:r w:rsidRPr="00FB2BE0">
        <w:rPr>
          <w:rFonts w:ascii="Arial" w:hAnsi="Arial" w:cs="Arial"/>
          <w:b/>
          <w:color w:val="000000" w:themeColor="text1"/>
          <w:sz w:val="20"/>
          <w:szCs w:val="20"/>
        </w:rPr>
        <w:t>Conclusion</w:t>
      </w:r>
    </w:p>
    <w:p w14:paraId="3145404F" w14:textId="77777777" w:rsidR="00E90962" w:rsidRPr="00FB2BE0" w:rsidRDefault="00E90962" w:rsidP="00262F5F">
      <w:pPr>
        <w:jc w:val="both"/>
        <w:rPr>
          <w:rFonts w:ascii="Arial" w:hAnsi="Arial" w:cs="Arial"/>
          <w:sz w:val="20"/>
          <w:szCs w:val="20"/>
        </w:rPr>
      </w:pPr>
      <w:r w:rsidRPr="00FB2BE0">
        <w:rPr>
          <w:rFonts w:ascii="Arial" w:hAnsi="Arial" w:cs="Arial"/>
          <w:sz w:val="20"/>
          <w:szCs w:val="20"/>
        </w:rPr>
        <w:t>Except from the above findings, we are not aware of significant tax issues exceeding the threshold of materiality. The current year’s tax position is reasonable in the context of the current tax regulations. Audit team should refer to our summary to pay attention</w:t>
      </w:r>
    </w:p>
    <w:p w14:paraId="342037FE" w14:textId="3434EE34" w:rsidR="00FB2BE0" w:rsidRPr="004A4AC5" w:rsidRDefault="00E90962" w:rsidP="004A4AC5">
      <w:pPr>
        <w:jc w:val="both"/>
        <w:rPr>
          <w:rFonts w:ascii="Arial" w:hAnsi="Arial" w:cs="Arial"/>
          <w:sz w:val="20"/>
          <w:szCs w:val="20"/>
        </w:rPr>
      </w:pPr>
      <w:r w:rsidRPr="00FB2BE0">
        <w:rPr>
          <w:rFonts w:ascii="Arial" w:hAnsi="Arial" w:cs="Arial"/>
          <w:sz w:val="20"/>
          <w:szCs w:val="20"/>
        </w:rPr>
        <w:t>Audit team: we have discussed with tax team and reply tax comments. Above tax risks are communicated to the client and brought into management representative letter. No further issue noted.</w:t>
      </w:r>
    </w:p>
    <w:p w14:paraId="5310CB30" w14:textId="77777777" w:rsidR="00FB2BE0" w:rsidRDefault="00FB2BE0" w:rsidP="00FB2BE0">
      <w:pPr>
        <w:rPr>
          <w:rFonts w:ascii="Arial" w:hAnsi="Arial" w:cs="Arial"/>
          <w:b/>
          <w:color w:val="000000" w:themeColor="text1"/>
          <w:sz w:val="20"/>
          <w:szCs w:val="20"/>
        </w:rPr>
      </w:pPr>
      <w:r w:rsidRPr="00630594">
        <w:rPr>
          <w:rFonts w:ascii="Arial" w:hAnsi="Arial" w:cs="Arial"/>
          <w:b/>
          <w:color w:val="000000" w:themeColor="text1"/>
          <w:sz w:val="20"/>
          <w:szCs w:val="20"/>
        </w:rPr>
        <w:t>Prepared By:</w:t>
      </w:r>
      <w:r>
        <w:rPr>
          <w:rFonts w:ascii="Arial" w:hAnsi="Arial" w:cs="Arial"/>
          <w:b/>
          <w:color w:val="000000" w:themeColor="text1"/>
          <w:sz w:val="20"/>
          <w:szCs w:val="20"/>
        </w:rPr>
        <w:t xml:space="preserve"> </w:t>
      </w:r>
    </w:p>
    <w:p w14:paraId="464FC7F4" w14:textId="7F8DE9E3" w:rsidR="00FB2BE0" w:rsidRPr="00904030" w:rsidRDefault="000936AC" w:rsidP="00FB2BE0">
      <w:pPr>
        <w:rPr>
          <w:rFonts w:ascii="Arial" w:hAnsi="Arial" w:cs="Arial"/>
          <w:color w:val="000000" w:themeColor="text1"/>
          <w:sz w:val="20"/>
          <w:szCs w:val="20"/>
        </w:rPr>
      </w:pPr>
      <w:r>
        <w:rPr>
          <w:rFonts w:ascii="Arial" w:hAnsi="Arial" w:cs="Arial"/>
          <w:color w:val="000000" w:themeColor="text1"/>
          <w:sz w:val="20"/>
          <w:szCs w:val="20"/>
        </w:rPr>
        <w:t>Linh B Thuy Pham</w:t>
      </w:r>
      <w:r w:rsidR="00E85284">
        <w:rPr>
          <w:rFonts w:ascii="Arial" w:hAnsi="Arial" w:cs="Arial"/>
          <w:color w:val="000000" w:themeColor="text1"/>
          <w:sz w:val="20"/>
          <w:szCs w:val="20"/>
        </w:rPr>
        <w:t xml:space="preserve"> </w:t>
      </w:r>
      <w:r w:rsidR="00E85284">
        <w:rPr>
          <w:rFonts w:ascii="Arial" w:hAnsi="Arial" w:cs="Arial"/>
          <w:color w:val="000000" w:themeColor="text1"/>
          <w:sz w:val="20"/>
          <w:szCs w:val="20"/>
        </w:rPr>
        <w:tab/>
      </w:r>
      <w:r w:rsidR="00E85284">
        <w:rPr>
          <w:rFonts w:ascii="Arial" w:hAnsi="Arial" w:cs="Arial"/>
          <w:color w:val="000000" w:themeColor="text1"/>
          <w:sz w:val="20"/>
          <w:szCs w:val="20"/>
        </w:rPr>
        <w:tab/>
      </w:r>
      <w:r w:rsidR="00E85284">
        <w:rPr>
          <w:rFonts w:ascii="Arial" w:hAnsi="Arial" w:cs="Arial"/>
          <w:color w:val="000000" w:themeColor="text1"/>
          <w:sz w:val="20"/>
          <w:szCs w:val="20"/>
        </w:rPr>
        <w:tab/>
      </w:r>
      <w:r w:rsidR="00E85284">
        <w:rPr>
          <w:rFonts w:ascii="Arial" w:hAnsi="Arial" w:cs="Arial"/>
          <w:color w:val="000000" w:themeColor="text1"/>
          <w:sz w:val="20"/>
          <w:szCs w:val="20"/>
        </w:rPr>
        <w:tab/>
      </w:r>
      <w:r w:rsidR="00E85284">
        <w:rPr>
          <w:rFonts w:ascii="Arial" w:hAnsi="Arial" w:cs="Arial"/>
          <w:color w:val="000000" w:themeColor="text1"/>
          <w:sz w:val="20"/>
          <w:szCs w:val="20"/>
        </w:rPr>
        <w:tab/>
      </w:r>
      <w:r w:rsidR="00E85284">
        <w:rPr>
          <w:rFonts w:ascii="Arial" w:hAnsi="Arial" w:cs="Arial"/>
          <w:color w:val="000000" w:themeColor="text1"/>
          <w:sz w:val="20"/>
          <w:szCs w:val="20"/>
        </w:rPr>
        <w:tab/>
      </w:r>
      <w:r w:rsidR="00E85284">
        <w:rPr>
          <w:rFonts w:ascii="Arial" w:hAnsi="Arial" w:cs="Arial"/>
          <w:color w:val="000000" w:themeColor="text1"/>
          <w:sz w:val="20"/>
          <w:szCs w:val="20"/>
        </w:rPr>
        <w:tab/>
        <w:t xml:space="preserve">    2</w:t>
      </w:r>
      <w:r w:rsidR="001E03C0">
        <w:rPr>
          <w:rFonts w:ascii="Arial" w:hAnsi="Arial" w:cs="Arial"/>
          <w:color w:val="000000" w:themeColor="text1"/>
          <w:sz w:val="20"/>
          <w:szCs w:val="20"/>
        </w:rPr>
        <w:t>5</w:t>
      </w:r>
      <w:r w:rsidR="00E85284">
        <w:rPr>
          <w:rFonts w:ascii="Arial" w:hAnsi="Arial" w:cs="Arial"/>
          <w:color w:val="000000" w:themeColor="text1"/>
          <w:sz w:val="20"/>
          <w:szCs w:val="20"/>
        </w:rPr>
        <w:t>.0</w:t>
      </w:r>
      <w:r>
        <w:rPr>
          <w:rFonts w:ascii="Arial" w:hAnsi="Arial" w:cs="Arial"/>
          <w:color w:val="000000" w:themeColor="text1"/>
          <w:sz w:val="20"/>
          <w:szCs w:val="20"/>
        </w:rPr>
        <w:t>3</w:t>
      </w:r>
      <w:r w:rsidR="00E85284">
        <w:rPr>
          <w:rFonts w:ascii="Arial" w:hAnsi="Arial" w:cs="Arial"/>
          <w:color w:val="000000" w:themeColor="text1"/>
          <w:sz w:val="20"/>
          <w:szCs w:val="20"/>
        </w:rPr>
        <w:t>.2023</w:t>
      </w:r>
    </w:p>
    <w:p w14:paraId="7DB6BB78" w14:textId="77777777" w:rsidR="00FB2BE0" w:rsidRPr="00630594" w:rsidRDefault="00FB2BE0" w:rsidP="00FB2BE0">
      <w:pPr>
        <w:rPr>
          <w:rFonts w:ascii="Arial" w:hAnsi="Arial" w:cs="Arial"/>
          <w:color w:val="000000" w:themeColor="text1"/>
          <w:sz w:val="20"/>
          <w:szCs w:val="20"/>
          <w:u w:val="single"/>
        </w:rPr>
      </w:pP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70528" behindDoc="0" locked="0" layoutInCell="1" allowOverlap="1" wp14:anchorId="2DF08761" wp14:editId="7F86684E">
                <wp:simplePos x="0" y="0"/>
                <wp:positionH relativeFrom="column">
                  <wp:posOffset>4341412</wp:posOffset>
                </wp:positionH>
                <wp:positionV relativeFrom="paragraph">
                  <wp:posOffset>222057</wp:posOffset>
                </wp:positionV>
                <wp:extent cx="1971730"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97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4D994" id="Straight Connector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5pt,17.5pt" to="49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" strokecolor="black [3200]" strokeweight=".5pt">
                <v:stroke joinstyle="miter"/>
              </v:line>
            </w:pict>
          </mc:Fallback>
        </mc:AlternateContent>
      </w: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69504" behindDoc="0" locked="0" layoutInCell="1" allowOverlap="1" wp14:anchorId="625C70E5" wp14:editId="0F63E513">
                <wp:simplePos x="0" y="0"/>
                <wp:positionH relativeFrom="column">
                  <wp:posOffset>-31805</wp:posOffset>
                </wp:positionH>
                <wp:positionV relativeFrom="paragraph">
                  <wp:posOffset>221725</wp:posOffset>
                </wp:positionV>
                <wp:extent cx="3037398" cy="0"/>
                <wp:effectExtent l="0" t="0" r="29845" b="19050"/>
                <wp:wrapNone/>
                <wp:docPr id="9" name="Straight Connector 9"/>
                <wp:cNvGraphicFramePr/>
                <a:graphic xmlns:a="http://schemas.openxmlformats.org/drawingml/2006/main">
                  <a:graphicData uri="http://schemas.microsoft.com/office/word/2010/wordprocessingShape">
                    <wps:wsp>
                      <wps:cNvCnPr/>
                      <wps:spPr>
                        <a:xfrm flipV="1">
                          <a:off x="0" y="0"/>
                          <a:ext cx="30373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3EA8"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7.45pt" to="23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" strokecolor="black [3200]" strokeweight=".5pt">
                <v:stroke joinstyle="miter"/>
              </v:line>
            </w:pict>
          </mc:Fallback>
        </mc:AlternateContent>
      </w:r>
      <w:r w:rsidRPr="00630594">
        <w:rPr>
          <w:rFonts w:ascii="Arial" w:hAnsi="Arial" w:cs="Arial"/>
          <w:color w:val="000000" w:themeColor="text1"/>
          <w:sz w:val="20"/>
          <w:szCs w:val="20"/>
          <w:u w:val="single"/>
        </w:rPr>
        <w:t xml:space="preserve">                                                                                                </w:t>
      </w:r>
    </w:p>
    <w:p w14:paraId="6642F702" w14:textId="77777777" w:rsidR="00FB2BE0" w:rsidRPr="00630594" w:rsidRDefault="00FB2BE0" w:rsidP="00FB2BE0">
      <w:pPr>
        <w:ind w:left="7830" w:hanging="7830"/>
        <w:rPr>
          <w:rFonts w:ascii="Arial" w:hAnsi="Arial" w:cs="Arial"/>
          <w:color w:val="000000" w:themeColor="text1"/>
          <w:sz w:val="20"/>
          <w:szCs w:val="20"/>
        </w:rPr>
      </w:pPr>
      <w:r w:rsidRPr="00630594">
        <w:rPr>
          <w:rFonts w:ascii="Arial" w:hAnsi="Arial" w:cs="Arial"/>
          <w:color w:val="000000" w:themeColor="text1"/>
          <w:sz w:val="20"/>
          <w:szCs w:val="20"/>
        </w:rPr>
        <w:t>Tax Manager                                                                                                    (Date)</w:t>
      </w:r>
    </w:p>
    <w:p w14:paraId="320AF0DA" w14:textId="77777777" w:rsidR="00FB2BE0" w:rsidRPr="00630594" w:rsidRDefault="00FB2BE0" w:rsidP="00FB2BE0">
      <w:pPr>
        <w:rPr>
          <w:rFonts w:ascii="Arial" w:hAnsi="Arial" w:cs="Arial"/>
          <w:color w:val="000000" w:themeColor="text1"/>
          <w:sz w:val="20"/>
          <w:szCs w:val="20"/>
        </w:rPr>
      </w:pPr>
    </w:p>
    <w:p w14:paraId="68C6AEF7" w14:textId="77777777" w:rsidR="00FB2BE0" w:rsidRPr="00630594" w:rsidRDefault="00FB2BE0" w:rsidP="00FB2BE0">
      <w:pPr>
        <w:rPr>
          <w:rFonts w:ascii="Arial" w:hAnsi="Arial" w:cs="Arial"/>
          <w:b/>
          <w:color w:val="000000" w:themeColor="text1"/>
          <w:sz w:val="20"/>
          <w:szCs w:val="20"/>
        </w:rPr>
      </w:pPr>
      <w:r w:rsidRPr="00630594">
        <w:rPr>
          <w:rFonts w:ascii="Arial" w:hAnsi="Arial" w:cs="Arial"/>
          <w:b/>
          <w:color w:val="000000" w:themeColor="text1"/>
          <w:sz w:val="20"/>
          <w:szCs w:val="20"/>
        </w:rPr>
        <w:t>Reviewed By:</w:t>
      </w:r>
    </w:p>
    <w:p w14:paraId="2933166B" w14:textId="41DC62E2" w:rsidR="00FB2BE0" w:rsidRPr="00630594" w:rsidRDefault="00FB2BE0" w:rsidP="00FB2BE0">
      <w:pPr>
        <w:rPr>
          <w:rFonts w:ascii="Arial" w:hAnsi="Arial" w:cs="Arial"/>
          <w:color w:val="000000" w:themeColor="text1"/>
          <w:sz w:val="20"/>
          <w:szCs w:val="20"/>
        </w:rPr>
      </w:pPr>
      <w:r>
        <w:rPr>
          <w:rFonts w:ascii="Arial" w:hAnsi="Arial" w:cs="Arial"/>
          <w:color w:val="000000" w:themeColor="text1"/>
          <w:sz w:val="20"/>
          <w:szCs w:val="20"/>
        </w:rPr>
        <w:t xml:space="preserve">Nhung Nguyen                                                                                                 </w:t>
      </w:r>
      <w:r w:rsidR="00E85284">
        <w:rPr>
          <w:rFonts w:ascii="Arial" w:hAnsi="Arial" w:cs="Arial"/>
          <w:color w:val="000000" w:themeColor="text1"/>
          <w:sz w:val="20"/>
          <w:szCs w:val="20"/>
        </w:rPr>
        <w:t>2</w:t>
      </w:r>
      <w:r w:rsidR="000936AC">
        <w:rPr>
          <w:rFonts w:ascii="Arial" w:hAnsi="Arial" w:cs="Arial"/>
          <w:color w:val="000000" w:themeColor="text1"/>
          <w:sz w:val="20"/>
          <w:szCs w:val="20"/>
        </w:rPr>
        <w:t>0</w:t>
      </w:r>
      <w:r w:rsidR="00E85284">
        <w:rPr>
          <w:rFonts w:ascii="Arial" w:hAnsi="Arial" w:cs="Arial"/>
          <w:color w:val="000000" w:themeColor="text1"/>
          <w:sz w:val="20"/>
          <w:szCs w:val="20"/>
        </w:rPr>
        <w:t>.0</w:t>
      </w:r>
      <w:r w:rsidR="000936AC">
        <w:rPr>
          <w:rFonts w:ascii="Arial" w:hAnsi="Arial" w:cs="Arial"/>
          <w:color w:val="000000" w:themeColor="text1"/>
          <w:sz w:val="20"/>
          <w:szCs w:val="20"/>
        </w:rPr>
        <w:t>3</w:t>
      </w:r>
      <w:r w:rsidR="00E85284">
        <w:rPr>
          <w:rFonts w:ascii="Arial" w:hAnsi="Arial" w:cs="Arial"/>
          <w:color w:val="000000" w:themeColor="text1"/>
          <w:sz w:val="20"/>
          <w:szCs w:val="20"/>
        </w:rPr>
        <w:t>.2023</w:t>
      </w:r>
    </w:p>
    <w:p w14:paraId="27EFD4CC" w14:textId="77777777" w:rsidR="00FB2BE0" w:rsidRPr="00630594" w:rsidRDefault="00FB2BE0" w:rsidP="00FB2BE0">
      <w:pPr>
        <w:rPr>
          <w:rFonts w:ascii="Arial" w:hAnsi="Arial" w:cs="Arial"/>
          <w:color w:val="000000" w:themeColor="text1"/>
          <w:sz w:val="20"/>
          <w:szCs w:val="20"/>
          <w:u w:val="single"/>
        </w:rPr>
      </w:pP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72576" behindDoc="0" locked="0" layoutInCell="1" allowOverlap="1" wp14:anchorId="0657C241" wp14:editId="6FC3DB80">
                <wp:simplePos x="0" y="0"/>
                <wp:positionH relativeFrom="column">
                  <wp:posOffset>4341412</wp:posOffset>
                </wp:positionH>
                <wp:positionV relativeFrom="paragraph">
                  <wp:posOffset>222057</wp:posOffset>
                </wp:positionV>
                <wp:extent cx="1971730" cy="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97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29E94"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5pt,17.5pt" to="49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" strokecolor="black [3200]" strokeweight=".5pt">
                <v:stroke joinstyle="miter"/>
              </v:line>
            </w:pict>
          </mc:Fallback>
        </mc:AlternateContent>
      </w: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71552" behindDoc="0" locked="0" layoutInCell="1" allowOverlap="1" wp14:anchorId="47C8BDED" wp14:editId="7B2B13D2">
                <wp:simplePos x="0" y="0"/>
                <wp:positionH relativeFrom="column">
                  <wp:posOffset>-31805</wp:posOffset>
                </wp:positionH>
                <wp:positionV relativeFrom="paragraph">
                  <wp:posOffset>221725</wp:posOffset>
                </wp:positionV>
                <wp:extent cx="3037398" cy="0"/>
                <wp:effectExtent l="0" t="0" r="29845" b="19050"/>
                <wp:wrapNone/>
                <wp:docPr id="12" name="Straight Connector 12"/>
                <wp:cNvGraphicFramePr/>
                <a:graphic xmlns:a="http://schemas.openxmlformats.org/drawingml/2006/main">
                  <a:graphicData uri="http://schemas.microsoft.com/office/word/2010/wordprocessingShape">
                    <wps:wsp>
                      <wps:cNvCnPr/>
                      <wps:spPr>
                        <a:xfrm flipV="1">
                          <a:off x="0" y="0"/>
                          <a:ext cx="30373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C0F10"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7.45pt" to="23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" strokecolor="black [3200]" strokeweight=".5pt">
                <v:stroke joinstyle="miter"/>
              </v:line>
            </w:pict>
          </mc:Fallback>
        </mc:AlternateContent>
      </w:r>
      <w:r w:rsidRPr="00630594">
        <w:rPr>
          <w:rFonts w:ascii="Arial" w:hAnsi="Arial" w:cs="Arial"/>
          <w:color w:val="000000" w:themeColor="text1"/>
          <w:sz w:val="20"/>
          <w:szCs w:val="20"/>
          <w:u w:val="single"/>
        </w:rPr>
        <w:t xml:space="preserve">                                                                                                </w:t>
      </w:r>
    </w:p>
    <w:p w14:paraId="36C36C5A" w14:textId="77777777" w:rsidR="00FB2BE0" w:rsidRPr="00630594" w:rsidRDefault="00FB2BE0" w:rsidP="00FB2BE0">
      <w:pPr>
        <w:rPr>
          <w:rFonts w:ascii="Arial" w:hAnsi="Arial" w:cs="Arial"/>
          <w:color w:val="000000" w:themeColor="text1"/>
          <w:sz w:val="20"/>
          <w:szCs w:val="20"/>
        </w:rPr>
      </w:pPr>
      <w:r>
        <w:rPr>
          <w:rFonts w:ascii="Arial" w:hAnsi="Arial" w:cs="Arial"/>
          <w:color w:val="000000" w:themeColor="text1"/>
          <w:sz w:val="20"/>
          <w:szCs w:val="20"/>
        </w:rPr>
        <w:t>Associate Tax</w:t>
      </w:r>
      <w:r w:rsidRPr="00630594">
        <w:rPr>
          <w:rFonts w:ascii="Arial" w:hAnsi="Arial" w:cs="Arial"/>
          <w:color w:val="000000" w:themeColor="text1"/>
          <w:sz w:val="20"/>
          <w:szCs w:val="20"/>
        </w:rPr>
        <w:t xml:space="preserve"> Partner                                                                                         (Date)</w:t>
      </w:r>
    </w:p>
    <w:p w14:paraId="02209529" w14:textId="77777777" w:rsidR="00FB2BE0" w:rsidRPr="00630594" w:rsidRDefault="00FB2BE0" w:rsidP="00FB2BE0">
      <w:pPr>
        <w:rPr>
          <w:rFonts w:ascii="Arial" w:hAnsi="Arial" w:cs="Arial"/>
          <w:color w:val="000000" w:themeColor="text1"/>
          <w:sz w:val="20"/>
          <w:szCs w:val="20"/>
        </w:rPr>
      </w:pPr>
    </w:p>
    <w:p w14:paraId="47AA5C12" w14:textId="0E60F550" w:rsidR="00FB2BE0" w:rsidRPr="00FB2BE0" w:rsidRDefault="00FB2BE0" w:rsidP="00FB2BE0">
      <w:pPr>
        <w:rPr>
          <w:rFonts w:ascii="Arial" w:hAnsi="Arial" w:cs="Arial"/>
          <w:b/>
          <w:color w:val="000000" w:themeColor="text1"/>
          <w:sz w:val="20"/>
          <w:szCs w:val="20"/>
        </w:rPr>
      </w:pPr>
      <w:r w:rsidRPr="00630594">
        <w:rPr>
          <w:rFonts w:ascii="Arial" w:hAnsi="Arial" w:cs="Arial"/>
          <w:b/>
          <w:color w:val="000000" w:themeColor="text1"/>
          <w:sz w:val="20"/>
          <w:szCs w:val="20"/>
        </w:rPr>
        <w:t>Reviewed By:</w:t>
      </w:r>
    </w:p>
    <w:p w14:paraId="6D9AFB26" w14:textId="05307753" w:rsidR="00FB2BE0" w:rsidRPr="00904030" w:rsidRDefault="00FB2BE0" w:rsidP="00FB2BE0">
      <w:pPr>
        <w:rPr>
          <w:rFonts w:ascii="Arial" w:hAnsi="Arial" w:cs="Arial"/>
          <w:b/>
          <w:color w:val="000000" w:themeColor="text1"/>
          <w:sz w:val="20"/>
          <w:szCs w:val="20"/>
        </w:rPr>
      </w:pPr>
      <w:r w:rsidRPr="008A186B">
        <w:rPr>
          <w:rFonts w:ascii="Arial" w:hAnsi="Arial" w:cs="Arial"/>
          <w:color w:val="000000" w:themeColor="text1"/>
          <w:sz w:val="20"/>
          <w:szCs w:val="20"/>
        </w:rPr>
        <w:t>Ha Phuong Dang</w:t>
      </w:r>
      <w:r w:rsidRPr="00904030">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E85284">
        <w:rPr>
          <w:rFonts w:ascii="Arial" w:hAnsi="Arial" w:cs="Arial"/>
          <w:color w:val="000000" w:themeColor="text1"/>
          <w:sz w:val="20"/>
          <w:szCs w:val="20"/>
        </w:rPr>
        <w:t>2</w:t>
      </w:r>
      <w:r w:rsidR="000936AC">
        <w:rPr>
          <w:rFonts w:ascii="Arial" w:hAnsi="Arial" w:cs="Arial"/>
          <w:color w:val="000000" w:themeColor="text1"/>
          <w:sz w:val="20"/>
          <w:szCs w:val="20"/>
        </w:rPr>
        <w:t>0</w:t>
      </w:r>
      <w:r w:rsidR="00E85284">
        <w:rPr>
          <w:rFonts w:ascii="Arial" w:hAnsi="Arial" w:cs="Arial"/>
          <w:color w:val="000000" w:themeColor="text1"/>
          <w:sz w:val="20"/>
          <w:szCs w:val="20"/>
        </w:rPr>
        <w:t>.0</w:t>
      </w:r>
      <w:r w:rsidR="000936AC">
        <w:rPr>
          <w:rFonts w:ascii="Arial" w:hAnsi="Arial" w:cs="Arial"/>
          <w:color w:val="000000" w:themeColor="text1"/>
          <w:sz w:val="20"/>
          <w:szCs w:val="20"/>
        </w:rPr>
        <w:t>3</w:t>
      </w:r>
      <w:r w:rsidR="00E85284">
        <w:rPr>
          <w:rFonts w:ascii="Arial" w:hAnsi="Arial" w:cs="Arial"/>
          <w:color w:val="000000" w:themeColor="text1"/>
          <w:sz w:val="20"/>
          <w:szCs w:val="20"/>
        </w:rPr>
        <w:t>.2023</w:t>
      </w:r>
    </w:p>
    <w:p w14:paraId="6DA1CE1F" w14:textId="77777777" w:rsidR="00FB2BE0" w:rsidRPr="00630594" w:rsidRDefault="00FB2BE0" w:rsidP="00FB2BE0">
      <w:pPr>
        <w:rPr>
          <w:rFonts w:ascii="Arial" w:hAnsi="Arial" w:cs="Arial"/>
          <w:color w:val="000000" w:themeColor="text1"/>
          <w:sz w:val="20"/>
          <w:szCs w:val="20"/>
          <w:u w:val="single"/>
        </w:rPr>
      </w:pP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76672" behindDoc="0" locked="0" layoutInCell="1" allowOverlap="1" wp14:anchorId="4FB73581" wp14:editId="428C7EFD">
                <wp:simplePos x="0" y="0"/>
                <wp:positionH relativeFrom="column">
                  <wp:posOffset>4326792</wp:posOffset>
                </wp:positionH>
                <wp:positionV relativeFrom="paragraph">
                  <wp:posOffset>221615</wp:posOffset>
                </wp:positionV>
                <wp:extent cx="1971730"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97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B51AF"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7pt,17.45pt" to="495.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" strokecolor="black [3200]" strokeweight=".5pt">
                <v:stroke joinstyle="miter"/>
              </v:line>
            </w:pict>
          </mc:Fallback>
        </mc:AlternateContent>
      </w:r>
      <w:r w:rsidRPr="00630594">
        <w:rPr>
          <w:rFonts w:ascii="Arial" w:hAnsi="Arial" w:cs="Arial"/>
          <w:noProof/>
          <w:color w:val="000000" w:themeColor="text1"/>
          <w:sz w:val="20"/>
          <w:szCs w:val="20"/>
          <w:u w:val="single"/>
        </w:rPr>
        <mc:AlternateContent>
          <mc:Choice Requires="wps">
            <w:drawing>
              <wp:anchor distT="0" distB="0" distL="114300" distR="114300" simplePos="0" relativeHeight="251675648" behindDoc="0" locked="0" layoutInCell="1" allowOverlap="1" wp14:anchorId="22F083AF" wp14:editId="7FF886E5">
                <wp:simplePos x="0" y="0"/>
                <wp:positionH relativeFrom="column">
                  <wp:posOffset>-31805</wp:posOffset>
                </wp:positionH>
                <wp:positionV relativeFrom="paragraph">
                  <wp:posOffset>221725</wp:posOffset>
                </wp:positionV>
                <wp:extent cx="3037398" cy="0"/>
                <wp:effectExtent l="0" t="0" r="29845" b="19050"/>
                <wp:wrapNone/>
                <wp:docPr id="16" name="Straight Connector 16"/>
                <wp:cNvGraphicFramePr/>
                <a:graphic xmlns:a="http://schemas.openxmlformats.org/drawingml/2006/main">
                  <a:graphicData uri="http://schemas.microsoft.com/office/word/2010/wordprocessingShape">
                    <wps:wsp>
                      <wps:cNvCnPr/>
                      <wps:spPr>
                        <a:xfrm flipV="1">
                          <a:off x="0" y="0"/>
                          <a:ext cx="30373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D41FA" id="Straight Connector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7.45pt" to="23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" strokecolor="black [3200]" strokeweight=".5pt">
                <v:stroke joinstyle="miter"/>
              </v:line>
            </w:pict>
          </mc:Fallback>
        </mc:AlternateContent>
      </w:r>
      <w:r w:rsidRPr="00630594">
        <w:rPr>
          <w:rFonts w:ascii="Arial" w:hAnsi="Arial" w:cs="Arial"/>
          <w:color w:val="000000" w:themeColor="text1"/>
          <w:sz w:val="20"/>
          <w:szCs w:val="20"/>
          <w:u w:val="single"/>
        </w:rPr>
        <w:t xml:space="preserve">                                                                                                </w:t>
      </w:r>
    </w:p>
    <w:p w14:paraId="736D7C10" w14:textId="77777777" w:rsidR="00FB2BE0" w:rsidRPr="00630594" w:rsidRDefault="00FB2BE0" w:rsidP="00FB2BE0">
      <w:pPr>
        <w:rPr>
          <w:rFonts w:ascii="Arial" w:hAnsi="Arial" w:cs="Arial"/>
          <w:color w:val="000000" w:themeColor="text1"/>
          <w:sz w:val="20"/>
          <w:szCs w:val="20"/>
        </w:rPr>
      </w:pPr>
      <w:r w:rsidRPr="00630594">
        <w:rPr>
          <w:rFonts w:ascii="Arial" w:hAnsi="Arial" w:cs="Arial"/>
          <w:color w:val="000000" w:themeColor="text1"/>
          <w:sz w:val="20"/>
          <w:szCs w:val="20"/>
        </w:rPr>
        <w:t xml:space="preserve"> Audit Partner                                                                                                 </w:t>
      </w:r>
      <w:r>
        <w:rPr>
          <w:rFonts w:ascii="Arial" w:hAnsi="Arial" w:cs="Arial"/>
          <w:color w:val="000000" w:themeColor="text1"/>
          <w:sz w:val="20"/>
          <w:szCs w:val="20"/>
        </w:rPr>
        <w:t xml:space="preserve">    </w:t>
      </w:r>
      <w:r w:rsidRPr="00630594">
        <w:rPr>
          <w:rFonts w:ascii="Arial" w:hAnsi="Arial" w:cs="Arial"/>
          <w:color w:val="000000" w:themeColor="text1"/>
          <w:sz w:val="20"/>
          <w:szCs w:val="20"/>
        </w:rPr>
        <w:t>(Date)</w:t>
      </w:r>
    </w:p>
    <w:p w14:paraId="342EE3CB" w14:textId="77777777" w:rsidR="004E3A58" w:rsidRPr="00FB2BE0" w:rsidRDefault="004E3A58" w:rsidP="0077763E">
      <w:pPr>
        <w:rPr>
          <w:rFonts w:ascii="Arial" w:hAnsi="Arial" w:cs="Arial"/>
          <w:color w:val="000000" w:themeColor="text1"/>
          <w:sz w:val="20"/>
          <w:szCs w:val="20"/>
        </w:rPr>
      </w:pPr>
    </w:p>
    <w:sectPr w:rsidR="004E3A58" w:rsidRPr="00FB2BE0" w:rsidSect="00582BEF">
      <w:headerReference w:type="default" r:id="rId8"/>
      <w:pgSz w:w="12240" w:h="15840"/>
      <w:pgMar w:top="1803" w:right="1440" w:bottom="126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4E212" w14:textId="77777777" w:rsidR="006E3C65" w:rsidRDefault="006E3C65" w:rsidP="00EB645B">
      <w:pPr>
        <w:spacing w:after="0" w:line="240" w:lineRule="auto"/>
      </w:pPr>
      <w:r>
        <w:separator/>
      </w:r>
    </w:p>
  </w:endnote>
  <w:endnote w:type="continuationSeparator" w:id="0">
    <w:p w14:paraId="245A2E9A" w14:textId="77777777" w:rsidR="006E3C65" w:rsidRDefault="006E3C65" w:rsidP="00EB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Light">
    <w:altName w:val="Franklin Gothic Medium Cond"/>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AE0B" w14:textId="77777777" w:rsidR="006E3C65" w:rsidRDefault="006E3C65" w:rsidP="00EB645B">
      <w:pPr>
        <w:spacing w:after="0" w:line="240" w:lineRule="auto"/>
      </w:pPr>
      <w:r>
        <w:separator/>
      </w:r>
    </w:p>
  </w:footnote>
  <w:footnote w:type="continuationSeparator" w:id="0">
    <w:p w14:paraId="2F40B2E6" w14:textId="77777777" w:rsidR="006E3C65" w:rsidRDefault="006E3C65" w:rsidP="00EB6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6024" w:type="dxa"/>
      <w:tblInd w:w="1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64"/>
      <w:gridCol w:w="150"/>
      <w:gridCol w:w="2710"/>
    </w:tblGrid>
    <w:tr w:rsidR="00D472E9" w14:paraId="3CFC0262" w14:textId="77777777" w:rsidTr="00D472E9">
      <w:trPr>
        <w:trHeight w:val="1077"/>
      </w:trPr>
      <w:tc>
        <w:tcPr>
          <w:tcW w:w="3164" w:type="dxa"/>
        </w:tcPr>
        <w:p w14:paraId="78680ECB" w14:textId="77777777" w:rsidR="00D472E9" w:rsidRDefault="00D472E9" w:rsidP="00D472E9">
          <w:pPr>
            <w:pStyle w:val="EYBusinessaddress"/>
          </w:pPr>
          <w:r>
            <w:t>Ernst &amp; Young Vietnam Limited</w:t>
          </w:r>
        </w:p>
        <w:p w14:paraId="4B0C71EA" w14:textId="77777777" w:rsidR="00D472E9" w:rsidRDefault="00D472E9" w:rsidP="00D472E9">
          <w:pPr>
            <w:pStyle w:val="EYBusinessaddress"/>
          </w:pPr>
          <w:r>
            <w:t>28</w:t>
          </w:r>
          <w:r w:rsidRPr="00DE4BB8">
            <w:t>th</w:t>
          </w:r>
          <w:r>
            <w:t xml:space="preserve"> Floor, Bitexco Financial Tower</w:t>
          </w:r>
        </w:p>
        <w:p w14:paraId="377AF4B3" w14:textId="77777777" w:rsidR="00F80086" w:rsidRDefault="00D472E9" w:rsidP="00D472E9">
          <w:pPr>
            <w:pStyle w:val="EYBusinessaddress"/>
          </w:pPr>
          <w:r>
            <w:t xml:space="preserve">2 Hai Trieu Street, District 1,                         </w:t>
          </w:r>
        </w:p>
        <w:p w14:paraId="030A56F1" w14:textId="77777777" w:rsidR="00D472E9" w:rsidRDefault="00D472E9" w:rsidP="00D472E9">
          <w:pPr>
            <w:pStyle w:val="EYBusinessaddress"/>
          </w:pPr>
          <w:r>
            <w:t>Ho Chi Minh City, S.R. of Vietnam</w:t>
          </w:r>
        </w:p>
      </w:tc>
      <w:tc>
        <w:tcPr>
          <w:tcW w:w="150" w:type="dxa"/>
        </w:tcPr>
        <w:p w14:paraId="3EB5FBD8" w14:textId="77777777" w:rsidR="00D472E9" w:rsidRDefault="00D472E9" w:rsidP="00D472E9">
          <w:pPr>
            <w:pStyle w:val="EYBusinessaddress"/>
          </w:pPr>
        </w:p>
      </w:tc>
      <w:tc>
        <w:tcPr>
          <w:tcW w:w="2710" w:type="dxa"/>
        </w:tcPr>
        <w:p w14:paraId="668B7253" w14:textId="77777777" w:rsidR="00D472E9" w:rsidRDefault="00D472E9" w:rsidP="00D472E9">
          <w:pPr>
            <w:pStyle w:val="EYBusinessaddress"/>
            <w:ind w:left="141"/>
          </w:pPr>
          <w:r>
            <w:t>Tel: +84 8 3824 5252</w:t>
          </w:r>
        </w:p>
        <w:p w14:paraId="0EADB75E" w14:textId="77777777" w:rsidR="00D472E9" w:rsidRDefault="00D472E9" w:rsidP="00D472E9">
          <w:pPr>
            <w:pStyle w:val="EYBusinessaddress"/>
            <w:ind w:left="141"/>
          </w:pPr>
          <w:r>
            <w:t>Fax: +84 8 3824 5250</w:t>
          </w:r>
        </w:p>
        <w:p w14:paraId="39604320" w14:textId="77777777" w:rsidR="00D472E9" w:rsidRDefault="00D472E9" w:rsidP="00D472E9">
          <w:pPr>
            <w:pStyle w:val="EYBusinessaddress"/>
            <w:ind w:left="141"/>
          </w:pPr>
          <w:r>
            <w:t>ey.com</w:t>
          </w:r>
        </w:p>
      </w:tc>
    </w:tr>
  </w:tbl>
  <w:p w14:paraId="2AF448B0" w14:textId="77777777" w:rsidR="00D472E9" w:rsidRPr="00236BC6" w:rsidRDefault="00D472E9" w:rsidP="00D472E9">
    <w:pPr>
      <w:pStyle w:val="NoSpacing"/>
      <w:ind w:left="-180"/>
      <w:rPr>
        <w:rFonts w:ascii="Arial" w:hAnsi="Arial" w:cs="Arial"/>
        <w:b/>
        <w:sz w:val="20"/>
        <w:szCs w:val="20"/>
      </w:rPr>
    </w:pPr>
    <w:r w:rsidRPr="00236BC6">
      <w:rPr>
        <w:rFonts w:ascii="Arial" w:hAnsi="Arial" w:cs="Arial"/>
        <w:b/>
        <w:sz w:val="20"/>
        <w:szCs w:val="20"/>
      </w:rPr>
      <w:t>Tax Review Memorandum</w:t>
    </w:r>
  </w:p>
  <w:p w14:paraId="78954EAB" w14:textId="3DCD5269" w:rsidR="00D843DD" w:rsidRPr="00E6030E" w:rsidRDefault="00E6030E" w:rsidP="00D472E9">
    <w:pPr>
      <w:pStyle w:val="NoSpacing"/>
      <w:ind w:left="-180"/>
      <w:rPr>
        <w:rFonts w:ascii="Arial" w:hAnsi="Arial" w:cs="Arial"/>
        <w:b/>
        <w:bCs/>
        <w:color w:val="FF0000"/>
        <w:sz w:val="20"/>
        <w:szCs w:val="20"/>
      </w:rPr>
    </w:pPr>
    <w:r w:rsidRPr="00E6030E">
      <w:rPr>
        <w:rFonts w:ascii="Arial" w:hAnsi="Arial" w:cs="Arial"/>
        <w:b/>
        <w:bCs/>
        <w:color w:val="FF0000"/>
        <w:sz w:val="21"/>
        <w:szCs w:val="21"/>
        <w:shd w:val="clear" w:color="auto" w:fill="FFFFFF"/>
      </w:rPr>
      <w:t>Joint Stock Commercial Bank for Foreign Trade of Vietnam</w:t>
    </w:r>
    <w:r w:rsidRPr="00E6030E">
      <w:rPr>
        <w:rFonts w:ascii="Arial" w:hAnsi="Arial" w:cs="Arial"/>
        <w:b/>
        <w:bCs/>
        <w:color w:val="FF0000"/>
        <w:sz w:val="20"/>
        <w:szCs w:val="20"/>
      </w:rPr>
      <w:t xml:space="preserve"> </w:t>
    </w:r>
    <w:r w:rsidR="00D843DD" w:rsidRPr="00E6030E">
      <w:rPr>
        <w:rFonts w:ascii="Arial" w:hAnsi="Arial" w:cs="Arial"/>
        <w:b/>
        <w:bCs/>
        <w:color w:val="FF0000"/>
        <w:sz w:val="20"/>
        <w:szCs w:val="20"/>
      </w:rPr>
      <w:t>(“</w:t>
    </w:r>
    <w:r w:rsidR="00F855CF" w:rsidRPr="00E6030E">
      <w:rPr>
        <w:rFonts w:ascii="Arial" w:hAnsi="Arial" w:cs="Arial"/>
        <w:b/>
        <w:bCs/>
        <w:color w:val="FF0000"/>
        <w:sz w:val="20"/>
        <w:szCs w:val="20"/>
      </w:rPr>
      <w:t>VCB</w:t>
    </w:r>
    <w:r w:rsidR="00D843DD" w:rsidRPr="00E6030E">
      <w:rPr>
        <w:rFonts w:ascii="Arial" w:hAnsi="Arial" w:cs="Arial"/>
        <w:b/>
        <w:bCs/>
        <w:color w:val="FF0000"/>
        <w:sz w:val="20"/>
        <w:szCs w:val="20"/>
      </w:rPr>
      <w:t>”)</w:t>
    </w:r>
  </w:p>
  <w:p w14:paraId="12F7E1F2" w14:textId="19E05D06" w:rsidR="00D472E9" w:rsidRPr="00236BC6" w:rsidRDefault="00D472E9" w:rsidP="00D472E9">
    <w:pPr>
      <w:pStyle w:val="NoSpacing"/>
      <w:ind w:left="-180"/>
      <w:rPr>
        <w:rFonts w:ascii="Arial" w:hAnsi="Arial" w:cs="Arial"/>
        <w:b/>
        <w:sz w:val="20"/>
        <w:szCs w:val="20"/>
        <w:lang w:val="vi-VN"/>
      </w:rPr>
    </w:pPr>
    <w:r w:rsidRPr="00236BC6">
      <w:rPr>
        <w:rFonts w:ascii="Arial" w:hAnsi="Arial" w:cs="Arial"/>
        <w:b/>
        <w:sz w:val="20"/>
        <w:szCs w:val="20"/>
      </w:rPr>
      <w:t xml:space="preserve">For the </w:t>
    </w:r>
    <w:r w:rsidR="00A26230">
      <w:rPr>
        <w:rFonts w:ascii="Arial" w:hAnsi="Arial" w:cs="Arial"/>
        <w:b/>
        <w:sz w:val="20"/>
        <w:szCs w:val="20"/>
      </w:rPr>
      <w:t>year</w:t>
    </w:r>
    <w:r w:rsidRPr="00236BC6">
      <w:rPr>
        <w:rFonts w:ascii="Arial" w:hAnsi="Arial" w:cs="Arial"/>
        <w:b/>
        <w:sz w:val="20"/>
        <w:szCs w:val="20"/>
      </w:rPr>
      <w:t xml:space="preserve"> ended 3</w:t>
    </w:r>
    <w:r w:rsidR="00A26230">
      <w:rPr>
        <w:rFonts w:ascii="Arial" w:hAnsi="Arial" w:cs="Arial"/>
        <w:b/>
        <w:sz w:val="20"/>
        <w:szCs w:val="20"/>
      </w:rPr>
      <w:t xml:space="preserve">1 December </w:t>
    </w:r>
    <w:r w:rsidR="00507790" w:rsidRPr="00236BC6">
      <w:rPr>
        <w:rFonts w:ascii="Arial" w:hAnsi="Arial" w:cs="Arial"/>
        <w:b/>
        <w:sz w:val="20"/>
        <w:szCs w:val="20"/>
        <w:lang w:val="vi-VN"/>
      </w:rPr>
      <w:t>2022</w:t>
    </w:r>
  </w:p>
  <w:p w14:paraId="4AA3C313" w14:textId="77777777" w:rsidR="00D472E9" w:rsidRDefault="00D472E9" w:rsidP="00D472E9">
    <w:pPr>
      <w:pStyle w:val="Header"/>
    </w:pPr>
    <w:r w:rsidRPr="008C55C4">
      <w:rPr>
        <w:noProof/>
      </w:rPr>
      <w:drawing>
        <wp:anchor distT="0" distB="0" distL="114300" distR="114300" simplePos="0" relativeHeight="251660288" behindDoc="0" locked="1" layoutInCell="1" allowOverlap="1" wp14:anchorId="1F33B4AA" wp14:editId="1DA69F3F">
          <wp:simplePos x="0" y="0"/>
          <wp:positionH relativeFrom="margin">
            <wp:posOffset>-140335</wp:posOffset>
          </wp:positionH>
          <wp:positionV relativeFrom="page">
            <wp:posOffset>121920</wp:posOffset>
          </wp:positionV>
          <wp:extent cx="767715" cy="89598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7715" cy="8959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1" layoutInCell="1" allowOverlap="1" wp14:anchorId="1C38044A" wp14:editId="2C093A8A">
              <wp:simplePos x="0" y="0"/>
              <wp:positionH relativeFrom="page">
                <wp:posOffset>2120900</wp:posOffset>
              </wp:positionH>
              <wp:positionV relativeFrom="page">
                <wp:posOffset>738505</wp:posOffset>
              </wp:positionV>
              <wp:extent cx="3962400" cy="650875"/>
              <wp:effectExtent l="0" t="0" r="0"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787B0" w14:textId="77777777" w:rsidR="00D472E9" w:rsidRDefault="00D472E9" w:rsidP="00D472E9">
                          <w:pPr>
                            <w:pStyle w:val="EYBusinessaddress"/>
                          </w:pPr>
                        </w:p>
                        <w:p w14:paraId="16BD56B0" w14:textId="77777777" w:rsidR="00D472E9" w:rsidRDefault="00D472E9" w:rsidP="00D472E9">
                          <w:pPr>
                            <w:pStyle w:val="EYBusinessaddres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38044A" id="_x0000_t202" coordsize="21600,21600" o:spt="202" path="m,l,21600r21600,l21600,xe">
              <v:stroke joinstyle="miter"/>
              <v:path gradientshapeok="t" o:connecttype="rect"/>
            </v:shapetype>
            <v:shape id="Text Box 2" o:spid="_x0000_s1026" type="#_x0000_t202" style="position:absolute;margin-left:167pt;margin-top:58.15pt;width:312pt;height:5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" filled="f" stroked="f">
              <v:textbox inset="0,0,0,0">
                <w:txbxContent>
                  <w:p w14:paraId="791787B0" w14:textId="77777777" w:rsidR="00D472E9" w:rsidRDefault="00D472E9" w:rsidP="00D472E9">
                    <w:pPr>
                      <w:pStyle w:val="EYBusinessaddress"/>
                    </w:pPr>
                  </w:p>
                  <w:p w14:paraId="16BD56B0" w14:textId="77777777" w:rsidR="00D472E9" w:rsidRDefault="00D472E9" w:rsidP="00D472E9">
                    <w:pPr>
                      <w:pStyle w:val="EYBusinessaddress"/>
                    </w:pPr>
                  </w:p>
                </w:txbxContent>
              </v:textbox>
              <w10:wrap anchorx="page" anchory="page"/>
              <w10:anchorlock/>
            </v:shape>
          </w:pict>
        </mc:Fallback>
      </mc:AlternateContent>
    </w:r>
  </w:p>
  <w:p w14:paraId="077F98A8" w14:textId="77777777" w:rsidR="00D472E9" w:rsidRDefault="00D4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D32"/>
    <w:multiLevelType w:val="hybridMultilevel"/>
    <w:tmpl w:val="AC26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B765C"/>
    <w:multiLevelType w:val="hybridMultilevel"/>
    <w:tmpl w:val="00E21BD4"/>
    <w:lvl w:ilvl="0" w:tplc="33CC8848">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DF6B86"/>
    <w:multiLevelType w:val="hybridMultilevel"/>
    <w:tmpl w:val="57E45D46"/>
    <w:lvl w:ilvl="0" w:tplc="31F036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47ED"/>
    <w:multiLevelType w:val="hybridMultilevel"/>
    <w:tmpl w:val="E63E9D6C"/>
    <w:lvl w:ilvl="0" w:tplc="E06C0E8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46556"/>
    <w:multiLevelType w:val="hybridMultilevel"/>
    <w:tmpl w:val="AD92332A"/>
    <w:lvl w:ilvl="0" w:tplc="2026D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D21"/>
    <w:multiLevelType w:val="hybridMultilevel"/>
    <w:tmpl w:val="BD9C8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07E68"/>
    <w:multiLevelType w:val="hybridMultilevel"/>
    <w:tmpl w:val="46A21656"/>
    <w:lvl w:ilvl="0" w:tplc="4E881254">
      <w:start w:val="1"/>
      <w:numFmt w:val="bullet"/>
      <w:lvlText w:val="►"/>
      <w:lvlJc w:val="left"/>
      <w:pPr>
        <w:ind w:left="1080" w:hanging="360"/>
      </w:pPr>
      <w:rPr>
        <w:rFonts w:ascii="Arial" w:hAnsi="Arial" w:hint="default"/>
        <w:color w:val="FFE6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8D76E5"/>
    <w:multiLevelType w:val="hybridMultilevel"/>
    <w:tmpl w:val="C8143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4426A"/>
    <w:multiLevelType w:val="hybridMultilevel"/>
    <w:tmpl w:val="2C3EA0C4"/>
    <w:lvl w:ilvl="0" w:tplc="05C6E248">
      <w:start w:val="1"/>
      <w:numFmt w:val="bullet"/>
      <w:lvlText w:val="►"/>
      <w:lvlJc w:val="left"/>
      <w:pPr>
        <w:ind w:left="1080" w:hanging="360"/>
      </w:pPr>
      <w:rPr>
        <w:rFonts w:ascii="Times New Roman" w:hAnsi="Times New Roman" w:cs="Times New Roman"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19188E"/>
    <w:multiLevelType w:val="hybridMultilevel"/>
    <w:tmpl w:val="398C337A"/>
    <w:lvl w:ilvl="0" w:tplc="6FF6AE1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B3240"/>
    <w:multiLevelType w:val="hybridMultilevel"/>
    <w:tmpl w:val="AD92332A"/>
    <w:lvl w:ilvl="0" w:tplc="2026D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6BAF"/>
    <w:multiLevelType w:val="hybridMultilevel"/>
    <w:tmpl w:val="E408B66E"/>
    <w:lvl w:ilvl="0" w:tplc="F6FCB5DA">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720E"/>
    <w:multiLevelType w:val="hybridMultilevel"/>
    <w:tmpl w:val="CF1285BE"/>
    <w:lvl w:ilvl="0" w:tplc="731A1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F458BD"/>
    <w:multiLevelType w:val="hybridMultilevel"/>
    <w:tmpl w:val="43DCA404"/>
    <w:lvl w:ilvl="0" w:tplc="EEC6B1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B43A5"/>
    <w:multiLevelType w:val="hybridMultilevel"/>
    <w:tmpl w:val="EBB2D08C"/>
    <w:lvl w:ilvl="0" w:tplc="F2CAC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1D0A6E"/>
    <w:multiLevelType w:val="hybridMultilevel"/>
    <w:tmpl w:val="57C8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621DB"/>
    <w:multiLevelType w:val="hybridMultilevel"/>
    <w:tmpl w:val="FEDC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B5EFC"/>
    <w:multiLevelType w:val="hybridMultilevel"/>
    <w:tmpl w:val="84C4F584"/>
    <w:lvl w:ilvl="0" w:tplc="7C08DE0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16C37"/>
    <w:multiLevelType w:val="hybridMultilevel"/>
    <w:tmpl w:val="A7B0A0DC"/>
    <w:lvl w:ilvl="0" w:tplc="8E9C7776">
      <w:start w:val="1"/>
      <w:numFmt w:val="lowerRoman"/>
      <w:lvlText w:val="(%1)"/>
      <w:lvlJc w:val="left"/>
      <w:pPr>
        <w:ind w:left="1440" w:hanging="360"/>
      </w:pPr>
      <w:rPr>
        <w:rFonts w:ascii="EYInterstate Light" w:eastAsiaTheme="minorHAnsi" w:hAnsi="EYInterstate Light"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4427F0"/>
    <w:multiLevelType w:val="hybridMultilevel"/>
    <w:tmpl w:val="3AC898DA"/>
    <w:lvl w:ilvl="0" w:tplc="66BEF29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C866AEF"/>
    <w:multiLevelType w:val="hybridMultilevel"/>
    <w:tmpl w:val="59E4DE2C"/>
    <w:lvl w:ilvl="0" w:tplc="C84C975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5506C"/>
    <w:multiLevelType w:val="hybridMultilevel"/>
    <w:tmpl w:val="F2C29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16890">
    <w:abstractNumId w:val="20"/>
  </w:num>
  <w:num w:numId="2" w16cid:durableId="1654869453">
    <w:abstractNumId w:val="5"/>
  </w:num>
  <w:num w:numId="3" w16cid:durableId="2036301418">
    <w:abstractNumId w:val="7"/>
  </w:num>
  <w:num w:numId="4" w16cid:durableId="974330156">
    <w:abstractNumId w:val="16"/>
  </w:num>
  <w:num w:numId="5" w16cid:durableId="1548298272">
    <w:abstractNumId w:val="0"/>
  </w:num>
  <w:num w:numId="6" w16cid:durableId="1586575360">
    <w:abstractNumId w:val="3"/>
  </w:num>
  <w:num w:numId="7" w16cid:durableId="962733545">
    <w:abstractNumId w:val="18"/>
  </w:num>
  <w:num w:numId="8" w16cid:durableId="1921213473">
    <w:abstractNumId w:val="1"/>
  </w:num>
  <w:num w:numId="9" w16cid:durableId="833767525">
    <w:abstractNumId w:val="19"/>
  </w:num>
  <w:num w:numId="10" w16cid:durableId="1520123206">
    <w:abstractNumId w:val="14"/>
  </w:num>
  <w:num w:numId="11" w16cid:durableId="1627394163">
    <w:abstractNumId w:val="6"/>
  </w:num>
  <w:num w:numId="12" w16cid:durableId="252394773">
    <w:abstractNumId w:val="13"/>
  </w:num>
  <w:num w:numId="13" w16cid:durableId="1980306178">
    <w:abstractNumId w:val="10"/>
  </w:num>
  <w:num w:numId="14" w16cid:durableId="847795126">
    <w:abstractNumId w:val="4"/>
  </w:num>
  <w:num w:numId="15" w16cid:durableId="1575583335">
    <w:abstractNumId w:val="9"/>
  </w:num>
  <w:num w:numId="16" w16cid:durableId="1967538744">
    <w:abstractNumId w:val="11"/>
  </w:num>
  <w:num w:numId="17" w16cid:durableId="1565335387">
    <w:abstractNumId w:val="8"/>
  </w:num>
  <w:num w:numId="18" w16cid:durableId="1369450015">
    <w:abstractNumId w:val="12"/>
  </w:num>
  <w:num w:numId="19" w16cid:durableId="1036538606">
    <w:abstractNumId w:val="15"/>
  </w:num>
  <w:num w:numId="20" w16cid:durableId="1295990360">
    <w:abstractNumId w:val="21"/>
  </w:num>
  <w:num w:numId="21" w16cid:durableId="1780753795">
    <w:abstractNumId w:val="17"/>
  </w:num>
  <w:num w:numId="22" w16cid:durableId="166169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9A9"/>
    <w:rsid w:val="0000039E"/>
    <w:rsid w:val="00001827"/>
    <w:rsid w:val="000028CA"/>
    <w:rsid w:val="000034AC"/>
    <w:rsid w:val="000042C7"/>
    <w:rsid w:val="00007161"/>
    <w:rsid w:val="00010EE9"/>
    <w:rsid w:val="0002227C"/>
    <w:rsid w:val="00040A45"/>
    <w:rsid w:val="00054476"/>
    <w:rsid w:val="0005512C"/>
    <w:rsid w:val="00063C91"/>
    <w:rsid w:val="00064595"/>
    <w:rsid w:val="00066CC2"/>
    <w:rsid w:val="000672A2"/>
    <w:rsid w:val="00081DB7"/>
    <w:rsid w:val="00087F39"/>
    <w:rsid w:val="000936AC"/>
    <w:rsid w:val="00095FBF"/>
    <w:rsid w:val="00096A1C"/>
    <w:rsid w:val="000A15D4"/>
    <w:rsid w:val="000A36B9"/>
    <w:rsid w:val="000A4980"/>
    <w:rsid w:val="000A726E"/>
    <w:rsid w:val="000B07FA"/>
    <w:rsid w:val="000B3E63"/>
    <w:rsid w:val="000B7AA8"/>
    <w:rsid w:val="000C20FF"/>
    <w:rsid w:val="000D5AAF"/>
    <w:rsid w:val="000E2CBE"/>
    <w:rsid w:val="000E58EC"/>
    <w:rsid w:val="000F0115"/>
    <w:rsid w:val="000F19D6"/>
    <w:rsid w:val="00102F83"/>
    <w:rsid w:val="001037CD"/>
    <w:rsid w:val="0011018E"/>
    <w:rsid w:val="0011126C"/>
    <w:rsid w:val="00116C6D"/>
    <w:rsid w:val="00136694"/>
    <w:rsid w:val="00145AFD"/>
    <w:rsid w:val="0014617E"/>
    <w:rsid w:val="00151513"/>
    <w:rsid w:val="001517F5"/>
    <w:rsid w:val="00163F87"/>
    <w:rsid w:val="00167827"/>
    <w:rsid w:val="001679E6"/>
    <w:rsid w:val="0017560E"/>
    <w:rsid w:val="00177B74"/>
    <w:rsid w:val="00185641"/>
    <w:rsid w:val="001921EB"/>
    <w:rsid w:val="001931C0"/>
    <w:rsid w:val="001A6717"/>
    <w:rsid w:val="001B23F5"/>
    <w:rsid w:val="001C3694"/>
    <w:rsid w:val="001D6738"/>
    <w:rsid w:val="001E03C0"/>
    <w:rsid w:val="001E03D3"/>
    <w:rsid w:val="00204A25"/>
    <w:rsid w:val="00222501"/>
    <w:rsid w:val="002229C4"/>
    <w:rsid w:val="002257D5"/>
    <w:rsid w:val="0023598F"/>
    <w:rsid w:val="00236BC6"/>
    <w:rsid w:val="00244763"/>
    <w:rsid w:val="00246CF6"/>
    <w:rsid w:val="002573B5"/>
    <w:rsid w:val="00262F5F"/>
    <w:rsid w:val="0029280B"/>
    <w:rsid w:val="002A51A8"/>
    <w:rsid w:val="002A790E"/>
    <w:rsid w:val="002D3994"/>
    <w:rsid w:val="002F1593"/>
    <w:rsid w:val="00302DE1"/>
    <w:rsid w:val="003170ED"/>
    <w:rsid w:val="00321958"/>
    <w:rsid w:val="00324614"/>
    <w:rsid w:val="00337092"/>
    <w:rsid w:val="003405B4"/>
    <w:rsid w:val="00342411"/>
    <w:rsid w:val="003425E4"/>
    <w:rsid w:val="00342D26"/>
    <w:rsid w:val="00344413"/>
    <w:rsid w:val="00346409"/>
    <w:rsid w:val="00346BE1"/>
    <w:rsid w:val="00351A4B"/>
    <w:rsid w:val="0035706C"/>
    <w:rsid w:val="00357403"/>
    <w:rsid w:val="0036250E"/>
    <w:rsid w:val="00394C3A"/>
    <w:rsid w:val="003B4FD5"/>
    <w:rsid w:val="003B5609"/>
    <w:rsid w:val="003C06D0"/>
    <w:rsid w:val="003C0E71"/>
    <w:rsid w:val="003C4351"/>
    <w:rsid w:val="003C52E4"/>
    <w:rsid w:val="003D1571"/>
    <w:rsid w:val="003F150D"/>
    <w:rsid w:val="003F45C5"/>
    <w:rsid w:val="0040119E"/>
    <w:rsid w:val="00414977"/>
    <w:rsid w:val="004149C7"/>
    <w:rsid w:val="0042253D"/>
    <w:rsid w:val="004238EE"/>
    <w:rsid w:val="0042398A"/>
    <w:rsid w:val="00426F18"/>
    <w:rsid w:val="00434421"/>
    <w:rsid w:val="00437EB4"/>
    <w:rsid w:val="004478B9"/>
    <w:rsid w:val="00451B6A"/>
    <w:rsid w:val="00451D70"/>
    <w:rsid w:val="004554C5"/>
    <w:rsid w:val="00456083"/>
    <w:rsid w:val="004579B2"/>
    <w:rsid w:val="004625A7"/>
    <w:rsid w:val="0047284A"/>
    <w:rsid w:val="00474480"/>
    <w:rsid w:val="004749BF"/>
    <w:rsid w:val="0049307E"/>
    <w:rsid w:val="00496BD8"/>
    <w:rsid w:val="004A2222"/>
    <w:rsid w:val="004A4AC5"/>
    <w:rsid w:val="004C52BA"/>
    <w:rsid w:val="004D1C24"/>
    <w:rsid w:val="004D55F3"/>
    <w:rsid w:val="004E3A58"/>
    <w:rsid w:val="004E6A48"/>
    <w:rsid w:val="004F1D21"/>
    <w:rsid w:val="004F5200"/>
    <w:rsid w:val="005009FE"/>
    <w:rsid w:val="00507790"/>
    <w:rsid w:val="0051109B"/>
    <w:rsid w:val="00513E56"/>
    <w:rsid w:val="005146E6"/>
    <w:rsid w:val="00520E2B"/>
    <w:rsid w:val="00521CCD"/>
    <w:rsid w:val="005272A0"/>
    <w:rsid w:val="005373C2"/>
    <w:rsid w:val="00564DED"/>
    <w:rsid w:val="00567AEE"/>
    <w:rsid w:val="0057169B"/>
    <w:rsid w:val="00575770"/>
    <w:rsid w:val="00580961"/>
    <w:rsid w:val="00582BEF"/>
    <w:rsid w:val="00587610"/>
    <w:rsid w:val="005B48F0"/>
    <w:rsid w:val="005B5BE2"/>
    <w:rsid w:val="005C44C6"/>
    <w:rsid w:val="005C501B"/>
    <w:rsid w:val="005C5EA4"/>
    <w:rsid w:val="005D0865"/>
    <w:rsid w:val="005D0CD7"/>
    <w:rsid w:val="005D67DA"/>
    <w:rsid w:val="00604639"/>
    <w:rsid w:val="00610B04"/>
    <w:rsid w:val="00630594"/>
    <w:rsid w:val="00636D97"/>
    <w:rsid w:val="0063736A"/>
    <w:rsid w:val="006430F6"/>
    <w:rsid w:val="0064675C"/>
    <w:rsid w:val="00656364"/>
    <w:rsid w:val="00656919"/>
    <w:rsid w:val="00664B82"/>
    <w:rsid w:val="00665F19"/>
    <w:rsid w:val="0067109F"/>
    <w:rsid w:val="00687C69"/>
    <w:rsid w:val="006909E0"/>
    <w:rsid w:val="006A2ADF"/>
    <w:rsid w:val="006A64BB"/>
    <w:rsid w:val="006B347D"/>
    <w:rsid w:val="006C6D04"/>
    <w:rsid w:val="006E311E"/>
    <w:rsid w:val="006E3C65"/>
    <w:rsid w:val="006F5C11"/>
    <w:rsid w:val="00702DA7"/>
    <w:rsid w:val="00703F33"/>
    <w:rsid w:val="00713087"/>
    <w:rsid w:val="00734C47"/>
    <w:rsid w:val="0073501A"/>
    <w:rsid w:val="00735A8F"/>
    <w:rsid w:val="0073717E"/>
    <w:rsid w:val="00737E06"/>
    <w:rsid w:val="00745FAD"/>
    <w:rsid w:val="007552EF"/>
    <w:rsid w:val="007628C9"/>
    <w:rsid w:val="00765BD0"/>
    <w:rsid w:val="00777434"/>
    <w:rsid w:val="0077763E"/>
    <w:rsid w:val="007844CC"/>
    <w:rsid w:val="00784578"/>
    <w:rsid w:val="00794E76"/>
    <w:rsid w:val="007A271C"/>
    <w:rsid w:val="007A54CF"/>
    <w:rsid w:val="007B1273"/>
    <w:rsid w:val="007B35B7"/>
    <w:rsid w:val="007B5DED"/>
    <w:rsid w:val="007B70C1"/>
    <w:rsid w:val="007C0E0F"/>
    <w:rsid w:val="007D4576"/>
    <w:rsid w:val="007F4ABC"/>
    <w:rsid w:val="008217FC"/>
    <w:rsid w:val="00821B71"/>
    <w:rsid w:val="00824975"/>
    <w:rsid w:val="008279E0"/>
    <w:rsid w:val="008319E5"/>
    <w:rsid w:val="008608F3"/>
    <w:rsid w:val="008626C2"/>
    <w:rsid w:val="00867BBF"/>
    <w:rsid w:val="008737F3"/>
    <w:rsid w:val="00877AB0"/>
    <w:rsid w:val="008846B1"/>
    <w:rsid w:val="00886D89"/>
    <w:rsid w:val="00891736"/>
    <w:rsid w:val="008A16F3"/>
    <w:rsid w:val="008A63CE"/>
    <w:rsid w:val="008B1D9C"/>
    <w:rsid w:val="008B2094"/>
    <w:rsid w:val="008B3D12"/>
    <w:rsid w:val="008B5FDB"/>
    <w:rsid w:val="008C107F"/>
    <w:rsid w:val="008D1000"/>
    <w:rsid w:val="008E2F9F"/>
    <w:rsid w:val="008E3F39"/>
    <w:rsid w:val="0090169F"/>
    <w:rsid w:val="00913195"/>
    <w:rsid w:val="00914046"/>
    <w:rsid w:val="0093021D"/>
    <w:rsid w:val="009302E6"/>
    <w:rsid w:val="00944EAB"/>
    <w:rsid w:val="00947073"/>
    <w:rsid w:val="009504B0"/>
    <w:rsid w:val="009528B6"/>
    <w:rsid w:val="00953F3E"/>
    <w:rsid w:val="009A342C"/>
    <w:rsid w:val="009A37C4"/>
    <w:rsid w:val="009A61D8"/>
    <w:rsid w:val="009B0048"/>
    <w:rsid w:val="009C64C8"/>
    <w:rsid w:val="009D257A"/>
    <w:rsid w:val="009D25CC"/>
    <w:rsid w:val="009E18DE"/>
    <w:rsid w:val="009E2616"/>
    <w:rsid w:val="009E3738"/>
    <w:rsid w:val="009F2FC1"/>
    <w:rsid w:val="00A0277B"/>
    <w:rsid w:val="00A15BCA"/>
    <w:rsid w:val="00A26230"/>
    <w:rsid w:val="00A27F01"/>
    <w:rsid w:val="00A3404F"/>
    <w:rsid w:val="00A347D9"/>
    <w:rsid w:val="00A42BE9"/>
    <w:rsid w:val="00A600FD"/>
    <w:rsid w:val="00A6045D"/>
    <w:rsid w:val="00A63A8E"/>
    <w:rsid w:val="00A71EA4"/>
    <w:rsid w:val="00A72250"/>
    <w:rsid w:val="00A86A77"/>
    <w:rsid w:val="00A9549F"/>
    <w:rsid w:val="00A959A9"/>
    <w:rsid w:val="00AA416D"/>
    <w:rsid w:val="00AC00ED"/>
    <w:rsid w:val="00AC51C1"/>
    <w:rsid w:val="00AD32A9"/>
    <w:rsid w:val="00AD343D"/>
    <w:rsid w:val="00B01105"/>
    <w:rsid w:val="00B0322C"/>
    <w:rsid w:val="00B05A75"/>
    <w:rsid w:val="00B1112E"/>
    <w:rsid w:val="00B14613"/>
    <w:rsid w:val="00B33091"/>
    <w:rsid w:val="00B43859"/>
    <w:rsid w:val="00B4561A"/>
    <w:rsid w:val="00B52D50"/>
    <w:rsid w:val="00B600ED"/>
    <w:rsid w:val="00B60B6A"/>
    <w:rsid w:val="00B67551"/>
    <w:rsid w:val="00B675DA"/>
    <w:rsid w:val="00B7165C"/>
    <w:rsid w:val="00B75755"/>
    <w:rsid w:val="00B91C8E"/>
    <w:rsid w:val="00B9259D"/>
    <w:rsid w:val="00B94869"/>
    <w:rsid w:val="00BA3424"/>
    <w:rsid w:val="00BA5B12"/>
    <w:rsid w:val="00BA68C8"/>
    <w:rsid w:val="00BB1920"/>
    <w:rsid w:val="00BB40AD"/>
    <w:rsid w:val="00BD413A"/>
    <w:rsid w:val="00BD7C4E"/>
    <w:rsid w:val="00BE398B"/>
    <w:rsid w:val="00BF0623"/>
    <w:rsid w:val="00BF1595"/>
    <w:rsid w:val="00C04CE3"/>
    <w:rsid w:val="00C12210"/>
    <w:rsid w:val="00C16393"/>
    <w:rsid w:val="00C264DC"/>
    <w:rsid w:val="00C37814"/>
    <w:rsid w:val="00C44758"/>
    <w:rsid w:val="00C5429F"/>
    <w:rsid w:val="00C723C2"/>
    <w:rsid w:val="00C81CE9"/>
    <w:rsid w:val="00C86E17"/>
    <w:rsid w:val="00C872E1"/>
    <w:rsid w:val="00C954B6"/>
    <w:rsid w:val="00C96F63"/>
    <w:rsid w:val="00CA0294"/>
    <w:rsid w:val="00CA0AD6"/>
    <w:rsid w:val="00CB4B2E"/>
    <w:rsid w:val="00CC1C39"/>
    <w:rsid w:val="00CC777A"/>
    <w:rsid w:val="00CD2C44"/>
    <w:rsid w:val="00CD34F2"/>
    <w:rsid w:val="00CE1AE7"/>
    <w:rsid w:val="00CE4938"/>
    <w:rsid w:val="00CF09A6"/>
    <w:rsid w:val="00CF5D9F"/>
    <w:rsid w:val="00D01100"/>
    <w:rsid w:val="00D01D42"/>
    <w:rsid w:val="00D0225D"/>
    <w:rsid w:val="00D15E5C"/>
    <w:rsid w:val="00D17870"/>
    <w:rsid w:val="00D269AD"/>
    <w:rsid w:val="00D30FF2"/>
    <w:rsid w:val="00D31116"/>
    <w:rsid w:val="00D41623"/>
    <w:rsid w:val="00D44A87"/>
    <w:rsid w:val="00D472E9"/>
    <w:rsid w:val="00D51C50"/>
    <w:rsid w:val="00D60B4B"/>
    <w:rsid w:val="00D61808"/>
    <w:rsid w:val="00D67ACD"/>
    <w:rsid w:val="00D77086"/>
    <w:rsid w:val="00D77F20"/>
    <w:rsid w:val="00D82669"/>
    <w:rsid w:val="00D843DD"/>
    <w:rsid w:val="00D91417"/>
    <w:rsid w:val="00DB5D0B"/>
    <w:rsid w:val="00DB5D46"/>
    <w:rsid w:val="00DC3322"/>
    <w:rsid w:val="00DC58FB"/>
    <w:rsid w:val="00DD1C8C"/>
    <w:rsid w:val="00DD30C2"/>
    <w:rsid w:val="00DE1502"/>
    <w:rsid w:val="00DE3DB1"/>
    <w:rsid w:val="00DE4CD7"/>
    <w:rsid w:val="00DF4B91"/>
    <w:rsid w:val="00E11417"/>
    <w:rsid w:val="00E15723"/>
    <w:rsid w:val="00E207B8"/>
    <w:rsid w:val="00E22BEB"/>
    <w:rsid w:val="00E31447"/>
    <w:rsid w:val="00E31C98"/>
    <w:rsid w:val="00E466D8"/>
    <w:rsid w:val="00E56561"/>
    <w:rsid w:val="00E6030E"/>
    <w:rsid w:val="00E7578A"/>
    <w:rsid w:val="00E76AE8"/>
    <w:rsid w:val="00E85284"/>
    <w:rsid w:val="00E90962"/>
    <w:rsid w:val="00E9133F"/>
    <w:rsid w:val="00E92878"/>
    <w:rsid w:val="00E96ECC"/>
    <w:rsid w:val="00EA560E"/>
    <w:rsid w:val="00EB6116"/>
    <w:rsid w:val="00EB645B"/>
    <w:rsid w:val="00EB65DB"/>
    <w:rsid w:val="00EB7FBF"/>
    <w:rsid w:val="00EE09E2"/>
    <w:rsid w:val="00EF1681"/>
    <w:rsid w:val="00F21BAB"/>
    <w:rsid w:val="00F25276"/>
    <w:rsid w:val="00F32D3C"/>
    <w:rsid w:val="00F3462E"/>
    <w:rsid w:val="00F44AD7"/>
    <w:rsid w:val="00F45DF4"/>
    <w:rsid w:val="00F471E3"/>
    <w:rsid w:val="00F477B7"/>
    <w:rsid w:val="00F80086"/>
    <w:rsid w:val="00F833ED"/>
    <w:rsid w:val="00F855CF"/>
    <w:rsid w:val="00F85D0B"/>
    <w:rsid w:val="00F87C66"/>
    <w:rsid w:val="00F9364D"/>
    <w:rsid w:val="00F97AE5"/>
    <w:rsid w:val="00FA2605"/>
    <w:rsid w:val="00FB23A7"/>
    <w:rsid w:val="00FB2BE0"/>
    <w:rsid w:val="00FB4879"/>
    <w:rsid w:val="00FB56F0"/>
    <w:rsid w:val="00FB5984"/>
    <w:rsid w:val="00FD1213"/>
    <w:rsid w:val="00FD5159"/>
    <w:rsid w:val="00FD57CE"/>
    <w:rsid w:val="00FE20A6"/>
    <w:rsid w:val="00FF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CF780"/>
  <w15:chartTrackingRefBased/>
  <w15:docId w15:val="{3E67B376-8B13-4837-9A8E-D4ACB1CF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Picture,1LU2,List Paragraph1,Paragraph,Bullet L1,Yellow Bullet,Normal bullet 2,Resume Title,Citation List,Bulet Para,List Paragraph Char Char,b1,Number_1,SGLText List Paragraph,new,lp1,Normal Sentence,Colorful List - Accent 11"/>
    <w:basedOn w:val="Normal"/>
    <w:link w:val="ListParagraphChar"/>
    <w:uiPriority w:val="34"/>
    <w:qFormat/>
    <w:rsid w:val="00C872E1"/>
    <w:pPr>
      <w:ind w:left="720"/>
      <w:contextualSpacing/>
    </w:pPr>
  </w:style>
  <w:style w:type="paragraph" w:styleId="Header">
    <w:name w:val="header"/>
    <w:basedOn w:val="Normal"/>
    <w:link w:val="HeaderChar"/>
    <w:unhideWhenUsed/>
    <w:rsid w:val="00EB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45B"/>
  </w:style>
  <w:style w:type="paragraph" w:styleId="Footer">
    <w:name w:val="footer"/>
    <w:basedOn w:val="Normal"/>
    <w:link w:val="FooterChar"/>
    <w:uiPriority w:val="99"/>
    <w:unhideWhenUsed/>
    <w:rsid w:val="00EB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45B"/>
  </w:style>
  <w:style w:type="paragraph" w:styleId="NoSpacing">
    <w:name w:val="No Spacing"/>
    <w:uiPriority w:val="1"/>
    <w:qFormat/>
    <w:rsid w:val="00EB645B"/>
    <w:pPr>
      <w:spacing w:after="0" w:line="240" w:lineRule="auto"/>
    </w:pPr>
  </w:style>
  <w:style w:type="table" w:styleId="TableGrid">
    <w:name w:val="Table Grid"/>
    <w:basedOn w:val="TableNormal"/>
    <w:rsid w:val="00D472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D472E9"/>
    <w:pPr>
      <w:suppressAutoHyphens/>
      <w:spacing w:after="0" w:line="170" w:lineRule="exact"/>
    </w:pPr>
    <w:rPr>
      <w:rFonts w:ascii="Arial" w:eastAsia="Times New Roman" w:hAnsi="Arial" w:cs="Times New Roman"/>
      <w:color w:val="808080"/>
      <w:kern w:val="12"/>
      <w:sz w:val="15"/>
      <w:szCs w:val="24"/>
    </w:rPr>
  </w:style>
  <w:style w:type="paragraph" w:styleId="BalloonText">
    <w:name w:val="Balloon Text"/>
    <w:basedOn w:val="Normal"/>
    <w:link w:val="BalloonTextChar"/>
    <w:uiPriority w:val="99"/>
    <w:semiHidden/>
    <w:unhideWhenUsed/>
    <w:rsid w:val="00063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91"/>
    <w:rPr>
      <w:rFonts w:ascii="Segoe UI" w:hAnsi="Segoe UI" w:cs="Segoe UI"/>
      <w:sz w:val="18"/>
      <w:szCs w:val="18"/>
    </w:rPr>
  </w:style>
  <w:style w:type="paragraph" w:customStyle="1" w:styleId="FRDText">
    <w:name w:val="FRD Text"/>
    <w:basedOn w:val="Normal"/>
    <w:link w:val="FRDTextChar"/>
    <w:uiPriority w:val="99"/>
    <w:rsid w:val="003425E4"/>
    <w:pPr>
      <w:overflowPunct w:val="0"/>
      <w:autoSpaceDE w:val="0"/>
      <w:autoSpaceDN w:val="0"/>
      <w:adjustRightInd w:val="0"/>
      <w:spacing w:after="120" w:line="280" w:lineRule="exact"/>
      <w:textAlignment w:val="baseline"/>
    </w:pPr>
    <w:rPr>
      <w:rFonts w:ascii="Times New Roman" w:eastAsia="MS Mincho" w:hAnsi="Times New Roman" w:cs="Times New Roman"/>
      <w:szCs w:val="20"/>
    </w:rPr>
  </w:style>
  <w:style w:type="character" w:customStyle="1" w:styleId="FRDTextChar">
    <w:name w:val="FRD Text Char"/>
    <w:basedOn w:val="DefaultParagraphFont"/>
    <w:link w:val="FRDText"/>
    <w:uiPriority w:val="99"/>
    <w:rsid w:val="003425E4"/>
    <w:rPr>
      <w:rFonts w:ascii="Times New Roman" w:eastAsia="MS Mincho" w:hAnsi="Times New Roman" w:cs="Times New Roman"/>
      <w:szCs w:val="20"/>
    </w:rPr>
  </w:style>
  <w:style w:type="character" w:styleId="CommentReference">
    <w:name w:val="annotation reference"/>
    <w:basedOn w:val="DefaultParagraphFont"/>
    <w:uiPriority w:val="99"/>
    <w:semiHidden/>
    <w:unhideWhenUsed/>
    <w:rsid w:val="00E90962"/>
    <w:rPr>
      <w:sz w:val="16"/>
      <w:szCs w:val="16"/>
    </w:rPr>
  </w:style>
  <w:style w:type="paragraph" w:styleId="CommentText">
    <w:name w:val="annotation text"/>
    <w:basedOn w:val="Normal"/>
    <w:link w:val="CommentTextChar"/>
    <w:uiPriority w:val="99"/>
    <w:semiHidden/>
    <w:unhideWhenUsed/>
    <w:rsid w:val="00E90962"/>
    <w:pPr>
      <w:spacing w:line="240" w:lineRule="auto"/>
    </w:pPr>
    <w:rPr>
      <w:sz w:val="20"/>
      <w:szCs w:val="20"/>
    </w:rPr>
  </w:style>
  <w:style w:type="character" w:customStyle="1" w:styleId="CommentTextChar">
    <w:name w:val="Comment Text Char"/>
    <w:basedOn w:val="DefaultParagraphFont"/>
    <w:link w:val="CommentText"/>
    <w:uiPriority w:val="99"/>
    <w:semiHidden/>
    <w:rsid w:val="00E90962"/>
    <w:rPr>
      <w:sz w:val="20"/>
      <w:szCs w:val="20"/>
    </w:rPr>
  </w:style>
  <w:style w:type="paragraph" w:styleId="CommentSubject">
    <w:name w:val="annotation subject"/>
    <w:basedOn w:val="CommentText"/>
    <w:next w:val="CommentText"/>
    <w:link w:val="CommentSubjectChar"/>
    <w:uiPriority w:val="99"/>
    <w:semiHidden/>
    <w:unhideWhenUsed/>
    <w:rsid w:val="00E90962"/>
    <w:rPr>
      <w:b/>
      <w:bCs/>
    </w:rPr>
  </w:style>
  <w:style w:type="character" w:customStyle="1" w:styleId="CommentSubjectChar">
    <w:name w:val="Comment Subject Char"/>
    <w:basedOn w:val="CommentTextChar"/>
    <w:link w:val="CommentSubject"/>
    <w:uiPriority w:val="99"/>
    <w:semiHidden/>
    <w:rsid w:val="00E90962"/>
    <w:rPr>
      <w:b/>
      <w:bCs/>
      <w:sz w:val="20"/>
      <w:szCs w:val="20"/>
    </w:rPr>
  </w:style>
  <w:style w:type="table" w:styleId="PlainTable5">
    <w:name w:val="Plain Table 5"/>
    <w:basedOn w:val="TableNormal"/>
    <w:uiPriority w:val="45"/>
    <w:rsid w:val="00821B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i-provider">
    <w:name w:val="ui-provider"/>
    <w:basedOn w:val="DefaultParagraphFont"/>
    <w:rsid w:val="007B1273"/>
  </w:style>
  <w:style w:type="paragraph" w:styleId="NormalWeb">
    <w:name w:val="Normal (Web)"/>
    <w:basedOn w:val="Normal"/>
    <w:uiPriority w:val="99"/>
    <w:semiHidden/>
    <w:unhideWhenUsed/>
    <w:rsid w:val="00AC0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bullet 1 Char,Picture Char,1LU2 Char,List Paragraph1 Char,Paragraph Char,Bullet L1 Char,Yellow Bullet Char,Normal bullet 2 Char,Resume Title Char,Citation List Char,Bulet Para Char,List Paragraph Char Char Char,b1 Char,Number_1 Char"/>
    <w:basedOn w:val="DefaultParagraphFont"/>
    <w:link w:val="ListParagraph"/>
    <w:uiPriority w:val="34"/>
    <w:qFormat/>
    <w:locked/>
    <w:rsid w:val="0006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3996">
      <w:bodyDiv w:val="1"/>
      <w:marLeft w:val="0"/>
      <w:marRight w:val="0"/>
      <w:marTop w:val="0"/>
      <w:marBottom w:val="0"/>
      <w:divBdr>
        <w:top w:val="none" w:sz="0" w:space="0" w:color="auto"/>
        <w:left w:val="none" w:sz="0" w:space="0" w:color="auto"/>
        <w:bottom w:val="none" w:sz="0" w:space="0" w:color="auto"/>
        <w:right w:val="none" w:sz="0" w:space="0" w:color="auto"/>
      </w:divBdr>
    </w:div>
    <w:div w:id="698974101">
      <w:bodyDiv w:val="1"/>
      <w:marLeft w:val="0"/>
      <w:marRight w:val="0"/>
      <w:marTop w:val="0"/>
      <w:marBottom w:val="0"/>
      <w:divBdr>
        <w:top w:val="none" w:sz="0" w:space="0" w:color="auto"/>
        <w:left w:val="none" w:sz="0" w:space="0" w:color="auto"/>
        <w:bottom w:val="none" w:sz="0" w:space="0" w:color="auto"/>
        <w:right w:val="none" w:sz="0" w:space="0" w:color="auto"/>
      </w:divBdr>
    </w:div>
    <w:div w:id="19022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1BE2F-0528-4AC8-AC6C-57DE12A1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1782</Words>
  <Characters>10161</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 Nguyen</dc:creator>
  <cp:keywords/>
  <dc:description/>
  <cp:lastModifiedBy>Hai Quang Le</cp:lastModifiedBy>
  <cp:revision>2</cp:revision>
  <cp:lastPrinted>2017-04-07T03:33:00Z</cp:lastPrinted>
  <dcterms:created xsi:type="dcterms:W3CDTF">2023-06-15T10:25:00Z</dcterms:created>
  <dcterms:modified xsi:type="dcterms:W3CDTF">2023-06-15T10:25:00Z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af5b458fb00e89d3ba7fa2b755f38c0aced0c8a7ad0038b121b462c3bb378185</vt:lpwstr>
  </property>
</Properties>
</file>