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2EF3A" w14:textId="2DD67C3F"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0F107909"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600169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pPr>
        <w:keepNext w:val="0"/>
        <w:shd w:val="clear" w:color="auto" w:fill="EEF2F7"/>
        <w:spacing w:after="80" w:before="160" w:line="240" w:lineRule="auto"/>
        <w:ind w:left="0"/>
      </w:pPr>
      <w:r>
        <w:rPr>
          <w:rFonts w:ascii="Archivo Light" w:hAnsi="Archivo Light" w:eastAsia="Archivo Light"/>
          <w:b/>
          <w:i w:val="0"/>
          <w:color w:val="1F3A5F"/>
          <w:sz w:val="22"/>
        </w:rPr>
        <w:t xml:space="preserve">GUÍA PARA ASIGNAR LA CALIFICACIÓN  </w:t>
      </w:r>
      <w:r>
        <w:rPr>
          <w:rFonts w:ascii="Archivo Light" w:hAnsi="Archivo Light" w:eastAsia="Archivo Light"/>
          <w:b w:val="0"/>
          <w:i/>
          <w:color w:val="404040"/>
          <w:sz w:val="18"/>
        </w:rPr>
        <w:t>[borrar al finalizar]</w:t>
      </w:r>
    </w:p>
    <w:p>
      <w:pPr>
        <w:keepNext w:val="0"/>
        <w:spacing w:after="120" w:before="0" w:line="240" w:lineRule="auto"/>
        <w:ind w:left="0"/>
      </w:pPr>
      <w:r>
        <w:rPr>
          <w:rFonts w:ascii="Archivo Light" w:hAnsi="Archivo Light" w:eastAsia="Archivo Light"/>
          <w:b w:val="0"/>
          <w:i w:val="0"/>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type="auto" w:w="0"/>
        <w:tblLayout w:type="fixed"/>
        <w:tblLook w:firstColumn="1" w:firstRow="1" w:lastColumn="0" w:lastRow="0" w:noHBand="0" w:noVBand="1" w:val="04A0"/>
      </w:tblPr>
      <w:tblGrid>
        <w:gridCol w:w="1728"/>
        <w:gridCol w:w="1584"/>
        <w:gridCol w:w="5472"/>
      </w:tblGrid>
      <w:tr>
        <w:trPr>
          <w:tblHeader w:val="true"/>
          <w:cantSplit w:val="true"/>
        </w:trPr>
        <w:tc>
          <w:tcPr>
            <w:tcW w:type="dxa" w:w="1728"/>
            <w:shd w:val="clear" w:color="auto" w:fill="1F3A5F"/>
          </w:tcPr>
          <w:p>
            <w:r/>
            <w:r>
              <w:rPr>
                <w:rFonts w:ascii="Archivo Light" w:hAnsi="Archivo Light" w:eastAsia="Archivo Light"/>
                <w:b/>
                <w:i w:val="0"/>
                <w:color w:val="FFFFFF"/>
                <w:sz w:val="17"/>
              </w:rPr>
              <w:t>Calificación</w:t>
            </w:r>
          </w:p>
        </w:tc>
        <w:tc>
          <w:tcPr>
            <w:tcW w:type="dxa" w:w="1584"/>
            <w:shd w:val="clear" w:color="auto" w:fill="1F3A5F"/>
          </w:tcPr>
          <w:p>
            <w:r/>
            <w:r>
              <w:rPr>
                <w:rFonts w:ascii="Archivo Light" w:hAnsi="Archivo Light" w:eastAsia="Archivo Light"/>
                <w:b/>
                <w:i w:val="0"/>
                <w:color w:val="FFFFFF"/>
                <w:sz w:val="17"/>
              </w:rPr>
              <w:t>Rango del puntaje</w:t>
            </w:r>
          </w:p>
        </w:tc>
        <w:tc>
          <w:tcPr>
            <w:tcW w:type="dxa" w:w="5472"/>
            <w:shd w:val="clear" w:color="auto" w:fill="1F3A5F"/>
          </w:tcPr>
          <w:p>
            <w:r/>
            <w:r>
              <w:rPr>
                <w:rFonts w:ascii="Archivo Light" w:hAnsi="Archivo Light" w:eastAsia="Archivo Light"/>
                <w:b/>
                <w:i w:val="0"/>
                <w:color w:val="FFFFFF"/>
                <w:sz w:val="17"/>
              </w:rPr>
              <w:t>Definición</w:t>
            </w:r>
          </w:p>
        </w:tc>
      </w:tr>
      <w:tr>
        <w:trPr>
          <w:cantSplit w:val="true"/>
        </w:trPr>
        <w:tc>
          <w:tcPr>
            <w:tcW w:type="dxa" w:w="1728"/>
            <w:shd w:val="clear" w:color="auto" w:fill="DCEFD9"/>
          </w:tcPr>
          <w:p>
            <w:pPr>
              <w:spacing w:after="0"/>
            </w:pPr>
            <w:r/>
            <w:r>
              <w:rPr>
                <w:rFonts w:ascii="Archivo Light" w:hAnsi="Archivo Light" w:eastAsia="Archivo Light"/>
                <w:b/>
                <w:i w:val="0"/>
                <w:sz w:val="17"/>
              </w:rPr>
              <w:t>EXCELENTE</w:t>
            </w:r>
          </w:p>
        </w:tc>
        <w:tc>
          <w:tcPr>
            <w:tcW w:type="dxa" w:w="1584"/>
            <w:shd w:val="clear" w:color="auto" w:fill="DCEFD9"/>
          </w:tcPr>
          <w:p>
            <w:pPr>
              <w:spacing w:after="0"/>
            </w:pPr>
            <w:r/>
            <w:r>
              <w:rPr>
                <w:rFonts w:ascii="Archivo Light" w:hAnsi="Archivo Light" w:eastAsia="Archivo Light"/>
                <w:b w:val="0"/>
                <w:i w:val="0"/>
                <w:sz w:val="17"/>
              </w:rPr>
              <w:t>4.50 – 5.00</w:t>
            </w:r>
          </w:p>
        </w:tc>
        <w:tc>
          <w:tcPr>
            <w:tcW w:type="dxa" w:w="5472"/>
            <w:shd w:val="clear" w:color="auto" w:fill="DCEFD9"/>
          </w:tcPr>
          <w:p>
            <w:pPr>
              <w:spacing w:after="0"/>
            </w:pPr>
            <w:r/>
            <w:r>
              <w:rPr>
                <w:rFonts w:ascii="Archivo Light" w:hAnsi="Archivo Light" w:eastAsia="Archivo Light"/>
                <w:b w:val="0"/>
                <w:i w:val="0"/>
                <w:sz w:val="17"/>
              </w:rPr>
              <w:t>El resultado refleja los mejores estándares nacionales e internacionales y una tendencia sostenida a lo largo del tiempo. (Equivale a 'Ideal' en los anexos de medición.)</w:t>
            </w:r>
          </w:p>
        </w:tc>
      </w:tr>
      <w:tr>
        <w:trPr>
          <w:cantSplit w:val="true"/>
        </w:trPr>
        <w:tc>
          <w:tcPr>
            <w:tcW w:type="dxa" w:w="1728"/>
            <w:shd w:val="clear" w:color="auto" w:fill="EAF4D8"/>
          </w:tcPr>
          <w:p>
            <w:pPr>
              <w:spacing w:after="0"/>
            </w:pPr>
            <w:r/>
            <w:r>
              <w:rPr>
                <w:rFonts w:ascii="Archivo Light" w:hAnsi="Archivo Light" w:eastAsia="Archivo Light"/>
                <w:b/>
                <w:i w:val="0"/>
                <w:sz w:val="17"/>
              </w:rPr>
              <w:t>MUY BIEN</w:t>
            </w:r>
          </w:p>
        </w:tc>
        <w:tc>
          <w:tcPr>
            <w:tcW w:type="dxa" w:w="1584"/>
            <w:shd w:val="clear" w:color="auto" w:fill="EAF4D8"/>
          </w:tcPr>
          <w:p>
            <w:pPr>
              <w:spacing w:after="0"/>
            </w:pPr>
            <w:r/>
            <w:r>
              <w:rPr>
                <w:rFonts w:ascii="Archivo Light" w:hAnsi="Archivo Light" w:eastAsia="Archivo Light"/>
                <w:b w:val="0"/>
                <w:i w:val="0"/>
                <w:sz w:val="17"/>
              </w:rPr>
              <w:t>3.50 – 4.49</w:t>
            </w:r>
          </w:p>
        </w:tc>
        <w:tc>
          <w:tcPr>
            <w:tcW w:type="dxa" w:w="5472"/>
            <w:shd w:val="clear" w:color="auto" w:fill="EAF4D8"/>
          </w:tcPr>
          <w:p>
            <w:pPr>
              <w:spacing w:after="0"/>
            </w:pPr>
            <w:r/>
            <w:r>
              <w:rPr>
                <w:rFonts w:ascii="Archivo Light" w:hAnsi="Archivo Light" w:eastAsia="Archivo Light"/>
                <w:b w:val="0"/>
                <w:i w:val="0"/>
                <w:sz w:val="17"/>
              </w:rPr>
              <w:t>Buenos estándares que ubican al municipio entre los mejores del país o de su entidad; puede haber puntos fuera de tendencia, pero los resultados son consistentes.</w:t>
            </w:r>
          </w:p>
        </w:tc>
      </w:tr>
      <w:tr>
        <w:trPr>
          <w:cantSplit w:val="true"/>
        </w:trPr>
        <w:tc>
          <w:tcPr>
            <w:tcW w:type="dxa" w:w="1728"/>
            <w:shd w:val="clear" w:color="auto" w:fill="FFF6D5"/>
          </w:tcPr>
          <w:p>
            <w:pPr>
              <w:spacing w:after="0"/>
            </w:pPr>
            <w:r/>
            <w:r>
              <w:rPr>
                <w:rFonts w:ascii="Archivo Light" w:hAnsi="Archivo Light" w:eastAsia="Archivo Light"/>
                <w:b/>
                <w:i w:val="0"/>
                <w:sz w:val="17"/>
              </w:rPr>
              <w:t>REGULAR</w:t>
            </w:r>
          </w:p>
        </w:tc>
        <w:tc>
          <w:tcPr>
            <w:tcW w:type="dxa" w:w="1584"/>
            <w:shd w:val="clear" w:color="auto" w:fill="FFF6D5"/>
          </w:tcPr>
          <w:p>
            <w:pPr>
              <w:spacing w:after="0"/>
            </w:pPr>
            <w:r/>
            <w:r>
              <w:rPr>
                <w:rFonts w:ascii="Archivo Light" w:hAnsi="Archivo Light" w:eastAsia="Archivo Light"/>
                <w:b w:val="0"/>
                <w:i w:val="0"/>
                <w:sz w:val="17"/>
              </w:rPr>
              <w:t>2.50 – 3.49</w:t>
            </w:r>
          </w:p>
        </w:tc>
        <w:tc>
          <w:tcPr>
            <w:tcW w:type="dxa" w:w="5472"/>
            <w:shd w:val="clear" w:color="auto" w:fill="FFF6D5"/>
          </w:tcPr>
          <w:p>
            <w:pPr>
              <w:spacing w:after="0"/>
            </w:pPr>
            <w:r/>
            <w:r>
              <w:rPr>
                <w:rFonts w:ascii="Archivo Light" w:hAnsi="Archivo Light" w:eastAsia="Archivo Light"/>
                <w:b w:val="0"/>
                <w:i w:val="0"/>
                <w:sz w:val="17"/>
              </w:rPr>
              <w:t>Se cumple a secas con la función municipal; no se alcanza un estándar nacional o internacional y no hay una tendencia de cumplimiento sostenido.</w:t>
            </w:r>
          </w:p>
        </w:tc>
      </w:tr>
      <w:tr>
        <w:trPr>
          <w:cantSplit w:val="true"/>
        </w:trPr>
        <w:tc>
          <w:tcPr>
            <w:tcW w:type="dxa" w:w="1728"/>
            <w:shd w:val="clear" w:color="auto" w:fill="FCE3CF"/>
          </w:tcPr>
          <w:p>
            <w:pPr>
              <w:spacing w:after="0"/>
            </w:pPr>
            <w:r/>
            <w:r>
              <w:rPr>
                <w:rFonts w:ascii="Archivo Light" w:hAnsi="Archivo Light" w:eastAsia="Archivo Light"/>
                <w:b/>
                <w:i w:val="0"/>
                <w:sz w:val="17"/>
              </w:rPr>
              <w:t>MAL</w:t>
            </w:r>
          </w:p>
        </w:tc>
        <w:tc>
          <w:tcPr>
            <w:tcW w:type="dxa" w:w="1584"/>
            <w:shd w:val="clear" w:color="auto" w:fill="FCE3CF"/>
          </w:tcPr>
          <w:p>
            <w:pPr>
              <w:spacing w:after="0"/>
            </w:pPr>
            <w:r/>
            <w:r>
              <w:rPr>
                <w:rFonts w:ascii="Archivo Light" w:hAnsi="Archivo Light" w:eastAsia="Archivo Light"/>
                <w:b w:val="0"/>
                <w:i w:val="0"/>
                <w:sz w:val="17"/>
              </w:rPr>
              <w:t>1.50 – 2.49</w:t>
            </w:r>
          </w:p>
        </w:tc>
        <w:tc>
          <w:tcPr>
            <w:tcW w:type="dxa" w:w="5472"/>
            <w:shd w:val="clear" w:color="auto" w:fill="FCE3CF"/>
          </w:tcPr>
          <w:p>
            <w:pPr>
              <w:spacing w:after="0"/>
            </w:pPr>
            <w:r/>
            <w:r>
              <w:rPr>
                <w:rFonts w:ascii="Archivo Light" w:hAnsi="Archivo Light" w:eastAsia="Archivo Light"/>
                <w:b w:val="0"/>
                <w:i w:val="0"/>
                <w:sz w:val="17"/>
              </w:rPr>
              <w:t>No se alcanza el propósito de la función a pesar de intentarlo; el desempeño es accidentado y no se sostiene.</w:t>
            </w:r>
          </w:p>
        </w:tc>
      </w:tr>
      <w:tr>
        <w:trPr>
          <w:cantSplit w:val="true"/>
        </w:trPr>
        <w:tc>
          <w:tcPr>
            <w:tcW w:type="dxa" w:w="1728"/>
            <w:shd w:val="clear" w:color="auto" w:fill="F6D2D2"/>
          </w:tcPr>
          <w:p>
            <w:pPr>
              <w:spacing w:after="0"/>
            </w:pPr>
            <w:r/>
            <w:r>
              <w:rPr>
                <w:rFonts w:ascii="Archivo Light" w:hAnsi="Archivo Light" w:eastAsia="Archivo Light"/>
                <w:b/>
                <w:i w:val="0"/>
                <w:sz w:val="17"/>
              </w:rPr>
              <w:t>CATASTRÓFICO</w:t>
            </w:r>
          </w:p>
        </w:tc>
        <w:tc>
          <w:tcPr>
            <w:tcW w:type="dxa" w:w="1584"/>
            <w:shd w:val="clear" w:color="auto" w:fill="F6D2D2"/>
          </w:tcPr>
          <w:p>
            <w:pPr>
              <w:spacing w:after="0"/>
            </w:pPr>
            <w:r/>
            <w:r>
              <w:rPr>
                <w:rFonts w:ascii="Archivo Light" w:hAnsi="Archivo Light" w:eastAsia="Archivo Light"/>
                <w:b w:val="0"/>
                <w:i w:val="0"/>
                <w:sz w:val="17"/>
              </w:rPr>
              <w:t>1.00 – 1.49</w:t>
            </w:r>
          </w:p>
        </w:tc>
        <w:tc>
          <w:tcPr>
            <w:tcW w:type="dxa" w:w="5472"/>
            <w:shd w:val="clear" w:color="auto" w:fill="F6D2D2"/>
          </w:tcPr>
          <w:p>
            <w:pPr>
              <w:spacing w:after="0"/>
            </w:pPr>
            <w:r/>
            <w:r>
              <w:rPr>
                <w:rFonts w:ascii="Archivo Light" w:hAnsi="Archivo Light" w:eastAsia="Archivo Light"/>
                <w:b w:val="0"/>
                <w:i w:val="0"/>
                <w:sz w:val="17"/>
              </w:rPr>
              <w:t>La función está abandonada: el desempeño es inexistente o no hay datos que permitan revisar su evolución.</w:t>
            </w:r>
          </w:p>
        </w:tc>
      </w:tr>
    </w:tbl>
    <w:p>
      <w:pPr>
        <w:keepNext w:val="0"/>
        <w:spacing w:after="120" w:before="60" w:line="240" w:lineRule="auto"/>
        <w:ind w:left="0"/>
      </w:pPr>
      <w:r>
        <w:rPr>
          <w:rFonts w:ascii="Archivo Light" w:hAnsi="Archivo Light" w:eastAsia="Archivo Light"/>
          <w:b w:val="0"/>
          <w:i/>
          <w:color w:val="404040"/>
          <w:sz w:val="19"/>
        </w:rPr>
        <w:t>Los extremos tienen rangos más estrechos (0.5 puntos) que los niveles intermedios (1 punto), para que EXCELENTE y CATASTRÓFICO se reserven a casos claros. Los rangos corresponden al redondeo convencional del promedio.</w:t>
      </w:r>
    </w:p>
    <w:p>
      <w:pPr>
        <w:keepNext w:val="0"/>
        <w:spacing w:after="80" w:before="0" w:line="240" w:lineRule="auto"/>
        <w:ind w:left="0"/>
      </w:pPr>
      <w:r>
        <w:rPr>
          <w:rFonts w:ascii="Archivo Light" w:hAnsi="Archivo Light" w:eastAsia="Archivo Light"/>
          <w:b/>
          <w:i w:val="0"/>
          <w:color w:val="1F3A5F"/>
          <w:sz w:val="20"/>
        </w:rPr>
        <w:t xml:space="preserve">Paso 1. Puntuar cada indicador (1 a 5). </w:t>
      </w:r>
      <w:r>
        <w:rPr>
          <w:rFonts w:ascii="Archivo Light" w:hAnsi="Archivo Light" w:eastAsia="Archivo Light"/>
          <w:b w:val="0"/>
          <w:i w:val="0"/>
          <w:sz w:val="20"/>
        </w:rPr>
        <w:t>Use la ficha del indicador (Anexo 1). Cada ficha traduce el benchmark a cinco niveles: 5 = Excelente, 4 = Muy bien, 3 = Regular, 2 = Mal, 1 = Catastrófico. Cada indicador recibe dos puntajes: uno para el periodo completo y otro para el último periodo.</w:t>
      </w:r>
    </w:p>
    <w:p>
      <w:pPr>
        <w:keepNext w:val="0"/>
        <w:spacing w:after="80" w:before="0" w:line="240" w:lineRule="auto"/>
        <w:ind w:left="0"/>
      </w:pPr>
      <w:r>
        <w:rPr>
          <w:rFonts w:ascii="Archivo Light" w:hAnsi="Archivo Light" w:eastAsia="Archivo Light"/>
          <w:b/>
          <w:i w:val="0"/>
          <w:color w:val="1F3A5F"/>
          <w:sz w:val="20"/>
        </w:rPr>
        <w:t xml:space="preserve">Paso 2. Definir los dos periodos. </w:t>
      </w:r>
      <w:r>
        <w:rPr>
          <w:rFonts w:ascii="Archivo Light" w:hAnsi="Archivo Light" w:eastAsia="Archivo Light"/>
          <w:b w:val="0"/>
          <w:i w:val="0"/>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pPr>
        <w:keepNext w:val="0"/>
        <w:spacing w:after="80" w:before="0" w:line="240" w:lineRule="auto"/>
        <w:ind w:left="0"/>
      </w:pPr>
      <w:r>
        <w:rPr>
          <w:rFonts w:ascii="Archivo Light" w:hAnsi="Archivo Light" w:eastAsia="Archivo Light"/>
          <w:b/>
          <w:i w:val="0"/>
          <w:color w:val="1F3A5F"/>
          <w:sz w:val="20"/>
        </w:rPr>
        <w:t xml:space="preserve">Paso 3. Tratar los datos faltantes. </w:t>
      </w:r>
      <w:r>
        <w:rPr>
          <w:rFonts w:ascii="Archivo Light" w:hAnsi="Archivo Light" w:eastAsia="Archivo Light"/>
          <w:b w:val="0"/>
          <w:i w:val="0"/>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pPr>
        <w:keepNext w:val="0"/>
        <w:spacing w:after="80" w:before="0" w:line="240" w:lineRule="auto"/>
        <w:ind w:left="0"/>
      </w:pPr>
      <w:r>
        <w:rPr>
          <w:rFonts w:ascii="Archivo Light" w:hAnsi="Archivo Light" w:eastAsia="Archivo Light"/>
          <w:b/>
          <w:i w:val="0"/>
          <w:color w:val="1F3A5F"/>
          <w:sz w:val="20"/>
        </w:rPr>
        <w:t xml:space="preserve">Paso 4. Promediar por dimensión. </w:t>
      </w:r>
      <w:r>
        <w:rPr>
          <w:rFonts w:ascii="Archivo Light" w:hAnsi="Archivo Light" w:eastAsia="Archivo Light"/>
          <w:b w:val="0"/>
          <w:i w:val="0"/>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pPr>
        <w:keepNext w:val="0"/>
        <w:spacing w:after="80" w:before="0" w:line="240" w:lineRule="auto"/>
        <w:ind w:left="0"/>
      </w:pPr>
      <w:r>
        <w:rPr>
          <w:rFonts w:ascii="Archivo Light" w:hAnsi="Archivo Light" w:eastAsia="Archivo Light"/>
          <w:b/>
          <w:i w:val="0"/>
          <w:color w:val="1F3A5F"/>
          <w:sz w:val="20"/>
        </w:rPr>
        <w:t xml:space="preserve">Paso 5. Calcular la calificación. </w:t>
      </w:r>
      <w:r>
        <w:rPr>
          <w:rFonts w:ascii="Archivo Light" w:hAnsi="Archivo Light" w:eastAsia="Archivo Light"/>
          <w:b w:val="0"/>
          <w:i w:val="0"/>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pPr>
        <w:keepNext w:val="0"/>
        <w:spacing w:after="80" w:before="0" w:line="240" w:lineRule="auto"/>
        <w:ind w:left="0"/>
      </w:pPr>
      <w:r>
        <w:rPr>
          <w:rFonts w:ascii="Archivo Light" w:hAnsi="Archivo Light" w:eastAsia="Archivo Light"/>
          <w:b/>
          <w:i w:val="0"/>
          <w:color w:val="1F3A5F"/>
          <w:sz w:val="20"/>
        </w:rPr>
        <w:t xml:space="preserve">Paso 6. Aplicar los candados y ajustes. </w:t>
      </w:r>
      <w:r>
        <w:rPr>
          <w:rFonts w:ascii="Archivo Light" w:hAnsi="Archivo Light" w:eastAsia="Archivo Light"/>
          <w:b w:val="0"/>
          <w:i w:val="0"/>
          <w:sz w:val="20"/>
        </w:rPr>
        <w:t>Después del promedio se revisan las reglas de la lista siguiente. Pueden bajar la calificación, pero nunca subirla por encima de lo que da el promedio.</w:t>
      </w:r>
    </w:p>
    <w:p>
      <w:pPr>
        <w:keepNext w:val="0"/>
        <w:spacing w:after="40" w:before="80" w:line="240" w:lineRule="auto"/>
        <w:ind w:left="0"/>
      </w:pPr>
      <w:r>
        <w:rPr>
          <w:rFonts w:ascii="Archivo Light" w:hAnsi="Archivo Light" w:eastAsia="Archivo Light"/>
          <w:b/>
          <w:i w:val="0"/>
          <w:color w:val="1F3A5F"/>
          <w:sz w:val="20"/>
        </w:rPr>
        <w:t>Candados y ajustes</w:t>
      </w:r>
    </w:p>
    <w:p>
      <w:pPr>
        <w:keepNext w:val="0"/>
        <w:spacing w:after="40" w:before="0" w:line="240" w:lineRule="auto"/>
        <w:ind w:left="432" w:hanging="288"/>
      </w:pPr>
      <w:r>
        <w:rPr>
          <w:rFonts w:ascii="Archivo Light" w:hAnsi="Archivo Light" w:eastAsia="Archivo Light"/>
          <w:b/>
          <w:i w:val="0"/>
          <w:color w:val="1F3A5F"/>
          <w:sz w:val="20"/>
        </w:rPr>
        <w:t xml:space="preserve">1. </w:t>
      </w:r>
      <w:r>
        <w:rPr>
          <w:rFonts w:ascii="Archivo Light" w:hAnsi="Archivo Light" w:eastAsia="Archivo Light"/>
          <w:b w:val="0"/>
          <w:i w:val="0"/>
          <w:sz w:val="20"/>
        </w:rPr>
        <w:t>Dimensión colapsada: si alguna dimensión obtiene menos de 1.50, la calificación no puede ser mayor que REGULAR, aunque el promedio lo permita.</w:t>
      </w:r>
    </w:p>
    <w:p>
      <w:pPr>
        <w:keepNext w:val="0"/>
        <w:spacing w:after="40" w:before="0" w:line="240" w:lineRule="auto"/>
        <w:ind w:left="432" w:hanging="288"/>
      </w:pPr>
      <w:r>
        <w:rPr>
          <w:rFonts w:ascii="Archivo Light" w:hAnsi="Archivo Light" w:eastAsia="Archivo Light"/>
          <w:b/>
          <w:i w:val="0"/>
          <w:color w:val="1F3A5F"/>
          <w:sz w:val="20"/>
        </w:rPr>
        <w:t xml:space="preserve">2. </w:t>
      </w:r>
      <w:r>
        <w:rPr>
          <w:rFonts w:ascii="Archivo Light" w:hAnsi="Archivo Light" w:eastAsia="Archivo Light"/>
          <w:b w:val="0"/>
          <w:i w:val="0"/>
          <w:sz w:val="20"/>
        </w:rPr>
        <w:t>Condición para EXCELENTE: ninguna dimensión puede estar por debajo de 4.00 y ningún indicador puede tener 1.</w:t>
      </w:r>
    </w:p>
    <w:p>
      <w:pPr>
        <w:keepNext w:val="0"/>
        <w:spacing w:after="40" w:before="0" w:line="240" w:lineRule="auto"/>
        <w:ind w:left="432" w:hanging="288"/>
      </w:pPr>
      <w:r>
        <w:rPr>
          <w:rFonts w:ascii="Archivo Light" w:hAnsi="Archivo Light" w:eastAsia="Archivo Light"/>
          <w:b/>
          <w:i w:val="0"/>
          <w:color w:val="1F3A5F"/>
          <w:sz w:val="20"/>
        </w:rPr>
        <w:t xml:space="preserve">3. </w:t>
      </w:r>
      <w:r>
        <w:rPr>
          <w:rFonts w:ascii="Archivo Light" w:hAnsi="Archivo Light" w:eastAsia="Archivo Light"/>
          <w:b w:val="0"/>
          <w:i w:val="0"/>
          <w:sz w:val="20"/>
        </w:rPr>
        <w:t>Condición para MUY BIEN: ninguna dimensión puede estar por debajo de 2.50.</w:t>
      </w:r>
    </w:p>
    <w:p>
      <w:pPr>
        <w:keepNext w:val="0"/>
        <w:spacing w:after="40" w:before="0" w:line="240" w:lineRule="auto"/>
        <w:ind w:left="432" w:hanging="288"/>
      </w:pPr>
      <w:r>
        <w:rPr>
          <w:rFonts w:ascii="Archivo Light" w:hAnsi="Archivo Light" w:eastAsia="Archivo Light"/>
          <w:b/>
          <w:i w:val="0"/>
          <w:color w:val="1F3A5F"/>
          <w:sz w:val="20"/>
        </w:rPr>
        <w:t xml:space="preserve">4. </w:t>
      </w:r>
      <w:r>
        <w:rPr>
          <w:rFonts w:ascii="Archivo Light" w:hAnsi="Archivo Light" w:eastAsia="Archivo Light"/>
          <w:b w:val="0"/>
          <w:i w:val="0"/>
          <w:sz w:val="20"/>
        </w:rPr>
        <w:t>Falta de información: si más de la mitad de los indicadores tienen 1 por falta de respuesta del municipio, la calificación es CATASTRÓFICO.</w:t>
      </w:r>
    </w:p>
    <w:p>
      <w:pPr>
        <w:keepNext w:val="0"/>
        <w:spacing w:after="40" w:before="0" w:line="240" w:lineRule="auto"/>
        <w:ind w:left="432" w:hanging="288"/>
      </w:pPr>
      <w:r>
        <w:rPr>
          <w:rFonts w:ascii="Archivo Light" w:hAnsi="Archivo Light" w:eastAsia="Archivo Light"/>
          <w:b/>
          <w:i w:val="0"/>
          <w:color w:val="1F3A5F"/>
          <w:sz w:val="20"/>
        </w:rPr>
        <w:t xml:space="preserve">5. </w:t>
      </w:r>
      <w:r>
        <w:rPr>
          <w:rFonts w:ascii="Archivo Light" w:hAnsi="Archivo Light" w:eastAsia="Archivo Light"/>
          <w:b w:val="0"/>
          <w:i w:val="0"/>
          <w:sz w:val="20"/>
        </w:rPr>
        <w:t>Ajuste por dato dudoso: el evaluador puede mover un indicador un punto hacia arriba o hacia abajo si lo justifica por escrito en la hoja de cómputo. Se permiten como máximo tres ajustes por evaluación.</w:t>
      </w:r>
    </w:p>
    <w:p>
      <w:pPr>
        <w:keepNext w:val="0"/>
        <w:spacing w:after="40" w:before="0" w:line="240" w:lineRule="auto"/>
        <w:ind w:left="432" w:hanging="288"/>
      </w:pPr>
      <w:r>
        <w:rPr>
          <w:rFonts w:ascii="Archivo Light" w:hAnsi="Archivo Light" w:eastAsia="Archivo Light"/>
          <w:b/>
          <w:i w:val="0"/>
          <w:color w:val="1F3A5F"/>
          <w:sz w:val="20"/>
        </w:rPr>
        <w:t xml:space="preserve">6. </w:t>
      </w:r>
      <w:r>
        <w:rPr>
          <w:rFonts w:ascii="Archivo Light" w:hAnsi="Archivo Light" w:eastAsia="Archivo Light"/>
          <w:b w:val="0"/>
          <w:i w:val="0"/>
          <w:sz w:val="20"/>
        </w:rPr>
        <w:t>Divergencia entre periodos: si la calificación general y la del último periodo difieren en dos niveles o más, el texto debe explicar el cambio (por ejemplo, un cambio de administración o el fin de un subsidio).</w:t>
      </w:r>
    </w:p>
    <w:p>
      <w:pPr>
        <w:keepNext w:val="0"/>
        <w:spacing w:after="120" w:before="80" w:line="240" w:lineRule="auto"/>
        <w:ind w:left="0"/>
      </w:pPr>
      <w:r>
        <w:rPr>
          <w:rFonts w:ascii="Archivo Light" w:hAnsi="Archivo Light" w:eastAsia="Archivo Light"/>
          <w:b w:val="0"/>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pPr>
        <w:keepNext w:val="0"/>
        <w:shd w:val="clear" w:color="auto" w:fill="EEF2F7"/>
        <w:spacing w:after="80" w:before="120" w:line="240" w:lineRule="auto"/>
        <w:ind w:left="0"/>
      </w:pPr>
      <w:r>
        <w:rPr>
          <w:rFonts w:ascii="Archivo Light" w:hAnsi="Archivo Light" w:eastAsia="Archivo Light"/>
          <w:b/>
          <w:i w:val="0"/>
          <w:color w:val="1F3A5F"/>
          <w:sz w:val="22"/>
        </w:rPr>
        <w:t>HOJA DE CÓMPUTO</w:t>
      </w:r>
    </w:p>
    <w:tbl>
      <w:tblPr>
        <w:tblStyle w:val="Tablaconcuadrcula"/>
        <w:tblW w:type="auto" w:w="0"/>
        <w:tblLayout w:type="fixed"/>
        <w:tblLook w:firstColumn="1" w:firstRow="1" w:lastColumn="0" w:lastRow="0" w:noHBand="0" w:noVBand="1" w:val="04A0"/>
      </w:tblPr>
      <w:tblGrid>
        <w:gridCol w:w="648"/>
        <w:gridCol w:w="3312"/>
        <w:gridCol w:w="1224"/>
        <w:gridCol w:w="1224"/>
        <w:gridCol w:w="2376"/>
      </w:tblGrid>
      <w:tr>
        <w:trPr>
          <w:tblHeader w:val="true"/>
          <w:cantSplit w:val="true"/>
        </w:trPr>
        <w:tc>
          <w:tcPr>
            <w:tcW w:type="dxa" w:w="648"/>
            <w:shd w:val="clear" w:color="auto" w:fill="1F3A5F"/>
          </w:tcPr>
          <w:p>
            <w:r/>
            <w:r>
              <w:rPr>
                <w:rFonts w:ascii="Archivo Light" w:hAnsi="Archivo Light" w:eastAsia="Archivo Light"/>
                <w:b/>
                <w:i w:val="0"/>
                <w:color w:val="FFFFFF"/>
                <w:sz w:val="17"/>
              </w:rPr>
              <w:t>#</w:t>
            </w:r>
          </w:p>
        </w:tc>
        <w:tc>
          <w:tcPr>
            <w:tcW w:type="dxa" w:w="3312"/>
            <w:shd w:val="clear" w:color="auto" w:fill="1F3A5F"/>
          </w:tcPr>
          <w:p>
            <w:r/>
            <w:r>
              <w:rPr>
                <w:rFonts w:ascii="Archivo Light" w:hAnsi="Archivo Light" w:eastAsia="Archivo Light"/>
                <w:b/>
                <w:i w:val="0"/>
                <w:color w:val="FFFFFF"/>
                <w:sz w:val="17"/>
              </w:rPr>
              <w:t>Indicador</w:t>
            </w:r>
          </w:p>
        </w:tc>
        <w:tc>
          <w:tcPr>
            <w:tcW w:type="dxa" w:w="1224"/>
            <w:shd w:val="clear" w:color="auto" w:fill="1F3A5F"/>
          </w:tcPr>
          <w:p>
            <w:r/>
            <w:r>
              <w:rPr>
                <w:rFonts w:ascii="Archivo Light" w:hAnsi="Archivo Light" w:eastAsia="Archivo Light"/>
                <w:b/>
                <w:i w:val="0"/>
                <w:color w:val="FFFFFF"/>
                <w:sz w:val="17"/>
              </w:rPr>
              <w:t>Puntaje general (1-5)</w:t>
            </w:r>
          </w:p>
        </w:tc>
        <w:tc>
          <w:tcPr>
            <w:tcW w:type="dxa" w:w="1224"/>
            <w:shd w:val="clear" w:color="auto" w:fill="1F3A5F"/>
          </w:tcPr>
          <w:p>
            <w:r/>
            <w:r>
              <w:rPr>
                <w:rFonts w:ascii="Archivo Light" w:hAnsi="Archivo Light" w:eastAsia="Archivo Light"/>
                <w:b/>
                <w:i w:val="0"/>
                <w:color w:val="FFFFFF"/>
                <w:sz w:val="17"/>
              </w:rPr>
              <w:t>Puntaje último periodo (1-5)</w:t>
            </w:r>
          </w:p>
        </w:tc>
        <w:tc>
          <w:tcPr>
            <w:tcW w:type="dxa" w:w="2376"/>
            <w:shd w:val="clear" w:color="auto" w:fill="1F3A5F"/>
          </w:tcPr>
          <w:p>
            <w:r/>
            <w:r>
              <w:rPr>
                <w:rFonts w:ascii="Archivo Light" w:hAnsi="Archivo Light" w:eastAsia="Archivo Light"/>
                <w:b/>
                <w:i w:val="0"/>
                <w:color w:val="FFFFFF"/>
                <w:sz w:val="17"/>
              </w:rPr>
              <w:t>Nota (sin dato / dato dudoso / ajuste)</w:t>
            </w:r>
          </w:p>
        </w:tc>
      </w:tr>
      <w:tr>
        <w:trPr>
          <w:cantSplit w:val="true"/>
        </w:trPr>
        <w:tc>
          <w:tcPr>
            <w:tcW w:type="dxa" w:w="648"/>
          </w:tcPr>
          <w:p>
            <w:pPr>
              <w:spacing w:after="0"/>
            </w:pPr>
            <w:r/>
            <w:r>
              <w:rPr>
                <w:rFonts w:ascii="Archivo Light" w:hAnsi="Archivo Light" w:eastAsia="Archivo Light"/>
                <w:b/>
                <w:i w:val="0"/>
                <w:sz w:val="17"/>
              </w:rPr>
              <w:t>1</w:t>
            </w:r>
          </w:p>
        </w:tc>
        <w:tc>
          <w:tcPr>
            <w:tcW w:type="dxa" w:w="3312"/>
          </w:tcPr>
          <w:p>
            <w:pPr>
              <w:spacing w:after="0"/>
            </w:pPr>
            <w:r/>
            <w:r>
              <w:rPr>
                <w:rFonts w:ascii="Archivo Light" w:hAnsi="Archivo Light" w:eastAsia="Archivo Light"/>
                <w:b w:val="0"/>
                <w:i w:val="0"/>
                <w:sz w:val="17"/>
              </w:rPr>
              <w:t>Plan o programa de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2</w:t>
            </w:r>
          </w:p>
        </w:tc>
        <w:tc>
          <w:tcPr>
            <w:tcW w:type="dxa" w:w="3312"/>
            <w:shd w:val="clear" w:color="auto" w:fill="F2F5F9"/>
          </w:tcPr>
          <w:p>
            <w:pPr>
              <w:spacing w:after="0"/>
            </w:pPr>
            <w:r/>
            <w:r>
              <w:rPr>
                <w:rFonts w:ascii="Archivo Light" w:hAnsi="Archivo Light" w:eastAsia="Archivo Light"/>
                <w:b w:val="0"/>
                <w:i w:val="0"/>
                <w:sz w:val="17"/>
              </w:rPr>
              <w:t>Capacitación en materia de protección civil</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3</w:t>
            </w:r>
          </w:p>
        </w:tc>
        <w:tc>
          <w:tcPr>
            <w:tcW w:type="dxa" w:w="3312"/>
          </w:tcPr>
          <w:p>
            <w:pPr>
              <w:spacing w:after="0"/>
            </w:pPr>
            <w:r/>
            <w:r>
              <w:rPr>
                <w:rFonts w:ascii="Archivo Light" w:hAnsi="Archivo Light" w:eastAsia="Archivo Light"/>
                <w:b w:val="0"/>
                <w:i w:val="0"/>
                <w:sz w:val="17"/>
              </w:rPr>
              <w:t>Temas de la capacitación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A. Protección civil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4</w:t>
            </w:r>
          </w:p>
        </w:tc>
        <w:tc>
          <w:tcPr>
            <w:tcW w:type="dxa" w:w="3312"/>
          </w:tcPr>
          <w:p>
            <w:pPr>
              <w:spacing w:after="0"/>
            </w:pPr>
            <w:r/>
            <w:r>
              <w:rPr>
                <w:rFonts w:ascii="Archivo Light" w:hAnsi="Archivo Light" w:eastAsia="Archivo Light"/>
                <w:b w:val="0"/>
                <w:i w:val="0"/>
                <w:sz w:val="17"/>
              </w:rPr>
              <w:t>Personal destinado a funciones de seguridad pública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5</w:t>
            </w:r>
          </w:p>
        </w:tc>
        <w:tc>
          <w:tcPr>
            <w:tcW w:type="dxa" w:w="3312"/>
            <w:shd w:val="clear" w:color="auto" w:fill="F2F5F9"/>
          </w:tcPr>
          <w:p>
            <w:pPr>
              <w:spacing w:after="0"/>
            </w:pPr>
            <w:r/>
            <w:r>
              <w:rPr>
                <w:rFonts w:ascii="Archivo Light" w:hAnsi="Archivo Light" w:eastAsia="Archivo Light"/>
                <w:b w:val="0"/>
                <w:i w:val="0"/>
                <w:sz w:val="17"/>
              </w:rPr>
              <w:t>Evaluaciones de control de confianza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6</w:t>
            </w:r>
          </w:p>
        </w:tc>
        <w:tc>
          <w:tcPr>
            <w:tcW w:type="dxa" w:w="3312"/>
          </w:tcPr>
          <w:p>
            <w:pPr>
              <w:spacing w:after="0"/>
            </w:pPr>
            <w:r/>
            <w:r>
              <w:rPr>
                <w:rFonts w:ascii="Archivo Light" w:hAnsi="Archivo Light" w:eastAsia="Archivo Light"/>
                <w:b w:val="0"/>
                <w:i w:val="0"/>
                <w:sz w:val="17"/>
              </w:rPr>
              <w:t>Instituto de formación, capacitación y/o profesionalización</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7</w:t>
            </w:r>
          </w:p>
        </w:tc>
        <w:tc>
          <w:tcPr>
            <w:tcW w:type="dxa" w:w="3312"/>
            <w:shd w:val="clear" w:color="auto" w:fill="F2F5F9"/>
          </w:tcPr>
          <w:p>
            <w:pPr>
              <w:spacing w:after="0"/>
            </w:pPr>
            <w:r/>
            <w:r>
              <w:rPr>
                <w:rFonts w:ascii="Archivo Light" w:hAnsi="Archivo Light" w:eastAsia="Archivo Light"/>
                <w:b w:val="0"/>
                <w:i w:val="0"/>
                <w:sz w:val="17"/>
              </w:rPr>
              <w:t>Certificado Único Policial vigente</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8</w:t>
            </w:r>
          </w:p>
        </w:tc>
        <w:tc>
          <w:tcPr>
            <w:tcW w:type="dxa" w:w="3312"/>
          </w:tcPr>
          <w:p>
            <w:pPr>
              <w:spacing w:after="0"/>
            </w:pPr>
            <w:r/>
            <w:r>
              <w:rPr>
                <w:rFonts w:ascii="Archivo Light" w:hAnsi="Archivo Light" w:eastAsia="Archivo Light"/>
                <w:b w:val="0"/>
                <w:i w:val="0"/>
                <w:sz w:val="17"/>
              </w:rPr>
              <w:t>Uniformes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9</w:t>
            </w:r>
          </w:p>
        </w:tc>
        <w:tc>
          <w:tcPr>
            <w:tcW w:type="dxa" w:w="3312"/>
            <w:shd w:val="clear" w:color="auto" w:fill="F2F5F9"/>
          </w:tcPr>
          <w:p>
            <w:pPr>
              <w:spacing w:after="0"/>
            </w:pPr>
            <w:r/>
            <w:r>
              <w:rPr>
                <w:rFonts w:ascii="Archivo Light" w:hAnsi="Archivo Light" w:eastAsia="Archivo Light"/>
                <w:b w:val="0"/>
                <w:i w:val="0"/>
                <w:sz w:val="17"/>
              </w:rPr>
              <w:t>Equipamiento</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10</w:t>
            </w:r>
          </w:p>
        </w:tc>
        <w:tc>
          <w:tcPr>
            <w:tcW w:type="dxa" w:w="3312"/>
          </w:tcPr>
          <w:p>
            <w:pPr>
              <w:spacing w:after="0"/>
            </w:pPr>
            <w:r/>
            <w:r>
              <w:rPr>
                <w:rFonts w:ascii="Archivo Light" w:hAnsi="Archivo Light" w:eastAsia="Archivo Light"/>
                <w:b w:val="0"/>
                <w:i w:val="0"/>
                <w:sz w:val="17"/>
              </w:rPr>
              <w:t>Temas de capacitación (policía)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B. Condiciones del personal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11</w:t>
            </w:r>
          </w:p>
        </w:tc>
        <w:tc>
          <w:tcPr>
            <w:tcW w:type="dxa" w:w="3312"/>
          </w:tcPr>
          <w:p>
            <w:pPr>
              <w:spacing w:after="0"/>
            </w:pPr>
            <w:r/>
            <w:r>
              <w:rPr>
                <w:rFonts w:ascii="Archivo Light" w:hAnsi="Archivo Light" w:eastAsia="Archivo Light"/>
                <w:b w:val="0"/>
                <w:i w:val="0"/>
                <w:sz w:val="17"/>
              </w:rPr>
              <w:t>Sistemas de información georreferenciados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12</w:t>
            </w:r>
          </w:p>
        </w:tc>
        <w:tc>
          <w:tcPr>
            <w:tcW w:type="dxa" w:w="3312"/>
            <w:shd w:val="clear" w:color="auto" w:fill="F2F5F9"/>
          </w:tcPr>
          <w:p>
            <w:pPr>
              <w:spacing w:after="0"/>
            </w:pPr>
            <w:r/>
            <w:r>
              <w:rPr>
                <w:rFonts w:ascii="Archivo Light" w:hAnsi="Archivo Light" w:eastAsia="Archivo Light"/>
                <w:b w:val="0"/>
                <w:i w:val="0"/>
                <w:sz w:val="17"/>
              </w:rPr>
              <w:t>Patrullajes estratégicos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13</w:t>
            </w:r>
          </w:p>
        </w:tc>
        <w:tc>
          <w:tcPr>
            <w:tcW w:type="dxa" w:w="3312"/>
          </w:tcPr>
          <w:p>
            <w:pPr>
              <w:spacing w:after="0"/>
            </w:pPr>
            <w:r/>
            <w:r>
              <w:rPr>
                <w:rFonts w:ascii="Archivo Light" w:hAnsi="Archivo Light" w:eastAsia="Archivo Light"/>
                <w:b w:val="0"/>
                <w:i w:val="0"/>
                <w:sz w:val="17"/>
              </w:rPr>
              <w:t>Atención a problemas comunitarios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14</w:t>
            </w:r>
          </w:p>
        </w:tc>
        <w:tc>
          <w:tcPr>
            <w:tcW w:type="dxa" w:w="3312"/>
            <w:shd w:val="clear" w:color="auto" w:fill="F2F5F9"/>
          </w:tcPr>
          <w:p>
            <w:pPr>
              <w:spacing w:after="0"/>
            </w:pPr>
            <w:r/>
            <w:r>
              <w:rPr>
                <w:rFonts w:ascii="Archivo Light" w:hAnsi="Archivo Light" w:eastAsia="Archivo Light"/>
                <w:b w:val="0"/>
                <w:i w:val="0"/>
                <w:sz w:val="17"/>
              </w:rPr>
              <w:t>Cámaras de vigilancia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15</w:t>
            </w:r>
          </w:p>
        </w:tc>
        <w:tc>
          <w:tcPr>
            <w:tcW w:type="dxa" w:w="3312"/>
          </w:tcPr>
          <w:p>
            <w:pPr>
              <w:spacing w:after="0"/>
            </w:pPr>
            <w:r/>
            <w:r>
              <w:rPr>
                <w:rFonts w:ascii="Archivo Light" w:hAnsi="Archivo Light" w:eastAsia="Archivo Light"/>
                <w:b w:val="0"/>
                <w:i w:val="0"/>
                <w:sz w:val="17"/>
              </w:rPr>
              <w:t>Llamadas procedentes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16</w:t>
            </w:r>
          </w:p>
        </w:tc>
        <w:tc>
          <w:tcPr>
            <w:tcW w:type="dxa" w:w="3312"/>
            <w:shd w:val="clear" w:color="auto" w:fill="F2F5F9"/>
          </w:tcPr>
          <w:p>
            <w:pPr>
              <w:spacing w:after="0"/>
            </w:pPr>
            <w:r/>
            <w:r>
              <w:rPr>
                <w:rFonts w:ascii="Archivo Light" w:hAnsi="Archivo Light" w:eastAsia="Archivo Light"/>
                <w:b w:val="0"/>
                <w:i w:val="0"/>
                <w:sz w:val="17"/>
              </w:rPr>
              <w:t>Informe anual de actividades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17</w:t>
            </w:r>
          </w:p>
        </w:tc>
        <w:tc>
          <w:tcPr>
            <w:tcW w:type="dxa" w:w="3312"/>
          </w:tcPr>
          <w:p>
            <w:pPr>
              <w:spacing w:after="0"/>
            </w:pPr>
            <w:r/>
            <w:r>
              <w:rPr>
                <w:rFonts w:ascii="Archivo Light" w:hAnsi="Archivo Light" w:eastAsia="Archivo Light"/>
                <w:b w:val="0"/>
                <w:i w:val="0"/>
                <w:sz w:val="17"/>
              </w:rPr>
              <w:t>Cambio del estado de fuerza, egresos y fallecimientos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18</w:t>
            </w:r>
          </w:p>
        </w:tc>
        <w:tc>
          <w:tcPr>
            <w:tcW w:type="dxa" w:w="3312"/>
            <w:shd w:val="clear" w:color="auto" w:fill="F2F5F9"/>
          </w:tcPr>
          <w:p>
            <w:pPr>
              <w:spacing w:after="0"/>
            </w:pPr>
            <w:r/>
            <w:r>
              <w:rPr>
                <w:rFonts w:ascii="Archivo Light" w:hAnsi="Archivo Light" w:eastAsia="Archivo Light"/>
                <w:b w:val="0"/>
                <w:i w:val="0"/>
                <w:sz w:val="17"/>
              </w:rPr>
              <w:t>Puestas a disposición</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C. Inteligencia y eficiencia</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PROMEDIO DE LAS TRES DIMENSIONES</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Candados aplicados (número)</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CALIFICACIÓN</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bl>
    <w:p>
      <w:pPr>
        <w:keepNext w:val="0"/>
        <w:spacing w:after="80" w:before="0" w:line="240" w:lineRule="auto"/>
        <w:ind w:left="0"/>
      </w:pPr>
      <w:r>
        <w:rPr>
          <w:rFonts w:ascii="Archivo Light" w:hAnsi="Archivo Light" w:eastAsia="Archivo Light"/>
          <w:b w:val="0"/>
          <w:i w:val="0"/>
          <w:sz w:val="12"/>
        </w:rPr>
      </w:r>
    </w:p>
    <w:p w14:paraId="4C6EEA1B" w14:textId="77777777" w:rsidR="007F475B" w:rsidRPr="00CC3684" w:rsidRDefault="007F475B" w:rsidP="007F475B">
      <w:pPr>
        <w:jc w:val="center"/>
        <w:rPr>
          <w:rFonts w:ascii="Archivo" w:hAnsi="Archivo" w:cs="Archivo"/>
          <w:b/>
          <w:bCs/>
          <w:color w:val="92D050"/>
        </w:rPr>
      </w:pPr>
    </w:p>
    <w:p w14:paraId="5617EC71" w14:textId="77777777" w:rsidR="007F475B" w:rsidRPr="00083615" w:rsidRDefault="007F475B" w:rsidP="005E298C">
      <w:pPr>
        <w:ind w:left="567" w:right="616" w:firstLine="567"/>
        <w:jc w:val="center"/>
        <w:rPr>
          <w:rFonts w:ascii="Archivo" w:hAnsi="Archivo" w:cs="Archivo"/>
          <w:b/>
          <w:bCs/>
          <w:color w:val="92D050"/>
        </w:rPr>
      </w:pPr>
    </w:p>
    <w:p w14:paraId="6ED694B2"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9E1D75E" w14:textId="4011E823"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62EC7C4C" w14:textId="6FDDC52A"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0ECBA2C2" w14:textId="6D285E7F"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9137537" w14:textId="6CDBA27A"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insertar_dos_a_tres_parrafos }}</w:t>
      </w:r>
      <w:r w:rsidR="002D49C7" w:rsidRPr="00AA3D44">
        <w:rPr>
          <w:rFonts w:ascii="Archivo Light" w:hAnsi="Archivo Light" w:cs="Archivo Light"/>
        </w:rPr>
        <w:t/>
      </w:r>
      <w:r w:rsidRPr="00AA3D44">
        <w:rPr>
          <w:rFonts w:ascii="Archivo Light" w:hAnsi="Archivo Light" w:cs="Archivo Light"/>
        </w:rPr>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1: bienes a proteger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el texto que corresponde a la calificación obtenida y sustituya los marcadores en rojo. Los textos son una base mínima: deben completarse con los datos de los indicadores.</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presentó carencias que comprometen la protección de las personas: faltan instrumentos básicos en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 corporación no cuenta con </w:t>
      </w:r>
      <w:r>
        <w:rPr>
          <w:rFonts w:ascii="Archivo Light" w:hAnsi="Archivo Light" w:eastAsia="Archivo Light"/>
          <w:b/>
          <w:i w:val="0"/>
          <w:color w:val="9C2A1E"/>
          <w:sz w:val="20"/>
        </w:rPr>
        <w:t>{{ condiciones_faltantes }}</w:t>
      </w:r>
      <w:r>
        <w:rPr>
          <w:rFonts w:ascii="Archivo Light" w:hAnsi="Archivo Light" w:eastAsia="Archivo Light"/>
          <w:b w:val="0"/>
          <w:i w:val="0"/>
          <w:sz w:val="20"/>
        </w:rPr>
        <w:t xml:space="preserve"> y la información para orientar el trabajo policial es escasa. Hay intentos de cumplir, pero no se sostienen en el tiempo.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la función de seguridad de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2: condición estatal frente a la municipal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posición del municipio respecto de la entidad; agregue el complemento cuando la entidad esté lejos del estándar.</w:t>
      </w:r>
    </w:p>
    <w:p>
      <w:pPr>
        <w:keepNext/>
        <w:spacing w:after="20" w:before="0" w:line="240" w:lineRule="auto"/>
        <w:ind w:left="288"/>
      </w:pPr>
      <w:r>
        <w:rPr>
          <w:rFonts w:ascii="Archivo Light" w:hAnsi="Archivo Light" w:eastAsia="Archivo Light"/>
          <w:b/>
          <w:i w:val="0"/>
          <w:color w:val="1F3A5F"/>
          <w:sz w:val="19"/>
        </w:rPr>
        <w:t>Municipio por encima de la entidad</w:t>
      </w:r>
    </w:p>
    <w:p>
      <w:pPr>
        <w:keepNext w:val="0"/>
        <w:spacing w:after="80" w:before="0" w:line="240" w:lineRule="auto"/>
        <w:ind w:left="576"/>
      </w:pPr>
      <w:r>
        <w:rPr>
          <w:rFonts w:ascii="Archivo Light" w:hAnsi="Archivo Light" w:eastAsia="Archivo Light"/>
          <w:b w:val="0"/>
          <w:i w:val="0"/>
          <w:sz w:val="20"/>
        </w:rPr>
        <w:t xml:space="preserve">En comparación con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encima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en particular en </w:t>
      </w:r>
      <w:r>
        <w:rPr>
          <w:rFonts w:ascii="Archivo Light" w:hAnsi="Archivo Light" w:eastAsia="Archivo Light"/>
          <w:b/>
          <w:i w:val="0"/>
          <w:color w:val="9C2A1E"/>
          <w:sz w:val="20"/>
        </w:rPr>
        <w:t>{{ indicadores }}</w:t>
      </w:r>
      <w:r>
        <w:rPr>
          <w:rFonts w:ascii="Archivo Light" w:hAnsi="Archivo Light" w:eastAsia="Archivo Light"/>
          <w:b w:val="0"/>
          <w:i w:val="0"/>
          <w:sz w:val="20"/>
        </w:rPr>
        <w:t>. Su desempeño no se explica solo por el contexto estatal, sino por decisiones propias de la administración municipal.</w:t>
      </w:r>
    </w:p>
    <w:p>
      <w:pPr>
        <w:keepNext/>
        <w:spacing w:after="20" w:before="0" w:line="240" w:lineRule="auto"/>
        <w:ind w:left="288"/>
      </w:pPr>
      <w:r>
        <w:rPr>
          <w:rFonts w:ascii="Archivo Light" w:hAnsi="Archivo Light" w:eastAsia="Archivo Light"/>
          <w:b/>
          <w:i w:val="0"/>
          <w:color w:val="1F3A5F"/>
          <w:sz w:val="19"/>
        </w:rPr>
        <w:t>Municipio similar a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comporta de manera similar al conjunto de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sus avances y rezagos coinciden con los de la entidad, en especial en </w:t>
      </w:r>
      <w:r>
        <w:rPr>
          <w:rFonts w:ascii="Archivo Light" w:hAnsi="Archivo Light" w:eastAsia="Archivo Light"/>
          <w:b/>
          <w:i w:val="0"/>
          <w:color w:val="9C2A1E"/>
          <w:sz w:val="20"/>
        </w:rPr>
        <w:t>{{ indicadores }}</w:t>
      </w:r>
      <w:r>
        <w:rPr>
          <w:rFonts w:ascii="Archivo Light" w:hAnsi="Archivo Light" w:eastAsia="Archivo Light"/>
          <w:b w:val="0"/>
          <w:i w:val="0"/>
          <w:sz w:val="20"/>
        </w:rPr>
        <w:t>. Esto sugiere que buena parte de su desempeño depende de condiciones estatales, como el financiamiento, la capacitación o la coordinación, más que de un esfuerzo propio del municipio.</w:t>
      </w:r>
    </w:p>
    <w:p>
      <w:pPr>
        <w:keepNext/>
        <w:spacing w:after="20" w:before="0" w:line="240" w:lineRule="auto"/>
        <w:ind w:left="288"/>
      </w:pPr>
      <w:r>
        <w:rPr>
          <w:rFonts w:ascii="Archivo Light" w:hAnsi="Archivo Light" w:eastAsia="Archivo Light"/>
          <w:b/>
          <w:i w:val="0"/>
          <w:color w:val="1F3A5F"/>
          <w:sz w:val="19"/>
        </w:rPr>
        <w:t>Municipio por debajo de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debajo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sobre todo en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Mientras otros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cuentan con </w:t>
      </w:r>
      <w:r>
        <w:rPr>
          <w:rFonts w:ascii="Archivo Light" w:hAnsi="Archivo Light" w:eastAsia="Archivo Light"/>
          <w:b/>
          <w:i w:val="0"/>
          <w:color w:val="9C2A1E"/>
          <w:sz w:val="20"/>
        </w:rPr>
        <w:t>{{ capacidad }}</w:t>
      </w:r>
      <w:r>
        <w:rPr>
          <w:rFonts w:ascii="Archivo Light" w:hAnsi="Archivo Light" w:eastAsia="Archivo Light"/>
          <w:b w:val="0"/>
          <w:i w:val="0"/>
          <w:sz w:val="20"/>
        </w:rPr>
        <w:t>, el municipio no la ha desarrollado, lo que indica un rezago propio que no se explica solo por el contexto.</w:t>
      </w:r>
    </w:p>
    <w:p>
      <w:pPr>
        <w:keepNext/>
        <w:spacing w:after="20" w:before="0" w:line="240" w:lineRule="auto"/>
        <w:ind w:left="288"/>
      </w:pPr>
      <w:r>
        <w:rPr>
          <w:rFonts w:ascii="Archivo Light" w:hAnsi="Archivo Light" w:eastAsia="Archivo Light"/>
          <w:b/>
          <w:i w:val="0"/>
          <w:color w:val="1F3A5F"/>
          <w:sz w:val="19"/>
        </w:rPr>
        <w:t>Complemento: entidad lejos del estándar</w:t>
      </w:r>
    </w:p>
    <w:p>
      <w:pPr>
        <w:keepNext w:val="0"/>
        <w:spacing w:after="80" w:before="0" w:line="240" w:lineRule="auto"/>
        <w:ind w:left="576"/>
      </w:pPr>
      <w:r>
        <w:rPr>
          <w:rFonts w:ascii="Archivo Light" w:hAnsi="Archivo Light" w:eastAsia="Archivo Light"/>
          <w:b w:val="0"/>
          <w:i w:val="0"/>
          <w:sz w:val="20"/>
        </w:rPr>
        <w:t xml:space="preserve">Conviene matizar que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en su conjunto está lejos de los estándares de referencia: en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solo </w:t>
      </w:r>
      <w:r>
        <w:rPr>
          <w:rFonts w:ascii="Archivo Light" w:hAnsi="Archivo Light" w:eastAsia="Archivo Light"/>
          <w:b/>
          <w:i w:val="0"/>
          <w:color w:val="9C2A1E"/>
          <w:sz w:val="20"/>
        </w:rPr>
        <w:t>{{ x }}</w:t>
      </w:r>
      <w:r>
        <w:rPr>
          <w:rFonts w:ascii="Archivo Light" w:hAnsi="Archivo Light" w:eastAsia="Archivo Light"/>
          <w:b w:val="0"/>
          <w:i w:val="0"/>
          <w:sz w:val="20"/>
        </w:rPr>
        <w:t>% de los municipios cumple. Ubicarse en el promedio estatal no equivale a cumplir.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3: avances a lo largo del periodo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tendencia; es independiente de la calificación: un municipio REGULAR puede mostrar mejora sostenida.</w:t>
      </w:r>
    </w:p>
    <w:p>
      <w:pPr>
        <w:keepNext/>
        <w:spacing w:after="20" w:before="0" w:line="240" w:lineRule="auto"/>
        <w:ind w:left="288"/>
      </w:pPr>
      <w:r>
        <w:rPr>
          <w:rFonts w:ascii="Archivo Light" w:hAnsi="Archivo Light" w:eastAsia="Archivo Light"/>
          <w:b/>
          <w:i w:val="0"/>
          <w:color w:val="1F3A5F"/>
          <w:sz w:val="19"/>
        </w:rPr>
        <w:t>Mejora sostenida</w:t>
      </w:r>
    </w:p>
    <w:p>
      <w:pPr>
        <w:keepNext w:val="0"/>
        <w:spacing w:after="80" w:before="0" w:line="240" w:lineRule="auto"/>
        <w:ind w:left="576"/>
      </w:pPr>
      <w:r>
        <w:rPr>
          <w:rFonts w:ascii="Archivo Light" w:hAnsi="Archivo Light" w:eastAsia="Archivo Light"/>
          <w:b w:val="0"/>
          <w:i w:val="0"/>
          <w:sz w:val="20"/>
        </w:rPr>
        <w:t xml:space="preserve">A lo largo del periodo,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muestra una tendencia de mejora: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pasaron de </w:t>
      </w:r>
      <w:r>
        <w:rPr>
          <w:rFonts w:ascii="Archivo Light" w:hAnsi="Archivo Light" w:eastAsia="Archivo Light"/>
          <w:b/>
          <w:i w:val="0"/>
          <w:color w:val="9C2A1E"/>
          <w:sz w:val="20"/>
        </w:rPr>
        <w:t>{{ situacion_inicial }}</w:t>
      </w:r>
      <w:r>
        <w:rPr>
          <w:rFonts w:ascii="Archivo Light" w:hAnsi="Archivo Light" w:eastAsia="Archivo Light"/>
          <w:b w:val="0"/>
          <w:i w:val="0"/>
          <w:sz w:val="20"/>
        </w:rPr>
        <w:t xml:space="preserve"> a </w:t>
      </w:r>
      <w:r>
        <w:rPr>
          <w:rFonts w:ascii="Archivo Light" w:hAnsi="Archivo Light" w:eastAsia="Archivo Light"/>
          <w:b/>
          <w:i w:val="0"/>
          <w:color w:val="9C2A1E"/>
          <w:sz w:val="20"/>
        </w:rPr>
        <w:t>{{ situacion_final }}</w:t>
      </w:r>
      <w:r>
        <w:rPr>
          <w:rFonts w:ascii="Archivo Light" w:hAnsi="Archivo Light" w:eastAsia="Archivo Light"/>
          <w:b w:val="0"/>
          <w:i w:val="0"/>
          <w:sz w:val="20"/>
        </w:rPr>
        <w:t>, y la mejora se mantiene en las ediciones más recientes. Esto sugiere capacidades que se han institucionalizado y que no dependen de una sola administración.</w:t>
      </w:r>
    </w:p>
    <w:p>
      <w:pPr>
        <w:keepNext/>
        <w:spacing w:after="20" w:before="0" w:line="240" w:lineRule="auto"/>
        <w:ind w:left="288"/>
      </w:pPr>
      <w:r>
        <w:rPr>
          <w:rFonts w:ascii="Archivo Light" w:hAnsi="Archivo Light" w:eastAsia="Archivo Light"/>
          <w:b/>
          <w:i w:val="0"/>
          <w:color w:val="1F3A5F"/>
          <w:sz w:val="19"/>
        </w:rPr>
        <w:t>Avances irregulares</w:t>
      </w:r>
    </w:p>
    <w:p>
      <w:pPr>
        <w:keepNext w:val="0"/>
        <w:spacing w:after="80" w:before="0" w:line="240" w:lineRule="auto"/>
        <w:ind w:left="576"/>
      </w:pPr>
      <w:r>
        <w:rPr>
          <w:rFonts w:ascii="Archivo Light" w:hAnsi="Archivo Light" w:eastAsia="Archivo Light"/>
          <w:b w:val="0"/>
          <w:i w:val="0"/>
          <w:sz w:val="20"/>
        </w:rPr>
        <w:t xml:space="preserve">El municipio registra avances, pero irregulares: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mejora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y retrocede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Los cambios coinciden con </w:t>
      </w:r>
      <w:r>
        <w:rPr>
          <w:rFonts w:ascii="Archivo Light" w:hAnsi="Archivo Light" w:eastAsia="Archivo Light"/>
          <w:b/>
          <w:i w:val="0"/>
          <w:color w:val="9C2A1E"/>
          <w:sz w:val="20"/>
        </w:rPr>
        <w:t>{{ cambio_administracion_fin_subsidio_otro }}</w:t>
      </w:r>
      <w:r>
        <w:rPr>
          <w:rFonts w:ascii="Archivo Light" w:hAnsi="Archivo Light" w:eastAsia="Archivo Light"/>
          <w:b w:val="0"/>
          <w:i w:val="0"/>
          <w:sz w:val="20"/>
        </w:rPr>
        <w:t>, lo que indica que los avances aún no están consolidados.</w:t>
      </w:r>
    </w:p>
    <w:p>
      <w:pPr>
        <w:keepNext/>
        <w:spacing w:after="20" w:before="0" w:line="240" w:lineRule="auto"/>
        <w:ind w:left="288"/>
      </w:pPr>
      <w:r>
        <w:rPr>
          <w:rFonts w:ascii="Archivo Light" w:hAnsi="Archivo Light" w:eastAsia="Archivo Light"/>
          <w:b/>
          <w:i w:val="0"/>
          <w:color w:val="1F3A5F"/>
          <w:sz w:val="19"/>
        </w:rPr>
        <w:t>Estancamiento</w:t>
      </w:r>
    </w:p>
    <w:p>
      <w:pPr>
        <w:keepNext w:val="0"/>
        <w:spacing w:after="80" w:before="0" w:line="240" w:lineRule="auto"/>
        <w:ind w:left="576"/>
      </w:pPr>
      <w:r>
        <w:rPr>
          <w:rFonts w:ascii="Archivo Light" w:hAnsi="Archivo Light" w:eastAsia="Archivo Light"/>
          <w:b w:val="0"/>
          <w:i w:val="0"/>
          <w:sz w:val="20"/>
        </w:rPr>
        <w:t xml:space="preserve">No se observan cambios relevantes a lo largo del periodo: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se mantienen en </w:t>
      </w:r>
      <w:r>
        <w:rPr>
          <w:rFonts w:ascii="Archivo Light" w:hAnsi="Archivo Light" w:eastAsia="Archivo Light"/>
          <w:b/>
          <w:i w:val="0"/>
          <w:color w:val="9C2A1E"/>
          <w:sz w:val="20"/>
        </w:rPr>
        <w:t>{{ nivel }}</w:t>
      </w:r>
      <w:r>
        <w:rPr>
          <w:rFonts w:ascii="Archivo Light" w:hAnsi="Archivo Light" w:eastAsia="Archivo Light"/>
          <w:b w:val="0"/>
          <w:i w:val="0"/>
          <w:sz w:val="20"/>
        </w:rPr>
        <w:t xml:space="preserve"> en todas las ediciones. La función se sostiene en el mismo punto, sin mejoras ni retrocesos.</w:t>
      </w:r>
    </w:p>
    <w:p>
      <w:pPr>
        <w:keepNext/>
        <w:spacing w:after="20" w:before="0" w:line="240" w:lineRule="auto"/>
        <w:ind w:left="288"/>
      </w:pPr>
      <w:r>
        <w:rPr>
          <w:rFonts w:ascii="Archivo Light" w:hAnsi="Archivo Light" w:eastAsia="Archivo Light"/>
          <w:b/>
          <w:i w:val="0"/>
          <w:color w:val="1F3A5F"/>
          <w:sz w:val="19"/>
        </w:rPr>
        <w:t>Deterioro</w:t>
      </w:r>
    </w:p>
    <w:p>
      <w:pPr>
        <w:keepNext w:val="0"/>
        <w:spacing w:after="80" w:before="0" w:line="240" w:lineRule="auto"/>
        <w:ind w:left="576"/>
      </w:pPr>
      <w:r>
        <w:rPr>
          <w:rFonts w:ascii="Archivo Light" w:hAnsi="Archivo Light" w:eastAsia="Archivo Light"/>
          <w:b w:val="0"/>
          <w:i w:val="0"/>
          <w:sz w:val="20"/>
        </w:rPr>
        <w:t xml:space="preserve">Se observa un deterioro: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retroceden de </w:t>
      </w:r>
      <w:r>
        <w:rPr>
          <w:rFonts w:ascii="Archivo Light" w:hAnsi="Archivo Light" w:eastAsia="Archivo Light"/>
          <w:b/>
          <w:i w:val="0"/>
          <w:color w:val="9C2A1E"/>
          <w:sz w:val="20"/>
        </w:rPr>
        <w:t>{{ x }}</w:t>
      </w:r>
      <w:r>
        <w:rPr>
          <w:rFonts w:ascii="Archivo Light" w:hAnsi="Archivo Light" w:eastAsia="Archivo Light"/>
          <w:b w:val="0"/>
          <w:i w:val="0"/>
          <w:sz w:val="20"/>
        </w:rPr>
        <w:t xml:space="preserve"> a </w:t>
      </w:r>
      <w:r>
        <w:rPr>
          <w:rFonts w:ascii="Archivo Light" w:hAnsi="Archivo Light" w:eastAsia="Archivo Light"/>
          <w:b/>
          <w:i w:val="0"/>
          <w:color w:val="9C2A1E"/>
          <w:sz w:val="20"/>
        </w:rPr>
        <w:t>{{ y }}</w:t>
      </w:r>
      <w:r>
        <w:rPr>
          <w:rFonts w:ascii="Archivo Light" w:hAnsi="Archivo Light" w:eastAsia="Archivo Light"/>
          <w:b w:val="0"/>
          <w:i w:val="0"/>
          <w:sz w:val="20"/>
        </w:rPr>
        <w:t xml:space="preserve"> entre </w:t>
      </w:r>
      <w:r>
        <w:rPr>
          <w:rFonts w:ascii="Archivo Light" w:hAnsi="Archivo Light" w:eastAsia="Archivo Light"/>
          <w:b/>
          <w:i w:val="0"/>
          <w:color w:val="9C2A1E"/>
          <w:sz w:val="20"/>
        </w:rPr>
        <w:t>{{ año }}</w:t>
      </w:r>
      <w:r>
        <w:rPr>
          <w:rFonts w:ascii="Archivo Light" w:hAnsi="Archivo Light" w:eastAsia="Archivo Light"/>
          <w:b w:val="0"/>
          <w:i w:val="0"/>
          <w:sz w:val="20"/>
        </w:rPr>
        <w:t xml:space="preserve"> y </w:t>
      </w:r>
      <w:r>
        <w:rPr>
          <w:rFonts w:ascii="Archivo Light" w:hAnsi="Archivo Light" w:eastAsia="Archivo Light"/>
          <w:b/>
          <w:i w:val="0"/>
          <w:color w:val="9C2A1E"/>
          <w:sz w:val="20"/>
        </w:rPr>
        <w:t>{{ año }}</w:t>
      </w:r>
      <w:r>
        <w:rPr>
          <w:rFonts w:ascii="Archivo Light" w:hAnsi="Archivo Light" w:eastAsia="Archivo Light"/>
          <w:b w:val="0"/>
          <w:i w:val="0"/>
          <w:sz w:val="20"/>
        </w:rPr>
        <w:t>. Es necesario identificar si responde a recortes presupuestales, a la rotación de personal o a cambios de administración.</w:t>
      </w:r>
    </w:p>
    <w:p>
      <w:pPr>
        <w:keepNext/>
        <w:spacing w:after="20" w:before="0" w:line="240" w:lineRule="auto"/>
        <w:ind w:left="288"/>
      </w:pPr>
      <w:r>
        <w:rPr>
          <w:rFonts w:ascii="Archivo Light" w:hAnsi="Archivo Light" w:eastAsia="Archivo Light"/>
          <w:b/>
          <w:i w:val="0"/>
          <w:color w:val="1F3A5F"/>
          <w:sz w:val="19"/>
        </w:rPr>
        <w:t>Datos insuficientes</w:t>
      </w:r>
    </w:p>
    <w:p>
      <w:pPr>
        <w:keepNext w:val="0"/>
        <w:spacing w:after="80" w:before="0" w:line="240" w:lineRule="auto"/>
        <w:ind w:left="576"/>
      </w:pPr>
      <w:r>
        <w:rPr>
          <w:rFonts w:ascii="Archivo Light" w:hAnsi="Archivo Light" w:eastAsia="Archivo Light"/>
          <w:b w:val="0"/>
          <w:i w:val="0"/>
          <w:sz w:val="20"/>
        </w:rPr>
        <w:t xml:space="preserve">La falta de información en </w:t>
      </w:r>
      <w:r>
        <w:rPr>
          <w:rFonts w:ascii="Archivo Light" w:hAnsi="Archivo Light" w:eastAsia="Archivo Light"/>
          <w:b/>
          <w:i w:val="0"/>
          <w:color w:val="9C2A1E"/>
          <w:sz w:val="20"/>
        </w:rPr>
        <w:t>{{ años_indicadores }}</w:t>
      </w:r>
      <w:r>
        <w:rPr>
          <w:rFonts w:ascii="Archivo Light" w:hAnsi="Archivo Light" w:eastAsia="Archivo Light"/>
          <w:b w:val="0"/>
          <w:i w:val="0"/>
          <w:sz w:val="20"/>
        </w:rPr>
        <w:t xml:space="preserve"> impide identificar una tendencia. La ausencia de reporte es en sí misma un hallazgo: el municipio no documenta su función de seguridad ante el INEGI.</w:t>
      </w:r>
    </w:p>
    <w:p w14:paraId="3A847EE5"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0804EEB6" w14:textId="1243B99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insertar_dos_a_tres_parrafos }}</w:t>
      </w:r>
      <w:r w:rsidR="002D49C7" w:rsidRPr="00AA3D44">
        <w:rPr>
          <w:rFonts w:ascii="Archivo Light" w:hAnsi="Archivo Light" w:cs="Archivo Light"/>
        </w:rPr>
        <w:t/>
      </w:r>
      <w:r w:rsidRPr="00AA3D44">
        <w:rPr>
          <w:rFonts w:ascii="Archivo Light" w:hAnsi="Archivo Light" w:cs="Archivo Light"/>
        </w:rPr>
        <w:t/>
      </w:r>
    </w:p>
    <w:p w14:paraId="5D7854AB" w14:textId="696BA453"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51FD7AD6" w14:textId="5EA6EF42"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36544D51" w14:textId="045E3671"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Enunciado inicial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la calificación del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EXCELENTE,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los estándares de referencia en las tres dimensiones evaluadas.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MUY BIEN,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la mayoría de los estándares, con carencias puntuales en </w:t>
      </w:r>
      <w:r>
        <w:rPr>
          <w:rFonts w:ascii="Archivo Light" w:hAnsi="Archivo Light" w:eastAsia="Archivo Light"/>
          <w:b/>
          <w:i w:val="0"/>
          <w:color w:val="9C2A1E"/>
          <w:sz w:val="20"/>
        </w:rPr>
        <w:t>{{ dimension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REGULAR,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 básico, pero sin alcanzar los estándares en </w:t>
      </w:r>
      <w:r>
        <w:rPr>
          <w:rFonts w:ascii="Archivo Light" w:hAnsi="Archivo Light" w:eastAsia="Archivo Light"/>
          <w:b/>
          <w:i w:val="0"/>
          <w:color w:val="9C2A1E"/>
          <w:sz w:val="20"/>
        </w:rPr>
        <w:t>{{ dimensiones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MAL,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las carencias en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impiden cumplir el propósito de la función.</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CATASTRÓFICA,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 función no existe en la práctica o no se reportó información.</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protección civil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A en el último periodo, con los mismos rangos de la escala.</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protección civil, el municipio cuenta con programa y capacitación en el periodo reciente, aunque la capacitación se concentra en </w:t>
      </w:r>
      <w:r>
        <w:rPr>
          <w:rFonts w:ascii="Archivo Light" w:hAnsi="Archivo Light" w:eastAsia="Archivo Light"/>
          <w:b/>
          <w:i w:val="0"/>
          <w:color w:val="9C2A1E"/>
          <w:sz w:val="20"/>
        </w:rPr>
        <w:t>{{ temas }}</w:t>
      </w:r>
      <w:r>
        <w:rPr>
          <w:rFonts w:ascii="Archivo Light" w:hAnsi="Archivo Light" w:eastAsia="Archivo Light"/>
          <w:b w:val="0"/>
          <w:i w:val="0"/>
          <w:sz w:val="20"/>
        </w:rPr>
        <w:t xml:space="preserve"> y deja fuera </w:t>
      </w:r>
      <w:r>
        <w:rPr>
          <w:rFonts w:ascii="Archivo Light" w:hAnsi="Archivo Light" w:eastAsia="Archivo Light"/>
          <w:b/>
          <w:i w:val="0"/>
          <w:color w:val="9C2A1E"/>
          <w:sz w:val="20"/>
        </w:rPr>
        <w:t>{{ temas_faltantes }}</w:t>
      </w:r>
      <w:r>
        <w:rPr>
          <w:rFonts w:ascii="Archivo Light" w:hAnsi="Archivo Light" w:eastAsia="Archivo Light"/>
          <w:b w:val="0"/>
          <w:i w:val="0"/>
          <w:sz w:val="20"/>
        </w:rPr>
        <w:t>, en particular los de prevención y análisis de riesgos.</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protección civil, el cumplimiento es parcial: </w:t>
      </w:r>
      <w:r>
        <w:rPr>
          <w:rFonts w:ascii="Archivo Light" w:hAnsi="Archivo Light" w:eastAsia="Archivo Light"/>
          <w:b/>
          <w:i w:val="0"/>
          <w:color w:val="9C2A1E"/>
          <w:sz w:val="20"/>
        </w:rPr>
        <w:t>{{ situacion_programa_capacitacion }}</w:t>
      </w:r>
      <w:r>
        <w:rPr>
          <w:rFonts w:ascii="Archivo Light" w:hAnsi="Archivo Light" w:eastAsia="Archivo Light"/>
          <w:b w:val="0"/>
          <w:i w:val="0"/>
          <w:sz w:val="20"/>
        </w:rPr>
        <w:t>. La capacitación se concentra en temas de respuesta, como primeros auxilios e incendios, y no en prevención.</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protección civil, el municipio no reporta programa vigente en al menos uno de los dos años y la capacitación fue mínima. No cumple con las obligaciones que la ley estatal de protección civil asigna a los municipios.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protección civil, no hay programa ni capacitación en el último periodo. El municipio no cuenta con instrumentos para prevenir ni responder a emergencias y depende por completo de la protección civil estatal.</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condiciones laborales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B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condiciones del personal, el municipio cumple la mayoría de los mínimos, en particular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Las carencias se concentran en </w:t>
      </w:r>
      <w:r>
        <w:rPr>
          <w:rFonts w:ascii="Archivo Light" w:hAnsi="Archivo Light" w:eastAsia="Archivo Light"/>
          <w:b/>
          <w:i w:val="0"/>
          <w:color w:val="9C2A1E"/>
          <w:sz w:val="20"/>
        </w:rPr>
        <w:t>{{ rubro }}</w:t>
      </w:r>
      <w:r>
        <w:rPr>
          <w:rFonts w:ascii="Archivo Light" w:hAnsi="Archivo Light" w:eastAsia="Archivo Light"/>
          <w:b w:val="0"/>
          <w:i w:val="0"/>
          <w:sz w:val="20"/>
        </w:rPr>
        <w:t>; no comprometen la operación, pero deben atenderse.</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condiciones del personal, se cumplen los requisitos de certificación, pero las condiciones materiales y de formación son irregulares: </w:t>
      </w:r>
      <w:r>
        <w:rPr>
          <w:rFonts w:ascii="Archivo Light" w:hAnsi="Archivo Light" w:eastAsia="Archivo Light"/>
          <w:b/>
          <w:i w:val="0"/>
          <w:color w:val="9C2A1E"/>
          <w:sz w:val="20"/>
        </w:rPr>
        <w:t>{{ situacion_desempeno_personal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condiciones del personal, hay carencias relevantes: </w:t>
      </w:r>
      <w:r>
        <w:rPr>
          <w:rFonts w:ascii="Archivo Light" w:hAnsi="Archivo Light" w:eastAsia="Archivo Light"/>
          <w:b/>
          <w:i w:val="0"/>
          <w:color w:val="9C2A1E"/>
          <w:sz w:val="20"/>
        </w:rPr>
        <w:t>{{ carencia_relevante }}</w:t>
      </w:r>
      <w:r>
        <w:rPr>
          <w:rFonts w:ascii="Archivo Light" w:hAnsi="Archivo Light" w:eastAsia="Archivo Light"/>
          <w:b w:val="0"/>
          <w:i w:val="0"/>
          <w:sz w:val="20"/>
        </w:rPr>
        <w:t>. La literatura asocia estas condiciones con estrés ocupacional, rotación y peor desempeño.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En condiciones del personal, la corporación no cumple los requisitos básicos para operar: </w:t>
      </w:r>
      <w:r>
        <w:rPr>
          <w:rFonts w:ascii="Archivo Light" w:hAnsi="Archivo Light" w:eastAsia="Archivo Light"/>
          <w:b/>
          <w:i w:val="0"/>
          <w:color w:val="9C2A1E"/>
          <w:sz w:val="20"/>
        </w:rPr>
        <w:t>{{ condicion_critica }}</w:t>
      </w:r>
      <w:r>
        <w:rPr>
          <w:rFonts w:ascii="Archivo Light" w:hAnsi="Archivo Light" w:eastAsia="Archivo Light"/>
          <w:b w:val="0"/>
          <w:i w:val="0"/>
          <w:sz w:val="20"/>
        </w:rPr>
        <w:t>. En estas condiciones, los policías trabajan en riesgo y sin respaldo legal suficiente para actuar.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inteligencia policial y eficiencia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C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la mayoría de las herramientas para orientar su trabajo, pero le falta </w:t>
      </w:r>
      <w:r>
        <w:rPr>
          <w:rFonts w:ascii="Archivo Light" w:hAnsi="Archivo Light" w:eastAsia="Archivo Light"/>
          <w:b/>
          <w:i w:val="0"/>
          <w:color w:val="9C2A1E"/>
          <w:sz w:val="20"/>
        </w:rPr>
        <w:t>{{ herramienta }}</w:t>
      </w:r>
      <w:r>
        <w:rPr>
          <w:rFonts w:ascii="Archivo Light" w:hAnsi="Archivo Light" w:eastAsia="Archivo Light"/>
          <w:b w:val="0"/>
          <w:i w:val="0"/>
          <w:sz w:val="20"/>
        </w:rPr>
        <w:t xml:space="preserve">. Sus resultados en </w:t>
      </w:r>
      <w:r>
        <w:rPr>
          <w:rFonts w:ascii="Archivo Light" w:hAnsi="Archivo Light" w:eastAsia="Archivo Light"/>
          <w:b/>
          <w:i w:val="0"/>
          <w:color w:val="9C2A1E"/>
          <w:sz w:val="20"/>
        </w:rPr>
        <w:t>{{ indicadores_de_eficiencia }}</w:t>
      </w:r>
      <w:r>
        <w:rPr>
          <w:rFonts w:ascii="Archivo Light" w:hAnsi="Archivo Light" w:eastAsia="Archivo Light"/>
          <w:b w:val="0"/>
          <w:i w:val="0"/>
          <w:sz w:val="20"/>
        </w:rPr>
        <w:t xml:space="preserve"> son comparables o mejores que los de la entidad.</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herramientas aisladas, como </w:t>
      </w:r>
      <w:r>
        <w:rPr>
          <w:rFonts w:ascii="Archivo Light" w:hAnsi="Archivo Light" w:eastAsia="Archivo Light"/>
          <w:b/>
          <w:i w:val="0"/>
          <w:color w:val="9C2A1E"/>
          <w:sz w:val="20"/>
        </w:rPr>
        <w:t>{{ herramienta_aislada }}</w:t>
      </w:r>
      <w:r>
        <w:rPr>
          <w:rFonts w:ascii="Archivo Light" w:hAnsi="Archivo Light" w:eastAsia="Archivo Light"/>
          <w:b w:val="0"/>
          <w:i w:val="0"/>
          <w:sz w:val="20"/>
        </w:rPr>
        <w:t>, pero sin un sistema de información que oriente el patrullaje ni un método para atender problemas comunitarios. El trabajo policial es principalmente reactivo.</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no cuenta con información para orientar su trabajo, y </w:t>
      </w:r>
      <w:r>
        <w:rPr>
          <w:rFonts w:ascii="Archivo Light" w:hAnsi="Archivo Light" w:eastAsia="Archivo Light"/>
          <w:b/>
          <w:i w:val="0"/>
          <w:color w:val="9C2A1E"/>
          <w:sz w:val="20"/>
        </w:rPr>
        <w:t>{{ problema_critico }}</w:t>
      </w:r>
      <w:r>
        <w:rPr>
          <w:rFonts w:ascii="Archivo Light" w:hAnsi="Archivo Light" w:eastAsia="Archivo Light"/>
          <w:b w:val="0"/>
          <w:i w:val="0"/>
          <w:sz w:val="20"/>
        </w:rPr>
        <w:t>. La evidencia indica que, en estas condiciones, más presencia policial no se traduce en menos delitos.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inteligencia y eficiencia policial, no existe ninguna de las herramientas evaluadas y no hay información suficiente para valorar la eficiencia de la corporación.</w:t>
      </w:r>
    </w:p>
    <w:p w14:paraId="4046759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6A19E18B" w14:textId="400F88EB"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6191136F" w14:textId="2B5576DF"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6B8B13D1" w14:textId="536F2B0D"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1) Tendencia general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Compare la calificación general con la del último periodo.</w:t>
      </w:r>
    </w:p>
    <w:p>
      <w:pPr>
        <w:keepNext/>
        <w:spacing w:after="20" w:before="0" w:line="240" w:lineRule="auto"/>
        <w:ind w:left="288"/>
      </w:pPr>
      <w:r>
        <w:rPr>
          <w:rFonts w:ascii="Archivo Light" w:hAnsi="Archivo Light" w:eastAsia="Archivo Light"/>
          <w:b/>
          <w:i w:val="0"/>
          <w:color w:val="1F3A5F"/>
          <w:sz w:val="19"/>
        </w:rPr>
        <w:t>Va bien</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mejoran o se sostienen en niveles altos; la administración debe conservar lo que funciona y documentarlo para que sobreviva a los cambios de gobierno.</w:t>
      </w:r>
    </w:p>
    <w:p>
      <w:pPr>
        <w:keepNext/>
        <w:spacing w:after="20" w:before="0" w:line="240" w:lineRule="auto"/>
        <w:ind w:left="288"/>
      </w:pPr>
      <w:r>
        <w:rPr>
          <w:rFonts w:ascii="Archivo Light" w:hAnsi="Archivo Light" w:eastAsia="Archivo Light"/>
          <w:b/>
          <w:i w:val="0"/>
          <w:color w:val="1F3A5F"/>
          <w:sz w:val="19"/>
        </w:rPr>
        <w:t>No se ha movido</w:t>
      </w:r>
    </w:p>
    <w:p>
      <w:pPr>
        <w:keepNext w:val="0"/>
        <w:spacing w:after="80" w:before="0" w:line="240" w:lineRule="auto"/>
        <w:ind w:left="576"/>
      </w:pPr>
      <w:r>
        <w:rPr>
          <w:rFonts w:ascii="Archivo Light" w:hAnsi="Archivo Light" w:eastAsia="Archivo Light"/>
          <w:b w:val="0"/>
          <w:i w:val="0"/>
          <w:sz w:val="20"/>
        </w:rPr>
        <w:t>Los indicadores se mantienen en el mismo nivel durante el periodo; la función se cumple, pero sin avances que acerquen al municipio a los estándares.</w:t>
      </w:r>
    </w:p>
    <w:p>
      <w:pPr>
        <w:keepNext/>
        <w:spacing w:after="20" w:before="0" w:line="240" w:lineRule="auto"/>
        <w:ind w:left="288"/>
      </w:pPr>
      <w:r>
        <w:rPr>
          <w:rFonts w:ascii="Archivo Light" w:hAnsi="Archivo Light" w:eastAsia="Archivo Light"/>
          <w:b/>
          <w:i w:val="0"/>
          <w:color w:val="1F3A5F"/>
          <w:sz w:val="19"/>
        </w:rPr>
        <w:t>Va mal</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retroceden o nunca alcanzan los mínimos; hay carencias que deben atenderse antes de pensar en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2) Qué hacer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según la calificación del último periodo.</w:t>
      </w:r>
    </w:p>
    <w:p>
      <w:pPr>
        <w:keepNext/>
        <w:spacing w:after="20" w:before="0" w:line="240" w:lineRule="auto"/>
        <w:ind w:left="288"/>
      </w:pPr>
      <w:r>
        <w:rPr>
          <w:rFonts w:ascii="Archivo Light" w:hAnsi="Archivo Light" w:eastAsia="Archivo Light"/>
          <w:b/>
          <w:i w:val="0"/>
          <w:color w:val="1F3A5F"/>
          <w:sz w:val="19"/>
        </w:rPr>
        <w:t>Excelente / Muy bien: mejorar procesos</w:t>
      </w:r>
    </w:p>
    <w:p>
      <w:pPr>
        <w:keepNext w:val="0"/>
        <w:spacing w:after="80" w:before="0" w:line="240" w:lineRule="auto"/>
        <w:ind w:left="576"/>
      </w:pPr>
      <w:r>
        <w:rPr>
          <w:rFonts w:ascii="Archivo Light" w:hAnsi="Archivo Light" w:eastAsia="Archivo Light"/>
          <w:b w:val="0"/>
          <w:i w:val="0"/>
          <w:sz w:val="20"/>
        </w:rPr>
        <w:t>Pasar del cumplimiento a la medición de resultados: publicar un informe con indicadores de resultado, evaluar las estrategias de patrullaje y capacitación, y documentar los procedimientos para que no dependan de una administración.</w:t>
      </w:r>
    </w:p>
    <w:p>
      <w:pPr>
        <w:keepNext/>
        <w:spacing w:after="20" w:before="0" w:line="240" w:lineRule="auto"/>
        <w:ind w:left="288"/>
      </w:pPr>
      <w:r>
        <w:rPr>
          <w:rFonts w:ascii="Archivo Light" w:hAnsi="Archivo Light" w:eastAsia="Archivo Light"/>
          <w:b/>
          <w:i w:val="0"/>
          <w:color w:val="1F3A5F"/>
          <w:sz w:val="19"/>
        </w:rPr>
        <w:t>Regular: cerrar brechas puntuales</w:t>
      </w:r>
    </w:p>
    <w:p>
      <w:pPr>
        <w:keepNext w:val="0"/>
        <w:spacing w:after="80" w:before="0" w:line="240" w:lineRule="auto"/>
        <w:ind w:left="576"/>
      </w:pPr>
      <w:r>
        <w:rPr>
          <w:rFonts w:ascii="Archivo Light" w:hAnsi="Archivo Light" w:eastAsia="Archivo Light"/>
          <w:b w:val="0"/>
          <w:i w:val="0"/>
          <w:sz w:val="20"/>
        </w:rPr>
        <w:t>Atender los dos o tres indicadores con puntaje más bajo y dar continuidad a lo que ya existe (capacitación anual, renovación de certificaciones y dotación periódica).</w:t>
      </w:r>
    </w:p>
    <w:p>
      <w:pPr>
        <w:keepNext/>
        <w:spacing w:after="20" w:before="0" w:line="240" w:lineRule="auto"/>
        <w:ind w:left="288"/>
      </w:pPr>
      <w:r>
        <w:rPr>
          <w:rFonts w:ascii="Archivo Light" w:hAnsi="Archivo Light" w:eastAsia="Archivo Light"/>
          <w:b/>
          <w:i w:val="0"/>
          <w:color w:val="1F3A5F"/>
          <w:sz w:val="19"/>
        </w:rPr>
        <w:t>Mal / Catastrófico: atender carencias</w:t>
      </w:r>
    </w:p>
    <w:p>
      <w:pPr>
        <w:keepNext w:val="0"/>
        <w:spacing w:after="80" w:before="0" w:line="240" w:lineRule="auto"/>
        <w:ind w:left="576"/>
      </w:pPr>
      <w:r>
        <w:rPr>
          <w:rFonts w:ascii="Archivo Light" w:hAnsi="Archivo Light" w:eastAsia="Archivo Light"/>
          <w:b w:val="0"/>
          <w:i w:val="0"/>
          <w:sz w:val="20"/>
        </w:rPr>
        <w:t>Instalar lo mínimo que exige la ley: programa de protección civil, certificación del personal, equipo de protección y registro de información. Sin estas bases, cualquier mejora de procesos carece de sustento.</w:t>
      </w:r>
    </w:p>
    <w:p>
      <w:pPr>
        <w:keepNext/>
        <w:shd w:val="clear" w:color="auto" w:fill="EEF2F7"/>
        <w:spacing w:after="40" w:before="120" w:line="240" w:lineRule="auto"/>
        <w:ind w:left="0"/>
      </w:pPr>
      <w:r>
        <w:rPr>
          <w:rFonts w:ascii="Archivo Light" w:hAnsi="Archivo Light" w:eastAsia="Archivo Light"/>
          <w:b/>
          <w:i w:val="0"/>
          <w:color w:val="1F3A5F"/>
          <w:sz w:val="21"/>
        </w:rPr>
        <w:t xml:space="preserve">Menú de propuestas ligeras por dimensión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Seleccione solo las que correspondan a indicadores con puntaje de 1 a 3.</w:t>
      </w:r>
    </w:p>
    <w:p>
      <w:pPr>
        <w:keepNext/>
        <w:spacing w:after="20" w:before="0" w:line="240" w:lineRule="auto"/>
        <w:ind w:left="288"/>
      </w:pPr>
      <w:r>
        <w:rPr>
          <w:rFonts w:ascii="Archivo Light" w:hAnsi="Archivo Light" w:eastAsia="Archivo Light"/>
          <w:b/>
          <w:i w:val="0"/>
          <w:color w:val="1F3A5F"/>
          <w:sz w:val="19"/>
        </w:rPr>
        <w:t>Protección civil</w:t>
      </w:r>
    </w:p>
    <w:p>
      <w:pPr>
        <w:keepNext w:val="0"/>
        <w:spacing w:after="80" w:before="0" w:line="240" w:lineRule="auto"/>
        <w:ind w:left="576"/>
      </w:pPr>
      <w:r>
        <w:rPr>
          <w:rFonts w:ascii="Archivo Light" w:hAnsi="Archivo Light" w:eastAsia="Archivo Light"/>
          <w:b w:val="0"/>
          <w:i w:val="0"/>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pPr>
        <w:keepNext/>
        <w:spacing w:after="20" w:before="0" w:line="240" w:lineRule="auto"/>
        <w:ind w:left="288"/>
      </w:pPr>
      <w:r>
        <w:rPr>
          <w:rFonts w:ascii="Archivo Light" w:hAnsi="Archivo Light" w:eastAsia="Archivo Light"/>
          <w:b/>
          <w:i w:val="0"/>
          <w:color w:val="1F3A5F"/>
          <w:sz w:val="19"/>
        </w:rPr>
        <w:t>Condiciones del personal</w:t>
      </w:r>
    </w:p>
    <w:p>
      <w:pPr>
        <w:keepNext w:val="0"/>
        <w:spacing w:after="80" w:before="0" w:line="240" w:lineRule="auto"/>
        <w:ind w:left="576"/>
      </w:pPr>
      <w:r>
        <w:rPr>
          <w:rFonts w:ascii="Archivo Light" w:hAnsi="Archivo Light" w:eastAsia="Archivo Light"/>
          <w:b w:val="0"/>
          <w:i w:val="0"/>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pPr>
        <w:keepNext/>
        <w:spacing w:after="20" w:before="0" w:line="240" w:lineRule="auto"/>
        <w:ind w:left="288"/>
      </w:pPr>
      <w:r>
        <w:rPr>
          <w:rFonts w:ascii="Archivo Light" w:hAnsi="Archivo Light" w:eastAsia="Archivo Light"/>
          <w:b/>
          <w:i w:val="0"/>
          <w:color w:val="1F3A5F"/>
          <w:sz w:val="19"/>
        </w:rPr>
        <w:t>Inteligencia y eficiencia</w:t>
      </w:r>
    </w:p>
    <w:p>
      <w:pPr>
        <w:keepNext w:val="0"/>
        <w:spacing w:after="80" w:before="0" w:line="240" w:lineRule="auto"/>
        <w:ind w:left="576"/>
      </w:pPr>
      <w:r>
        <w:rPr>
          <w:rFonts w:ascii="Archivo Light" w:hAnsi="Archivo Light" w:eastAsia="Archivo Light"/>
          <w:b w:val="0"/>
          <w:i w:val="0"/>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75F26114" w14:textId="17544AD9" w:rsidR="00FF0D65" w:rsidRDefault="00FF0D65" w:rsidP="00FF0D65">
      <w:pPr>
        <w:spacing w:before="320" w:after="320" w:line="360" w:lineRule="auto"/>
        <w:ind w:left="567" w:right="616" w:firstLine="284"/>
        <w:contextualSpacing/>
        <w:jc w:val="both"/>
        <w:rPr>
          <w:rFonts w:ascii="Archivo Light" w:hAnsi="Archivo Light" w:cs="Archivo Light"/>
        </w:rPr>
      </w:pPr>
    </w:p>
    <w:p w14:paraId="22653A18"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7DEE7A78" w14:textId="38D55AA4"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4B736940" w14:textId="7EF73D5C"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2853BC15" w14:textId="72559A5F"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electoral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Qué está bien: indicadores con 4 o 5. Qué está mal: indicadores con 1 o 2. Por qué: elija las causas que respalden los datos.</w:t>
      </w:r>
    </w:p>
    <w:p>
      <w:pPr>
        <w:keepNext/>
        <w:spacing w:after="20" w:before="0" w:line="240" w:lineRule="auto"/>
        <w:ind w:left="288"/>
      </w:pPr>
      <w:r>
        <w:rPr>
          <w:rFonts w:ascii="Archivo Light" w:hAnsi="Archivo Light" w:eastAsia="Archivo Light"/>
          <w:b/>
          <w:i w:val="0"/>
          <w:color w:val="1F3A5F"/>
          <w:sz w:val="19"/>
        </w:rPr>
        <w:t>¿Qué está bien?</w:t>
      </w:r>
    </w:p>
    <w:p>
      <w:pPr>
        <w:keepNext w:val="0"/>
        <w:spacing w:after="80" w:before="0" w:line="240" w:lineRule="auto"/>
        <w:ind w:left="576"/>
      </w:pPr>
      <w:r>
        <w:rPr>
          <w:rFonts w:ascii="Archivo Light" w:hAnsi="Archivo Light" w:eastAsia="Archivo Light"/>
          <w:b w:val="0"/>
          <w:i w:val="0"/>
          <w:sz w:val="20"/>
        </w:rPr>
        <w:t xml:space="preserve">Lo que funciona: </w:t>
      </w:r>
      <w:r>
        <w:rPr>
          <w:rFonts w:ascii="Archivo Light" w:hAnsi="Archivo Light" w:eastAsia="Archivo Light"/>
          <w:b/>
          <w:i w:val="0"/>
          <w:color w:val="9C2A1E"/>
          <w:sz w:val="20"/>
        </w:rPr>
        <w:t>{{ indicadores_con_4_o_5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ya cuenta con </w:t>
      </w:r>
      <w:r>
        <w:rPr>
          <w:rFonts w:ascii="Archivo Light" w:hAnsi="Archivo Light" w:eastAsia="Archivo Light"/>
          <w:b/>
          <w:i w:val="0"/>
          <w:color w:val="9C2A1E"/>
          <w:sz w:val="20"/>
        </w:rPr>
        <w:t>{{ capacidad }}</w:t>
      </w:r>
      <w:r>
        <w:rPr>
          <w:rFonts w:ascii="Archivo Light" w:hAnsi="Archivo Light" w:eastAsia="Archivo Light"/>
          <w:b w:val="0"/>
          <w:i w:val="0"/>
          <w:sz w:val="20"/>
        </w:rPr>
        <w:t xml:space="preserve">, lo que lo ubica </w:t>
      </w:r>
      <w:r>
        <w:rPr>
          <w:rFonts w:ascii="Archivo Light" w:hAnsi="Archivo Light" w:eastAsia="Archivo Light"/>
          <w:b/>
          <w:i w:val="0"/>
          <w:color w:val="9C2A1E"/>
          <w:sz w:val="20"/>
        </w:rPr>
        <w:t>{{ posicion_relativa }}</w:t>
      </w:r>
      <w:r>
        <w:rPr>
          <w:rFonts w:ascii="Archivo Light" w:hAnsi="Archivo Light" w:eastAsia="Archivo Light"/>
          <w:b w:val="0"/>
          <w:i w:val="0"/>
          <w:sz w:val="20"/>
        </w:rPr>
        <w:t xml:space="preserve"> la mayoría de los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Conviene no desmontarlo y construir sobre ello.</w:t>
      </w:r>
    </w:p>
    <w:p>
      <w:pPr>
        <w:keepNext/>
        <w:spacing w:after="20" w:before="0" w:line="240" w:lineRule="auto"/>
        <w:ind w:left="288"/>
      </w:pPr>
      <w:r>
        <w:rPr>
          <w:rFonts w:ascii="Archivo Light" w:hAnsi="Archivo Light" w:eastAsia="Archivo Light"/>
          <w:b/>
          <w:i w:val="0"/>
          <w:color w:val="1F3A5F"/>
          <w:sz w:val="19"/>
        </w:rPr>
        <w:t>¿Qué está mal?</w:t>
      </w:r>
    </w:p>
    <w:p>
      <w:pPr>
        <w:keepNext w:val="0"/>
        <w:spacing w:after="80" w:before="0" w:line="240" w:lineRule="auto"/>
        <w:ind w:left="576"/>
      </w:pPr>
      <w:r>
        <w:rPr>
          <w:rFonts w:ascii="Archivo Light" w:hAnsi="Archivo Light" w:eastAsia="Archivo Light"/>
          <w:b w:val="0"/>
          <w:i w:val="0"/>
          <w:sz w:val="20"/>
        </w:rPr>
        <w:t xml:space="preserve">Lo que no funciona: </w:t>
      </w:r>
      <w:r>
        <w:rPr>
          <w:rFonts w:ascii="Archivo Light" w:hAnsi="Archivo Light" w:eastAsia="Archivo Light"/>
          <w:b/>
          <w:i w:val="0"/>
          <w:color w:val="9C2A1E"/>
          <w:sz w:val="20"/>
        </w:rPr>
        <w:t>{{ indicadores_con_1_o_2 }}</w:t>
      </w:r>
      <w:r>
        <w:rPr>
          <w:rFonts w:ascii="Archivo Light" w:hAnsi="Archivo Light" w:eastAsia="Archivo Light"/>
          <w:b w:val="0"/>
          <w:i w:val="0"/>
          <w:sz w:val="20"/>
        </w:rPr>
        <w:t xml:space="preserve">. En </w:t>
      </w:r>
      <w:r>
        <w:rPr>
          <w:rFonts w:ascii="Archivo Light" w:hAnsi="Archivo Light" w:eastAsia="Archivo Light"/>
          <w:b/>
          <w:i w:val="0"/>
          <w:color w:val="9C2A1E"/>
          <w:sz w:val="20"/>
        </w:rPr>
        <w:t>{{ dimension }}</w:t>
      </w:r>
      <w:r>
        <w:rPr>
          <w:rFonts w:ascii="Archivo Light" w:hAnsi="Archivo Light" w:eastAsia="Archivo Light"/>
          <w:b w:val="0"/>
          <w:i w:val="0"/>
          <w:sz w:val="20"/>
        </w:rPr>
        <w:t xml:space="preserve">, el municipio no alcanza </w:t>
      </w:r>
      <w:r>
        <w:rPr>
          <w:rFonts w:ascii="Archivo Light" w:hAnsi="Archivo Light" w:eastAsia="Archivo Light"/>
          <w:b/>
          <w:i w:val="0"/>
          <w:color w:val="9C2A1E"/>
          <w:sz w:val="20"/>
        </w:rPr>
        <w:t>{{ estandar }}</w:t>
      </w:r>
      <w:r>
        <w:rPr>
          <w:rFonts w:ascii="Archivo Light" w:hAnsi="Archivo Light" w:eastAsia="Archivo Light"/>
          <w:b w:val="0"/>
          <w:i w:val="0"/>
          <w:sz w:val="20"/>
        </w:rPr>
        <w:t xml:space="preserve">, lo que afecta directamente </w:t>
      </w:r>
      <w:r>
        <w:rPr>
          <w:rFonts w:ascii="Archivo Light" w:hAnsi="Archivo Light" w:eastAsia="Archivo Light"/>
          <w:b/>
          <w:i w:val="0"/>
          <w:color w:val="9C2A1E"/>
          <w:sz w:val="20"/>
        </w:rPr>
        <w:t>{{ dimension_con_carencias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¿Por qué? (elegir las causas que apliquen)</w:t>
      </w:r>
    </w:p>
    <w:p>
      <w:pPr>
        <w:keepNext w:val="0"/>
        <w:spacing w:after="80" w:before="0" w:line="240" w:lineRule="auto"/>
        <w:ind w:left="576"/>
      </w:pPr>
      <w:r>
        <w:rPr>
          <w:rFonts w:ascii="Archivo Light" w:hAnsi="Archivo Light" w:eastAsia="Archivo Light"/>
          <w:b/>
          <w:i w:val="0"/>
          <w:color w:val="9C2A1E"/>
          <w:sz w:val="20"/>
        </w:rPr>
        <w:t>[a]</w:t>
      </w:r>
      <w:r>
        <w:rPr>
          <w:rFonts w:ascii="Archivo Light" w:hAnsi="Archivo Light" w:eastAsia="Archivo Light"/>
          <w:b w:val="0"/>
          <w:i w:val="0"/>
          <w:sz w:val="20"/>
        </w:rPr>
        <w:t xml:space="preserve"> Recursos: la reducción o el fin de subsidios federales para seguridad municipal limitó el equipamiento y la certificación. </w:t>
      </w:r>
      <w:r>
        <w:rPr>
          <w:rFonts w:ascii="Archivo Light" w:hAnsi="Archivo Light" w:eastAsia="Archivo Light"/>
          <w:b/>
          <w:i w:val="0"/>
          <w:color w:val="9C2A1E"/>
          <w:sz w:val="20"/>
        </w:rPr>
        <w:t>[b]</w:t>
      </w:r>
      <w:r>
        <w:rPr>
          <w:rFonts w:ascii="Archivo Light" w:hAnsi="Archivo Light" w:eastAsia="Archivo Light"/>
          <w:b w:val="0"/>
          <w:i w:val="0"/>
          <w:sz w:val="20"/>
        </w:rPr>
        <w:t xml:space="preserve"> Tamaño: una corporación pequeña no puede sostener por sí sola academia, análisis y monitoreo, y depende de la coordinación con el Estado. </w:t>
      </w:r>
      <w:r>
        <w:rPr>
          <w:rFonts w:ascii="Archivo Light" w:hAnsi="Archivo Light" w:eastAsia="Archivo Light"/>
          <w:b/>
          <w:i w:val="0"/>
          <w:color w:val="9C2A1E"/>
          <w:sz w:val="20"/>
        </w:rPr>
        <w:t>[c]</w:t>
      </w:r>
      <w:r>
        <w:rPr>
          <w:rFonts w:ascii="Archivo Light" w:hAnsi="Archivo Light" w:eastAsia="Archivo Light"/>
          <w:b w:val="0"/>
          <w:i w:val="0"/>
          <w:sz w:val="20"/>
        </w:rPr>
        <w:t xml:space="preserve"> Continuidad: los cambios de administración interrumpen programas y registros. </w:t>
      </w:r>
      <w:r>
        <w:rPr>
          <w:rFonts w:ascii="Archivo Light" w:hAnsi="Archivo Light" w:eastAsia="Archivo Light"/>
          <w:b/>
          <w:i w:val="0"/>
          <w:color w:val="9C2A1E"/>
          <w:sz w:val="20"/>
        </w:rPr>
        <w:t>[d]</w:t>
      </w:r>
      <w:r>
        <w:rPr>
          <w:rFonts w:ascii="Archivo Light" w:hAnsi="Archivo Light" w:eastAsia="Archivo Light"/>
          <w:b w:val="0"/>
          <w:i w:val="0"/>
          <w:sz w:val="20"/>
        </w:rPr>
        <w:t xml:space="preserve"> Prioridades: la administración concentró recursos en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y descuidó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w:t>
      </w:r>
      <w:r>
        <w:rPr>
          <w:rFonts w:ascii="Archivo Light" w:hAnsi="Archivo Light" w:eastAsia="Archivo Light"/>
          <w:b/>
          <w:i w:val="0"/>
          <w:color w:val="9C2A1E"/>
          <w:sz w:val="20"/>
        </w:rPr>
        <w:t>[e]</w:t>
      </w:r>
      <w:r>
        <w:rPr>
          <w:rFonts w:ascii="Archivo Light" w:hAnsi="Archivo Light" w:eastAsia="Archivo Light"/>
          <w:b w:val="0"/>
          <w:i w:val="0"/>
          <w:sz w:val="20"/>
        </w:rPr>
        <w:t xml:space="preserve"> Información: el municipio no reporta datos, lo que impide saber si la función existe.</w:t>
      </w:r>
    </w:p>
    <w:p w14:paraId="7D273AA9"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40DD39CA"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8E9D7C2" w14:textId="2E06E410" w:rsidR="006634C5" w:rsidRDefault="006634C5" w:rsidP="006634C5">
      <w:pPr>
        <w:spacing w:before="280" w:after="280" w:line="240" w:lineRule="auto"/>
        <w:rPr>
          <w:rFonts w:ascii="Archivo Light" w:hAnsi="Archivo Light" w:cs="Archivo Light"/>
          <w:sz w:val="48"/>
          <w:szCs w:val="48"/>
        </w:rPr>
      </w:pPr>
    </w:p>
    <w:p w14:paraId="5A2DE651" w14:textId="53D9ABC0"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Protección civil: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Tratados y leves en la materia.</w:t>
      </w:r>
    </w:p>
    <w:p w14:paraId="533C49CC" w14:textId="34711AAD"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729503CB" w14:textId="219D4438" w:rsidR="001E013F" w:rsidRPr="00974283" w:rsidRDefault="001E013F" w:rsidP="001E013F">
      <w:pPr>
        <w:pStyle w:val="Prrafodelista"/>
        <w:numPr>
          <w:ilvl w:val="0"/>
          <w:numId w:val="22"/>
        </w:numPr>
        <w:rPr>
          <w:highlight w:val="yellow"/>
        </w:rPr>
      </w:pPr>
      <w:r w:rsidRPr="00974283">
        <w:rPr>
          <w:highlight w:val="yellow"/>
        </w:rPr>
        <w:t>Recomendaciones de Naciones Unidas</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PROTECCIÓN CIVIL (indicadores 1 a 3)</w:t>
      </w:r>
    </w:p>
    <w:p>
      <w:pPr>
        <w:keepNext w:val="0"/>
        <w:spacing w:after="80" w:before="0" w:line="240" w:lineRule="auto"/>
        <w:ind w:left="0"/>
      </w:pPr>
      <w:r>
        <w:rPr>
          <w:rFonts w:ascii="Archivo Light" w:hAnsi="Archivo Light" w:eastAsia="Archivo Light"/>
          <w:b w:val="0"/>
          <w:i/>
          <w:color w:val="404040"/>
          <w:sz w:val="19"/>
        </w:rPr>
        <w:t>Ordenadas por jerarquía: norma mexicana, tratados, legislación estatal, estándares multilaterales y evidencia.</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Constitución Política de los Estados Unidos Mexicanos (CPEUM), art. 73, fr. XXIX-I (bases de coordinación en protección civil) y art. 115 (funciones y servicios municipales).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de la concurrencia Federación–estado–municipio; explica por qué el programa municipal es obligación local.</w:t>
      </w:r>
    </w:p>
    <w:p>
      <w:pPr>
        <w:keepNext w:val="0"/>
        <w:spacing w:after="60" w:before="0" w:line="240" w:lineRule="auto"/>
        <w:ind w:left="432" w:hanging="288"/>
      </w:pPr>
      <w:r>
        <w:rPr>
          <w:rFonts w:ascii="Archivo Light" w:hAnsi="Archivo Light" w:eastAsia="Archivo Light"/>
          <w:b w:val="0"/>
          <w:i w:val="0"/>
          <w:sz w:val="19"/>
        </w:rPr>
        <w:t>Ley General de Protección Civil (LGPC), DOF 06-06-2012, texto vigente con reformas; y su Reglamento, DOF 13-05-2014. https://www.diputados.gob.mx/LeyesBiblio/pdf/LGPC.pdf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Mínimo legal para el indicador 1: enfoque de Gestión Integral de Riesgos, programas de protección civil en los tres órdenes, atlas de riesgos y profesionalización. Referencia base para 'qué debería existir'.</w:t>
      </w:r>
    </w:p>
    <w:p>
      <w:pPr>
        <w:keepNext w:val="0"/>
        <w:spacing w:after="60" w:before="0" w:line="240" w:lineRule="auto"/>
        <w:ind w:left="432" w:hanging="288"/>
      </w:pPr>
      <w:r>
        <w:rPr>
          <w:rFonts w:ascii="Archivo Light" w:hAnsi="Archivo Light" w:eastAsia="Archivo Light"/>
          <w:b w:val="0"/>
          <w:i w:val="0"/>
          <w:sz w:val="19"/>
        </w:rPr>
        <w:t>Minuta de Ley General de Protección Civil y Gestión del Riesgo de Desastres (LGPCGRD). Aprobada por la Cámara de Diputados en marzo de 2024 y turnada al Senado; abrogaría la LGPC de 2012. [Verificar estatus en el Senado.]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Anticipa obligaciones nuevas (centros estatales de capacitación, recursos estatales para emergencias, seguros). Útil para la sección de propuestas.</w:t>
      </w:r>
    </w:p>
    <w:p>
      <w:pPr>
        <w:keepNext w:val="0"/>
        <w:spacing w:after="60" w:before="0" w:line="240" w:lineRule="auto"/>
        <w:ind w:left="432" w:hanging="288"/>
      </w:pPr>
      <w:r>
        <w:rPr>
          <w:rFonts w:ascii="Archivo Light" w:hAnsi="Archivo Light" w:eastAsia="Archivo Light"/>
          <w:b w:val="0"/>
          <w:i w:val="0"/>
          <w:sz w:val="19"/>
        </w:rPr>
        <w:t>Ley General de Asentamientos Humanos, Ordenamiento Territorial y Desarrollo Urbano (LGAHOTDU, 2016) y Ley General de Cambio Climático (LGCC,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Vinculan atlas de riesgo, uso de suelo y adaptación con atribuciones municipales; permiten conectar protección civil con el apartado de desarrollo urbano del anexo.</w:t>
      </w:r>
    </w:p>
    <w:p>
      <w:pPr>
        <w:keepNext w:val="0"/>
        <w:spacing w:after="60" w:before="0" w:line="240" w:lineRule="auto"/>
        <w:ind w:left="432" w:hanging="288"/>
      </w:pPr>
      <w:r>
        <w:rPr>
          <w:rFonts w:ascii="Archivo Light" w:hAnsi="Archivo Light" w:eastAsia="Archivo Light"/>
          <w:b w:val="0"/>
          <w:i w:val="0"/>
          <w:sz w:val="19"/>
        </w:rPr>
        <w:t>Norma Oficial Mexicana NOM-003-SEGOB-2011, Señales y avisos para protección civil.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tema de capacitación 'Señalética de protección civil'.</w:t>
      </w:r>
    </w:p>
    <w:p>
      <w:pPr>
        <w:keepNext w:val="0"/>
        <w:spacing w:after="60" w:before="0" w:line="240" w:lineRule="auto"/>
        <w:ind w:left="432" w:hanging="288"/>
      </w:pPr>
      <w:r>
        <w:rPr>
          <w:rFonts w:ascii="Archivo Light" w:hAnsi="Archivo Light" w:eastAsia="Archivo Light"/>
          <w:b w:val="0"/>
          <w:i w:val="0"/>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Catálogo de referencia para comparar los 'temas de la capacitación' reportados en el censo contra un currículo mínimo.</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Convención sobre los Derechos de las Personas con Discapacidad (CDPD), art. 11 (situaciones de riesgo y emergencias humanitarias).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convencional vinculante que exige planes de emergencia inclusivos; sirve como criterio de calidad del programa municipal.</w:t>
      </w:r>
    </w:p>
    <w:p>
      <w:pPr>
        <w:keepNext w:val="0"/>
        <w:spacing w:after="60" w:before="0" w:line="240" w:lineRule="auto"/>
        <w:ind w:left="432" w:hanging="288"/>
      </w:pPr>
      <w:r>
        <w:rPr>
          <w:rFonts w:ascii="Archivo Light" w:hAnsi="Archivo Light" w:eastAsia="Archivo Light"/>
          <w:b w:val="0"/>
          <w:i w:val="0"/>
          <w:sz w:val="19"/>
        </w:rPr>
        <w:t>Acuerdo de París (2015), arts. 7 (adaptación) y 8 (pérdidas y daños), en el marco de la Convención Marco de las Naciones Unidas sobre el Cambio Climático (CMNUCC).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Conecta la protección civil municipal con la agenda de adaptación.</w:t>
      </w:r>
    </w:p>
    <w:p>
      <w:pPr>
        <w:keepNext w:val="0"/>
        <w:spacing w:after="60" w:before="0" w:line="240" w:lineRule="auto"/>
        <w:ind w:left="432" w:hanging="288"/>
      </w:pPr>
      <w:r>
        <w:rPr>
          <w:rFonts w:ascii="Archivo Light" w:hAnsi="Archivo Light" w:eastAsia="Archivo Light"/>
          <w:b w:val="0"/>
          <w:i w:val="0"/>
          <w:sz w:val="19"/>
        </w:rPr>
        <w:t>Convención Interamericana para Facilitar la Asistencia en Casos de Desastre (Organización de los Estados Americanos, OEA, 1991). [Verificar si México es Estado parte.]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regional de cooperación; su valor es contextual si México no la ha ratificado.</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Protección Civil para el Estado de Nuevo León, P.O. 22-01-1997; última reforma P.O. 15-06-2026. https://www.hcnl.gob.mx/trabajo_legislativo/leyes/leyes/ley_de_proteccion_civil_para_el_estado_de_nuevo_leon/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Define atribuciones de presidentes municipales y unidades municipales de protección civil, y el programa municipal. Es el benchmark legal directo para los municipios de la entidad.</w:t>
      </w:r>
    </w:p>
    <w:p>
      <w:pPr>
        <w:keepNext w:val="0"/>
        <w:spacing w:after="60" w:before="0" w:line="240" w:lineRule="auto"/>
        <w:ind w:left="432" w:hanging="288"/>
      </w:pPr>
      <w:r>
        <w:rPr>
          <w:rFonts w:ascii="Archivo Light" w:hAnsi="Archivo Light" w:eastAsia="Archivo Light"/>
          <w:b w:val="0"/>
          <w:i w:val="0"/>
          <w:sz w:val="19"/>
        </w:rPr>
        <w:t>Ley de Protección contra Incendios y Materiales Peligrosos del Estado de Nuevo León.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los temas 'prevención y combate de incendios' y 'materiales peligrosos'.</w:t>
      </w:r>
    </w:p>
    <w:p>
      <w:pPr>
        <w:keepNext w:val="0"/>
        <w:spacing w:after="60" w:before="0" w:line="240" w:lineRule="auto"/>
        <w:ind w:left="432" w:hanging="288"/>
      </w:pPr>
      <w:r>
        <w:rPr>
          <w:rFonts w:ascii="Archivo Light" w:hAnsi="Archivo Light" w:eastAsia="Archivo Light"/>
          <w:b w:val="0"/>
          <w:i w:val="0"/>
          <w:sz w:val="19"/>
        </w:rPr>
        <w:t>Reglamento municipal de protección civil y atlas de riesgos estatal y municipal. [Verificar existencia y fecha en el periódico oficial y en el portal municipal.]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Permite contrastar la respuesta 'No existe programa' del censo con la normatividad local.</w:t>
      </w:r>
    </w:p>
    <w:p>
      <w:pPr>
        <w:keepNext/>
        <w:spacing w:after="40" w:before="100" w:line="240" w:lineRule="auto"/>
        <w:ind w:left="0"/>
      </w:pPr>
      <w:r>
        <w:rPr>
          <w:rFonts w:ascii="Archivo Light" w:hAnsi="Archivo Light" w:eastAsia="Archivo Light"/>
          <w:b/>
          <w:i w:val="0"/>
          <w:color w:val="1F3A5F"/>
          <w:sz w:val="20"/>
        </w:rPr>
        <w:t>4. Estándares de Naciones Unidas</w:t>
      </w:r>
    </w:p>
    <w:p>
      <w:pPr>
        <w:keepNext w:val="0"/>
        <w:spacing w:after="60" w:before="0" w:line="240" w:lineRule="auto"/>
        <w:ind w:left="432" w:hanging="288"/>
      </w:pPr>
      <w:r>
        <w:rPr>
          <w:rFonts w:ascii="Archivo Light" w:hAnsi="Archivo Light" w:eastAsia="Archivo Light"/>
          <w:b w:val="0"/>
          <w:i w:val="0"/>
          <w:sz w:val="19"/>
        </w:rPr>
        <w:t>Marco de Sendai para la Reducción del Riesgo de Desastres 2015-2030 (A/RES/69/283), especialmente meta (e) y prioridad 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internacional de referencia: gobiernos locales con estrategias de reducción del riesgo y preparación para la respuesta.</w:t>
      </w:r>
    </w:p>
    <w:p>
      <w:pPr>
        <w:keepNext w:val="0"/>
        <w:spacing w:after="60" w:before="0" w:line="240" w:lineRule="auto"/>
        <w:ind w:left="432" w:hanging="288"/>
      </w:pPr>
      <w:r>
        <w:rPr>
          <w:rFonts w:ascii="Archivo Light" w:hAnsi="Archivo Light" w:eastAsia="Archivo Light"/>
          <w:b w:val="0"/>
          <w:i w:val="0"/>
          <w:sz w:val="19"/>
        </w:rPr>
        <w:t>Objetivos de Desarrollo Sostenible (ODS), indicadores 1.5.4, 11.b.2 y 13.1.3: proporción de gobiernos locales que adoptan y aplican estrategias locales de reducción del riesgo de desastres.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medible y directamente comparable con el indicador 1 (existencia de plan).</w:t>
      </w:r>
    </w:p>
    <w:p>
      <w:pPr>
        <w:keepNext w:val="0"/>
        <w:spacing w:after="60" w:before="0" w:line="240" w:lineRule="auto"/>
        <w:ind w:left="432" w:hanging="288"/>
      </w:pPr>
      <w:r>
        <w:rPr>
          <w:rFonts w:ascii="Archivo Light" w:hAnsi="Archivo Light" w:eastAsia="Archivo Light"/>
          <w:b w:val="0"/>
          <w:i w:val="0"/>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municipal lista para usar; los aspectos 6 (capacidad institucional), 7 (capacidad social) y 9 (respuesta) cubren los indicadores 1 a 3.</w:t>
      </w:r>
    </w:p>
    <w:p>
      <w:pPr>
        <w:keepNext w:val="0"/>
        <w:spacing w:after="60" w:before="0" w:line="240" w:lineRule="auto"/>
        <w:ind w:left="432" w:hanging="288"/>
      </w:pPr>
      <w:r>
        <w:rPr>
          <w:rFonts w:ascii="Archivo Light" w:hAnsi="Archivo Light" w:eastAsia="Archivo Light"/>
          <w:b w:val="0"/>
          <w:i w:val="0"/>
          <w:sz w:val="19"/>
        </w:rPr>
        <w:t>UNDRR (2019). Words into Action: Implementation Guide for Local Disaster Risk Reduction and Resilience Strategies.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Contenidos mínimos de una estrategia o plan local; útil para decir qué debería contener el programa municipal.</w:t>
      </w:r>
    </w:p>
    <w:p>
      <w:pPr>
        <w:keepNext w:val="0"/>
        <w:spacing w:after="60" w:before="0" w:line="240" w:lineRule="auto"/>
        <w:ind w:left="432" w:hanging="288"/>
      </w:pPr>
      <w:r>
        <w:rPr>
          <w:rFonts w:ascii="Archivo Light" w:hAnsi="Archivo Light" w:eastAsia="Archivo Light"/>
          <w:b w:val="0"/>
          <w:i w:val="0"/>
          <w:sz w:val="19"/>
        </w:rPr>
        <w:t>Iniciativa Alertas Tempranas para Todos (Early Warnings for All, ONU, 2022-2027) y Guías del Grupo Asesor Internacional de Operaciones de Búsqueda y Rescate (INSARAG, OCHA).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para los temas 'sistemas de alerta temprana' y 'evacuación, búsqueda y rescate'.</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Organización para la Cooperación y el Desarrollo Económicos (OCDE) (2013). OECD Reviews of Risk Management Policies: Mexico 2013 – Review of the Mexican National Civil Protection System. OECD Publishing.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Diagnóstico externo del Sistema Nacional de Protección Civil (SINAPROC), con hallazgos sobre capacidades municipales. Muy citable.</w:t>
      </w:r>
    </w:p>
    <w:p>
      <w:pPr>
        <w:keepNext w:val="0"/>
        <w:spacing w:after="60" w:before="0" w:line="240" w:lineRule="auto"/>
        <w:ind w:left="432" w:hanging="288"/>
      </w:pPr>
      <w:r>
        <w:rPr>
          <w:rFonts w:ascii="Archivo Light" w:hAnsi="Archivo Light" w:eastAsia="Archivo Light"/>
          <w:b w:val="0"/>
          <w:i w:val="0"/>
          <w:sz w:val="19"/>
        </w:rPr>
        <w:t>OCDE (2014). Recommendation of the Council on the Governance of Critical Risks.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Principios de evaluación del riesgo, preparación y rendición de cuentas aplicables al nivel local.</w:t>
      </w:r>
    </w:p>
    <w:p>
      <w:pPr>
        <w:keepNext w:val="0"/>
        <w:spacing w:after="60" w:before="0" w:line="240" w:lineRule="auto"/>
        <w:ind w:left="432" w:hanging="288"/>
      </w:pPr>
      <w:r>
        <w:rPr>
          <w:rFonts w:ascii="Archivo Light" w:hAnsi="Archivo Light" w:eastAsia="Archivo Light"/>
          <w:b w:val="0"/>
          <w:i w:val="0"/>
          <w:sz w:val="19"/>
        </w:rPr>
        <w:t>OEA. Plan Interamericano para la Prevención, la Atención de los Desastres y la Coordinación de la Asistencia Humanitaria (2012). [Verificar denominación y resolución.]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Referente regional de política pública.</w:t>
      </w:r>
    </w:p>
    <w:p>
      <w:pPr>
        <w:keepNext w:val="0"/>
        <w:spacing w:after="60" w:before="0" w:line="240" w:lineRule="auto"/>
        <w:ind w:left="432" w:hanging="288"/>
      </w:pPr>
      <w:r>
        <w:rPr>
          <w:rFonts w:ascii="Archivo Light" w:hAnsi="Archivo Light" w:eastAsia="Archivo Light"/>
          <w:b w:val="0"/>
          <w:i w:val="0"/>
          <w:sz w:val="19"/>
        </w:rPr>
        <w:t>Federación Internacional de Sociedades de la Cruz Roja y de la Media Luna Roja (FICR) (2020). International First Aid, Resuscitation and Education Guidelines.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técnico para el tema 'primeros auxilios', el más impartido en Nuevo León.</w:t>
      </w:r>
    </w:p>
    <w:p>
      <w:pPr>
        <w:keepNext/>
        <w:spacing w:after="40" w:before="100" w:line="240" w:lineRule="auto"/>
        <w:ind w:left="0"/>
      </w:pPr>
      <w:r>
        <w:rPr>
          <w:rFonts w:ascii="Archivo Light" w:hAnsi="Archivo Light" w:eastAsia="Archivo Light"/>
          <w:b/>
          <w:i w:val="0"/>
          <w:color w:val="1F3A5F"/>
          <w:sz w:val="20"/>
        </w:rPr>
        <w:t>6. Handbooks y revisiones sistemáticas</w:t>
      </w:r>
    </w:p>
    <w:p>
      <w:pPr>
        <w:keepNext w:val="0"/>
        <w:spacing w:after="60" w:before="0" w:line="240" w:lineRule="auto"/>
        <w:ind w:left="432" w:hanging="288"/>
      </w:pPr>
      <w:r>
        <w:rPr>
          <w:rFonts w:ascii="Archivo Light" w:hAnsi="Archivo Light" w:eastAsia="Archivo Light"/>
          <w:b w:val="0"/>
          <w:i w:val="0"/>
          <w:sz w:val="19"/>
        </w:rPr>
        <w:t>Rodríguez, H., Donner, W. y Trainor, J. (eds.) (2018). Handbook of Disaster Research, 2a ed. Springer.</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general sobre preparación, respuesta y capacidades locales.</w:t>
      </w:r>
    </w:p>
    <w:p>
      <w:pPr>
        <w:keepNext w:val="0"/>
        <w:spacing w:after="60" w:before="0" w:line="240" w:lineRule="auto"/>
        <w:ind w:left="432" w:hanging="288"/>
      </w:pPr>
      <w:r>
        <w:rPr>
          <w:rFonts w:ascii="Archivo Light" w:hAnsi="Archivo Light" w:eastAsia="Archivo Light"/>
          <w:b w:val="0"/>
          <w:i w:val="0"/>
          <w:sz w:val="19"/>
        </w:rPr>
        <w:t>Wisner, B., Gaillard, J. C. y Kelman, I. (eds.) (2012). The Routledge Handbook of Hazards and Disaster Risk Reduction. Routledge.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vulnerabilidad y reducción del riesgo desde el nivel local.</w:t>
      </w:r>
    </w:p>
    <w:p>
      <w:pPr>
        <w:keepNext w:val="0"/>
        <w:spacing w:after="60" w:before="0" w:line="240" w:lineRule="auto"/>
        <w:ind w:left="432" w:hanging="288"/>
      </w:pPr>
      <w:r>
        <w:rPr>
          <w:rFonts w:ascii="Archivo Light" w:hAnsi="Archivo Light" w:eastAsia="Archivo Light"/>
          <w:b w:val="0"/>
          <w:i w:val="0"/>
          <w:sz w:val="19"/>
        </w:rPr>
        <w:t>Perry, R. W. y Lindell, M. K. (2003). Preparedness for emergency response: guidelines for the emergency planning process. Disasters, 27(4), 336-350.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el plan-documento del proceso de planeación; sirve para argumentar por qué 'tener plan' no basta.</w:t>
      </w:r>
    </w:p>
    <w:p>
      <w:pPr>
        <w:keepNext w:val="0"/>
        <w:spacing w:after="60" w:before="0" w:line="240" w:lineRule="auto"/>
        <w:ind w:left="432" w:hanging="288"/>
      </w:pPr>
      <w:r>
        <w:rPr>
          <w:rFonts w:ascii="Archivo Light" w:hAnsi="Archivo Light" w:eastAsia="Archivo Light"/>
          <w:b w:val="0"/>
          <w:i w:val="0"/>
          <w:sz w:val="19"/>
        </w:rPr>
        <w:t>Strategies for disaster risk reduction education: A systematic review (2018). Journal of Education and Health Promotion. [Verificar autores.]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formatos de capacitación en reducción del riesgo.</w:t>
      </w:r>
    </w:p>
    <w:p>
      <w:pPr>
        <w:keepNext w:val="0"/>
        <w:spacing w:after="60" w:before="0" w:line="240" w:lineRule="auto"/>
        <w:ind w:left="432" w:hanging="288"/>
      </w:pPr>
      <w:r>
        <w:rPr>
          <w:rFonts w:ascii="Archivo Light" w:hAnsi="Archivo Light" w:eastAsia="Archivo Light"/>
          <w:b w:val="0"/>
          <w:i w:val="0"/>
          <w:sz w:val="19"/>
        </w:rPr>
        <w:t>The development of disaster preparedness education for public: a scoping review (2025). BMC Public Health. https://doi.org/10.1186/s12889-025-21664-0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Mapa reciente de la evidencia sobre educación para la preparación; útil para el apartado de capacitación.</w:t>
      </w:r>
    </w:p>
    <w:p>
      <w:pPr>
        <w:keepNext/>
        <w:spacing w:after="40" w:before="100" w:line="240" w:lineRule="auto"/>
        <w:ind w:left="0"/>
      </w:pPr>
      <w:r>
        <w:rPr>
          <w:rFonts w:ascii="Archivo Light" w:hAnsi="Archivo Light" w:eastAsia="Archivo Light"/>
          <w:b/>
          <w:i w:val="0"/>
          <w:color w:val="1F3A5F"/>
          <w:sz w:val="20"/>
        </w:rPr>
        <w:t>7. Artículos de investigación (México)</w:t>
      </w:r>
    </w:p>
    <w:p>
      <w:pPr>
        <w:keepNext w:val="0"/>
        <w:spacing w:after="60" w:before="0" w:line="240" w:lineRule="auto"/>
        <w:ind w:left="432" w:hanging="288"/>
      </w:pPr>
      <w:r>
        <w:rPr>
          <w:rFonts w:ascii="Archivo Light" w:hAnsi="Archivo Light" w:eastAsia="Archivo Light"/>
          <w:b w:val="0"/>
          <w:i w:val="0"/>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Crítica académica del SINAPROC y argumento sobre la centralidad de la escala local. Pieza clave para el párrafo de protección civil.</w:t>
      </w:r>
    </w:p>
    <w:p>
      <w:pPr>
        <w:keepNext w:val="0"/>
        <w:spacing w:after="60" w:before="0" w:line="240" w:lineRule="auto"/>
        <w:ind w:left="432" w:hanging="288"/>
      </w:pPr>
      <w:r>
        <w:rPr>
          <w:rFonts w:ascii="Archivo Light" w:hAnsi="Archivo Light" w:eastAsia="Archivo Light"/>
          <w:b w:val="0"/>
          <w:i w:val="0"/>
          <w:sz w:val="19"/>
        </w:rPr>
        <w:t>Oliver-Smith, A., Alcántara-Ayala, I., Burton, I. y Lavell, A. (2017). The social construction of disaster risk: seeking root causes. International Journal of Disaster Risk Reduction, 22, 469-474.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conceptual para leer la ausencia de programa como riesgo construido.</w:t>
      </w:r>
    </w:p>
    <w:p>
      <w:pPr>
        <w:keepNext w:val="0"/>
        <w:spacing w:after="80" w:before="0" w:line="240" w:lineRule="auto"/>
        <w:ind w:left="0"/>
      </w:pPr>
      <w:r>
        <w:rPr>
          <w:rFonts w:ascii="Archivo Light" w:hAnsi="Archivo Light" w:eastAsia="Archivo Light"/>
          <w:b w:val="0"/>
          <w:i w:val="0"/>
          <w:sz w:val="12"/>
        </w:rPr>
      </w:r>
    </w:p>
    <w:p w14:paraId="533257D1"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8D21573"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1FEDF51" w14:textId="2ADE3025"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Programa municipal de protección civil vigente, actualizado y ligado al atlas de riesgo. </w:t>
      </w:r>
      <w:r>
        <w:rPr>
          <w:rFonts w:ascii="Archivo Light" w:hAnsi="Archivo Light" w:eastAsia="Archivo Light"/>
          <w:b w:val="0"/>
          <w:i/>
          <w:color w:val="404040"/>
          <w:sz w:val="18"/>
        </w:rPr>
        <w:t>Criterios en la ficha 1 del Anexo 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insertar_analisis_e_intercalar_graficas_y_o_tablas }}</w:t>
      </w:r>
    </w:p>
    <w:p w14:paraId="1EEA3D52" w14:textId="08A08971"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750D5DB9" w14:textId="03A501F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básica del Sistema Nacional de Protección Civil (SINAPROC) para el personal de la unidad municipal y cursos cada año. </w:t>
      </w:r>
      <w:r>
        <w:rPr>
          <w:rFonts w:ascii="Archivo Light" w:hAnsi="Archivo Light" w:eastAsia="Archivo Light"/>
          <w:b w:val="0"/>
          <w:i/>
          <w:color w:val="404040"/>
          <w:sz w:val="18"/>
        </w:rPr>
        <w:t>Criterios en la ficha 2 del Anexo 1.</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insertar_analisis_e_intercalar_graficas_y_o_tablas }}</w:t>
      </w:r>
    </w:p>
    <w:p w14:paraId="672F4E53"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34958580"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369A8017" w14:textId="23046616"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Cobertura de los seis temas núcleo: identificación y análisis de riesgos; Sistema de Comando de Incidentes; mapas de riesgo y alerta temprana; evacuación, búsqueda y rescate; primeros auxilios; y prevención y combate de incendios. </w:t>
      </w:r>
      <w:r>
        <w:rPr>
          <w:rFonts w:ascii="Archivo Light" w:hAnsi="Archivo Light" w:eastAsia="Archivo Light"/>
          <w:b w:val="0"/>
          <w:i/>
          <w:color w:val="404040"/>
          <w:sz w:val="18"/>
        </w:rPr>
        <w:t>Criterios en la ficha 3 del Anexo 1.</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 insertar_analisis_e_intercalar_graficas_y_o_tablas }}</w:t>
      </w:r>
    </w:p>
    <w:p w14:paraId="1CDCA34A" w14:textId="57711F41"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1FB463CC" w14:textId="77777777" w:rsidR="00FF0D65" w:rsidRDefault="00FF0D65" w:rsidP="00751364">
      <w:pPr>
        <w:pStyle w:val="Prrafodelista"/>
        <w:spacing w:before="280" w:after="280" w:line="240" w:lineRule="auto"/>
        <w:ind w:left="714"/>
        <w:jc w:val="both"/>
        <w:rPr>
          <w:rFonts w:ascii="Archivo Light" w:hAnsi="Archivo Light" w:cs="Archivo Light"/>
        </w:rPr>
      </w:pPr>
    </w:p>
    <w:p w14:paraId="067B96BB" w14:textId="40A6F726"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Condiciones del personal: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Condiciones laborales mínimas según leyes.</w:t>
      </w:r>
    </w:p>
    <w:p w14:paraId="42299675" w14:textId="57CD8710"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1BE25A03" w14:textId="2D2C935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565C6480" w14:textId="2AEFD94A"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CONDICIONES DEL PERSONAL (indicadores 4 a 10)</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de las 'condiciones laborales mínimas': explica por qué los policías no están en el régimen laboral ordinario y qué prestaciones sí les corresponden.</w:t>
      </w:r>
    </w:p>
    <w:p>
      <w:pPr>
        <w:keepNext w:val="0"/>
        <w:spacing w:after="60" w:before="0" w:line="240" w:lineRule="auto"/>
        <w:ind w:left="432" w:hanging="288"/>
      </w:pPr>
      <w:r>
        <w:rPr>
          <w:rFonts w:ascii="Archivo Light" w:hAnsi="Archivo Light" w:eastAsia="Archivo Light"/>
          <w:b w:val="0"/>
          <w:i w:val="0"/>
          <w:sz w:val="19"/>
        </w:rPr>
        <w:t>Ley General del Sistema Nacional de Seguridad Pública (LGSNSP), nueva ley DOF 16-07-2025, que abroga la de 2009. https://www.diputados.gob.mx/LeyesBiblio/pdf/LGSNSP.pdf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pPr>
        <w:keepNext w:val="0"/>
        <w:spacing w:after="60" w:before="0" w:line="240" w:lineRule="auto"/>
        <w:ind w:left="432" w:hanging="288"/>
      </w:pPr>
      <w:r>
        <w:rPr>
          <w:rFonts w:ascii="Archivo Light" w:hAnsi="Archivo Light" w:eastAsia="Archivo Light"/>
          <w:b w:val="0"/>
          <w:i w:val="0"/>
          <w:sz w:val="19"/>
        </w:rPr>
        <w:t>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Obligaciones de capacitación y de dotación de equipo, incluido el menos letal; benchmark para los indicadores 9 y 10.</w:t>
      </w:r>
    </w:p>
    <w:p>
      <w:pPr>
        <w:keepNext w:val="0"/>
        <w:spacing w:after="60" w:before="0" w:line="240" w:lineRule="auto"/>
        <w:ind w:left="432" w:hanging="288"/>
      </w:pPr>
      <w:r>
        <w:rPr>
          <w:rFonts w:ascii="Archivo Light" w:hAnsi="Archivo Light" w:eastAsia="Archivo Light"/>
          <w:b w:val="0"/>
          <w:i w:val="0"/>
          <w:sz w:val="19"/>
        </w:rPr>
        <w:t>Ley Federal de Armas de Fuego y Explosivos y régimen de Licencia Oficial Colectiva (Secretaría de la Defensa Nacional).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Explica restricciones municipales al armamento reportado en 'Equipamiento'.</w:t>
      </w:r>
    </w:p>
    <w:p>
      <w:pPr>
        <w:keepNext w:val="0"/>
        <w:spacing w:after="60" w:before="0" w:line="240" w:lineRule="auto"/>
        <w:ind w:left="432" w:hanging="288"/>
      </w:pPr>
      <w:r>
        <w:rPr>
          <w:rFonts w:ascii="Archivo Light" w:hAnsi="Archivo Light" w:eastAsia="Archivo Light"/>
          <w:b w:val="0"/>
          <w:i w:val="0"/>
          <w:sz w:val="19"/>
        </w:rPr>
        <w:t>Acuerdos del Consejo Nacional de Seguridad Pública: Lineamientos para la emisión del CUP; Programa Rector de Profesionalización; Modelo Nacional de Policía y Justicia Cívica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formación inicial y continua y de competencias básicas; referencia para 'Temas de capacitación'.</w:t>
      </w:r>
    </w:p>
    <w:p>
      <w:pPr>
        <w:keepNext w:val="0"/>
        <w:spacing w:after="60" w:before="0" w:line="240" w:lineRule="auto"/>
        <w:ind w:left="432" w:hanging="288"/>
      </w:pPr>
      <w:r>
        <w:rPr>
          <w:rFonts w:ascii="Archivo Light" w:hAnsi="Archivo Light" w:eastAsia="Archivo Light"/>
          <w:b w:val="0"/>
          <w:i w:val="0"/>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pPr>
        <w:keepNext w:val="0"/>
        <w:spacing w:after="60" w:before="0" w:line="240" w:lineRule="auto"/>
        <w:ind w:left="432" w:hanging="288"/>
      </w:pPr>
      <w:r>
        <w:rPr>
          <w:rFonts w:ascii="Archivo Light" w:hAnsi="Archivo Light" w:eastAsia="Archivo Light"/>
          <w:b w:val="0"/>
          <w:i w:val="0"/>
          <w:sz w:val="19"/>
        </w:rPr>
        <w:t>Lineamientos del Fondo de Aportaciones para el Fortalecimiento de los Municipios (FORTAMUN) y, para 2016-2020, del Programa de Fortalecimiento para la Seguridad (FORTASEG), eliminado en 2021.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Clave para interpretar quiebres en uniformes, equipamiento y control de confianza después de 2020.</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Pacto Internacional de Derechos Económicos, Sociales y Culturales (PIDESC), art. 7 (condiciones de trabajo equitativas y satisfactorias).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general de condiciones laborales aplicable al servicio público.</w:t>
      </w:r>
    </w:p>
    <w:p>
      <w:pPr>
        <w:keepNext w:val="0"/>
        <w:spacing w:after="60" w:before="0" w:line="240" w:lineRule="auto"/>
        <w:ind w:left="432" w:hanging="288"/>
      </w:pPr>
      <w:r>
        <w:rPr>
          <w:rFonts w:ascii="Archivo Light" w:hAnsi="Archivo Light" w:eastAsia="Archivo Light"/>
          <w:b w:val="0"/>
          <w:i w:val="0"/>
          <w:sz w:val="19"/>
        </w:rPr>
        <w:t>Convenio 155 de la Organización Internacional del Trabajo (OIT) sobre seguridad y salud de los trabajadores (ratificado por México).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salud ocupacional, equipo de protección y riesgos del trabajo policial.</w:t>
      </w:r>
    </w:p>
    <w:p>
      <w:pPr>
        <w:keepNext w:val="0"/>
        <w:spacing w:after="60" w:before="0" w:line="240" w:lineRule="auto"/>
        <w:ind w:left="432" w:hanging="288"/>
      </w:pPr>
      <w:r>
        <w:rPr>
          <w:rFonts w:ascii="Archivo Light" w:hAnsi="Archivo Light" w:eastAsia="Archivo Light"/>
          <w:b w:val="0"/>
          <w:i w:val="0"/>
          <w:sz w:val="19"/>
        </w:rPr>
        <w:t>Convenio 87 de la OIT, art. 9 (permite excluir a policías del régimen de libertad sindical).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Contexto para explicar la ausencia de negociación colectiva en policías municipales.</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Seguridad Pública para el Estado de Nuevo León, P.O. 22-09-2008; última reforma P.O. 15-04-2026. https://www.hcnl.gob.mx/trabajo_legislativo/leyes/leyes/ley_de_seguridad_publica_para_el_estado_de_nuevo_leon/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Carrera policial, prestaciones, coordinación Estado–municipios, Instituto Estatal de Seguridad Pública y Consejo Ciudadano.</w:t>
      </w:r>
    </w:p>
    <w:p>
      <w:pPr>
        <w:keepNext w:val="0"/>
        <w:spacing w:after="60" w:before="0" w:line="240" w:lineRule="auto"/>
        <w:ind w:left="432" w:hanging="288"/>
      </w:pPr>
      <w:r>
        <w:rPr>
          <w:rFonts w:ascii="Archivo Light" w:hAnsi="Archivo Light" w:eastAsia="Archivo Light"/>
          <w:b w:val="0"/>
          <w:i w:val="0"/>
          <w:sz w:val="19"/>
        </w:rPr>
        <w:t>Reglamento Interior del Centro de Información para la Seguridad de Estado, de Evaluación y Control de Confianza (CISEC) de Nuevo León (normateca estatal del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Instancia que evalúa a policías municipales; explica la serie de control de confianza.</w:t>
      </w:r>
    </w:p>
    <w:p>
      <w:pPr>
        <w:keepNext w:val="0"/>
        <w:spacing w:after="60" w:before="0" w:line="240" w:lineRule="auto"/>
        <w:ind w:left="432" w:hanging="288"/>
      </w:pPr>
      <w:r>
        <w:rPr>
          <w:rFonts w:ascii="Archivo Light" w:hAnsi="Archivo Light" w:eastAsia="Archivo Light"/>
          <w:b w:val="0"/>
          <w:i w:val="0"/>
          <w:sz w:val="19"/>
        </w:rPr>
        <w:t>Academia o instituto estatal de formación policial (en Nuevo León, Universidad de Ciencias de la Seguridad, UCS). [Verificar convenios con municipios.]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Si el municipio no tiene instituto propio, revisar si forma a su personal mediante la academia estatal.</w:t>
      </w:r>
    </w:p>
    <w:p>
      <w:pPr>
        <w:keepNext/>
        <w:spacing w:after="40" w:before="100" w:line="240" w:lineRule="auto"/>
        <w:ind w:left="0"/>
      </w:pPr>
      <w:r>
        <w:rPr>
          <w:rFonts w:ascii="Archivo Light" w:hAnsi="Archivo Light" w:eastAsia="Archivo Light"/>
          <w:b/>
          <w:i w:val="0"/>
          <w:color w:val="1F3A5F"/>
          <w:sz w:val="20"/>
        </w:rPr>
        <w:t>4. Estándares de Naciones Unidas y reportes de UNODC</w:t>
      </w:r>
    </w:p>
    <w:p>
      <w:pPr>
        <w:keepNext w:val="0"/>
        <w:spacing w:after="60" w:before="0" w:line="240" w:lineRule="auto"/>
        <w:ind w:left="432" w:hanging="288"/>
      </w:pPr>
      <w:r>
        <w:rPr>
          <w:rFonts w:ascii="Archivo Light" w:hAnsi="Archivo Light" w:eastAsia="Archivo Light"/>
          <w:b w:val="0"/>
          <w:i w:val="0"/>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fuente más directa: condiciones laborales, salud, equipamiento, capacitación y victimización de policías municipales, con desagregación estatal.</w:t>
      </w:r>
    </w:p>
    <w:p>
      <w:pPr>
        <w:keepNext w:val="0"/>
        <w:spacing w:after="60" w:before="0" w:line="240" w:lineRule="auto"/>
        <w:ind w:left="432" w:hanging="288"/>
      </w:pPr>
      <w:r>
        <w:rPr>
          <w:rFonts w:ascii="Archivo Light" w:hAnsi="Archivo Light" w:eastAsia="Archivo Light"/>
          <w:b w:val="0"/>
          <w:i w:val="0"/>
          <w:sz w:val="19"/>
        </w:rPr>
        <w:t>Oficina de las Naciones Unidas contra la Droga y el Delito (UNODC) (2011). Handbook on Police Accountability, Oversight and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integridad, selección y supervisión; marco para leer el control de confianza.</w:t>
      </w:r>
    </w:p>
    <w:p>
      <w:pPr>
        <w:keepNext w:val="0"/>
        <w:spacing w:after="60" w:before="0" w:line="240" w:lineRule="auto"/>
        <w:ind w:left="432" w:hanging="288"/>
      </w:pPr>
      <w:r>
        <w:rPr>
          <w:rFonts w:ascii="Archivo Light" w:hAnsi="Archivo Light" w:eastAsia="Archivo Light"/>
          <w:b w:val="0"/>
          <w:i w:val="0"/>
          <w:sz w:val="19"/>
        </w:rPr>
        <w:t>UNODC (2006). Criminal Justice Assessment Toolkit: Policing (módulos Public Safety and Police Service Delivery; Police Integrity and Accountability).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institucional: reclutamiento, salario, equipo, formación.</w:t>
      </w:r>
    </w:p>
    <w:p>
      <w:pPr>
        <w:keepNext w:val="0"/>
        <w:spacing w:after="60" w:before="0" w:line="240" w:lineRule="auto"/>
        <w:ind w:left="432" w:hanging="288"/>
      </w:pPr>
      <w:r>
        <w:rPr>
          <w:rFonts w:ascii="Archivo Light" w:hAnsi="Archivo Light" w:eastAsia="Archivo Light"/>
          <w:b w:val="0"/>
          <w:i w:val="0"/>
          <w:sz w:val="19"/>
        </w:rPr>
        <w:t>UNODC, Encuesta de las Naciones Unidas sobre Tendencias Delictivas y Funcionamiento de los Sistemas de Justicia Penal (UN-CTS): personal policial por cada 100,000 habitantes (dataUNODC).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internacional de estado de fuerza; el MOFP retoma 2.8 policías por cada 1,000 habitantes como referencia de la ONU.</w:t>
      </w:r>
    </w:p>
    <w:p>
      <w:pPr>
        <w:keepNext w:val="0"/>
        <w:spacing w:after="60" w:before="0" w:line="240" w:lineRule="auto"/>
        <w:ind w:left="432" w:hanging="288"/>
      </w:pPr>
      <w:r>
        <w:rPr>
          <w:rFonts w:ascii="Archivo Light" w:hAnsi="Archivo Light" w:eastAsia="Archivo Light"/>
          <w:b w:val="0"/>
          <w:i w:val="0"/>
          <w:sz w:val="19"/>
        </w:rPr>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Obligación de dotar equipo de protección y menos letal, selección, capacitación y asesoramiento psicológico.</w:t>
      </w:r>
    </w:p>
    <w:p>
      <w:pPr>
        <w:keepNext w:val="0"/>
        <w:spacing w:after="60" w:before="0" w:line="240" w:lineRule="auto"/>
        <w:ind w:left="432" w:hanging="288"/>
      </w:pPr>
      <w:r>
        <w:rPr>
          <w:rFonts w:ascii="Archivo Light" w:hAnsi="Archivo Light" w:eastAsia="Archivo Light"/>
          <w:b w:val="0"/>
          <w:i w:val="0"/>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equipo menos letal reportado en 'Equipamiento'.</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Comisión Interamericana de Derechos Humanos (CIDH) (2009). Informe sobre Seguridad Ciudadana y Derechos Humanos (OEA/Ser.L/V/II, Doc. 57).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interamericanos sobre profesionalización, formación y condiciones de la policía.</w:t>
      </w:r>
    </w:p>
    <w:p>
      <w:pPr>
        <w:keepNext w:val="0"/>
        <w:spacing w:after="60" w:before="0" w:line="240" w:lineRule="auto"/>
        <w:ind w:left="432" w:hanging="288"/>
      </w:pPr>
      <w:r>
        <w:rPr>
          <w:rFonts w:ascii="Archivo Light" w:hAnsi="Archivo Light" w:eastAsia="Archivo Light"/>
          <w:b w:val="0"/>
          <w:i w:val="0"/>
          <w:sz w:val="19"/>
        </w:rPr>
        <w:t>Organización para la Seguridad y la Cooperación en Europa (OSCE) (2008). Guidebook on Democratic Policing; Consejo de Europa (2001). Código Europeo de Ética de la Policía, Rec(2001)10.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comparados sobre condiciones de servicio, formación y remuneración.</w:t>
      </w:r>
    </w:p>
    <w:p>
      <w:pPr>
        <w:keepNext w:val="0"/>
        <w:spacing w:after="60" w:before="0" w:line="240" w:lineRule="auto"/>
        <w:ind w:left="432" w:hanging="288"/>
      </w:pPr>
      <w:r>
        <w:rPr>
          <w:rFonts w:ascii="Archivo Light" w:hAnsi="Archivo Light" w:eastAsia="Archivo Light"/>
          <w:b w:val="0"/>
          <w:i w:val="0"/>
          <w:sz w:val="19"/>
        </w:rPr>
        <w:t>OCDE (2017). Recommendation of the Council on Public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integridad para contrastar el modelo mexicano de control de confianza.</w:t>
      </w:r>
    </w:p>
    <w:p>
      <w:pPr>
        <w:keepNext w:val="0"/>
        <w:spacing w:after="60" w:before="0" w:line="240" w:lineRule="auto"/>
        <w:ind w:left="432" w:hanging="288"/>
      </w:pPr>
      <w:r>
        <w:rPr>
          <w:rFonts w:ascii="Archivo Light" w:hAnsi="Archivo Light" w:eastAsia="Archivo Light"/>
          <w:b w:val="0"/>
          <w:i w:val="0"/>
          <w:sz w:val="19"/>
        </w:rPr>
        <w:t>Banco Interamericano de Desarrollo (BID). Plataforma de Evidencias en Seguridad y Justicia. https://plataformadeevidencias.iadb.org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Repositorio de evaluaciones de programas policiales en América Latina.</w:t>
      </w:r>
    </w:p>
    <w:p>
      <w:pPr>
        <w:keepNext w:val="0"/>
        <w:spacing w:after="60" w:before="0" w:line="240" w:lineRule="auto"/>
        <w:ind w:left="432" w:hanging="288"/>
      </w:pPr>
      <w:r>
        <w:rPr>
          <w:rFonts w:ascii="Archivo Light" w:hAnsi="Archivo Light" w:eastAsia="Archivo Light"/>
          <w:b w:val="0"/>
          <w:i w:val="0"/>
          <w:sz w:val="19"/>
        </w:rPr>
        <w:t>Instituto Nacional de Justicia de Estados Unidos (NIJ). Standard-0101.06, Ballistic Resistance of Body Armor (2008) [verificar vigencia de la versión 0101.07].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Norma técnica de referencia para chalecos balísticos, incluido el chaleco anatómico para mujeres.</w:t>
      </w:r>
    </w:p>
    <w:p>
      <w:pPr>
        <w:keepNext/>
        <w:spacing w:after="40" w:before="100" w:line="240" w:lineRule="auto"/>
        <w:ind w:left="0"/>
      </w:pPr>
      <w:r>
        <w:rPr>
          <w:rFonts w:ascii="Archivo Light" w:hAnsi="Archivo Light" w:eastAsia="Archivo Light"/>
          <w:b/>
          <w:i w:val="0"/>
          <w:color w:val="1F3A5F"/>
          <w:sz w:val="20"/>
        </w:rPr>
        <w:t>6. Revisiones sistemáticas sobre condiciones laborales, salud y formación policial</w:t>
      </w:r>
    </w:p>
    <w:p>
      <w:pPr>
        <w:keepNext w:val="0"/>
        <w:spacing w:after="60" w:before="0" w:line="240" w:lineRule="auto"/>
        <w:ind w:left="432" w:hanging="288"/>
      </w:pPr>
      <w:r>
        <w:rPr>
          <w:rFonts w:ascii="Archivo Light" w:hAnsi="Archivo Light" w:eastAsia="Archivo Light"/>
          <w:b w:val="0"/>
          <w:i w:val="0"/>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67 estudios en 24 países: el estrés ocupacional es el principal factor de riesgo de depresión y estrés postraumático; el apoyo entre pares protege.</w:t>
      </w:r>
    </w:p>
    <w:p>
      <w:pPr>
        <w:keepNext w:val="0"/>
        <w:spacing w:after="60" w:before="0" w:line="240" w:lineRule="auto"/>
        <w:ind w:left="432" w:hanging="288"/>
      </w:pPr>
      <w:r>
        <w:rPr>
          <w:rFonts w:ascii="Archivo Light" w:hAnsi="Archivo Light" w:eastAsia="Archivo Light"/>
          <w:b w:val="0"/>
          <w:i w:val="0"/>
          <w:sz w:val="19"/>
        </w:rPr>
        <w:t>Purba, A. y Demou, E. (2019). The relationship between organisational stressors and mental wellbeing within police officers: a systematic review. BMC Public Health, 19, 1286.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los estresores organizacionales (cargas, mando, recursos) pesan tanto como los operativos: argumento para mejorar condiciones.</w:t>
      </w:r>
    </w:p>
    <w:p>
      <w:pPr>
        <w:keepNext w:val="0"/>
        <w:spacing w:after="60" w:before="0" w:line="240" w:lineRule="auto"/>
        <w:ind w:left="432" w:hanging="288"/>
      </w:pPr>
      <w:r>
        <w:rPr>
          <w:rFonts w:ascii="Archivo Light" w:hAnsi="Archivo Light" w:eastAsia="Archivo Light"/>
          <w:b w:val="0"/>
          <w:i w:val="0"/>
          <w:sz w:val="19"/>
        </w:rPr>
        <w:t>Violanti, J. M. et al. (2017). Police stressors and health: a state-of-the-art review. Policing: An International Journal, 40(4), 642-656.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de estado del arte sobre estrés y salud policial.</w:t>
      </w:r>
    </w:p>
    <w:p>
      <w:pPr>
        <w:keepNext w:val="0"/>
        <w:spacing w:after="60" w:before="0" w:line="240" w:lineRule="auto"/>
        <w:ind w:left="432" w:hanging="288"/>
      </w:pPr>
      <w:r>
        <w:rPr>
          <w:rFonts w:ascii="Archivo Light" w:hAnsi="Archivo Light" w:eastAsia="Archivo Light"/>
          <w:b w:val="0"/>
          <w:i w:val="0"/>
          <w:sz w:val="19"/>
        </w:rPr>
        <w:t>Wagner, S. L. et al. (2020). Systematic review of posttraumatic stress disorder in police officers following routine work-related critical incident exposure. American Journal of Industrial Medicine, 63, 600-615.</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Relevante para leer la serie de fallecimientos y eventos críticos.</w:t>
      </w:r>
    </w:p>
    <w:p>
      <w:pPr>
        <w:keepNext w:val="0"/>
        <w:spacing w:after="60" w:before="0" w:line="240" w:lineRule="auto"/>
        <w:ind w:left="432" w:hanging="288"/>
      </w:pPr>
      <w:r>
        <w:rPr>
          <w:rFonts w:ascii="Archivo Light" w:hAnsi="Archivo Light" w:eastAsia="Archivo Light"/>
          <w:b w:val="0"/>
          <w:i w:val="0"/>
          <w:sz w:val="19"/>
        </w:rPr>
        <w:t>Engel, R. S., McManus, H. D. y Herold, T. D. (2020). Does de-escalation training work? A systematic review and call for evidence in police use-of-force reform. Criminology &amp; Public Policy, 19(3), 721-759.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Evalúa la evidencia sobre un tema de capacitación con peso creciente.</w:t>
      </w:r>
    </w:p>
    <w:p>
      <w:pPr>
        <w:keepNext w:val="0"/>
        <w:spacing w:after="60" w:before="0" w:line="240" w:lineRule="auto"/>
        <w:ind w:left="432" w:hanging="288"/>
      </w:pPr>
      <w:r>
        <w:rPr>
          <w:rFonts w:ascii="Archivo Light" w:hAnsi="Archivo Light" w:eastAsia="Archivo Light"/>
          <w:b w:val="0"/>
          <w:i w:val="0"/>
          <w:sz w:val="19"/>
        </w:rPr>
        <w:t>Wood, G., Tyler, T. R. y Papachristos, A. V. (2020). Procedural justice training reduces police use of force and complaints against officers. PNAS, 117(18), 9815-9821.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Una de las pocas evaluaciones rigurosas de capacitación policial con efectos medibles.</w:t>
      </w:r>
    </w:p>
    <w:p>
      <w:pPr>
        <w:keepNext w:val="0"/>
        <w:spacing w:after="60" w:before="0" w:line="240" w:lineRule="auto"/>
        <w:ind w:left="432" w:hanging="288"/>
      </w:pPr>
      <w:r>
        <w:rPr>
          <w:rFonts w:ascii="Archivo Light" w:hAnsi="Archivo Light" w:eastAsia="Archivo Light"/>
          <w:b w:val="0"/>
          <w:i w:val="0"/>
          <w:sz w:val="19"/>
        </w:rPr>
        <w:t>National Research Council (2003). The Polygraph and Lie Detection. National Academies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la validez del polígrafo, componente del control de confianza; útil para matizar el indicador.</w:t>
      </w:r>
    </w:p>
    <w:p>
      <w:pPr>
        <w:keepNext/>
        <w:spacing w:after="40" w:before="100" w:line="240" w:lineRule="auto"/>
        <w:ind w:left="0"/>
      </w:pPr>
      <w:r>
        <w:rPr>
          <w:rFonts w:ascii="Archivo Light" w:hAnsi="Archivo Light" w:eastAsia="Archivo Light"/>
          <w:b/>
          <w:i w:val="0"/>
          <w:color w:val="1F3A5F"/>
          <w:sz w:val="20"/>
        </w:rPr>
        <w:t>7. Artículos y estudios (México)</w:t>
      </w:r>
    </w:p>
    <w:p>
      <w:pPr>
        <w:keepNext w:val="0"/>
        <w:spacing w:after="60" w:before="0" w:line="240" w:lineRule="auto"/>
        <w:ind w:left="432" w:hanging="288"/>
      </w:pPr>
      <w:r>
        <w:rPr>
          <w:rFonts w:ascii="Archivo Light" w:hAnsi="Archivo Light" w:eastAsia="Archivo Light"/>
          <w:b w:val="0"/>
          <w:i w:val="0"/>
          <w:sz w:val="19"/>
        </w:rPr>
        <w:t>Sabet, D. (2012). Police Reform in Mexico: Informal Politics and the Challenge of Institutional Change. Stanford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Análisis de reformas policiales locales, incluidos salarios, depuración y control de confianza.</w:t>
      </w:r>
    </w:p>
    <w:p>
      <w:pPr>
        <w:keepNext w:val="0"/>
        <w:spacing w:after="60" w:before="0" w:line="240" w:lineRule="auto"/>
        <w:ind w:left="432" w:hanging="288"/>
      </w:pPr>
      <w:r>
        <w:rPr>
          <w:rFonts w:ascii="Archivo Light" w:hAnsi="Archivo Light" w:eastAsia="Archivo Light"/>
          <w:b w:val="0"/>
          <w:i w:val="0"/>
          <w:sz w:val="19"/>
        </w:rPr>
        <w:t>Causa en Común. Registro anual de policías asesinados y estudios sobre condiciones laborales policiales. https://causaencomun.org.mx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Fuente complementaria para fallecimientos y condiciones del personal; contrastar con el CNGMD.</w:t>
      </w:r>
    </w:p>
    <w:p>
      <w:pPr>
        <w:keepNext w:val="0"/>
        <w:spacing w:after="80" w:before="0" w:line="240" w:lineRule="auto"/>
        <w:ind w:left="0"/>
      </w:pPr>
      <w:r>
        <w:rPr>
          <w:rFonts w:ascii="Archivo Light" w:hAnsi="Archivo Light" w:eastAsia="Archivo Light"/>
          <w:b w:val="0"/>
          <w:i w:val="0"/>
          <w:sz w:val="12"/>
        </w:rPr>
      </w:r>
    </w:p>
    <w:p w14:paraId="0AA0FE23" w14:textId="77777777" w:rsidR="001E013F" w:rsidRPr="001E013F" w:rsidRDefault="001E013F" w:rsidP="001E013F">
      <w:pPr>
        <w:spacing w:before="280" w:after="280" w:line="240" w:lineRule="auto"/>
        <w:jc w:val="both"/>
        <w:rPr>
          <w:rFonts w:ascii="Archivo Light" w:hAnsi="Archivo Light" w:cs="Archivo Light"/>
        </w:rPr>
      </w:pPr>
    </w:p>
    <w:p w14:paraId="340A32AD" w14:textId="24283C35"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Al menos 1.8 policías por cada 1,000 habitantes (Modelo Óptimo de la Función Policial, MOFP). </w:t>
      </w:r>
      <w:r>
        <w:rPr>
          <w:rFonts w:ascii="Archivo Light" w:hAnsi="Archivo Light" w:eastAsia="Archivo Light"/>
          <w:b w:val="0"/>
          <w:i/>
          <w:color w:val="404040"/>
          <w:sz w:val="18"/>
        </w:rPr>
        <w:t>Criterios en la ficha 4 del Anexo 1.</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insertar_analisis_e_intercalar_graficas_y_o_tablas }}</w:t>
      </w:r>
    </w:p>
    <w:p w14:paraId="344A16AA" w14:textId="6C493A1E"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estado de fuerza con control de confianza aprobado y vigente (MOFP; Ley General del Sistema Nacional de Seguridad Pública, LGSNSP). </w:t>
      </w:r>
      <w:r>
        <w:rPr>
          <w:rFonts w:ascii="Archivo Light" w:hAnsi="Archivo Light" w:eastAsia="Archivo Light"/>
          <w:b w:val="0"/>
          <w:i/>
          <w:color w:val="404040"/>
          <w:sz w:val="18"/>
        </w:rPr>
        <w:t>Criterios en la ficha 5 del Anexo 1.</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insertar_analisis_e_intercalar_graficas_y_o_tablas }}</w:t>
      </w:r>
    </w:p>
    <w:p w14:paraId="51F72106" w14:textId="16454EE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r w:rsidR="007F475B" w:rsidRPr="00AA3D44">
        <w:rPr>
          <w:rFonts w:ascii="Archivo Light" w:hAnsi="Archivo Light" w:cs="Archivo Light"/>
          <w:sz w:val="48"/>
          <w:szCs w:val="48"/>
        </w:rPr>
      </w:r>
      <w:r w:rsidR="006634C5">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Acceso a formación inicial y continua, propia o mediante convenio. </w:t>
      </w:r>
      <w:r>
        <w:rPr>
          <w:rFonts w:ascii="Archivo Light" w:hAnsi="Archivo Light" w:eastAsia="Archivo Light"/>
          <w:b w:val="0"/>
          <w:i/>
          <w:color w:val="404040"/>
          <w:sz w:val="18"/>
        </w:rPr>
        <w:t>Criterios en la ficha 6 del Anexo 1.</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 insertar_analisis_e_intercalar_graficas_y_o_tablas }}</w:t>
      </w:r>
    </w:p>
    <w:p w14:paraId="3C43A7EB" w14:textId="62D8D829"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personal con Certificado Único Policial (CUP) vigente. </w:t>
      </w:r>
      <w:r>
        <w:rPr>
          <w:rFonts w:ascii="Archivo Light" w:hAnsi="Archivo Light" w:eastAsia="Archivo Light"/>
          <w:b w:val="0"/>
          <w:i/>
          <w:color w:val="404040"/>
          <w:sz w:val="18"/>
        </w:rPr>
        <w:t>Criterios en la ficha 7 del Anexo 1.</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 insertar_analisis_e_intercalar_graficas_y_o_tablas }}</w:t>
      </w:r>
    </w:p>
    <w:p w14:paraId="63700CEC"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480DC6">
        <w:rPr>
          <w:rFonts w:ascii="Archivo Light" w:hAnsi="Archivo Light" w:cs="Archivo Light"/>
          <w:sz w:val="48"/>
          <w:szCs w:val="48"/>
        </w:rPr>
        <w:t>Uniformes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Dotación completa y al menos anual de las prendas operativas básicas: camisola o camisa, pantalón, calzado, chamarra, fornitura o cinturón táctico y chaleco táctico. </w:t>
      </w:r>
      <w:r>
        <w:rPr>
          <w:rFonts w:ascii="Archivo Light" w:hAnsi="Archivo Light" w:eastAsia="Archivo Light"/>
          <w:b w:val="0"/>
          <w:i/>
          <w:color w:val="404040"/>
          <w:sz w:val="18"/>
        </w:rPr>
        <w:t>Criterios en la ficha 8 del Anexo 1.</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 insertar_analisis_e_intercalar_graficas_y_o_tablas }}</w:t>
      </w:r>
    </w:p>
    <w:p w14:paraId="5A12E096" w14:textId="77777777" w:rsidR="00480DC6" w:rsidRPr="00480DC6" w:rsidRDefault="00480DC6" w:rsidP="00480DC6">
      <w:pPr>
        <w:spacing w:before="280" w:after="280" w:line="240" w:lineRule="auto"/>
        <w:jc w:val="both"/>
        <w:rPr>
          <w:rFonts w:ascii="Archivo Light" w:hAnsi="Archivo Light" w:cs="Archivo Light"/>
          <w:sz w:val="48"/>
          <w:szCs w:val="48"/>
        </w:rPr>
      </w:pPr>
    </w:p>
    <w:p w14:paraId="124F1A29" w14:textId="7BCD3FF0"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Chaleco balístico por elemento, radio para el personal en turno y al menos un incapacitante menos letal (Principio Básico 2 de la ONU; Ley Nacional sobre el Uso de la Fuerza). </w:t>
      </w:r>
      <w:r>
        <w:rPr>
          <w:rFonts w:ascii="Archivo Light" w:hAnsi="Archivo Light" w:eastAsia="Archivo Light"/>
          <w:b w:val="0"/>
          <w:i/>
          <w:color w:val="404040"/>
          <w:sz w:val="18"/>
        </w:rPr>
        <w:t>Criterios en la ficha 9 del Anexo 1.</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 insertar_analisis_e_intercalar_graficas_y_o_tablas }}</w:t>
      </w:r>
    </w:p>
    <w:p w14:paraId="01603F99" w14:textId="34189B2C"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continua anual en los temas núcleo: derechos humanos y uso de la fuerza, primer respondiente, Informe Policial Homologado (IPH), y proximidad o solución de problemas. </w:t>
      </w:r>
      <w:r>
        <w:rPr>
          <w:rFonts w:ascii="Archivo Light" w:hAnsi="Archivo Light" w:eastAsia="Archivo Light"/>
          <w:b w:val="0"/>
          <w:i/>
          <w:color w:val="404040"/>
          <w:sz w:val="18"/>
        </w:rPr>
        <w:t>Criterios en la ficha 10 del Anexo 1.</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5EE0FF9F"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02CBBD01" w14:textId="4365EC14"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lastRenderedPageBreak/>
        <w:t xml:space="preserve">Información e inteligencia policial: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Capacidad de generar información suficiente para actividades policiales.</w:t>
      </w:r>
    </w:p>
    <w:p w14:paraId="468F9EFA" w14:textId="089B72A6"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0FEBAA1" w14:textId="22D8BACF" w:rsidR="001E013F" w:rsidRPr="00974283" w:rsidRDefault="001E013F" w:rsidP="001E013F">
      <w:pPr>
        <w:pStyle w:val="Prrafodelista"/>
        <w:numPr>
          <w:ilvl w:val="0"/>
          <w:numId w:val="18"/>
        </w:numPr>
        <w:rPr>
          <w:highlight w:val="yellow"/>
        </w:rPr>
      </w:pPr>
      <w:proofErr w:type="spellStart"/>
      <w:r w:rsidRPr="00974283">
        <w:rPr>
          <w:highlight w:val="yellow"/>
        </w:rPr>
        <w:t>Hotspots</w:t>
      </w:r>
      <w:proofErr w:type="spellEnd"/>
      <w:r w:rsidRPr="00974283">
        <w:rPr>
          <w:highlight w:val="yellow"/>
        </w:rPr>
        <w:t xml:space="preserve"> en </w:t>
      </w:r>
      <w:proofErr w:type="spellStart"/>
      <w:r w:rsidRPr="00974283">
        <w:rPr>
          <w:highlight w:val="yellow"/>
        </w:rPr>
        <w:t>policing</w:t>
      </w:r>
      <w:proofErr w:type="spellEnd"/>
      <w:r w:rsidRPr="00974283">
        <w:rPr>
          <w:highlight w:val="yellow"/>
        </w:rPr>
        <w:t xml:space="preserve"> </w:t>
      </w:r>
    </w:p>
    <w:p w14:paraId="64BDD2A8" w14:textId="11FFEC7A"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comunitario</w:t>
      </w:r>
    </w:p>
    <w:p w14:paraId="38DD3C1F" w14:textId="4B39D1A3" w:rsidR="001E013F" w:rsidRPr="00974283" w:rsidRDefault="001E013F" w:rsidP="001E013F">
      <w:pPr>
        <w:pStyle w:val="Prrafodelista"/>
        <w:numPr>
          <w:ilvl w:val="0"/>
          <w:numId w:val="18"/>
        </w:numPr>
        <w:rPr>
          <w:highlight w:val="yellow"/>
        </w:rPr>
      </w:pPr>
      <w:r w:rsidRPr="00974283">
        <w:rPr>
          <w:highlight w:val="yellow"/>
        </w:rPr>
        <w:t xml:space="preserve">Evaluación y </w:t>
      </w:r>
      <w:proofErr w:type="spellStart"/>
      <w:r w:rsidRPr="00974283">
        <w:rPr>
          <w:highlight w:val="yellow"/>
        </w:rPr>
        <w:t>policing</w:t>
      </w:r>
      <w:proofErr w:type="spellEnd"/>
    </w:p>
    <w:p w14:paraId="2F90A65A" w14:textId="23919D65"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y derechos humanos</w:t>
      </w:r>
    </w:p>
    <w:p w14:paraId="6FD52724" w14:textId="52C02123" w:rsidR="001E013F" w:rsidRPr="00974283" w:rsidRDefault="001E013F" w:rsidP="001E013F">
      <w:pPr>
        <w:pStyle w:val="Prrafodelista"/>
        <w:numPr>
          <w:ilvl w:val="0"/>
          <w:numId w:val="18"/>
        </w:numPr>
        <w:rPr>
          <w:highlight w:val="yellow"/>
        </w:rPr>
      </w:pPr>
      <w:r w:rsidRPr="00974283">
        <w:rPr>
          <w:highlight w:val="yellow"/>
        </w:rPr>
        <w:t xml:space="preserve">CCTV y </w:t>
      </w:r>
      <w:proofErr w:type="spellStart"/>
      <w:r w:rsidRPr="00974283">
        <w:rPr>
          <w:highlight w:val="yellow"/>
        </w:rPr>
        <w:t>policing</w:t>
      </w:r>
      <w:proofErr w:type="spellEnd"/>
      <w:r w:rsidRPr="00974283">
        <w:rPr>
          <w:highlight w:val="yellow"/>
        </w:rPr>
        <w:t xml:space="preserve"> </w:t>
      </w:r>
    </w:p>
    <w:p w14:paraId="0FA9E3B4" w14:textId="3EF5D602"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INFORMACIÓN E INTELIGENCIA POLICIAL (indicadores 11 a 16)</w:t>
      </w:r>
    </w:p>
    <w:p>
      <w:pPr>
        <w:keepNext w:val="0"/>
        <w:spacing w:after="80" w:before="0" w:line="240" w:lineRule="auto"/>
        <w:ind w:left="0"/>
      </w:pPr>
      <w:r>
        <w:rPr>
          <w:rFonts w:ascii="Archivo Light" w:hAnsi="Archivo Light" w:eastAsia="Archivo Light"/>
          <w:b w:val="0"/>
          <w:i/>
          <w:color w:val="404040"/>
          <w:sz w:val="19"/>
        </w:rPr>
        <w:t>Organizadas por los siete temas marcados.</w:t>
      </w:r>
    </w:p>
    <w:p>
      <w:pPr>
        <w:keepNext/>
        <w:spacing w:after="40" w:before="100" w:line="240" w:lineRule="auto"/>
        <w:ind w:left="0"/>
      </w:pPr>
      <w:r>
        <w:rPr>
          <w:rFonts w:ascii="Archivo Light" w:hAnsi="Archivo Light" w:eastAsia="Archivo Light"/>
          <w:b/>
          <w:i w:val="0"/>
          <w:color w:val="1F3A5F"/>
          <w:sz w:val="20"/>
        </w:rPr>
        <w:t>a) Revisiones sistemáticas de patrullaje policial (indicador 12)</w:t>
      </w:r>
    </w:p>
    <w:p>
      <w:pPr>
        <w:keepNext w:val="0"/>
        <w:spacing w:after="60" w:before="0" w:line="240" w:lineRule="auto"/>
        <w:ind w:left="432" w:hanging="288"/>
      </w:pPr>
      <w:r>
        <w:rPr>
          <w:rFonts w:ascii="Archivo Light" w:hAnsi="Archivo Light" w:eastAsia="Archivo Light"/>
          <w:b w:val="0"/>
          <w:i w:val="0"/>
          <w:sz w:val="19"/>
        </w:rPr>
        <w:t>Kelling, G. L., Pate, T., Dieckman, D. y Brown, C. E. (1974). The Kansas City Preventive Patrol Experiment. Police Foundation.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Experimento fundacional: el patrullaje aleatorio no reduce el delito; justifica el patrullaje dirigido.</w:t>
      </w:r>
    </w:p>
    <w:p>
      <w:pPr>
        <w:keepNext w:val="0"/>
        <w:spacing w:after="60" w:before="0" w:line="240" w:lineRule="auto"/>
        <w:ind w:left="432" w:hanging="288"/>
      </w:pPr>
      <w:r>
        <w:rPr>
          <w:rFonts w:ascii="Archivo Light" w:hAnsi="Archivo Light" w:eastAsia="Archivo Light"/>
          <w:b w:val="0"/>
          <w:i w:val="0"/>
          <w:sz w:val="19"/>
        </w:rPr>
        <w:t>National Academies of Sciences, Engineering, and Medicine (2018). Proactive Policing: Effects on Crime and Communities. Weisburd, D. y Majmundar, M. (eds.).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Síntesis de evidencia más completa sobre estrategias proactivas; sirve como handbook para toda la sección.</w:t>
      </w:r>
    </w:p>
    <w:p>
      <w:pPr>
        <w:keepNext w:val="0"/>
        <w:spacing w:after="60" w:before="0" w:line="240" w:lineRule="auto"/>
        <w:ind w:left="432" w:hanging="288"/>
      </w:pPr>
      <w:r>
        <w:rPr>
          <w:rFonts w:ascii="Archivo Light" w:hAnsi="Archivo Light" w:eastAsia="Archivo Light"/>
          <w:b w:val="0"/>
          <w:i w:val="0"/>
          <w:sz w:val="19"/>
        </w:rPr>
        <w:t>Ratcliffe, J. H., Taniguchi, T., Groff, E. R. y Wood, J. D. (2011). The Philadelphia Foot Patrol Experiment. Criminology, 49(3), 795-831.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experimental sobre patrullaje a pie en puntos calientes.</w:t>
      </w:r>
    </w:p>
    <w:p>
      <w:pPr>
        <w:keepNext/>
        <w:spacing w:after="40" w:before="100" w:line="240" w:lineRule="auto"/>
        <w:ind w:left="0"/>
      </w:pPr>
      <w:r>
        <w:rPr>
          <w:rFonts w:ascii="Archivo Light" w:hAnsi="Archivo Light" w:eastAsia="Archivo Light"/>
          <w:b/>
          <w:i w:val="0"/>
          <w:color w:val="1F3A5F"/>
          <w:sz w:val="20"/>
        </w:rPr>
        <w:t>b) Puntos calientes (hot spots policing) (indicadores 11 y 12)</w:t>
      </w:r>
    </w:p>
    <w:p>
      <w:pPr>
        <w:keepNext w:val="0"/>
        <w:spacing w:after="60" w:before="0" w:line="240" w:lineRule="auto"/>
        <w:ind w:left="432" w:hanging="288"/>
      </w:pPr>
      <w:r>
        <w:rPr>
          <w:rFonts w:ascii="Archivo Light" w:hAnsi="Archivo Light" w:eastAsia="Archivo Light"/>
          <w:b w:val="0"/>
          <w:i w:val="0"/>
          <w:sz w:val="19"/>
        </w:rPr>
        <w:t>Braga, A. A., Turchan, B., Papachristos, A. V. y Hureau, D. M. (2019). Hot spots policing of small geographic areas effects on crime. Campbell Systematic Reviews, 15(3), e1046.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sistemática de referencia: efectos significativos y sin desplazamiento relevante.</w:t>
      </w:r>
    </w:p>
    <w:p>
      <w:pPr>
        <w:keepNext w:val="0"/>
        <w:spacing w:after="60" w:before="0" w:line="240" w:lineRule="auto"/>
        <w:ind w:left="432" w:hanging="288"/>
      </w:pPr>
      <w:r>
        <w:rPr>
          <w:rFonts w:ascii="Archivo Light" w:hAnsi="Archivo Light" w:eastAsia="Archivo Light"/>
          <w:b w:val="0"/>
          <w:i w:val="0"/>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teórico y experimental de por qué la georreferenciación es condición del patrullaje estratégico.</w:t>
      </w:r>
    </w:p>
    <w:p>
      <w:pPr>
        <w:keepNext w:val="0"/>
        <w:spacing w:after="60" w:before="0" w:line="240" w:lineRule="auto"/>
        <w:ind w:left="432" w:hanging="288"/>
      </w:pPr>
      <w:r>
        <w:rPr>
          <w:rFonts w:ascii="Archivo Light" w:hAnsi="Archivo Light" w:eastAsia="Archivo Light"/>
          <w:b w:val="0"/>
          <w:i w:val="0"/>
          <w:sz w:val="19"/>
        </w:rPr>
        <w:t>Koper, C. S. (1995). Just enough police presence: reducing crime and disorderly behavior by optimizing patrol time in crime hot spots. Justice Quarterly, 12(4), 649-672.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 un parámetro operativo de dosificación del patrullaje.</w:t>
      </w:r>
    </w:p>
    <w:p>
      <w:pPr>
        <w:keepNext w:val="0"/>
        <w:spacing w:after="60" w:before="0" w:line="240" w:lineRule="auto"/>
        <w:ind w:left="432" w:hanging="288"/>
      </w:pPr>
      <w:r>
        <w:rPr>
          <w:rFonts w:ascii="Archivo Light" w:hAnsi="Archivo Light" w:eastAsia="Archivo Light"/>
          <w:b w:val="0"/>
          <w:i w:val="0"/>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resultados más modestos y heterogéneos que en Estados Unidos, lo que importa para proponer a un municipio mexicano.</w:t>
      </w:r>
    </w:p>
    <w:p>
      <w:pPr>
        <w:keepNext/>
        <w:spacing w:after="40" w:before="100" w:line="240" w:lineRule="auto"/>
        <w:ind w:left="0"/>
      </w:pPr>
      <w:r>
        <w:rPr>
          <w:rFonts w:ascii="Archivo Light" w:hAnsi="Archivo Light" w:eastAsia="Archivo Light"/>
          <w:b/>
          <w:i w:val="0"/>
          <w:color w:val="1F3A5F"/>
          <w:sz w:val="20"/>
        </w:rPr>
        <w:t>c) Policía comunitaria y atención a problemas comunitarios (indicador 13)</w:t>
      </w:r>
    </w:p>
    <w:p>
      <w:pPr>
        <w:keepNext w:val="0"/>
        <w:spacing w:after="60" w:before="0" w:line="240" w:lineRule="auto"/>
        <w:ind w:left="432" w:hanging="288"/>
      </w:pPr>
      <w:r>
        <w:rPr>
          <w:rFonts w:ascii="Archivo Light" w:hAnsi="Archivo Light" w:eastAsia="Archivo Light"/>
          <w:b w:val="0"/>
          <w:i w:val="0"/>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Mejora satisfacción y legitimidad; efectos débiles sobre delito.</w:t>
      </w:r>
    </w:p>
    <w:p>
      <w:pPr>
        <w:keepNext w:val="0"/>
        <w:spacing w:after="60" w:before="0" w:line="240" w:lineRule="auto"/>
        <w:ind w:left="432" w:hanging="288"/>
      </w:pPr>
      <w:r>
        <w:rPr>
          <w:rFonts w:ascii="Archivo Light" w:hAnsi="Archivo Light" w:eastAsia="Archivo Light"/>
          <w:b w:val="0"/>
          <w:i w:val="0"/>
          <w:sz w:val="19"/>
        </w:rPr>
        <w:t>Blair, G. et al. (2021). Community policing does not build citizen trust in police or reduce crime in the Global South. Science, 374(6571), eabd3446.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Seis experimentos coordinados en países de ingreso medio y bajo: resultado nulo. Contrapeso necesario.</w:t>
      </w:r>
    </w:p>
    <w:p>
      <w:pPr>
        <w:keepNext w:val="0"/>
        <w:spacing w:after="60" w:before="0" w:line="240" w:lineRule="auto"/>
        <w:ind w:left="432" w:hanging="288"/>
      </w:pPr>
      <w:r>
        <w:rPr>
          <w:rFonts w:ascii="Archivo Light" w:hAnsi="Archivo Light" w:eastAsia="Archivo Light"/>
          <w:b w:val="0"/>
          <w:i w:val="0"/>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orientación a problemas sí muestra efectos; distingue 'atender problemas' de 'hacer proximidad'.</w:t>
      </w:r>
    </w:p>
    <w:p>
      <w:pPr>
        <w:keepNext w:val="0"/>
        <w:spacing w:after="60" w:before="0" w:line="240" w:lineRule="auto"/>
        <w:ind w:left="432" w:hanging="288"/>
      </w:pPr>
      <w:r>
        <w:rPr>
          <w:rFonts w:ascii="Archivo Light" w:hAnsi="Archivo Light" w:eastAsia="Archivo Light"/>
          <w:b w:val="0"/>
          <w:i w:val="0"/>
          <w:sz w:val="19"/>
        </w:rPr>
        <w:t>Braga, A. A., Welsh, B. C. y Schnell, C. (2015). Can policing disorder reduce crime? A systematic review and meta-analysis. Journal of Research in Crime and Delinquency, 52(4), 567-588.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estrategias comunitarias y de resolución de problemas de las de tolerancia cero.</w:t>
      </w:r>
    </w:p>
    <w:p>
      <w:pPr>
        <w:keepNext w:val="0"/>
        <w:spacing w:after="60" w:before="0" w:line="240" w:lineRule="auto"/>
        <w:ind w:left="432" w:hanging="288"/>
      </w:pPr>
      <w:r>
        <w:rPr>
          <w:rFonts w:ascii="Archivo Light" w:hAnsi="Archivo Light" w:eastAsia="Archivo Light"/>
          <w:b w:val="0"/>
          <w:i w:val="0"/>
          <w:sz w:val="19"/>
        </w:rPr>
        <w:t>Modelo Nacional de Policía y Justicia Cívica (Consejo Nacional de Seguridad Pública,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mexicano de proximidad y atención a problemas comunitarios.</w:t>
      </w:r>
    </w:p>
    <w:p>
      <w:pPr>
        <w:keepNext/>
        <w:spacing w:after="40" w:before="100" w:line="240" w:lineRule="auto"/>
        <w:ind w:left="0"/>
      </w:pPr>
      <w:r>
        <w:rPr>
          <w:rFonts w:ascii="Archivo Light" w:hAnsi="Archivo Light" w:eastAsia="Archivo Light"/>
          <w:b/>
          <w:i w:val="0"/>
          <w:color w:val="1F3A5F"/>
          <w:sz w:val="20"/>
        </w:rPr>
        <w:t>d) Evaluación y policía (indicadores 11, 15 y 16)</w:t>
      </w:r>
    </w:p>
    <w:p>
      <w:pPr>
        <w:keepNext w:val="0"/>
        <w:spacing w:after="60" w:before="0" w:line="240" w:lineRule="auto"/>
        <w:ind w:left="432" w:hanging="288"/>
      </w:pPr>
      <w:r>
        <w:rPr>
          <w:rFonts w:ascii="Archivo Light" w:hAnsi="Archivo Light" w:eastAsia="Archivo Light"/>
          <w:b w:val="0"/>
          <w:i w:val="0"/>
          <w:sz w:val="19"/>
        </w:rPr>
        <w:t>Sherman, L. W. (2013). The rise of evidence-based policing: targeting, testing, and tracking. Crime and Justice, 42(1), 377-451.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'focalizar, probar, dar seguimiento': ordena la lectura de SIG, llamadas e informe anual.</w:t>
      </w:r>
    </w:p>
    <w:p>
      <w:pPr>
        <w:keepNext w:val="0"/>
        <w:spacing w:after="60" w:before="0" w:line="240" w:lineRule="auto"/>
        <w:ind w:left="432" w:hanging="288"/>
      </w:pPr>
      <w:r>
        <w:rPr>
          <w:rFonts w:ascii="Archivo Light" w:hAnsi="Archivo Light" w:eastAsia="Archivo Light"/>
          <w:b w:val="0"/>
          <w:i w:val="0"/>
          <w:sz w:val="19"/>
        </w:rPr>
        <w:t>Lum, C. y Koper, C. S. (2017). Evidence-Based Policing: Translating Research into Practice. Oxford University Press; Evidence-Based Policing Matrix (Center for Evidence-Based Crime Policy, George Mason University).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Handbook aplicado y herramienta de clasificación de estrategias por evidencia.</w:t>
      </w:r>
    </w:p>
    <w:p>
      <w:pPr>
        <w:keepNext w:val="0"/>
        <w:spacing w:after="60" w:before="0" w:line="240" w:lineRule="auto"/>
        <w:ind w:left="432" w:hanging="288"/>
      </w:pPr>
      <w:r>
        <w:rPr>
          <w:rFonts w:ascii="Archivo Light" w:hAnsi="Archivo Light" w:eastAsia="Archivo Light"/>
          <w:b w:val="0"/>
          <w:i w:val="0"/>
          <w:sz w:val="19"/>
        </w:rPr>
        <w:t>Moore, M. H. y Braga, A. A. (2003). Measuring and improving police performance: the lessons of Compstat and its progeny. Policing: An International Journal, 26(3), 439-453.</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Qué debe medir un informe policial más allá del conteo de actividades.</w:t>
      </w:r>
    </w:p>
    <w:p>
      <w:pPr>
        <w:keepNext w:val="0"/>
        <w:spacing w:after="60" w:before="0" w:line="240" w:lineRule="auto"/>
        <w:ind w:left="432" w:hanging="288"/>
      </w:pPr>
      <w:r>
        <w:rPr>
          <w:rFonts w:ascii="Archivo Light" w:hAnsi="Archivo Light" w:eastAsia="Archivo Light"/>
          <w:b w:val="0"/>
          <w:i w:val="0"/>
          <w:sz w:val="19"/>
        </w:rPr>
        <w:t>Ratcliffe, J. H. (2016). Intelligence-Led Policing, 2a ed. Routledge; Chainey, S. y Ratcliffe, J. (2005). GIS and Crime Mapping. Wiley.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técnica para sistemas georreferenciados y análisis delictivo.</w:t>
      </w:r>
    </w:p>
    <w:p>
      <w:pPr>
        <w:keepNext w:val="0"/>
        <w:spacing w:after="60" w:before="0" w:line="240" w:lineRule="auto"/>
        <w:ind w:left="432" w:hanging="288"/>
      </w:pPr>
      <w:r>
        <w:rPr>
          <w:rFonts w:ascii="Archivo Light" w:hAnsi="Archivo Light" w:eastAsia="Archivo Light"/>
          <w:b w:val="0"/>
          <w:i w:val="0"/>
          <w:sz w:val="19"/>
        </w:rPr>
        <w:t>Blanes i Vidal, J. y Kirchmaier, T. (2018). The effect of police response time on crime clearance rates. Review of Economic Studies, 85(2), 855-891.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el tiempo de respuesta a llamadas afecta el esclarecimiento.</w:t>
      </w:r>
    </w:p>
    <w:p>
      <w:pPr>
        <w:keepNext w:val="0"/>
        <w:spacing w:after="60" w:before="0" w:line="240" w:lineRule="auto"/>
        <w:ind w:left="432" w:hanging="288"/>
      </w:pPr>
      <w:r>
        <w:rPr>
          <w:rFonts w:ascii="Archivo Light" w:hAnsi="Archivo Light" w:eastAsia="Archivo Light"/>
          <w:b w:val="0"/>
          <w:i w:val="0"/>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normativo mexicano para inteligencia, SIG y llamadas procedentes.</w:t>
      </w:r>
    </w:p>
    <w:p>
      <w:pPr>
        <w:keepNext w:val="0"/>
        <w:spacing w:after="60" w:before="0" w:line="240" w:lineRule="auto"/>
        <w:ind w:left="432" w:hanging="288"/>
      </w:pPr>
      <w:r>
        <w:rPr>
          <w:rFonts w:ascii="Archivo Light" w:hAnsi="Archivo Light" w:eastAsia="Archivo Light"/>
          <w:b w:val="0"/>
          <w:i w:val="0"/>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y multilateral para el indicador 16.</w:t>
      </w:r>
    </w:p>
    <w:p>
      <w:pPr>
        <w:keepNext/>
        <w:spacing w:after="40" w:before="100" w:line="240" w:lineRule="auto"/>
        <w:ind w:left="0"/>
      </w:pPr>
      <w:r>
        <w:rPr>
          <w:rFonts w:ascii="Archivo Light" w:hAnsi="Archivo Light" w:eastAsia="Archivo Light"/>
          <w:b/>
          <w:i w:val="0"/>
          <w:color w:val="1F3A5F"/>
          <w:sz w:val="20"/>
        </w:rPr>
        <w:t>e) Policía y derechos humanos (transversal)</w:t>
      </w:r>
    </w:p>
    <w:p>
      <w:pPr>
        <w:keepNext w:val="0"/>
        <w:spacing w:after="60" w:before="0" w:line="240" w:lineRule="auto"/>
        <w:ind w:left="432" w:hanging="288"/>
      </w:pPr>
      <w:r>
        <w:rPr>
          <w:rFonts w:ascii="Archivo Light" w:hAnsi="Archivo Light" w:eastAsia="Archivo Light"/>
          <w:b w:val="0"/>
          <w:i w:val="0"/>
          <w:sz w:val="19"/>
        </w:rPr>
        <w:t>Código de Conducta ONU (1979); Principios Básicos ONU (1990); UNODC y OACNUDH (2017). Resource Book on the Use of Force and Firearms in Law Enforcement.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uso de la fuerza y actuación policial.</w:t>
      </w:r>
    </w:p>
    <w:p>
      <w:pPr>
        <w:keepNext w:val="0"/>
        <w:spacing w:after="60" w:before="0" w:line="240" w:lineRule="auto"/>
        <w:ind w:left="432" w:hanging="288"/>
      </w:pPr>
      <w:r>
        <w:rPr>
          <w:rFonts w:ascii="Archivo Light" w:hAnsi="Archivo Light" w:eastAsia="Archivo Light"/>
          <w:b w:val="0"/>
          <w:i w:val="0"/>
          <w:sz w:val="19"/>
        </w:rPr>
        <w:t>CIDH (2009). Informe sobre Seguridad Ciudadana y Derechos Humanos; OSCE (2008). Guidebook on Democratic Policing; Bayley, D. H. (2006). Changing the Guard: Developing Democratic Police Abroad. Oxford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interamericano y literatura sobre policía democrática.</w:t>
      </w:r>
    </w:p>
    <w:p>
      <w:pPr>
        <w:keepNext w:val="0"/>
        <w:spacing w:after="60" w:before="0" w:line="240" w:lineRule="auto"/>
        <w:ind w:left="432" w:hanging="288"/>
      </w:pPr>
      <w:r>
        <w:rPr>
          <w:rFonts w:ascii="Archivo Light" w:hAnsi="Archivo Light" w:eastAsia="Archivo Light"/>
          <w:b w:val="0"/>
          <w:i w:val="0"/>
          <w:sz w:val="19"/>
        </w:rPr>
        <w:t>Mazerolle, L., Bennett, S., Davis, J., Sargeant, E. y Manning, M. (2013). Legitimacy in policing: a systematic review. Campbell Systematic Reviews, 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El trato procedimentalmente justo mejora legitimidad y cooperación.</w:t>
      </w:r>
    </w:p>
    <w:p>
      <w:pPr>
        <w:keepNext/>
        <w:spacing w:after="40" w:before="100" w:line="240" w:lineRule="auto"/>
        <w:ind w:left="0"/>
      </w:pPr>
      <w:r>
        <w:rPr>
          <w:rFonts w:ascii="Archivo Light" w:hAnsi="Archivo Light" w:eastAsia="Archivo Light"/>
          <w:b/>
          <w:i w:val="0"/>
          <w:color w:val="1F3A5F"/>
          <w:sz w:val="20"/>
        </w:rPr>
        <w:t>f) Videovigilancia (CCTV) y policía (indicador 14)</w:t>
      </w:r>
    </w:p>
    <w:p>
      <w:pPr>
        <w:keepNext w:val="0"/>
        <w:spacing w:after="60" w:before="0" w:line="240" w:lineRule="auto"/>
        <w:ind w:left="432" w:hanging="288"/>
      </w:pPr>
      <w:r>
        <w:rPr>
          <w:rFonts w:ascii="Archivo Light" w:hAnsi="Archivo Light" w:eastAsia="Archivo Light"/>
          <w:b w:val="0"/>
          <w:i w:val="0"/>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Efecto modesto, mayor en estacionamientos y zonas residenciales, y cuando hay monitoreo activo.</w:t>
      </w:r>
    </w:p>
    <w:p>
      <w:pPr>
        <w:keepNext w:val="0"/>
        <w:spacing w:after="60" w:before="0" w:line="240" w:lineRule="auto"/>
        <w:ind w:left="432" w:hanging="288"/>
      </w:pPr>
      <w:r>
        <w:rPr>
          <w:rFonts w:ascii="Archivo Light" w:hAnsi="Archivo Light" w:eastAsia="Archivo Light"/>
          <w:b w:val="0"/>
          <w:i w:val="0"/>
          <w:sz w:val="19"/>
        </w:rPr>
        <w:t>Gómez, S., Mejía, D. y Tobón, S. (2021). The deterrent effect of surveillance cameras on crime. Journal of Policy Analysis and Management, 40(2), 553-571.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(Medellín) con asignación cuasi aleatoria de cámaras.</w:t>
      </w:r>
    </w:p>
    <w:p>
      <w:pPr>
        <w:keepNext w:val="0"/>
        <w:spacing w:after="60" w:before="0" w:line="240" w:lineRule="auto"/>
        <w:ind w:left="432" w:hanging="288"/>
      </w:pPr>
      <w:r>
        <w:rPr>
          <w:rFonts w:ascii="Archivo Light" w:hAnsi="Archivo Light" w:eastAsia="Archivo Light"/>
          <w:b w:val="0"/>
          <w:i w:val="0"/>
          <w:sz w:val="19"/>
        </w:rPr>
        <w:t>Lum, C. et al. (2020). Body-worn cameras' effects on police officers and citizen behavior: a systematic review. Campbell Systematic Reviews, 16(3), e1112.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Pertinente también para 'Equipamiento' (cámara corporal).</w:t>
      </w:r>
    </w:p>
    <w:p>
      <w:pPr>
        <w:keepNext w:val="0"/>
        <w:spacing w:after="60" w:before="0" w:line="240" w:lineRule="auto"/>
        <w:ind w:left="432" w:hanging="288"/>
      </w:pPr>
      <w:r>
        <w:rPr>
          <w:rFonts w:ascii="Archivo Light" w:hAnsi="Archivo Light" w:eastAsia="Archivo Light"/>
          <w:b w:val="0"/>
          <w:i w:val="0"/>
          <w:sz w:val="19"/>
        </w:rPr>
        <w:t>OACNUDH (2018). El derecho a la privacidad en la era digital (A/HRC/39/29); Ley General de Protección de Datos Personales en Posesión de Sujetos Obligados (verificar texto vigente).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Límites de derechos humanos a la videovigilancia.</w:t>
      </w:r>
    </w:p>
    <w:p>
      <w:pPr>
        <w:keepNext/>
        <w:spacing w:after="40" w:before="100" w:line="240" w:lineRule="auto"/>
        <w:ind w:left="0"/>
      </w:pPr>
      <w:r>
        <w:rPr>
          <w:rFonts w:ascii="Archivo Light" w:hAnsi="Archivo Light" w:eastAsia="Archivo Light"/>
          <w:b/>
          <w:i w:val="0"/>
          <w:color w:val="1F3A5F"/>
          <w:sz w:val="20"/>
        </w:rPr>
        <w:t>g) Mediación de conflictos (transversal a 13 y 18)</w:t>
      </w:r>
    </w:p>
    <w:p>
      <w:pPr>
        <w:keepNext w:val="0"/>
        <w:spacing w:after="60" w:before="0" w:line="240" w:lineRule="auto"/>
        <w:ind w:left="432" w:hanging="288"/>
      </w:pPr>
      <w:r>
        <w:rPr>
          <w:rFonts w:ascii="Archivo Light" w:hAnsi="Archivo Light" w:eastAsia="Archivo Light"/>
          <w:b w:val="0"/>
          <w:i w:val="0"/>
          <w:sz w:val="19"/>
        </w:rPr>
        <w:t>Ley General de Mecanismos Alternativos de Solución de Controversias (DOF 26-01-2024) y Modelo Nacional de Policía y Justicia Cívica.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mexicano para la mediación comunitaria y la justicia cívica.</w:t>
      </w:r>
    </w:p>
    <w:p>
      <w:pPr>
        <w:keepNext w:val="0"/>
        <w:spacing w:after="60" w:before="0" w:line="240" w:lineRule="auto"/>
        <w:ind w:left="432" w:hanging="288"/>
      </w:pPr>
      <w:r>
        <w:rPr>
          <w:rFonts w:ascii="Archivo Light" w:hAnsi="Archivo Light" w:eastAsia="Archivo Light"/>
          <w:b w:val="0"/>
          <w:i w:val="0"/>
          <w:sz w:val="19"/>
        </w:rPr>
        <w:t>UNODC (2020). Handbook on Restorative Justice Programmes, 2a ed.; Consejo Económico y Social de la ONU (ECOSOC), Res. 2002/12, Principios básicos sobre la utilización de programas de justicia restaurativa.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ONU para mecanismos restaurativos.</w:t>
      </w:r>
    </w:p>
    <w:p>
      <w:pPr>
        <w:keepNext w:val="0"/>
        <w:spacing w:after="60" w:before="0" w:line="240" w:lineRule="auto"/>
        <w:ind w:left="432" w:hanging="288"/>
      </w:pPr>
      <w:r>
        <w:rPr>
          <w:rFonts w:ascii="Archivo Light" w:hAnsi="Archivo Light" w:eastAsia="Archivo Light"/>
          <w:b w:val="0"/>
          <w:i w:val="0"/>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sistemática sobre mediación y derivación iniciada por la policía.</w:t>
      </w:r>
    </w:p>
    <w:p>
      <w:pPr>
        <w:keepNext w:val="0"/>
        <w:spacing w:after="80" w:before="0" w:line="240" w:lineRule="auto"/>
        <w:ind w:left="0"/>
      </w:pPr>
      <w:r>
        <w:rPr>
          <w:rFonts w:ascii="Archivo Light" w:hAnsi="Archivo Light" w:eastAsia="Archivo Light"/>
          <w:b w:val="0"/>
          <w:i w:val="0"/>
          <w:sz w:val="12"/>
        </w:rPr>
      </w:r>
    </w:p>
    <w:p w14:paraId="459C38B8" w14:textId="77777777" w:rsidR="001E013F" w:rsidRDefault="001E013F" w:rsidP="00FF0D65">
      <w:pPr>
        <w:spacing w:before="280" w:after="280" w:line="240" w:lineRule="auto"/>
        <w:jc w:val="center"/>
        <w:rPr>
          <w:rFonts w:ascii="Archivo Light" w:hAnsi="Archivo Light" w:cs="Archivo Light"/>
          <w:sz w:val="48"/>
          <w:szCs w:val="48"/>
        </w:rPr>
      </w:pPr>
    </w:p>
    <w:p w14:paraId="4022E51F"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0A0858BC" w14:textId="0164603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Sistema de información geográfica (SIG) en uso para orientar el patrullaje. </w:t>
      </w:r>
      <w:r>
        <w:rPr>
          <w:rFonts w:ascii="Archivo Light" w:hAnsi="Archivo Light" w:eastAsia="Archivo Light"/>
          <w:b w:val="0"/>
          <w:i/>
          <w:color w:val="404040"/>
          <w:sz w:val="18"/>
        </w:rPr>
        <w:t>Criterios en la ficha 11 del Anexo 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426BB214"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78686267" w14:textId="70878735"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Patrullaje dirigido a puntos calientes, con dosificación documentada. </w:t>
      </w:r>
      <w:r>
        <w:rPr>
          <w:rFonts w:ascii="Archivo Light" w:hAnsi="Archivo Light" w:eastAsia="Archivo Light"/>
          <w:b w:val="0"/>
          <w:i/>
          <w:color w:val="404040"/>
          <w:sz w:val="18"/>
        </w:rPr>
        <w:t>Criterios en la ficha 12 del Anexo 1.</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78621A0F"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2DDC1A1D" w14:textId="08149848"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Método documentado de solución de problemas (tipo SARA: identificación, análisis, respuesta y evaluación). </w:t>
      </w:r>
      <w:r>
        <w:rPr>
          <w:rFonts w:ascii="Archivo Light" w:hAnsi="Archivo Light" w:eastAsia="Archivo Light"/>
          <w:b w:val="0"/>
          <w:i/>
          <w:color w:val="404040"/>
          <w:sz w:val="18"/>
        </w:rPr>
        <w:t>Criterios en la ficha 13 del Anexo 1.</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lastRenderedPageBreak/>
        <w:t>{{ insertar_analisis_e_intercalar_graficas_y_o_tablas }}</w:t>
      </w:r>
    </w:p>
    <w:p w14:paraId="6A0D4577" w14:textId="40652E1F"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Cámaras en lugares de mayor incidencia, con monitoreo activo y protocolo de datos personales. </w:t>
      </w:r>
      <w:r>
        <w:rPr>
          <w:rFonts w:ascii="Archivo Light" w:hAnsi="Archivo Light" w:eastAsia="Archivo Light"/>
          <w:b w:val="0"/>
          <w:i/>
          <w:color w:val="404040"/>
          <w:sz w:val="18"/>
        </w:rPr>
        <w:t>Criterios en la ficha 14 del Anexo 1.</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7714F187" w14:textId="77777777" w:rsidR="00DD02E2" w:rsidRPr="00DD02E2" w:rsidRDefault="00DD02E2" w:rsidP="00DD02E2">
      <w:pPr>
        <w:spacing w:before="280" w:after="280" w:line="240" w:lineRule="auto"/>
        <w:jc w:val="both"/>
        <w:rPr>
          <w:rFonts w:ascii="Archivo Light" w:hAnsi="Archivo Light" w:cs="Archivo Light"/>
          <w:sz w:val="48"/>
          <w:szCs w:val="48"/>
        </w:rPr>
      </w:pPr>
    </w:p>
    <w:p w14:paraId="1FD4DF4A" w14:textId="09F91D12"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Proporción creciente de llamadas procedentes y tiempos de respuesta medidos (Norma Técnica del 9-1-1). </w:t>
      </w:r>
      <w:r>
        <w:rPr>
          <w:rFonts w:ascii="Archivo Light" w:hAnsi="Archivo Light" w:eastAsia="Archivo Light"/>
          <w:b w:val="0"/>
          <w:i/>
          <w:color w:val="404040"/>
          <w:sz w:val="18"/>
        </w:rPr>
        <w:t>Criterios en la ficha 15 del Anexo 1.</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1896D77A" w14:textId="76B3CFE1"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Informe público anual con indicadores de resultado, no solo de actividad. </w:t>
      </w:r>
      <w:r>
        <w:rPr>
          <w:rFonts w:ascii="Archivo Light" w:hAnsi="Archivo Light" w:eastAsia="Archivo Light"/>
          <w:b w:val="0"/>
          <w:i/>
          <w:color w:val="404040"/>
          <w:sz w:val="18"/>
        </w:rPr>
        <w:t>Criterios en la ficha 16 del Anexo 1.</w:t>
      </w:r>
    </w:p>
    <w:p w14:paraId="73BD27B9"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6402633A" w14:textId="1914BAB3"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 xml:space="preserve">Eficiencia policial: Estándar </w:t>
      </w:r>
      <w:proofErr w:type="spellStart"/>
      <w:r>
        <w:rPr>
          <w:rFonts w:ascii="Archivo Light" w:hAnsi="Archivo Light" w:cs="Archivo Light"/>
          <w:sz w:val="48"/>
          <w:szCs w:val="48"/>
        </w:rPr>
        <w:t>benchmark</w:t>
      </w:r>
      <w:proofErr w:type="spellEnd"/>
      <w:r>
        <w:rPr>
          <w:rFonts w:ascii="Archivo Light" w:hAnsi="Archivo Light" w:cs="Archivo Light"/>
          <w:sz w:val="48"/>
          <w:szCs w:val="48"/>
        </w:rPr>
        <w:t>. Eficiencia general – más incremento, seguridad del personal.</w:t>
      </w:r>
    </w:p>
    <w:p w14:paraId="1845056D" w14:textId="7C2BA4E8"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2D5C7D23" w14:textId="46F28974"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 xml:space="preserve">Letalidad policial </w:t>
      </w:r>
    </w:p>
    <w:p w14:paraId="2328F2F8" w14:textId="0C74EE2A"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EFICIENCIA POLICIAL (indicadores 17 y 18)</w:t>
      </w:r>
    </w:p>
    <w:p>
      <w:pPr>
        <w:keepNext/>
        <w:spacing w:after="40" w:before="100" w:line="240" w:lineRule="auto"/>
        <w:ind w:left="0"/>
      </w:pPr>
      <w:r>
        <w:rPr>
          <w:rFonts w:ascii="Archivo Light" w:hAnsi="Archivo Light" w:eastAsia="Archivo Light"/>
          <w:b/>
          <w:i w:val="0"/>
          <w:color w:val="1F3A5F"/>
          <w:sz w:val="20"/>
        </w:rPr>
        <w:t>Normas mexicanas y sentencias</w:t>
      </w:r>
    </w:p>
    <w:p>
      <w:pPr>
        <w:keepNext w:val="0"/>
        <w:spacing w:after="60" w:before="0" w:line="240" w:lineRule="auto"/>
        <w:ind w:left="432" w:hanging="288"/>
      </w:pPr>
      <w:r>
        <w:rPr>
          <w:rFonts w:ascii="Archivo Light" w:hAnsi="Archivo Light" w:eastAsia="Archivo Light"/>
          <w:b w:val="0"/>
          <w:i w:val="0"/>
          <w:sz w:val="19"/>
        </w:rPr>
        <w:t>CPEUM, art. 16 (puesta a disposición sin demora); Código Nacional de Procedimientos Penales (CNPP), arts. 132 y 146 a 152; Ley Nacional del Registro de Detenciones y 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para 'Puestas a disposición' y registro de detenciones.</w:t>
      </w:r>
    </w:p>
    <w:p>
      <w:pPr>
        <w:keepNext w:val="0"/>
        <w:spacing w:after="60" w:before="0" w:line="240" w:lineRule="auto"/>
        <w:ind w:left="432" w:hanging="288"/>
      </w:pPr>
      <w:r>
        <w:rPr>
          <w:rFonts w:ascii="Archivo Light" w:hAnsi="Archivo Light" w:eastAsia="Archivo Light"/>
          <w:b w:val="0"/>
          <w:i w:val="0"/>
          <w:sz w:val="19"/>
        </w:rPr>
        <w:t>Suprema Corte de Justicia de la Nación (SCJN), Primera Sala, Amparo Directo en Revisión 517/2011 (demora en la puesta a disposición y efectos probatorios).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Precedente central sobre detenciones y puesta a disposición.</w:t>
      </w:r>
    </w:p>
    <w:p>
      <w:pPr>
        <w:keepNext w:val="0"/>
        <w:spacing w:after="60" w:before="0" w:line="240" w:lineRule="auto"/>
        <w:ind w:left="432" w:hanging="288"/>
      </w:pPr>
      <w:r>
        <w:rPr>
          <w:rFonts w:ascii="Archivo Light" w:hAnsi="Archivo Light" w:eastAsia="Archivo Light"/>
          <w:b w:val="0"/>
          <w:i w:val="0"/>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vinculantes para México sobre detención, uso de la fuerza y militarización.</w:t>
      </w:r>
    </w:p>
    <w:p>
      <w:pPr>
        <w:keepNext/>
        <w:spacing w:after="40" w:before="100" w:line="240" w:lineRule="auto"/>
        <w:ind w:left="0"/>
      </w:pPr>
      <w:r>
        <w:rPr>
          <w:rFonts w:ascii="Archivo Light" w:hAnsi="Archivo Light" w:eastAsia="Archivo Light"/>
          <w:b/>
          <w:i w:val="0"/>
          <w:color w:val="1F3A5F"/>
          <w:sz w:val="20"/>
        </w:rPr>
        <w:t>Estándares de Naciones Unidas</w:t>
      </w:r>
    </w:p>
    <w:p>
      <w:pPr>
        <w:keepNext w:val="0"/>
        <w:spacing w:after="60" w:before="0" w:line="240" w:lineRule="auto"/>
        <w:ind w:left="432" w:hanging="288"/>
      </w:pPr>
      <w:r>
        <w:rPr>
          <w:rFonts w:ascii="Archivo Light" w:hAnsi="Archivo Light" w:eastAsia="Archivo Light"/>
          <w:b w:val="0"/>
          <w:i w:val="0"/>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letalidad, investigación de muertes y detención.</w:t>
      </w:r>
    </w:p>
    <w:p>
      <w:pPr>
        <w:keepNext/>
        <w:spacing w:after="40" w:before="100" w:line="240" w:lineRule="auto"/>
        <w:ind w:left="0"/>
      </w:pPr>
      <w:r>
        <w:rPr>
          <w:rFonts w:ascii="Archivo Light" w:hAnsi="Archivo Light" w:eastAsia="Archivo Light"/>
          <w:b/>
          <w:i w:val="0"/>
          <w:color w:val="1F3A5F"/>
          <w:sz w:val="20"/>
        </w:rPr>
        <w:t>Letalidad policial, detenciones y cifra negra</w:t>
      </w:r>
    </w:p>
    <w:p>
      <w:pPr>
        <w:keepNext w:val="0"/>
        <w:spacing w:after="60" w:before="0" w:line="240" w:lineRule="auto"/>
        <w:ind w:left="432" w:hanging="288"/>
      </w:pPr>
      <w:r>
        <w:rPr>
          <w:rFonts w:ascii="Archivo Light" w:hAnsi="Archivo Light" w:eastAsia="Archivo Light"/>
          <w:b w:val="0"/>
          <w:i w:val="0"/>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Indicadores estándar: civiles muertos por agente muerto y muertos por herido. Aplicable a la serie de fallecimientos por evento.</w:t>
      </w:r>
    </w:p>
    <w:p>
      <w:pPr>
        <w:keepNext w:val="0"/>
        <w:spacing w:after="60" w:before="0" w:line="240" w:lineRule="auto"/>
        <w:ind w:left="432" w:hanging="288"/>
      </w:pPr>
      <w:r>
        <w:rPr>
          <w:rFonts w:ascii="Archivo Light" w:hAnsi="Archivo Light" w:eastAsia="Archivo Light"/>
          <w:b w:val="0"/>
          <w:i w:val="0"/>
          <w:sz w:val="19"/>
        </w:rPr>
        <w:t>Magaloni, B. y Rodriguez, L. (2020). Institutionalized police brutality: torture, the militarization of security, and the reform of inquisitorial criminal justice in Mexico. American Political Science Review, 114(4), 1013-1034.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con la Encuesta Nacional de Población Privada de la Libertad (ENPOL) sobre abuso en detenciones.</w:t>
      </w:r>
    </w:p>
    <w:p>
      <w:pPr>
        <w:keepNext w:val="0"/>
        <w:spacing w:after="60" w:before="0" w:line="240" w:lineRule="auto"/>
        <w:ind w:left="432" w:hanging="288"/>
      </w:pPr>
      <w:r>
        <w:rPr>
          <w:rFonts w:ascii="Archivo Light" w:hAnsi="Archivo Light" w:eastAsia="Archivo Light"/>
          <w:b w:val="0"/>
          <w:i w:val="0"/>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para problematizar 'más detenciones = más seguridad' y el tamaño del estado de fuerza.</w:t>
      </w:r>
    </w:p>
    <w:p>
      <w:pPr>
        <w:keepNext w:val="0"/>
        <w:spacing w:after="60" w:before="0" w:line="240" w:lineRule="auto"/>
        <w:ind w:left="432" w:hanging="288"/>
      </w:pPr>
      <w:r>
        <w:rPr>
          <w:rFonts w:ascii="Archivo Light" w:hAnsi="Archivo Light" w:eastAsia="Archivo Light"/>
          <w:b w:val="0"/>
          <w:i w:val="0"/>
          <w:sz w:val="19"/>
        </w:rPr>
        <w:t>INEGI: Encuesta Nacional de Victimización y Percepción sobre Seguridad Pública (ENVIPE, cifra negra), ENPOL y Encuesta Nacional de Seguridad Pública Urbana (ENSU).</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Datos para contrastar puestas a disposición con victimización no denunciada.</w:t>
      </w:r>
    </w:p>
    <w:p>
      <w:pPr>
        <w:keepNext w:val="0"/>
        <w:spacing w:after="80" w:before="0" w:line="240" w:lineRule="auto"/>
        <w:ind w:left="0"/>
      </w:pPr>
      <w:r>
        <w:rPr>
          <w:rFonts w:ascii="Archivo Light" w:hAnsi="Archivo Light" w:eastAsia="Archivo Light"/>
          <w:b w:val="0"/>
          <w:i w:val="0"/>
          <w:sz w:val="12"/>
        </w:rPr>
      </w:r>
    </w:p>
    <w:p w14:paraId="6D2EE718" w14:textId="77777777" w:rsidR="001E013F" w:rsidRPr="00DD02E2" w:rsidRDefault="001E013F" w:rsidP="00DD02E2">
      <w:pPr>
        <w:spacing w:before="320" w:after="320" w:line="360" w:lineRule="auto"/>
        <w:ind w:right="616"/>
        <w:jc w:val="both"/>
        <w:rPr>
          <w:rFonts w:ascii="Archivo Light" w:hAnsi="Archivo Light" w:cs="Archivo Light"/>
        </w:rPr>
      </w:pPr>
    </w:p>
    <w:p w14:paraId="4B6B72B8" w14:textId="2D19A006"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Sin fallecimientos de policías y con capacidad de reposición del personal; seguimiento de la letalidad. </w:t>
      </w:r>
      <w:r>
        <w:rPr>
          <w:rFonts w:ascii="Archivo Light" w:hAnsi="Archivo Light" w:eastAsia="Archivo Light"/>
          <w:b w:val="0"/>
          <w:i/>
          <w:color w:val="404040"/>
          <w:sz w:val="18"/>
        </w:rPr>
        <w:t>Criterios en la ficha 17 del Anexo 1.</w:t>
      </w:r>
    </w:p>
    <w:p w14:paraId="5E2F47D8" w14:textId="28F7EE0F"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32C44D88" w14:textId="77777777" w:rsidR="00FF0D65" w:rsidRPr="00DD02E2" w:rsidRDefault="00FF0D65" w:rsidP="00DD02E2">
      <w:pPr>
        <w:spacing w:before="320" w:after="320" w:line="360" w:lineRule="auto"/>
        <w:ind w:right="616"/>
        <w:jc w:val="both"/>
        <w:rPr>
          <w:rFonts w:ascii="Archivo Light" w:hAnsi="Archivo Light" w:cs="Archivo Light"/>
        </w:rPr>
      </w:pPr>
    </w:p>
    <w:p w14:paraId="2924E708" w14:textId="76164A0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Puesta a disposición sin demora y proporcional a la incidencia. </w:t>
      </w:r>
      <w:r>
        <w:rPr>
          <w:rFonts w:ascii="Archivo Light" w:hAnsi="Archivo Light" w:eastAsia="Archivo Light"/>
          <w:b w:val="0"/>
          <w:i/>
          <w:color w:val="404040"/>
          <w:sz w:val="18"/>
        </w:rPr>
        <w:t>Criterios en la ficha 18 del Anexo 1.</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52368E9B" w14:textId="6009B9B1" w:rsidR="007F475B" w:rsidRPr="00AA3D44" w:rsidRDefault="007F475B" w:rsidP="00025297">
      <w:pPr>
        <w:spacing w:before="320" w:after="320" w:line="240" w:lineRule="auto"/>
        <w:ind w:left="284" w:right="284"/>
        <w:contextualSpacing/>
        <w:jc w:val="both"/>
        <w:rPr>
          <w:rFonts w:ascii="Archivo Light" w:hAnsi="Archivo Light" w:cs="Archivo Light"/>
        </w:rPr>
      </w:pPr>
    </w:p>
    <w:p w14:paraId="7F42BF22" w14:textId="231C1EEB" w:rsidR="00F23BA3" w:rsidRPr="00CB6D36" w:rsidRDefault="00F23BA3" w:rsidP="006634C5">
      <w:pPr>
        <w:rPr>
          <w:rFonts w:ascii="Archivo" w:hAnsi="Archivo" w:cs="Archivo"/>
        </w:rPr>
      </w:pPr>
    </w:p>
    <w:p>
      <w:r>
        <w:br w:type="page"/>
      </w:r>
    </w:p>
    <w:p>
      <w:pPr>
        <w:keepNext w:val="0"/>
        <w:spacing w:after="80" w:before="0" w:line="240" w:lineRule="auto"/>
        <w:ind w:left="0"/>
      </w:pPr>
      <w:r>
        <w:rPr>
          <w:rFonts w:ascii="Archivo Light" w:hAnsi="Archivo Light" w:eastAsia="Archivo Light"/>
          <w:b/>
          <w:i w:val="0"/>
          <w:color w:val="1F3A5F"/>
          <w:sz w:val="26"/>
        </w:rPr>
        <w:t>Anexo 1. Fichas de calificación por indicador</w:t>
      </w:r>
    </w:p>
    <w:p>
      <w:pPr>
        <w:keepNext w:val="0"/>
        <w:spacing w:after="80" w:before="0" w:line="240" w:lineRule="auto"/>
        <w:ind w:left="0"/>
      </w:pPr>
      <w:r>
        <w:rPr>
          <w:rFonts w:ascii="Archivo Light" w:hAnsi="Archivo Light" w:eastAsia="Archivo Light"/>
          <w:b w:val="0"/>
          <w:i w:val="0"/>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pPr>
        <w:keepNext w:val="0"/>
        <w:spacing w:after="40" w:before="80" w:line="240" w:lineRule="auto"/>
        <w:ind w:left="0"/>
      </w:pPr>
      <w:r>
        <w:rPr>
          <w:rFonts w:ascii="Archivo Light" w:hAnsi="Archivo Light" w:eastAsia="Archivo Light"/>
          <w:b/>
          <w:i w:val="0"/>
          <w:color w:val="1F3A5F"/>
          <w:sz w:val="20"/>
        </w:rPr>
        <w:t>Limitaciones comunes a todos los indicadores</w:t>
      </w:r>
    </w:p>
    <w:p>
      <w:pPr>
        <w:keepNext w:val="0"/>
        <w:spacing w:after="40" w:before="0" w:line="240" w:lineRule="auto"/>
        <w:ind w:left="432" w:hanging="216"/>
      </w:pPr>
      <w:r>
        <w:rPr>
          <w:rFonts w:ascii="Archivo Light" w:hAnsi="Archivo Light" w:eastAsia="Archivo Light"/>
          <w:b w:val="0"/>
          <w:i w:val="0"/>
          <w:sz w:val="19"/>
        </w:rPr>
        <w:t>– El CNGMD es autodeclarado por la administración en turno y no verifica documentos: registra cumplimiento formal, no funcionamiento.</w:t>
      </w:r>
    </w:p>
    <w:p>
      <w:pPr>
        <w:keepNext w:val="0"/>
        <w:spacing w:after="40" w:before="0" w:line="240" w:lineRule="auto"/>
        <w:ind w:left="432" w:hanging="216"/>
      </w:pPr>
      <w:r>
        <w:rPr>
          <w:rFonts w:ascii="Archivo Light" w:hAnsi="Archivo Light" w:eastAsia="Archivo Light"/>
          <w:b w:val="0"/>
          <w:i w:val="0"/>
          <w:sz w:val="19"/>
        </w:rPr>
        <w:t>– Muchas variables son binarias (existe o no existe) y no permiten distinguir calidad.</w:t>
      </w:r>
    </w:p>
    <w:p>
      <w:pPr>
        <w:keepNext w:val="0"/>
        <w:spacing w:after="40" w:before="0" w:line="240" w:lineRule="auto"/>
        <w:ind w:left="432" w:hanging="216"/>
      </w:pPr>
      <w:r>
        <w:rPr>
          <w:rFonts w:ascii="Archivo Light" w:hAnsi="Archivo Light" w:eastAsia="Archivo Light"/>
          <w:b w:val="0"/>
          <w:i w:val="0"/>
          <w:sz w:val="19"/>
        </w:rPr>
        <w:t>– El cuestionario cambia entre ediciones (categorías nuevas en 2020 y 2022), lo que rompe la comparabilidad de algunas series.</w:t>
      </w:r>
    </w:p>
    <w:p>
      <w:pPr>
        <w:keepNext w:val="0"/>
        <w:spacing w:after="40" w:before="0" w:line="240" w:lineRule="auto"/>
        <w:ind w:left="432" w:hanging="216"/>
      </w:pPr>
      <w:r>
        <w:rPr>
          <w:rFonts w:ascii="Archivo Light" w:hAnsi="Archivo Light" w:eastAsia="Archivo Light"/>
          <w:b w:val="0"/>
          <w:i w:val="0"/>
          <w:sz w:val="19"/>
        </w:rPr>
        <w:t>– En corporaciones pequeñas, cualquier porcentaje o tasa cambia bruscamente por una sola persona; conviene reportar los conteos junto a las tasas.</w:t>
      </w:r>
    </w:p>
    <w:p>
      <w:pPr>
        <w:keepNext w:val="0"/>
        <w:spacing w:after="40" w:before="0" w:line="240" w:lineRule="auto"/>
        <w:ind w:left="432" w:hanging="216"/>
      </w:pPr>
      <w:r>
        <w:rPr>
          <w:rFonts w:ascii="Archivo Light" w:hAnsi="Archivo Light" w:eastAsia="Archivo Light"/>
          <w:b w:val="0"/>
          <w:i w:val="0"/>
          <w:sz w:val="19"/>
        </w:rPr>
        <w:t>– Los cambios de administración municipal suelen coincidir con rupturas en las series y pueden reflejar un cambio de informante más que un cambio real.</w:t>
      </w:r>
    </w:p>
    <w:p>
      <w:pPr>
        <w:keepNext w:val="0"/>
        <w:spacing w:after="40" w:before="0" w:line="240" w:lineRule="auto"/>
        <w:ind w:left="432" w:hanging="216"/>
      </w:pPr>
      <w:r>
        <w:rPr>
          <w:rFonts w:ascii="Archivo Light" w:hAnsi="Archivo Light" w:eastAsia="Archivo Light"/>
          <w:b w:val="0"/>
          <w:i w:val="0"/>
          <w:sz w:val="19"/>
        </w:rPr>
        <w:t>– Los datos estatales suelen ser porcentajes de municipios o sumas de ellos; estar en el promedio estatal no equivale a cumplir el benchmark cuando la entidad en su conjunto está lejos de él.</w:t>
      </w:r>
    </w:p>
    <w:p>
      <w:pPr>
        <w:keepNext/>
        <w:shd w:val="clear" w:color="auto" w:fill="E8EEF5"/>
        <w:spacing w:after="40" w:before="240" w:line="240" w:lineRule="auto"/>
        <w:ind w:left="0"/>
      </w:pPr>
      <w:r>
        <w:rPr>
          <w:rFonts w:ascii="Archivo Light" w:hAnsi="Archivo Light" w:eastAsia="Archivo Light"/>
          <w:b/>
          <w:i w:val="0"/>
          <w:color w:val="1F3A5F"/>
          <w:sz w:val="22"/>
        </w:rPr>
        <w:t>Ficha 1. Plan o programa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Programa municipal de protección civil vigente, actualizado y ligado al atlas de riesgo.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del programa (Sí/No) por edición; dato estatal: % de municipios con programa.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pPr>
        <w:keepNext w:val="0"/>
        <w:spacing w:after="60" w:before="0" w:line="240" w:lineRule="auto"/>
        <w:ind w:left="0"/>
      </w:pPr>
      <w:r>
        <w:rPr>
          <w:rFonts w:ascii="Archivo Light" w:hAnsi="Archivo Light" w:eastAsia="Archivo Light"/>
          <w:b w:val="0"/>
          <w:i w:val="0"/>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hay evidencia documental (publicación en el periódico oficial) que contradice el censo, anotarla y usar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2. Capacitación en materia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básica del Sistema Nacional de Protección Civil (SINAPROC) para el personal de la unidad municipal y cursos cada año.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Número de cursos y de servidores públicos capacitados; dato estatal: totales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pPr>
        <w:keepNext w:val="0"/>
        <w:spacing w:after="60" w:before="0" w:line="240" w:lineRule="auto"/>
        <w:ind w:left="0"/>
      </w:pPr>
      <w:r>
        <w:rPr>
          <w:rFonts w:ascii="Archivo Light" w:hAnsi="Archivo Light" w:eastAsia="Archivo Light"/>
          <w:b w:val="0"/>
          <w:i w:val="0"/>
          <w:sz w:val="20"/>
        </w:rPr>
        <w:t>Por eso el umbral no es un número de cursos, que depende del tamaño del municipio, sino la continuidad anual y la cobertura del personal responsable de protección civil. Un municipio pequeño puede cumplir con uno o dos cursos al año si llegan a toda su 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Hubo cursos y personal capacitado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Hubo cursos en al menos 75% de las ediciones, incluidas las dos más recientes.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cursos en al menos la mitad de las ediciones, o en la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cursos en menos de la mitad de las ediciones y ninguno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hubo cursos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No comparar el conteo municipal con el total estatal, que es una suma dominada por las ciudades grandes.</w:t>
      </w:r>
    </w:p>
    <w:p>
      <w:pPr>
        <w:keepNext/>
        <w:shd w:val="clear" w:color="auto" w:fill="E8EEF5"/>
        <w:spacing w:after="40" w:before="240" w:line="240" w:lineRule="auto"/>
        <w:ind w:left="0"/>
      </w:pPr>
      <w:r>
        <w:rPr>
          <w:rFonts w:ascii="Archivo Light" w:hAnsi="Archivo Light" w:eastAsia="Archivo Light"/>
          <w:b/>
          <w:i w:val="0"/>
          <w:color w:val="1F3A5F"/>
          <w:sz w:val="22"/>
        </w:rPr>
        <w:t>Ficha 3. Temas de la capacitación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Cobertura de los seis temas núcleo: identificación y análisis de riesgos; Sistema de Comando de Incidentes; mapas de riesgo y alerta temprana; evacuación, búsqueda y rescate; primeros auxilios; y prevención y combate de incendios.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Temas impartidos por edición; dato estatal: % de municipios que impartieron cada tema.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pPr>
        <w:keepNext w:val="0"/>
        <w:spacing w:after="60" w:before="0" w:line="240" w:lineRule="auto"/>
        <w:ind w:left="0"/>
      </w:pPr>
      <w:r>
        <w:rPr>
          <w:rFonts w:ascii="Archivo Light" w:hAnsi="Archivo Light" w:eastAsia="Archivo Light"/>
          <w:b w:val="0"/>
          <w:i w:val="0"/>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Cinco o más temas núcleo en el periodo, incluido el análisis de riesgos.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Cuatro temas núcleo.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Dos o tres temas núcleo.</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Un tema núcleo.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Ningún tema, o no hubo capacitación.</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2 obtiene 1, este indicador también obtiene 1. Aun así, se registra por separado para no ocultar la carencia.</w:t>
      </w:r>
    </w:p>
    <w:p>
      <w:pPr>
        <w:keepNext/>
        <w:shd w:val="clear" w:color="auto" w:fill="E8EEF5"/>
        <w:spacing w:after="40" w:before="240" w:line="240" w:lineRule="auto"/>
        <w:ind w:left="0"/>
      </w:pPr>
      <w:r>
        <w:rPr>
          <w:rFonts w:ascii="Archivo Light" w:hAnsi="Archivo Light" w:eastAsia="Archivo Light"/>
          <w:b/>
          <w:i w:val="0"/>
          <w:color w:val="1F3A5F"/>
          <w:sz w:val="22"/>
        </w:rPr>
        <w:t>Ficha 4. Personal destinado a funciones de seguridad pública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Al menos 1.8 policías por cada 1,000 habitantes (Modelo Óptimo de la Función Policial, MOFP).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personal por edición; se divide entre la población del censo o conteo del Consejo Nacional de Población (CONAPO) más cercano.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pPr>
        <w:keepNext w:val="0"/>
        <w:spacing w:after="60" w:before="0" w:line="240" w:lineRule="auto"/>
        <w:ind w:left="0"/>
      </w:pPr>
      <w:r>
        <w:rPr>
          <w:rFonts w:ascii="Archivo Light" w:hAnsi="Archivo Light" w:eastAsia="Archivo Light"/>
          <w:b w:val="0"/>
          <w:i w:val="0"/>
          <w:sz w:val="20"/>
        </w:rPr>
        <w:t>Por eso el benchmark funciona como un piso de capacidad, no como una medida de desempeño: un municipio puede superarlo y aun así no tener cobertura efectiva si la plantilla no alcanza para sostener turnos.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 1.8 por cada 1,000 habitantes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 1.8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1.2 y 1.79, o ≥ 1.8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0.8 y 1.19.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0.8,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Criterio ajustable: si la plantilla total tiene menos de 15 elementos, el puntaje máximo es 4, porque la cobertura por turno es insuficiente aunque la tasa sea alta.</w:t>
      </w:r>
    </w:p>
    <w:p>
      <w:pPr>
        <w:keepNext/>
        <w:shd w:val="clear" w:color="auto" w:fill="E8EEF5"/>
        <w:spacing w:after="40" w:before="240" w:line="240" w:lineRule="auto"/>
        <w:ind w:left="0"/>
      </w:pPr>
      <w:r>
        <w:rPr>
          <w:rFonts w:ascii="Archivo Light" w:hAnsi="Archivo Light" w:eastAsia="Archivo Light"/>
          <w:b/>
          <w:i w:val="0"/>
          <w:color w:val="1F3A5F"/>
          <w:sz w:val="22"/>
        </w:rPr>
        <w:t>Ficha 5. Evaluaciones de control de confianza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estado de fuerza con control de confianza aprobado y vigente (MOFP; Ley General del Sistema Nacional de Seguridad Pública, LGSNSP).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evaluado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pPr>
        <w:keepNext w:val="0"/>
        <w:spacing w:after="60" w:before="0" w:line="240" w:lineRule="auto"/>
        <w:ind w:left="0"/>
      </w:pPr>
      <w:r>
        <w:rPr>
          <w:rFonts w:ascii="Archivo Light" w:hAnsi="Archivo Light" w:eastAsia="Archivo Light"/>
          <w:b w:val="0"/>
          <w:i w:val="0"/>
          <w:sz w:val="20"/>
        </w:rPr>
        <w:t>La evidencia sobre el polígrafo, uno de sus componentes (National Research Council, 2003), muestra tasas de error relevantes en tamizaje. Por eso el benchmark se interpreta como cumplimiento normativo, no como medida de integridad.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censo pregunta por personal 'evaluado' y no 'aprobado', decirlo en el texto: 100% evaluado no equivale a 100% aprobado.</w:t>
      </w:r>
    </w:p>
    <w:p>
      <w:pPr>
        <w:keepNext/>
        <w:shd w:val="clear" w:color="auto" w:fill="E8EEF5"/>
        <w:spacing w:after="40" w:before="240" w:line="240" w:lineRule="auto"/>
        <w:ind w:left="0"/>
      </w:pPr>
      <w:r>
        <w:rPr>
          <w:rFonts w:ascii="Archivo Light" w:hAnsi="Archivo Light" w:eastAsia="Archivo Light"/>
          <w:b/>
          <w:i w:val="0"/>
          <w:color w:val="1F3A5F"/>
          <w:sz w:val="22"/>
        </w:rPr>
        <w:t>Ficha 6. Instituto de formación, capacitación y/o profesionalización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Acceso a formación inicial y continua, propia o mediante convenio.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 instituto municipal por edición; dato estatal: % de municipios con instituto.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pPr>
        <w:keepNext w:val="0"/>
        <w:spacing w:after="60" w:before="0" w:line="240" w:lineRule="auto"/>
        <w:ind w:left="0"/>
      </w:pPr>
      <w:r>
        <w:rPr>
          <w:rFonts w:ascii="Archivo Light" w:hAnsi="Archivo Light" w:eastAsia="Archivo Light"/>
          <w:b w:val="0"/>
          <w:i w:val="0"/>
          <w:sz w:val="20"/>
        </w:rPr>
        <w:t>Por eso el benchmark se formula como acceso: el municipio cumple si su personal recibe formación en la academia o el instituto estatal, o en otra institución mediante convenio.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no hay instituto propio pero el indicador 10 obtiene 3 o más, asignar al menos 3: la formación puede darse en una academia estatal o regional.</w:t>
      </w:r>
    </w:p>
    <w:p>
      <w:pPr>
        <w:keepNext/>
        <w:shd w:val="clear" w:color="auto" w:fill="E8EEF5"/>
        <w:spacing w:after="40" w:before="240" w:line="240" w:lineRule="auto"/>
        <w:ind w:left="0"/>
      </w:pPr>
      <w:r>
        <w:rPr>
          <w:rFonts w:ascii="Archivo Light" w:hAnsi="Archivo Light" w:eastAsia="Archivo Light"/>
          <w:b/>
          <w:i w:val="0"/>
          <w:color w:val="1F3A5F"/>
          <w:sz w:val="22"/>
        </w:rPr>
        <w:t>Ficha 7. Certificado Único Policial vigente</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personal con Certificado Único Policial (CUP) vigente.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con CUP vigente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0% aislado entre valores altos, o incompatible con el indicador 5, se marca como dato dudoso.</w:t>
      </w:r>
    </w:p>
    <w:p>
      <w:pPr>
        <w:keepNext/>
        <w:shd w:val="clear" w:color="auto" w:fill="E8EEF5"/>
        <w:spacing w:after="40" w:before="240" w:line="240" w:lineRule="auto"/>
        <w:ind w:left="0"/>
      </w:pPr>
      <w:r>
        <w:rPr>
          <w:rFonts w:ascii="Archivo Light" w:hAnsi="Archivo Light" w:eastAsia="Archivo Light"/>
          <w:b/>
          <w:i w:val="0"/>
          <w:color w:val="1F3A5F"/>
          <w:sz w:val="22"/>
        </w:rPr>
        <w:t>Ficha 8. Uniformes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Dotación completa y al menos anual de las prendas operativas básicas: camisola o camisa, pantalón, calzado, chamarra, fornitura o cinturón táctico y chaleco táctico.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Prendas otorgadas y frecuencia de dotación por edición; dato estatal: % de municipios que otorgan cada prenda.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pPr>
        <w:keepNext w:val="0"/>
        <w:spacing w:after="60" w:before="0" w:line="240" w:lineRule="auto"/>
        <w:ind w:left="0"/>
      </w:pPr>
      <w:r>
        <w:rPr>
          <w:rFonts w:ascii="Archivo Light" w:hAnsi="Archivo Light" w:eastAsia="Archivo Light"/>
          <w:b w:val="0"/>
          <w:i w:val="0"/>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Dotación anual con cinco o más prendas básicas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Dotación anual con cinco o más prendas básicas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Dotación incompleta (menos de cinco prendas) o frecuencia 'una sola vez'.</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dotación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dotación,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dice si la dotación alcanzó a todos los elementos; si hay información local al respecto, usarla en el texto.</w:t>
      </w:r>
    </w:p>
    <w:p>
      <w:pPr>
        <w:keepNext/>
        <w:shd w:val="clear" w:color="auto" w:fill="E8EEF5"/>
        <w:spacing w:after="40" w:before="240" w:line="240" w:lineRule="auto"/>
        <w:ind w:left="0"/>
      </w:pPr>
      <w:r>
        <w:rPr>
          <w:rFonts w:ascii="Archivo Light" w:hAnsi="Archivo Light" w:eastAsia="Archivo Light"/>
          <w:b/>
          <w:i w:val="0"/>
          <w:color w:val="1F3A5F"/>
          <w:sz w:val="22"/>
        </w:rPr>
        <w:t>Ficha 9. Equipamiento</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Chaleco balístico por elemento, radio para el personal en turno y al menos un incapacitante menos letal (Principio Básico 2 de la ONU; Ley Nacional sobre el Uso de la Fuerza).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Unidades de cada equipo por edición; se dividen entre el total de personal del indicador 4.</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pPr>
        <w:keepNext w:val="0"/>
        <w:spacing w:after="60" w:before="0" w:line="240" w:lineRule="auto"/>
        <w:ind w:left="0"/>
      </w:pPr>
      <w:r>
        <w:rPr>
          <w:rFonts w:ascii="Archivo Light" w:hAnsi="Archivo Light" w:eastAsia="Archivo Light"/>
          <w:b w:val="0"/>
          <w:i w:val="0"/>
          <w:sz w:val="20"/>
        </w:rPr>
        <w:t>Sobre las cámaras corporales, la revisión de Lum et al. (2020) encuentra efectos mixtos sobre el uso de la fuerza y las quejas, por lo que su presencia se trata como deseable y no como umbral.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chaleco/elemento ≥ 1, radio/elemento ≥ 0.5 y al menos un incapacitante menos letal.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Chaleco/elemento ≥ 0.5, pero sin radio suficiente o sin equipo menos letal.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Chaleco/elemento &lt; 0.5.</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equipo reportado,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Verificar si la variable es inventario o dotación del año: si es dotación, la ausencia en un año no implica que el equipo no exista.</w:t>
      </w:r>
    </w:p>
    <w:p>
      <w:pPr>
        <w:keepNext/>
        <w:shd w:val="clear" w:color="auto" w:fill="E8EEF5"/>
        <w:spacing w:after="40" w:before="240" w:line="240" w:lineRule="auto"/>
        <w:ind w:left="0"/>
      </w:pPr>
      <w:r>
        <w:rPr>
          <w:rFonts w:ascii="Archivo Light" w:hAnsi="Archivo Light" w:eastAsia="Archivo Light"/>
          <w:b/>
          <w:i w:val="0"/>
          <w:color w:val="1F3A5F"/>
          <w:sz w:val="22"/>
        </w:rPr>
        <w:t>Ficha 10. Temas de capacitación (policía)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continua anual en los temas núcleo: derechos humanos y uso de la fuerza, primer respondiente, Informe Policial Homologado (IPH), y proximidad o solución de problemas.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Personal capacitado por tema y % del total por edición.</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pPr>
        <w:keepNext w:val="0"/>
        <w:spacing w:after="60" w:before="0" w:line="240" w:lineRule="auto"/>
        <w:ind w:left="0"/>
      </w:pPr>
      <w:r>
        <w:rPr>
          <w:rFonts w:ascii="Archivo Light" w:hAnsi="Archivo Light" w:eastAsia="Archivo Light"/>
          <w:b w:val="0"/>
          <w:i w:val="0"/>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al menos la mitad del personal fue capacitado en dos o más temas núcleo.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capacitación en al menos un tema núcleo en la mitad o más de las ediciones.</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capacitación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capacitación,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Las categorías de temas cambian en 2020 y 2022; comparar por grupo de temas, no tema por tema.</w:t>
      </w:r>
    </w:p>
    <w:p>
      <w:pPr>
        <w:keepNext/>
        <w:shd w:val="clear" w:color="auto" w:fill="E8EEF5"/>
        <w:spacing w:after="40" w:before="240" w:line="240" w:lineRule="auto"/>
        <w:ind w:left="0"/>
      </w:pPr>
      <w:r>
        <w:rPr>
          <w:rFonts w:ascii="Archivo Light" w:hAnsi="Archivo Light" w:eastAsia="Archivo Light"/>
          <w:b/>
          <w:i w:val="0"/>
          <w:color w:val="1F3A5F"/>
          <w:sz w:val="22"/>
        </w:rPr>
        <w:t>Ficha 11. Sistemas de información georreferenciados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Sistema de información geográfica (SIG) en uso para orientar el patrullaje.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pPr>
        <w:keepNext w:val="0"/>
        <w:spacing w:after="60" w:before="0" w:line="240" w:lineRule="auto"/>
        <w:ind w:left="0"/>
      </w:pPr>
      <w:r>
        <w:rPr>
          <w:rFonts w:ascii="Archivo Light" w:hAnsi="Archivo Light" w:eastAsia="Archivo Light"/>
          <w:b w:val="0"/>
          <w:i w:val="0"/>
          <w:sz w:val="20"/>
        </w:rPr>
        <w:t>El benchmark distingue existencia de uso, porque un SIG que no alimenta decisiones de despliegue no produce efectos.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municipios muy pequeños, el registro de incidentes con coordenadas puede considerarse equivalente si se documenta.</w:t>
      </w:r>
    </w:p>
    <w:p>
      <w:pPr>
        <w:keepNext/>
        <w:shd w:val="clear" w:color="auto" w:fill="E8EEF5"/>
        <w:spacing w:after="40" w:before="240" w:line="240" w:lineRule="auto"/>
        <w:ind w:left="0"/>
      </w:pPr>
      <w:r>
        <w:rPr>
          <w:rFonts w:ascii="Archivo Light" w:hAnsi="Archivo Light" w:eastAsia="Archivo Light"/>
          <w:b/>
          <w:i w:val="0"/>
          <w:color w:val="1F3A5F"/>
          <w:sz w:val="22"/>
        </w:rPr>
        <w:t>Ficha 12. Patrullajes estratégicos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Patrullaje dirigido a puntos calientes, con dosificación documentada.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pPr>
        <w:keepNext w:val="0"/>
        <w:spacing w:after="60" w:before="0" w:line="240" w:lineRule="auto"/>
        <w:ind w:left="0"/>
      </w:pPr>
      <w:r>
        <w:rPr>
          <w:rFonts w:ascii="Archivo Light" w:hAnsi="Archivo Light" w:eastAsia="Archivo Light"/>
          <w:b w:val="0"/>
          <w:i w:val="0"/>
          <w:sz w:val="20"/>
        </w:rPr>
        <w:t>La evidencia latinoamericana (Medellín, Bogotá y Montevideo) encuentra efectos más modestos y muy dependientes de la implementación. Por eso el benchmark pide focalización y registro de la dosis, no solo un programa declarado.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11 obtiene 1, la puntuación máxima aquí es 3: sin información georreferenciada es difícil que la focalización sea real.</w:t>
      </w:r>
    </w:p>
    <w:p>
      <w:pPr>
        <w:keepNext/>
        <w:shd w:val="clear" w:color="auto" w:fill="E8EEF5"/>
        <w:spacing w:after="40" w:before="240" w:line="240" w:lineRule="auto"/>
        <w:ind w:left="0"/>
      </w:pPr>
      <w:r>
        <w:rPr>
          <w:rFonts w:ascii="Archivo Light" w:hAnsi="Archivo Light" w:eastAsia="Archivo Light"/>
          <w:b/>
          <w:i w:val="0"/>
          <w:color w:val="1F3A5F"/>
          <w:sz w:val="22"/>
        </w:rPr>
        <w:t>Ficha 13. Atención a problemas comunitarios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Método documentado de solución de problemas (tipo SARA: identificación, análisis, respuesta y evaluación).</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pPr>
        <w:keepNext w:val="0"/>
        <w:spacing w:after="60" w:before="0" w:line="240" w:lineRule="auto"/>
        <w:ind w:left="0"/>
      </w:pPr>
      <w:r>
        <w:rPr>
          <w:rFonts w:ascii="Archivo Light" w:hAnsi="Archivo Light" w:eastAsia="Archivo Light"/>
          <w:b w:val="0"/>
          <w:i w:val="0"/>
          <w:sz w:val="20"/>
        </w:rPr>
        <w:t>Por eso el benchmark exige un método de solución de problemas y no solo presencia o reuniones con la comunidad.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Leer junto con el indicador 10: si no hay capacitación en proximidad o SARA, señalarlo en el texto.</w:t>
      </w:r>
    </w:p>
    <w:p>
      <w:pPr>
        <w:keepNext/>
        <w:shd w:val="clear" w:color="auto" w:fill="E8EEF5"/>
        <w:spacing w:after="40" w:before="240" w:line="240" w:lineRule="auto"/>
        <w:ind w:left="0"/>
      </w:pPr>
      <w:r>
        <w:rPr>
          <w:rFonts w:ascii="Archivo Light" w:hAnsi="Archivo Light" w:eastAsia="Archivo Light"/>
          <w:b/>
          <w:i w:val="0"/>
          <w:color w:val="1F3A5F"/>
          <w:sz w:val="22"/>
        </w:rPr>
        <w:t>Ficha 14. Cámaras de vigilancia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Cámaras en lugares de mayor incidencia, con monitoreo activo y protocolo de datos personales.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cámaras por edición; se calcula la tasa por cada 1,000 habitantes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pPr>
        <w:keepNext w:val="0"/>
        <w:spacing w:after="60" w:before="0" w:line="240" w:lineRule="auto"/>
        <w:ind w:left="0"/>
      </w:pPr>
      <w:r>
        <w:rPr>
          <w:rFonts w:ascii="Archivo Light" w:hAnsi="Archivo Light" w:eastAsia="Archivo Light"/>
          <w:b w:val="0"/>
          <w:i w:val="0"/>
          <w:sz w:val="20"/>
        </w:rPr>
        <w:t>Por eso el benchmark no es un número de cámaras, sino su ubicación, su monitoreo y su marco de uso.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cámaras en todas las ediciones, con tasa ≥ la estatal y sin retrocesos.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Tasa ≥ la estatal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cámaras, pero con tasa menor que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Cámaras solo en alguna edición aislada.</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cámaras,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informa sobre monitoreo ni funcionamiento. Un salto abrupto en el conteo debe verificarse antes de puntuar con 5.</w:t>
      </w:r>
    </w:p>
    <w:p>
      <w:pPr>
        <w:keepNext/>
        <w:shd w:val="clear" w:color="auto" w:fill="E8EEF5"/>
        <w:spacing w:after="40" w:before="240" w:line="240" w:lineRule="auto"/>
        <w:ind w:left="0"/>
      </w:pPr>
      <w:r>
        <w:rPr>
          <w:rFonts w:ascii="Archivo Light" w:hAnsi="Archivo Light" w:eastAsia="Archivo Light"/>
          <w:b/>
          <w:i w:val="0"/>
          <w:color w:val="1F3A5F"/>
          <w:sz w:val="22"/>
        </w:rPr>
        <w:t>Ficha 15. Llamadas procedentes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Proporción creciente de llamadas procedentes y tiempos de respuesta medidos (Norma Técnica del 9-1-1).</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 llamadas procedentes y su número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dato en todas las ediciones y el % es ≥ al estatal.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Hay dato en el último periodo y el % es ≥ al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dato, pero el % es menor que el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Dato incompleto (ediciones vacías o en cero).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100% poco plausible se marca como dato dudoso y no puede recibir más de 3. Un porcentaje alto no es por sí mismo un buen resultado.</w:t>
      </w:r>
    </w:p>
    <w:p>
      <w:pPr>
        <w:keepNext/>
        <w:shd w:val="clear" w:color="auto" w:fill="E8EEF5"/>
        <w:spacing w:after="40" w:before="240" w:line="240" w:lineRule="auto"/>
        <w:ind w:left="0"/>
      </w:pPr>
      <w:r>
        <w:rPr>
          <w:rFonts w:ascii="Archivo Light" w:hAnsi="Archivo Light" w:eastAsia="Archivo Light"/>
          <w:b/>
          <w:i w:val="0"/>
          <w:color w:val="1F3A5F"/>
          <w:sz w:val="22"/>
        </w:rPr>
        <w:t>Ficha 16. Informe anual de actividades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Informe público anual con indicadores de resultado, no solo de actividad.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pPr>
        <w:keepNext w:val="0"/>
        <w:spacing w:after="60" w:before="0" w:line="240" w:lineRule="auto"/>
        <w:ind w:left="0"/>
      </w:pPr>
      <w:r>
        <w:rPr>
          <w:rFonts w:ascii="Archivo Light" w:hAnsi="Archivo Light" w:eastAsia="Archivo Light"/>
          <w:b w:val="0"/>
          <w:i w:val="0"/>
          <w:sz w:val="20"/>
        </w:rPr>
        <w:t>Por eso el benchmark pide indicadores de resultado: victimización, confianza, quejas y uso de la fuerza.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existe un informe de gobierno con apartado de seguridad pero no un informe específico, anotarlo en el texto y considerar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17. Cambio del estado de fuerza, egresos y fallecimientos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Sin fallecimientos de policías y con capacidad de reposición del personal; seguimiento de la letalidad.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Cadetes egresados (%), fallecimientos de policías y su desglose por evento e instrumento, por año; se calcula la tasa por cada 1,000 elementos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pPr>
        <w:keepNext w:val="0"/>
        <w:spacing w:after="60" w:before="0" w:line="240" w:lineRule="auto"/>
        <w:ind w:left="0"/>
      </w:pPr>
      <w:r>
        <w:rPr>
          <w:rFonts w:ascii="Archivo Light" w:hAnsi="Archivo Light" w:eastAsia="Archivo Light"/>
          <w:b w:val="0"/>
          <w:i w:val="0"/>
          <w:sz w:val="20"/>
        </w:rPr>
        <w:t>El egreso de cadetes indica la capacidad de reponer personal.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Sin fallecimientos en toda la serie y con datos completos.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Sin fallecimientos en el último periodo; casos aislados antes.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Casos aislados, con tasa ≤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Tasa mayor que la estatal, o casos repetidos en enfrentamientos.</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Fallecimientos en la mayoría de los años,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corporaciones pequeñas, la tasa no es interpretable: reportar conteos y describir cada caso. El censo no permite calcular el índice de letalidad.</w:t>
      </w:r>
    </w:p>
    <w:p>
      <w:pPr>
        <w:keepNext/>
        <w:shd w:val="clear" w:color="auto" w:fill="E8EEF5"/>
        <w:spacing w:after="40" w:before="240" w:line="240" w:lineRule="auto"/>
        <w:ind w:left="0"/>
      </w:pPr>
      <w:r>
        <w:rPr>
          <w:rFonts w:ascii="Archivo Light" w:hAnsi="Archivo Light" w:eastAsia="Archivo Light"/>
          <w:b/>
          <w:i w:val="0"/>
          <w:color w:val="1F3A5F"/>
          <w:sz w:val="22"/>
        </w:rPr>
        <w:t>Ficha 18. Puestas a disposición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Puesta a disposición sin demora y proporcional a la incidencia.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pPr>
        <w:keepNext w:val="0"/>
        <w:spacing w:after="60" w:before="0" w:line="240" w:lineRule="auto"/>
        <w:ind w:left="0"/>
      </w:pPr>
      <w:r>
        <w:rPr>
          <w:rFonts w:ascii="Archivo Light" w:hAnsi="Archivo Light" w:eastAsia="Archivo Light"/>
          <w:b w:val="0"/>
          <w:i w:val="0"/>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Datos completos, razón ≥ la estatal y estable, y sin recomendaciones de organismos de derechos humanos por detención arbitraria en el periodo.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Razón ≥ la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Razón entre 75% y 100% de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Razón &lt; 75% de la estatal.</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la razón supera el doble de la estatal, no asignar 5: revisar si se trata de faltas administrativas o de detenciones arbitrarias. El dato no distingue entre Ministerio Público y juez cívico.</w:t>
      </w:r>
    </w:p>
    <w:p>
      <w:pPr>
        <w:sectPr>
          <w:type w:val="continuous"/>
          <w:pgSz w:w="12240" w:h="15840" w:code="1"/>
          <w:pgMar w:top="1418" w:right="1701" w:bottom="1418" w:left="1701" w:header="709" w:footer="709" w:gutter="0"/>
          <w:cols w:space="708"/>
          <w:docGrid w:linePitch="360"/>
        </w:sectPr>
      </w:pPr>
    </w:p>
    <w:p>
      <w:pPr>
        <w:keepNext w:val="0"/>
        <w:spacing w:after="80" w:before="0" w:line="240" w:lineRule="auto"/>
        <w:ind w:left="0"/>
      </w:pPr>
      <w:r>
        <w:rPr>
          <w:rFonts w:ascii="Archivo Light" w:hAnsi="Archivo Light" w:eastAsia="Archivo Light"/>
          <w:b/>
          <w:i w:val="0"/>
          <w:color w:val="1F3A5F"/>
          <w:sz w:val="26"/>
        </w:rPr>
        <w:t>Anexo 2. Indicadores frente a temas del machote y literatura</w:t>
      </w:r>
    </w:p>
    <w:p>
      <w:pPr>
        <w:keepNext w:val="0"/>
        <w:spacing w:after="120" w:before="0" w:line="240" w:lineRule="auto"/>
        <w:ind w:left="0"/>
      </w:pPr>
      <w:r>
        <w:rPr>
          <w:rFonts w:ascii="Archivo Light" w:hAnsi="Archivo Light" w:eastAsia="Archivo Light"/>
          <w:b w:val="0"/>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type="auto" w:w="0"/>
        <w:tblLayout w:type="fixed"/>
        <w:tblLook w:firstColumn="1" w:firstRow="1" w:lastColumn="0" w:lastRow="0" w:noHBand="0" w:noVBand="1" w:val="04A0"/>
      </w:tblPr>
      <w:tblGrid>
        <w:gridCol w:w="1826"/>
        <w:gridCol w:w="1565"/>
        <w:gridCol w:w="2608"/>
        <w:gridCol w:w="2608"/>
        <w:gridCol w:w="2869"/>
        <w:gridCol w:w="2347"/>
      </w:tblGrid>
      <w:tr>
        <w:trPr>
          <w:tblHeader w:val="true"/>
          <w:cantSplit w:val="true"/>
        </w:trPr>
        <w:tc>
          <w:tcPr>
            <w:tcW w:type="dxa" w:w="1826"/>
            <w:shd w:val="clear" w:color="auto" w:fill="1F3A5F"/>
          </w:tcPr>
          <w:p>
            <w:r/>
            <w:r>
              <w:rPr>
                <w:rFonts w:ascii="Archivo Light" w:hAnsi="Archivo Light" w:eastAsia="Archivo Light"/>
                <w:b/>
                <w:i w:val="0"/>
                <w:color w:val="FFFFFF"/>
                <w:sz w:val="16"/>
              </w:rPr>
              <w:t>Indicador</w:t>
            </w:r>
          </w:p>
        </w:tc>
        <w:tc>
          <w:tcPr>
            <w:tcW w:type="dxa" w:w="1565"/>
            <w:shd w:val="clear" w:color="auto" w:fill="1F3A5F"/>
          </w:tcPr>
          <w:p>
            <w:r/>
            <w:r>
              <w:rPr>
                <w:rFonts w:ascii="Archivo Light" w:hAnsi="Archivo Light" w:eastAsia="Archivo Light"/>
                <w:b/>
                <w:i w:val="0"/>
                <w:color w:val="FFFFFF"/>
                <w:sz w:val="16"/>
              </w:rPr>
              <w:t>Tema del machote</w:t>
            </w:r>
          </w:p>
        </w:tc>
        <w:tc>
          <w:tcPr>
            <w:tcW w:type="dxa" w:w="2608"/>
            <w:shd w:val="clear" w:color="auto" w:fill="1F3A5F"/>
          </w:tcPr>
          <w:p>
            <w:r/>
            <w:r>
              <w:rPr>
                <w:rFonts w:ascii="Archivo Light" w:hAnsi="Archivo Light" w:eastAsia="Archivo Light"/>
                <w:b/>
                <w:i w:val="0"/>
                <w:color w:val="FFFFFF"/>
                <w:sz w:val="16"/>
              </w:rPr>
              <w:t>Norma México / entidad</w:t>
            </w:r>
          </w:p>
        </w:tc>
        <w:tc>
          <w:tcPr>
            <w:tcW w:type="dxa" w:w="2608"/>
            <w:shd w:val="clear" w:color="auto" w:fill="1F3A5F"/>
          </w:tcPr>
          <w:p>
            <w:r/>
            <w:r>
              <w:rPr>
                <w:rFonts w:ascii="Archivo Light" w:hAnsi="Archivo Light" w:eastAsia="Archivo Light"/>
                <w:b/>
                <w:i w:val="0"/>
                <w:color w:val="FFFFFF"/>
                <w:sz w:val="16"/>
              </w:rPr>
              <w:t>Tratados y estándares multilaterales</w:t>
            </w:r>
          </w:p>
        </w:tc>
        <w:tc>
          <w:tcPr>
            <w:tcW w:type="dxa" w:w="2869"/>
            <w:shd w:val="clear" w:color="auto" w:fill="1F3A5F"/>
          </w:tcPr>
          <w:p>
            <w:r/>
            <w:r>
              <w:rPr>
                <w:rFonts w:ascii="Archivo Light" w:hAnsi="Archivo Light" w:eastAsia="Archivo Light"/>
                <w:b/>
                <w:i w:val="0"/>
                <w:color w:val="FFFFFF"/>
                <w:sz w:val="16"/>
              </w:rPr>
              <w:t>Evidencia (SR, handbooks, artículos)</w:t>
            </w:r>
          </w:p>
        </w:tc>
        <w:tc>
          <w:tcPr>
            <w:tcW w:type="dxa" w:w="2347"/>
            <w:shd w:val="clear" w:color="auto" w:fill="1F3A5F"/>
          </w:tcPr>
          <w:p>
            <w:r/>
            <w:r>
              <w:rPr>
                <w:rFonts w:ascii="Archivo Light" w:hAnsi="Archivo Light" w:eastAsia="Archivo Light"/>
                <w:b/>
                <w:i w:val="0"/>
                <w:color w:val="FFFFFF"/>
                <w:sz w:val="16"/>
              </w:rPr>
              <w:t>Benchmark sugerido</w:t>
            </w:r>
          </w:p>
        </w:tc>
      </w:tr>
      <w:tr>
        <w:trPr>
          <w:cantSplit w:val="true"/>
        </w:trPr>
        <w:tc>
          <w:tcPr>
            <w:tcW w:type="dxa" w:w="1826"/>
          </w:tcPr>
          <w:p>
            <w:pPr>
              <w:spacing w:after="0"/>
            </w:pPr>
            <w:r/>
            <w:r>
              <w:rPr>
                <w:rFonts w:ascii="Archivo Light" w:hAnsi="Archivo Light" w:eastAsia="Archivo Light"/>
                <w:b/>
                <w:i w:val="0"/>
                <w:sz w:val="16"/>
              </w:rPr>
              <w:t>1. Plan o programa de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LGPC y Reglamento; Ley de PC de NL; LGAHOTDU; reglamento municipal</w:t>
            </w:r>
          </w:p>
        </w:tc>
        <w:tc>
          <w:tcPr>
            <w:tcW w:type="dxa" w:w="2608"/>
          </w:tcPr>
          <w:p>
            <w:pPr>
              <w:spacing w:after="0"/>
            </w:pPr>
            <w:r/>
            <w:r>
              <w:rPr>
                <w:rFonts w:ascii="Archivo Light" w:hAnsi="Archivo Light" w:eastAsia="Archivo Light"/>
                <w:b w:val="0"/>
                <w:i w:val="0"/>
                <w:sz w:val="16"/>
              </w:rPr>
              <w:t>Sendai (meta e); ODS 11.b.2; CDPD art. 11; Scorecard UNDRR; OCDE 2013</w:t>
            </w:r>
          </w:p>
        </w:tc>
        <w:tc>
          <w:tcPr>
            <w:tcW w:type="dxa" w:w="2869"/>
          </w:tcPr>
          <w:p>
            <w:pPr>
              <w:spacing w:after="0"/>
            </w:pPr>
            <w:r/>
            <w:r>
              <w:rPr>
                <w:rFonts w:ascii="Archivo Light" w:hAnsi="Archivo Light" w:eastAsia="Archivo Light"/>
                <w:b w:val="0"/>
                <w:i w:val="0"/>
                <w:sz w:val="16"/>
              </w:rPr>
              <w:t>Perry y Lindell 2003; Alcántara-Ayala et al. 2019; Handbook of Disaster Research</w:t>
            </w:r>
          </w:p>
        </w:tc>
        <w:tc>
          <w:tcPr>
            <w:tcW w:type="dxa" w:w="2347"/>
          </w:tcPr>
          <w:p>
            <w:pPr>
              <w:spacing w:after="0"/>
            </w:pPr>
            <w:r/>
            <w:r>
              <w:rPr>
                <w:rFonts w:ascii="Archivo Light" w:hAnsi="Archivo Light" w:eastAsia="Archivo Light"/>
                <w:b w:val="0"/>
                <w:i w:val="0"/>
                <w:sz w:val="16"/>
              </w:rPr>
              <w:t>Programa municipal vigente, actualizado y ligado a atlas de riesgo</w:t>
            </w:r>
          </w:p>
        </w:tc>
      </w:tr>
      <w:tr>
        <w:trPr>
          <w:cantSplit w:val="true"/>
        </w:trPr>
        <w:tc>
          <w:tcPr>
            <w:tcW w:type="dxa" w:w="1826"/>
            <w:shd w:val="clear" w:color="auto" w:fill="F2F5F9"/>
          </w:tcPr>
          <w:p>
            <w:pPr>
              <w:spacing w:after="0"/>
            </w:pPr>
            <w:r/>
            <w:r>
              <w:rPr>
                <w:rFonts w:ascii="Archivo Light" w:hAnsi="Archivo Light" w:eastAsia="Archivo Light"/>
                <w:b/>
                <w:i w:val="0"/>
                <w:sz w:val="16"/>
              </w:rPr>
              <w:t>2. Capacitación en PC</w:t>
            </w:r>
          </w:p>
        </w:tc>
        <w:tc>
          <w:tcPr>
            <w:tcW w:type="dxa" w:w="1565"/>
            <w:shd w:val="clear" w:color="auto" w:fill="F2F5F9"/>
          </w:tcPr>
          <w:p>
            <w:pPr>
              <w:spacing w:after="0"/>
            </w:pPr>
            <w:r/>
            <w:r>
              <w:rPr>
                <w:rFonts w:ascii="Archivo Light" w:hAnsi="Archivo Light" w:eastAsia="Archivo Light"/>
                <w:b w:val="0"/>
                <w:i w:val="0"/>
                <w:sz w:val="16"/>
              </w:rPr>
              <w:t>Protección civil</w:t>
            </w:r>
          </w:p>
        </w:tc>
        <w:tc>
          <w:tcPr>
            <w:tcW w:type="dxa" w:w="2608"/>
            <w:shd w:val="clear" w:color="auto" w:fill="F2F5F9"/>
          </w:tcPr>
          <w:p>
            <w:pPr>
              <w:spacing w:after="0"/>
            </w:pPr>
            <w:r/>
            <w:r>
              <w:rPr>
                <w:rFonts w:ascii="Archivo Light" w:hAnsi="Archivo Light" w:eastAsia="Archivo Light"/>
                <w:b w:val="0"/>
                <w:i w:val="0"/>
                <w:sz w:val="16"/>
              </w:rPr>
              <w:t>LGPC; Ley de PC de NL; ENAPROC</w:t>
            </w:r>
          </w:p>
        </w:tc>
        <w:tc>
          <w:tcPr>
            <w:tcW w:type="dxa" w:w="2608"/>
            <w:shd w:val="clear" w:color="auto" w:fill="F2F5F9"/>
          </w:tcPr>
          <w:p>
            <w:pPr>
              <w:spacing w:after="0"/>
            </w:pPr>
            <w:r/>
            <w:r>
              <w:rPr>
                <w:rFonts w:ascii="Archivo Light" w:hAnsi="Archivo Light" w:eastAsia="Archivo Light"/>
                <w:b w:val="0"/>
                <w:i w:val="0"/>
                <w:sz w:val="16"/>
              </w:rPr>
              <w:t>Sendai prioridad 4; UNDRR aspectos 6 y 7</w:t>
            </w:r>
          </w:p>
        </w:tc>
        <w:tc>
          <w:tcPr>
            <w:tcW w:type="dxa" w:w="2869"/>
            <w:shd w:val="clear" w:color="auto" w:fill="F2F5F9"/>
          </w:tcPr>
          <w:p>
            <w:pPr>
              <w:spacing w:after="0"/>
            </w:pPr>
            <w:r/>
            <w:r>
              <w:rPr>
                <w:rFonts w:ascii="Archivo Light" w:hAnsi="Archivo Light" w:eastAsia="Archivo Light"/>
                <w:b w:val="0"/>
                <w:i w:val="0"/>
                <w:sz w:val="16"/>
              </w:rPr>
              <w:t>SR educación para RRD 2018; scoping review BMC 2025</w:t>
            </w:r>
          </w:p>
        </w:tc>
        <w:tc>
          <w:tcPr>
            <w:tcW w:type="dxa" w:w="2347"/>
            <w:shd w:val="clear" w:color="auto" w:fill="F2F5F9"/>
          </w:tcPr>
          <w:p>
            <w:pPr>
              <w:spacing w:after="0"/>
            </w:pPr>
            <w:r/>
            <w:r>
              <w:rPr>
                <w:rFonts w:ascii="Archivo Light" w:hAnsi="Archivo Light" w:eastAsia="Archivo Light"/>
                <w:b w:val="0"/>
                <w:i w:val="0"/>
                <w:sz w:val="16"/>
              </w:rPr>
              <w:t>Formación básica SINAPROC para todo el personal de la unidad y cursos anuales</w:t>
            </w:r>
          </w:p>
        </w:tc>
      </w:tr>
      <w:tr>
        <w:trPr>
          <w:cantSplit w:val="true"/>
        </w:trPr>
        <w:tc>
          <w:tcPr>
            <w:tcW w:type="dxa" w:w="1826"/>
          </w:tcPr>
          <w:p>
            <w:pPr>
              <w:spacing w:after="0"/>
            </w:pPr>
            <w:r/>
            <w:r>
              <w:rPr>
                <w:rFonts w:ascii="Archivo Light" w:hAnsi="Archivo Light" w:eastAsia="Archivo Light"/>
                <w:b/>
                <w:i w:val="0"/>
                <w:sz w:val="16"/>
              </w:rPr>
              <w:t>3. Temas de la capacitación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NOM-003-SEGOB-2011; Ley de Incendios y Materiales Peligrosos de NL; guías CENAPRED</w:t>
            </w:r>
          </w:p>
        </w:tc>
        <w:tc>
          <w:tcPr>
            <w:tcW w:type="dxa" w:w="2608"/>
          </w:tcPr>
          <w:p>
            <w:pPr>
              <w:spacing w:after="0"/>
            </w:pPr>
            <w:r/>
            <w:r>
              <w:rPr>
                <w:rFonts w:ascii="Archivo Light" w:hAnsi="Archivo Light" w:eastAsia="Archivo Light"/>
                <w:b w:val="0"/>
                <w:i w:val="0"/>
                <w:sz w:val="16"/>
              </w:rPr>
              <w:t>Early Warnings for All; INSARAG; FICR 2020; SCI</w:t>
            </w:r>
          </w:p>
        </w:tc>
        <w:tc>
          <w:tcPr>
            <w:tcW w:type="dxa" w:w="2869"/>
          </w:tcPr>
          <w:p>
            <w:pPr>
              <w:spacing w:after="0"/>
            </w:pPr>
            <w:r/>
            <w:r>
              <w:rPr>
                <w:rFonts w:ascii="Archivo Light" w:hAnsi="Archivo Light" w:eastAsia="Archivo Light"/>
                <w:b w:val="0"/>
                <w:i w:val="0"/>
                <w:sz w:val="16"/>
              </w:rPr>
              <w:t>Wisner et al. 2012; Perry y Lindell 2003</w:t>
            </w:r>
          </w:p>
        </w:tc>
        <w:tc>
          <w:tcPr>
            <w:tcW w:type="dxa" w:w="2347"/>
          </w:tcPr>
          <w:p>
            <w:pPr>
              <w:spacing w:after="0"/>
            </w:pPr>
            <w:r/>
            <w:r>
              <w:rPr>
                <w:rFonts w:ascii="Archivo Light" w:hAnsi="Archivo Light" w:eastAsia="Archivo Light"/>
                <w:b w:val="0"/>
                <w:i w:val="0"/>
                <w:sz w:val="16"/>
              </w:rPr>
              <w:t>Cobertura de temas núcleo: riesgos, SCI, alerta temprana, evacuación, primeros auxilios, incendios</w:t>
            </w:r>
          </w:p>
        </w:tc>
      </w:tr>
      <w:tr>
        <w:trPr>
          <w:cantSplit w:val="true"/>
        </w:trPr>
        <w:tc>
          <w:tcPr>
            <w:tcW w:type="dxa" w:w="1826"/>
            <w:shd w:val="clear" w:color="auto" w:fill="F2F5F9"/>
          </w:tcPr>
          <w:p>
            <w:pPr>
              <w:spacing w:after="0"/>
            </w:pPr>
            <w:r/>
            <w:r>
              <w:rPr>
                <w:rFonts w:ascii="Archivo Light" w:hAnsi="Archivo Light" w:eastAsia="Archivo Light"/>
                <w:b/>
                <w:i w:val="0"/>
                <w:sz w:val="16"/>
              </w:rPr>
              <w:t>4. Personal de seguridad pública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CPEUM arts. 21 y 115; LGSNSP 2025; Ley de SP de NL</w:t>
            </w:r>
          </w:p>
        </w:tc>
        <w:tc>
          <w:tcPr>
            <w:tcW w:type="dxa" w:w="2608"/>
            <w:shd w:val="clear" w:color="auto" w:fill="F2F5F9"/>
          </w:tcPr>
          <w:p>
            <w:pPr>
              <w:spacing w:after="0"/>
            </w:pPr>
            <w:r/>
            <w:r>
              <w:rPr>
                <w:rFonts w:ascii="Archivo Light" w:hAnsi="Archivo Light" w:eastAsia="Archivo Light"/>
                <w:b w:val="0"/>
                <w:i w:val="0"/>
                <w:sz w:val="16"/>
              </w:rPr>
              <w:t>UN-CTS (UNODC); Principios Básicos ONU</w:t>
            </w:r>
          </w:p>
        </w:tc>
        <w:tc>
          <w:tcPr>
            <w:tcW w:type="dxa" w:w="2869"/>
            <w:shd w:val="clear" w:color="auto" w:fill="F2F5F9"/>
          </w:tcPr>
          <w:p>
            <w:pPr>
              <w:spacing w:after="0"/>
            </w:pPr>
            <w:r/>
            <w:r>
              <w:rPr>
                <w:rFonts w:ascii="Archivo Light" w:hAnsi="Archivo Light" w:eastAsia="Archivo Light"/>
                <w:b w:val="0"/>
                <w:i w:val="0"/>
                <w:sz w:val="16"/>
              </w:rPr>
              <w:t>MOFP (SESNSP); Chalfin y McCrary 2018</w:t>
            </w:r>
          </w:p>
        </w:tc>
        <w:tc>
          <w:tcPr>
            <w:tcW w:type="dxa" w:w="2347"/>
            <w:shd w:val="clear" w:color="auto" w:fill="F2F5F9"/>
          </w:tcPr>
          <w:p>
            <w:pPr>
              <w:spacing w:after="0"/>
            </w:pPr>
            <w:r/>
            <w:r>
              <w:rPr>
                <w:rFonts w:ascii="Archivo Light" w:hAnsi="Archivo Light" w:eastAsia="Archivo Light"/>
                <w:b w:val="0"/>
                <w:i w:val="0"/>
                <w:sz w:val="16"/>
              </w:rPr>
              <w:t>≥ 1.8 policías por 1,000 habitantes (MOFP)</w:t>
            </w:r>
          </w:p>
        </w:tc>
      </w:tr>
      <w:tr>
        <w:trPr>
          <w:cantSplit w:val="true"/>
        </w:trPr>
        <w:tc>
          <w:tcPr>
            <w:tcW w:type="dxa" w:w="1826"/>
          </w:tcPr>
          <w:p>
            <w:pPr>
              <w:spacing w:after="0"/>
            </w:pPr>
            <w:r/>
            <w:r>
              <w:rPr>
                <w:rFonts w:ascii="Archivo Light" w:hAnsi="Archivo Light" w:eastAsia="Archivo Light"/>
                <w:b/>
                <w:i w:val="0"/>
                <w:sz w:val="16"/>
              </w:rPr>
              <w:t>5. Control de confianza</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LGSNSP 2025; Reglamento del CISEC</w:t>
            </w:r>
          </w:p>
        </w:tc>
        <w:tc>
          <w:tcPr>
            <w:tcW w:type="dxa" w:w="2608"/>
          </w:tcPr>
          <w:p>
            <w:pPr>
              <w:spacing w:after="0"/>
            </w:pPr>
            <w:r/>
            <w:r>
              <w:rPr>
                <w:rFonts w:ascii="Archivo Light" w:hAnsi="Archivo Light" w:eastAsia="Archivo Light"/>
                <w:b w:val="0"/>
                <w:i w:val="0"/>
                <w:sz w:val="16"/>
              </w:rPr>
              <w:t>UNODC 2011 (integridad); OCDE 2017</w:t>
            </w:r>
          </w:p>
        </w:tc>
        <w:tc>
          <w:tcPr>
            <w:tcW w:type="dxa" w:w="2869"/>
          </w:tcPr>
          <w:p>
            <w:pPr>
              <w:spacing w:after="0"/>
            </w:pPr>
            <w:r/>
            <w:r>
              <w:rPr>
                <w:rFonts w:ascii="Archivo Light" w:hAnsi="Archivo Light" w:eastAsia="Archivo Light"/>
                <w:b w:val="0"/>
                <w:i w:val="0"/>
                <w:sz w:val="16"/>
              </w:rPr>
              <w:t>NRC 2003 (polígrafo); Sabet 2012</w:t>
            </w:r>
          </w:p>
        </w:tc>
        <w:tc>
          <w:tcPr>
            <w:tcW w:type="dxa" w:w="2347"/>
          </w:tcPr>
          <w:p>
            <w:pPr>
              <w:spacing w:after="0"/>
            </w:pPr>
            <w:r/>
            <w:r>
              <w:rPr>
                <w:rFonts w:ascii="Archivo Light" w:hAnsi="Archivo Light" w:eastAsia="Archivo Light"/>
                <w:b w:val="0"/>
                <w:i w:val="0"/>
                <w:sz w:val="16"/>
              </w:rPr>
              <w:t>100% del estado de fuerza aprobado y vigente (MOFP)</w:t>
            </w:r>
          </w:p>
        </w:tc>
      </w:tr>
      <w:tr>
        <w:trPr>
          <w:cantSplit w:val="true"/>
        </w:trPr>
        <w:tc>
          <w:tcPr>
            <w:tcW w:type="dxa" w:w="1826"/>
            <w:shd w:val="clear" w:color="auto" w:fill="F2F5F9"/>
          </w:tcPr>
          <w:p>
            <w:pPr>
              <w:spacing w:after="0"/>
            </w:pPr>
            <w:r/>
            <w:r>
              <w:rPr>
                <w:rFonts w:ascii="Archivo Light" w:hAnsi="Archivo Light" w:eastAsia="Archivo Light"/>
                <w:b/>
                <w:i w:val="0"/>
                <w:sz w:val="16"/>
              </w:rPr>
              <w:t>6. Instituto de formación</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Programa Rector de Profesionalización; UCS de NL</w:t>
            </w:r>
          </w:p>
        </w:tc>
        <w:tc>
          <w:tcPr>
            <w:tcW w:type="dxa" w:w="2608"/>
            <w:shd w:val="clear" w:color="auto" w:fill="F2F5F9"/>
          </w:tcPr>
          <w:p>
            <w:pPr>
              <w:spacing w:after="0"/>
            </w:pPr>
            <w:r/>
            <w:r>
              <w:rPr>
                <w:rFonts w:ascii="Archivo Light" w:hAnsi="Archivo Light" w:eastAsia="Archivo Light"/>
                <w:b w:val="0"/>
                <w:i w:val="0"/>
                <w:sz w:val="16"/>
              </w:rPr>
              <w:t>Principios Básicos ONU 18-20; CIDH 2009</w:t>
            </w:r>
          </w:p>
        </w:tc>
        <w:tc>
          <w:tcPr>
            <w:tcW w:type="dxa" w:w="2869"/>
            <w:shd w:val="clear" w:color="auto" w:fill="F2F5F9"/>
          </w:tcPr>
          <w:p>
            <w:pPr>
              <w:spacing w:after="0"/>
            </w:pPr>
            <w:r/>
            <w:r>
              <w:rPr>
                <w:rFonts w:ascii="Archivo Light" w:hAnsi="Archivo Light" w:eastAsia="Archivo Light"/>
                <w:b w:val="0"/>
                <w:i w:val="0"/>
                <w:sz w:val="16"/>
              </w:rPr>
              <w:t>Wood et al. 2020; Engel et al. 2020</w:t>
            </w:r>
          </w:p>
        </w:tc>
        <w:tc>
          <w:tcPr>
            <w:tcW w:type="dxa" w:w="2347"/>
            <w:shd w:val="clear" w:color="auto" w:fill="F2F5F9"/>
          </w:tcPr>
          <w:p>
            <w:pPr>
              <w:spacing w:after="0"/>
            </w:pPr>
            <w:r/>
            <w:r>
              <w:rPr>
                <w:rFonts w:ascii="Archivo Light" w:hAnsi="Archivo Light" w:eastAsia="Archivo Light"/>
                <w:b w:val="0"/>
                <w:i w:val="0"/>
                <w:sz w:val="16"/>
              </w:rPr>
              <w:t>Acceso a formación inicial y continua (propia o por convenio)</w:t>
            </w:r>
          </w:p>
        </w:tc>
      </w:tr>
      <w:tr>
        <w:trPr>
          <w:cantSplit w:val="true"/>
        </w:trPr>
        <w:tc>
          <w:tcPr>
            <w:tcW w:type="dxa" w:w="1826"/>
          </w:tcPr>
          <w:p>
            <w:pPr>
              <w:spacing w:after="0"/>
            </w:pPr>
            <w:r/>
            <w:r>
              <w:rPr>
                <w:rFonts w:ascii="Archivo Light" w:hAnsi="Archivo Light" w:eastAsia="Archivo Light"/>
                <w:b/>
                <w:i w:val="0"/>
                <w:sz w:val="16"/>
              </w:rPr>
              <w:t>7. CUP vigente</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Lineamientos del CUP (CNSP); LGSNSP</w:t>
            </w:r>
          </w:p>
        </w:tc>
        <w:tc>
          <w:tcPr>
            <w:tcW w:type="dxa" w:w="2608"/>
          </w:tcPr>
          <w:p>
            <w:pPr>
              <w:spacing w:after="0"/>
            </w:pPr>
            <w:r/>
            <w:r>
              <w:rPr>
                <w:rFonts w:ascii="Archivo Light" w:hAnsi="Archivo Light" w:eastAsia="Archivo Light"/>
                <w:b w:val="0"/>
                <w:i w:val="0"/>
                <w:sz w:val="16"/>
              </w:rPr>
              <w:t>UNODC toolkit (policing)</w:t>
            </w:r>
          </w:p>
        </w:tc>
        <w:tc>
          <w:tcPr>
            <w:tcW w:type="dxa" w:w="2869"/>
          </w:tcPr>
          <w:p>
            <w:pPr>
              <w:spacing w:after="0"/>
            </w:pPr>
            <w:r/>
            <w:r>
              <w:rPr>
                <w:rFonts w:ascii="Archivo Light" w:hAnsi="Archivo Light" w:eastAsia="Archivo Light"/>
                <w:b w:val="0"/>
                <w:i w:val="0"/>
                <w:sz w:val="16"/>
              </w:rPr>
              <w:t>ENECAP 2017 (CdE UNODC-INEGI)</w:t>
            </w:r>
          </w:p>
        </w:tc>
        <w:tc>
          <w:tcPr>
            <w:tcW w:type="dxa" w:w="2347"/>
          </w:tcPr>
          <w:p>
            <w:pPr>
              <w:spacing w:after="0"/>
            </w:pPr>
            <w:r/>
            <w:r>
              <w:rPr>
                <w:rFonts w:ascii="Archivo Light" w:hAnsi="Archivo Light" w:eastAsia="Archivo Light"/>
                <w:b w:val="0"/>
                <w:i w:val="0"/>
                <w:sz w:val="16"/>
              </w:rPr>
              <w:t>100% del personal con CUP vigente</w:t>
            </w:r>
          </w:p>
        </w:tc>
      </w:tr>
      <w:tr>
        <w:trPr>
          <w:cantSplit w:val="true"/>
        </w:trPr>
        <w:tc>
          <w:tcPr>
            <w:tcW w:type="dxa" w:w="1826"/>
            <w:shd w:val="clear" w:color="auto" w:fill="F2F5F9"/>
          </w:tcPr>
          <w:p>
            <w:pPr>
              <w:spacing w:after="0"/>
            </w:pPr>
            <w:r/>
            <w:r>
              <w:rPr>
                <w:rFonts w:ascii="Archivo Light" w:hAnsi="Archivo Light" w:eastAsia="Archivo Light"/>
                <w:b/>
                <w:i w:val="0"/>
                <w:sz w:val="16"/>
              </w:rPr>
              <w:t>8. Uniformes</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FORTAMUN / FORTASEG</w:t>
            </w:r>
          </w:p>
        </w:tc>
        <w:tc>
          <w:tcPr>
            <w:tcW w:type="dxa" w:w="2608"/>
            <w:shd w:val="clear" w:color="auto" w:fill="F2F5F9"/>
          </w:tcPr>
          <w:p>
            <w:pPr>
              <w:spacing w:after="0"/>
            </w:pPr>
            <w:r/>
            <w:r>
              <w:rPr>
                <w:rFonts w:ascii="Archivo Light" w:hAnsi="Archivo Light" w:eastAsia="Archivo Light"/>
                <w:b w:val="0"/>
                <w:i w:val="0"/>
                <w:sz w:val="16"/>
              </w:rPr>
              <w:t>Convenio 155 OIT; PIDESC art. 7</w:t>
            </w:r>
          </w:p>
        </w:tc>
        <w:tc>
          <w:tcPr>
            <w:tcW w:type="dxa" w:w="2869"/>
            <w:shd w:val="clear" w:color="auto" w:fill="F2F5F9"/>
          </w:tcPr>
          <w:p>
            <w:pPr>
              <w:spacing w:after="0"/>
            </w:pPr>
            <w:r/>
            <w:r>
              <w:rPr>
                <w:rFonts w:ascii="Archivo Light" w:hAnsi="Archivo Light" w:eastAsia="Archivo Light"/>
                <w:b w:val="0"/>
                <w:i w:val="0"/>
                <w:sz w:val="16"/>
              </w:rPr>
              <w:t>Purba y Demou 2019; ENECAP 2017</w:t>
            </w:r>
          </w:p>
        </w:tc>
        <w:tc>
          <w:tcPr>
            <w:tcW w:type="dxa" w:w="2347"/>
            <w:shd w:val="clear" w:color="auto" w:fill="F2F5F9"/>
          </w:tcPr>
          <w:p>
            <w:pPr>
              <w:spacing w:after="0"/>
            </w:pPr>
            <w:r/>
            <w:r>
              <w:rPr>
                <w:rFonts w:ascii="Archivo Light" w:hAnsi="Archivo Light" w:eastAsia="Archivo Light"/>
                <w:b w:val="0"/>
                <w:i w:val="0"/>
                <w:sz w:val="16"/>
              </w:rPr>
              <w:t>Dotación completa y periódica (verificar norma local de periodicidad)</w:t>
            </w:r>
          </w:p>
        </w:tc>
      </w:tr>
      <w:tr>
        <w:trPr>
          <w:cantSplit w:val="true"/>
        </w:trPr>
        <w:tc>
          <w:tcPr>
            <w:tcW w:type="dxa" w:w="1826"/>
          </w:tcPr>
          <w:p>
            <w:pPr>
              <w:spacing w:after="0"/>
            </w:pPr>
            <w:r/>
            <w:r>
              <w:rPr>
                <w:rFonts w:ascii="Archivo Light" w:hAnsi="Archivo Light" w:eastAsia="Archivo Light"/>
                <w:b/>
                <w:i w:val="0"/>
                <w:sz w:val="16"/>
              </w:rPr>
              <w:t>9. Equipamiento</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Ley Nacional sobre el Uso de la Fuerza; LFAFE y Licencia Oficial Colectiva</w:t>
            </w:r>
          </w:p>
        </w:tc>
        <w:tc>
          <w:tcPr>
            <w:tcW w:type="dxa" w:w="2608"/>
          </w:tcPr>
          <w:p>
            <w:pPr>
              <w:spacing w:after="0"/>
            </w:pPr>
            <w:r/>
            <w:r>
              <w:rPr>
                <w:rFonts w:ascii="Archivo Light" w:hAnsi="Archivo Light" w:eastAsia="Archivo Light"/>
                <w:b w:val="0"/>
                <w:i w:val="0"/>
                <w:sz w:val="16"/>
              </w:rPr>
              <w:t>Principio Básico ONU 2; OACNUDH 2020 (armas menos letales); NIJ 0101</w:t>
            </w:r>
          </w:p>
        </w:tc>
        <w:tc>
          <w:tcPr>
            <w:tcW w:type="dxa" w:w="2869"/>
          </w:tcPr>
          <w:p>
            <w:pPr>
              <w:spacing w:after="0"/>
            </w:pPr>
            <w:r/>
            <w:r>
              <w:rPr>
                <w:rFonts w:ascii="Archivo Light" w:hAnsi="Archivo Light" w:eastAsia="Archivo Light"/>
                <w:b w:val="0"/>
                <w:i w:val="0"/>
                <w:sz w:val="16"/>
              </w:rPr>
              <w:t>Lum et al. 2020 (cámaras corporales); Syed et al. 2020</w:t>
            </w:r>
          </w:p>
        </w:tc>
        <w:tc>
          <w:tcPr>
            <w:tcW w:type="dxa" w:w="2347"/>
          </w:tcPr>
          <w:p>
            <w:pPr>
              <w:spacing w:after="0"/>
            </w:pPr>
            <w:r/>
            <w:r>
              <w:rPr>
                <w:rFonts w:ascii="Archivo Light" w:hAnsi="Archivo Light" w:eastAsia="Archivo Light"/>
                <w:b w:val="0"/>
                <w:i w:val="0"/>
                <w:sz w:val="16"/>
              </w:rPr>
              <w:t>Chaleco y radio por elemento en turno; equipo menos letal disponible</w:t>
            </w:r>
          </w:p>
        </w:tc>
      </w:tr>
      <w:tr>
        <w:trPr>
          <w:cantSplit w:val="true"/>
        </w:trPr>
        <w:tc>
          <w:tcPr>
            <w:tcW w:type="dxa" w:w="1826"/>
            <w:shd w:val="clear" w:color="auto" w:fill="F2F5F9"/>
          </w:tcPr>
          <w:p>
            <w:pPr>
              <w:spacing w:after="0"/>
            </w:pPr>
            <w:r/>
            <w:r>
              <w:rPr>
                <w:rFonts w:ascii="Archivo Light" w:hAnsi="Archivo Light" w:eastAsia="Archivo Light"/>
                <w:b/>
                <w:i w:val="0"/>
                <w:sz w:val="16"/>
              </w:rPr>
              <w:t>10. Temas de capacitación (policía)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Programa Rector; Modelo Nacional de Policía y Justicia Cívica; LNUF</w:t>
            </w:r>
          </w:p>
        </w:tc>
        <w:tc>
          <w:tcPr>
            <w:tcW w:type="dxa" w:w="2608"/>
            <w:shd w:val="clear" w:color="auto" w:fill="F2F5F9"/>
          </w:tcPr>
          <w:p>
            <w:pPr>
              <w:spacing w:after="0"/>
            </w:pPr>
            <w:r/>
            <w:r>
              <w:rPr>
                <w:rFonts w:ascii="Archivo Light" w:hAnsi="Archivo Light" w:eastAsia="Archivo Light"/>
                <w:b w:val="0"/>
                <w:i w:val="0"/>
                <w:sz w:val="16"/>
              </w:rPr>
              <w:t>Principios Básicos ONU 19-20; Resource Book UNODC-OACNUDH 2017</w:t>
            </w:r>
          </w:p>
        </w:tc>
        <w:tc>
          <w:tcPr>
            <w:tcW w:type="dxa" w:w="2869"/>
            <w:shd w:val="clear" w:color="auto" w:fill="F2F5F9"/>
          </w:tcPr>
          <w:p>
            <w:pPr>
              <w:spacing w:after="0"/>
            </w:pPr>
            <w:r/>
            <w:r>
              <w:rPr>
                <w:rFonts w:ascii="Archivo Light" w:hAnsi="Archivo Light" w:eastAsia="Archivo Light"/>
                <w:b w:val="0"/>
                <w:i w:val="0"/>
                <w:sz w:val="16"/>
              </w:rPr>
              <w:t>Engel et al. 2020; Wood et al. 2020; Mazerolle et al. 2013</w:t>
            </w:r>
          </w:p>
        </w:tc>
        <w:tc>
          <w:tcPr>
            <w:tcW w:type="dxa" w:w="2347"/>
            <w:shd w:val="clear" w:color="auto" w:fill="F2F5F9"/>
          </w:tcPr>
          <w:p>
            <w:pPr>
              <w:spacing w:after="0"/>
            </w:pPr>
            <w:r/>
            <w:r>
              <w:rPr>
                <w:rFonts w:ascii="Archivo Light" w:hAnsi="Archivo Light" w:eastAsia="Archivo Light"/>
                <w:b w:val="0"/>
                <w:i w:val="0"/>
                <w:sz w:val="16"/>
              </w:rPr>
              <w:t>Formación continua anual en DDHH, uso de la fuerza, primer respondiente e IPH</w:t>
            </w:r>
          </w:p>
        </w:tc>
      </w:tr>
      <w:tr>
        <w:trPr>
          <w:cantSplit w:val="true"/>
        </w:trPr>
        <w:tc>
          <w:tcPr>
            <w:tcW w:type="dxa" w:w="1826"/>
          </w:tcPr>
          <w:p>
            <w:pPr>
              <w:spacing w:after="0"/>
            </w:pPr>
            <w:r/>
            <w:r>
              <w:rPr>
                <w:rFonts w:ascii="Archivo Light" w:hAnsi="Archivo Light" w:eastAsia="Archivo Light"/>
                <w:b/>
                <w:i w:val="0"/>
                <w:sz w:val="16"/>
              </w:rPr>
              <w:t>11. Sistemas georreferenciados</w:t>
            </w:r>
          </w:p>
        </w:tc>
        <w:tc>
          <w:tcPr>
            <w:tcW w:type="dxa" w:w="1565"/>
          </w:tcPr>
          <w:p>
            <w:pPr>
              <w:spacing w:after="0"/>
            </w:pPr>
            <w:r/>
            <w:r>
              <w:rPr>
                <w:rFonts w:ascii="Archivo Light" w:hAnsi="Archivo Light" w:eastAsia="Archivo Light"/>
                <w:b w:val="0"/>
                <w:i w:val="0"/>
                <w:sz w:val="16"/>
              </w:rPr>
              <w:t>Inteligencia (hot spots, evaluación)</w:t>
            </w:r>
          </w:p>
        </w:tc>
        <w:tc>
          <w:tcPr>
            <w:tcW w:type="dxa" w:w="2608"/>
          </w:tcPr>
          <w:p>
            <w:pPr>
              <w:spacing w:after="0"/>
            </w:pPr>
            <w:r/>
            <w:r>
              <w:rPr>
                <w:rFonts w:ascii="Archivo Light" w:hAnsi="Archivo Light" w:eastAsia="Archivo Light"/>
                <w:b w:val="0"/>
                <w:i w:val="0"/>
                <w:sz w:val="16"/>
              </w:rPr>
              <w:t>LSNIIMSP 2025; LGSNSP 2025</w:t>
            </w:r>
          </w:p>
        </w:tc>
        <w:tc>
          <w:tcPr>
            <w:tcW w:type="dxa" w:w="2608"/>
          </w:tcPr>
          <w:p>
            <w:pPr>
              <w:spacing w:after="0"/>
            </w:pPr>
            <w:r/>
            <w:r>
              <w:rPr>
                <w:rFonts w:ascii="Archivo Light" w:hAnsi="Archivo Light" w:eastAsia="Archivo Light"/>
                <w:b w:val="0"/>
                <w:i w:val="0"/>
                <w:sz w:val="16"/>
              </w:rPr>
              <w:t>OCDE 2017 (gobierno abierto, datos)</w:t>
            </w:r>
          </w:p>
        </w:tc>
        <w:tc>
          <w:tcPr>
            <w:tcW w:type="dxa" w:w="2869"/>
          </w:tcPr>
          <w:p>
            <w:pPr>
              <w:spacing w:after="0"/>
            </w:pPr>
            <w:r/>
            <w:r>
              <w:rPr>
                <w:rFonts w:ascii="Archivo Light" w:hAnsi="Archivo Light" w:eastAsia="Archivo Light"/>
                <w:b w:val="0"/>
                <w:i w:val="0"/>
                <w:sz w:val="16"/>
              </w:rPr>
              <w:t>Weisburd 2015; Chainey y Ratcliffe 2005; Ratcliffe 2016</w:t>
            </w:r>
          </w:p>
        </w:tc>
        <w:tc>
          <w:tcPr>
            <w:tcW w:type="dxa" w:w="2347"/>
          </w:tcPr>
          <w:p>
            <w:pPr>
              <w:spacing w:after="0"/>
            </w:pPr>
            <w:r/>
            <w:r>
              <w:rPr>
                <w:rFonts w:ascii="Archivo Light" w:hAnsi="Archivo Light" w:eastAsia="Archivo Light"/>
                <w:b w:val="0"/>
                <w:i w:val="0"/>
                <w:sz w:val="16"/>
              </w:rPr>
              <w:t>SIG en uso para focalizar patrullaje, no solo existencia</w:t>
            </w:r>
          </w:p>
        </w:tc>
      </w:tr>
      <w:tr>
        <w:trPr>
          <w:cantSplit w:val="true"/>
        </w:trPr>
        <w:tc>
          <w:tcPr>
            <w:tcW w:type="dxa" w:w="1826"/>
            <w:shd w:val="clear" w:color="auto" w:fill="F2F5F9"/>
          </w:tcPr>
          <w:p>
            <w:pPr>
              <w:spacing w:after="0"/>
            </w:pPr>
            <w:r/>
            <w:r>
              <w:rPr>
                <w:rFonts w:ascii="Archivo Light" w:hAnsi="Archivo Light" w:eastAsia="Archivo Light"/>
                <w:b/>
                <w:i w:val="0"/>
                <w:sz w:val="16"/>
              </w:rPr>
              <w:t>12. Patrullajes estratégicos</w:t>
            </w:r>
          </w:p>
        </w:tc>
        <w:tc>
          <w:tcPr>
            <w:tcW w:type="dxa" w:w="1565"/>
            <w:shd w:val="clear" w:color="auto" w:fill="F2F5F9"/>
          </w:tcPr>
          <w:p>
            <w:pPr>
              <w:spacing w:after="0"/>
            </w:pPr>
            <w:r/>
            <w:r>
              <w:rPr>
                <w:rFonts w:ascii="Archivo Light" w:hAnsi="Archivo Light" w:eastAsia="Archivo Light"/>
                <w:b w:val="0"/>
                <w:i w:val="0"/>
                <w:sz w:val="16"/>
              </w:rPr>
              <w:t>Inteligencia (patrullaje, hot spots)</w:t>
            </w:r>
          </w:p>
        </w:tc>
        <w:tc>
          <w:tcPr>
            <w:tcW w:type="dxa" w:w="2608"/>
            <w:shd w:val="clear" w:color="auto" w:fill="F2F5F9"/>
          </w:tcPr>
          <w:p>
            <w:pPr>
              <w:spacing w:after="0"/>
            </w:pPr>
            <w:r/>
            <w:r>
              <w:rPr>
                <w:rFonts w:ascii="Archivo Light" w:hAnsi="Archivo Light" w:eastAsia="Archivo Light"/>
                <w:b w:val="0"/>
                <w:i w:val="0"/>
                <w:sz w:val="16"/>
              </w:rPr>
              <w:t>Modelo Nacional de Policía y Justicia Cívica</w:t>
            </w:r>
          </w:p>
        </w:tc>
        <w:tc>
          <w:tcPr>
            <w:tcW w:type="dxa" w:w="2608"/>
            <w:shd w:val="clear" w:color="auto" w:fill="F2F5F9"/>
          </w:tcPr>
          <w:p>
            <w:pPr>
              <w:spacing w:after="0"/>
            </w:pPr>
            <w:r/>
            <w:r>
              <w:rPr>
                <w:rFonts w:ascii="Archivo Light" w:hAnsi="Archivo Light" w:eastAsia="Archivo Light"/>
                <w:b w:val="0"/>
                <w:i w:val="0"/>
                <w:sz w:val="16"/>
              </w:rPr>
              <w:t>—</w:t>
            </w:r>
          </w:p>
        </w:tc>
        <w:tc>
          <w:tcPr>
            <w:tcW w:type="dxa" w:w="2869"/>
            <w:shd w:val="clear" w:color="auto" w:fill="F2F5F9"/>
          </w:tcPr>
          <w:p>
            <w:pPr>
              <w:spacing w:after="0"/>
            </w:pPr>
            <w:r/>
            <w:r>
              <w:rPr>
                <w:rFonts w:ascii="Archivo Light" w:hAnsi="Archivo Light" w:eastAsia="Archivo Light"/>
                <w:b w:val="0"/>
                <w:i w:val="0"/>
                <w:sz w:val="16"/>
              </w:rPr>
              <w:t>Braga et al. 2019; Koper 1995; Collazos et al. 2021; Blattman et al. 2021; Chainey et al. 2021</w:t>
            </w:r>
          </w:p>
        </w:tc>
        <w:tc>
          <w:tcPr>
            <w:tcW w:type="dxa" w:w="2347"/>
            <w:shd w:val="clear" w:color="auto" w:fill="F2F5F9"/>
          </w:tcPr>
          <w:p>
            <w:pPr>
              <w:spacing w:after="0"/>
            </w:pPr>
            <w:r/>
            <w:r>
              <w:rPr>
                <w:rFonts w:ascii="Archivo Light" w:hAnsi="Archivo Light" w:eastAsia="Archivo Light"/>
                <w:b w:val="0"/>
                <w:i w:val="0"/>
                <w:sz w:val="16"/>
              </w:rPr>
              <w:t>Patrullaje dirigido a puntos calientes con dosificación documentada</w:t>
            </w:r>
          </w:p>
        </w:tc>
      </w:tr>
      <w:tr>
        <w:trPr>
          <w:cantSplit w:val="true"/>
        </w:trPr>
        <w:tc>
          <w:tcPr>
            <w:tcW w:type="dxa" w:w="1826"/>
          </w:tcPr>
          <w:p>
            <w:pPr>
              <w:spacing w:after="0"/>
            </w:pPr>
            <w:r/>
            <w:r>
              <w:rPr>
                <w:rFonts w:ascii="Archivo Light" w:hAnsi="Archivo Light" w:eastAsia="Archivo Light"/>
                <w:b/>
                <w:i w:val="0"/>
                <w:sz w:val="16"/>
              </w:rPr>
              <w:t>13. Atención a problemas comunitarios</w:t>
            </w:r>
          </w:p>
        </w:tc>
        <w:tc>
          <w:tcPr>
            <w:tcW w:type="dxa" w:w="1565"/>
          </w:tcPr>
          <w:p>
            <w:pPr>
              <w:spacing w:after="0"/>
            </w:pPr>
            <w:r/>
            <w:r>
              <w:rPr>
                <w:rFonts w:ascii="Archivo Light" w:hAnsi="Archivo Light" w:eastAsia="Archivo Light"/>
                <w:b w:val="0"/>
                <w:i w:val="0"/>
                <w:sz w:val="16"/>
              </w:rPr>
              <w:t>Inteligencia (comunitario, mediación)</w:t>
            </w:r>
          </w:p>
        </w:tc>
        <w:tc>
          <w:tcPr>
            <w:tcW w:type="dxa" w:w="2608"/>
          </w:tcPr>
          <w:p>
            <w:pPr>
              <w:spacing w:after="0"/>
            </w:pPr>
            <w:r/>
            <w:r>
              <w:rPr>
                <w:rFonts w:ascii="Archivo Light" w:hAnsi="Archivo Light" w:eastAsia="Archivo Light"/>
                <w:b w:val="0"/>
                <w:i w:val="0"/>
                <w:sz w:val="16"/>
              </w:rPr>
              <w:t>Modelo Nacional de Policía y Justicia Cívica; LGMASC 2024</w:t>
            </w:r>
          </w:p>
        </w:tc>
        <w:tc>
          <w:tcPr>
            <w:tcW w:type="dxa" w:w="2608"/>
          </w:tcPr>
          <w:p>
            <w:pPr>
              <w:spacing w:after="0"/>
            </w:pPr>
            <w:r/>
            <w:r>
              <w:rPr>
                <w:rFonts w:ascii="Archivo Light" w:hAnsi="Archivo Light" w:eastAsia="Archivo Light"/>
                <w:b w:val="0"/>
                <w:i w:val="0"/>
                <w:sz w:val="16"/>
              </w:rPr>
              <w:t>UNODC 2020 (justicia restaurativa); ECOSOC 2002/12</w:t>
            </w:r>
          </w:p>
        </w:tc>
        <w:tc>
          <w:tcPr>
            <w:tcW w:type="dxa" w:w="2869"/>
          </w:tcPr>
          <w:p>
            <w:pPr>
              <w:spacing w:after="0"/>
            </w:pPr>
            <w:r/>
            <w:r>
              <w:rPr>
                <w:rFonts w:ascii="Archivo Light" w:hAnsi="Archivo Light" w:eastAsia="Archivo Light"/>
                <w:b w:val="0"/>
                <w:i w:val="0"/>
                <w:sz w:val="16"/>
              </w:rPr>
              <w:t>Hinkle et al. 2020; Gill et al. 2014; Blair et al. 2021; Strang et al. 2013</w:t>
            </w:r>
          </w:p>
        </w:tc>
        <w:tc>
          <w:tcPr>
            <w:tcW w:type="dxa" w:w="2347"/>
          </w:tcPr>
          <w:p>
            <w:pPr>
              <w:spacing w:after="0"/>
            </w:pPr>
            <w:r/>
            <w:r>
              <w:rPr>
                <w:rFonts w:ascii="Archivo Light" w:hAnsi="Archivo Light" w:eastAsia="Archivo Light"/>
                <w:b w:val="0"/>
                <w:i w:val="0"/>
                <w:sz w:val="16"/>
              </w:rPr>
              <w:t>Método de resolución de problemas documentado (tipo SARA)</w:t>
            </w:r>
          </w:p>
        </w:tc>
      </w:tr>
      <w:tr>
        <w:trPr>
          <w:cantSplit w:val="true"/>
        </w:trPr>
        <w:tc>
          <w:tcPr>
            <w:tcW w:type="dxa" w:w="1826"/>
            <w:shd w:val="clear" w:color="auto" w:fill="F2F5F9"/>
          </w:tcPr>
          <w:p>
            <w:pPr>
              <w:spacing w:after="0"/>
            </w:pPr>
            <w:r/>
            <w:r>
              <w:rPr>
                <w:rFonts w:ascii="Archivo Light" w:hAnsi="Archivo Light" w:eastAsia="Archivo Light"/>
                <w:b/>
                <w:i w:val="0"/>
                <w:sz w:val="16"/>
              </w:rPr>
              <w:t>14. Cámaras de vigilancia</w:t>
            </w:r>
          </w:p>
        </w:tc>
        <w:tc>
          <w:tcPr>
            <w:tcW w:type="dxa" w:w="1565"/>
            <w:shd w:val="clear" w:color="auto" w:fill="F2F5F9"/>
          </w:tcPr>
          <w:p>
            <w:pPr>
              <w:spacing w:after="0"/>
            </w:pPr>
            <w:r/>
            <w:r>
              <w:rPr>
                <w:rFonts w:ascii="Archivo Light" w:hAnsi="Archivo Light" w:eastAsia="Archivo Light"/>
                <w:b w:val="0"/>
                <w:i w:val="0"/>
                <w:sz w:val="16"/>
              </w:rPr>
              <w:t>Inteligencia (CCTV)</w:t>
            </w:r>
          </w:p>
        </w:tc>
        <w:tc>
          <w:tcPr>
            <w:tcW w:type="dxa" w:w="2608"/>
            <w:shd w:val="clear" w:color="auto" w:fill="F2F5F9"/>
          </w:tcPr>
          <w:p>
            <w:pPr>
              <w:spacing w:after="0"/>
            </w:pPr>
            <w:r/>
            <w:r>
              <w:rPr>
                <w:rFonts w:ascii="Archivo Light" w:hAnsi="Archivo Light" w:eastAsia="Archivo Light"/>
                <w:b w:val="0"/>
                <w:i w:val="0"/>
                <w:sz w:val="16"/>
              </w:rPr>
              <w:t>LGSNSP 2025 (C5); ley general de datos personales</w:t>
            </w:r>
          </w:p>
        </w:tc>
        <w:tc>
          <w:tcPr>
            <w:tcW w:type="dxa" w:w="2608"/>
            <w:shd w:val="clear" w:color="auto" w:fill="F2F5F9"/>
          </w:tcPr>
          <w:p>
            <w:pPr>
              <w:spacing w:after="0"/>
            </w:pPr>
            <w:r/>
            <w:r>
              <w:rPr>
                <w:rFonts w:ascii="Archivo Light" w:hAnsi="Archivo Light" w:eastAsia="Archivo Light"/>
                <w:b w:val="0"/>
                <w:i w:val="0"/>
                <w:sz w:val="16"/>
              </w:rPr>
              <w:t>OACNUDH A/HRC/39/29</w:t>
            </w:r>
          </w:p>
        </w:tc>
        <w:tc>
          <w:tcPr>
            <w:tcW w:type="dxa" w:w="2869"/>
            <w:shd w:val="clear" w:color="auto" w:fill="F2F5F9"/>
          </w:tcPr>
          <w:p>
            <w:pPr>
              <w:spacing w:after="0"/>
            </w:pPr>
            <w:r/>
            <w:r>
              <w:rPr>
                <w:rFonts w:ascii="Archivo Light" w:hAnsi="Archivo Light" w:eastAsia="Archivo Light"/>
                <w:b w:val="0"/>
                <w:i w:val="0"/>
                <w:sz w:val="16"/>
              </w:rPr>
              <w:t>Welsh y Farrington 2008; Piza et al. 2019; Gómez et al. 2021</w:t>
            </w:r>
          </w:p>
        </w:tc>
        <w:tc>
          <w:tcPr>
            <w:tcW w:type="dxa" w:w="2347"/>
            <w:shd w:val="clear" w:color="auto" w:fill="F2F5F9"/>
          </w:tcPr>
          <w:p>
            <w:pPr>
              <w:spacing w:after="0"/>
            </w:pPr>
            <w:r/>
            <w:r>
              <w:rPr>
                <w:rFonts w:ascii="Archivo Light" w:hAnsi="Archivo Light" w:eastAsia="Archivo Light"/>
                <w:b w:val="0"/>
                <w:i w:val="0"/>
                <w:sz w:val="16"/>
              </w:rPr>
              <w:t>Cámaras en puntos calientes con monitoreo activo y protocolo de datos</w:t>
            </w:r>
          </w:p>
        </w:tc>
      </w:tr>
      <w:tr>
        <w:trPr>
          <w:cantSplit w:val="true"/>
        </w:trPr>
        <w:tc>
          <w:tcPr>
            <w:tcW w:type="dxa" w:w="1826"/>
          </w:tcPr>
          <w:p>
            <w:pPr>
              <w:spacing w:after="0"/>
            </w:pPr>
            <w:r/>
            <w:r>
              <w:rPr>
                <w:rFonts w:ascii="Archivo Light" w:hAnsi="Archivo Light" w:eastAsia="Archivo Light"/>
                <w:b/>
                <w:i w:val="0"/>
                <w:sz w:val="16"/>
              </w:rPr>
              <w:t>15. Llamadas procedentes</w:t>
            </w:r>
          </w:p>
        </w:tc>
        <w:tc>
          <w:tcPr>
            <w:tcW w:type="dxa" w:w="1565"/>
          </w:tcPr>
          <w:p>
            <w:pPr>
              <w:spacing w:after="0"/>
            </w:pPr>
            <w:r/>
            <w:r>
              <w:rPr>
                <w:rFonts w:ascii="Archivo Light" w:hAnsi="Archivo Light" w:eastAsia="Archivo Light"/>
                <w:b w:val="0"/>
                <w:i w:val="0"/>
                <w:sz w:val="16"/>
              </w:rPr>
              <w:t>Inteligencia (evaluación)</w:t>
            </w:r>
          </w:p>
        </w:tc>
        <w:tc>
          <w:tcPr>
            <w:tcW w:type="dxa" w:w="2608"/>
          </w:tcPr>
          <w:p>
            <w:pPr>
              <w:spacing w:after="0"/>
            </w:pPr>
            <w:r/>
            <w:r>
              <w:rPr>
                <w:rFonts w:ascii="Archivo Light" w:hAnsi="Archivo Light" w:eastAsia="Archivo Light"/>
                <w:b w:val="0"/>
                <w:i w:val="0"/>
                <w:sz w:val="16"/>
              </w:rPr>
              <w:t>Norma Técnica 9-1-1 y Catálogo Nacional de Incidentes (SESNSP)</w:t>
            </w:r>
          </w:p>
        </w:tc>
        <w:tc>
          <w:tcPr>
            <w:tcW w:type="dxa" w:w="2608"/>
          </w:tcPr>
          <w:p>
            <w:pPr>
              <w:spacing w:after="0"/>
            </w:pPr>
            <w:r/>
            <w:r>
              <w:rPr>
                <w:rFonts w:ascii="Archivo Light" w:hAnsi="Archivo Light" w:eastAsia="Archivo Light"/>
                <w:b w:val="0"/>
                <w:i w:val="0"/>
                <w:sz w:val="16"/>
              </w:rPr>
              <w:t>—</w:t>
            </w:r>
          </w:p>
        </w:tc>
        <w:tc>
          <w:tcPr>
            <w:tcW w:type="dxa" w:w="2869"/>
          </w:tcPr>
          <w:p>
            <w:pPr>
              <w:spacing w:after="0"/>
            </w:pPr>
            <w:r/>
            <w:r>
              <w:rPr>
                <w:rFonts w:ascii="Archivo Light" w:hAnsi="Archivo Light" w:eastAsia="Archivo Light"/>
                <w:b w:val="0"/>
                <w:i w:val="0"/>
                <w:sz w:val="16"/>
              </w:rPr>
              <w:t>Blanes i Vidal y Kirchmaier 2018</w:t>
            </w:r>
          </w:p>
        </w:tc>
        <w:tc>
          <w:tcPr>
            <w:tcW w:type="dxa" w:w="2347"/>
          </w:tcPr>
          <w:p>
            <w:pPr>
              <w:spacing w:after="0"/>
            </w:pPr>
            <w:r/>
            <w:r>
              <w:rPr>
                <w:rFonts w:ascii="Archivo Light" w:hAnsi="Archivo Light" w:eastAsia="Archivo Light"/>
                <w:b w:val="0"/>
                <w:i w:val="0"/>
                <w:sz w:val="16"/>
              </w:rPr>
              <w:t>Proporción creciente de llamadas procedentes y tiempos de respuesta medidos</w:t>
            </w:r>
          </w:p>
        </w:tc>
      </w:tr>
      <w:tr>
        <w:trPr>
          <w:cantSplit w:val="true"/>
        </w:trPr>
        <w:tc>
          <w:tcPr>
            <w:tcW w:type="dxa" w:w="1826"/>
            <w:shd w:val="clear" w:color="auto" w:fill="F2F5F9"/>
          </w:tcPr>
          <w:p>
            <w:pPr>
              <w:spacing w:after="0"/>
            </w:pPr>
            <w:r/>
            <w:r>
              <w:rPr>
                <w:rFonts w:ascii="Archivo Light" w:hAnsi="Archivo Light" w:eastAsia="Archivo Light"/>
                <w:b/>
                <w:i w:val="0"/>
                <w:sz w:val="16"/>
              </w:rPr>
              <w:t>16. Informe anual de actividades</w:t>
            </w:r>
          </w:p>
        </w:tc>
        <w:tc>
          <w:tcPr>
            <w:tcW w:type="dxa" w:w="1565"/>
            <w:shd w:val="clear" w:color="auto" w:fill="F2F5F9"/>
          </w:tcPr>
          <w:p>
            <w:pPr>
              <w:spacing w:after="0"/>
            </w:pPr>
            <w:r/>
            <w:r>
              <w:rPr>
                <w:rFonts w:ascii="Archivo Light" w:hAnsi="Archivo Light" w:eastAsia="Archivo Light"/>
                <w:b w:val="0"/>
                <w:i w:val="0"/>
                <w:sz w:val="16"/>
              </w:rPr>
              <w:t>Inteligencia (evaluación)</w:t>
            </w:r>
          </w:p>
        </w:tc>
        <w:tc>
          <w:tcPr>
            <w:tcW w:type="dxa" w:w="2608"/>
            <w:shd w:val="clear" w:color="auto" w:fill="F2F5F9"/>
          </w:tcPr>
          <w:p>
            <w:pPr>
              <w:spacing w:after="0"/>
            </w:pPr>
            <w:r/>
            <w:r>
              <w:rPr>
                <w:rFonts w:ascii="Archivo Light" w:hAnsi="Archivo Light" w:eastAsia="Archivo Light"/>
                <w:b w:val="0"/>
                <w:i w:val="0"/>
                <w:sz w:val="16"/>
              </w:rPr>
              <w:t>Ley de Gobierno Municipal de NL; Ley General de Transparencia</w:t>
            </w:r>
          </w:p>
        </w:tc>
        <w:tc>
          <w:tcPr>
            <w:tcW w:type="dxa" w:w="2608"/>
            <w:shd w:val="clear" w:color="auto" w:fill="F2F5F9"/>
          </w:tcPr>
          <w:p>
            <w:pPr>
              <w:spacing w:after="0"/>
            </w:pPr>
            <w:r/>
            <w:r>
              <w:rPr>
                <w:rFonts w:ascii="Archivo Light" w:hAnsi="Archivo Light" w:eastAsia="Archivo Light"/>
                <w:b w:val="0"/>
                <w:i w:val="0"/>
                <w:sz w:val="16"/>
              </w:rPr>
              <w:t>OCDE 2017 (gobierno abierto); UNODC 2011</w:t>
            </w:r>
          </w:p>
        </w:tc>
        <w:tc>
          <w:tcPr>
            <w:tcW w:type="dxa" w:w="2869"/>
            <w:shd w:val="clear" w:color="auto" w:fill="F2F5F9"/>
          </w:tcPr>
          <w:p>
            <w:pPr>
              <w:spacing w:after="0"/>
            </w:pPr>
            <w:r/>
            <w:r>
              <w:rPr>
                <w:rFonts w:ascii="Archivo Light" w:hAnsi="Archivo Light" w:eastAsia="Archivo Light"/>
                <w:b w:val="0"/>
                <w:i w:val="0"/>
                <w:sz w:val="16"/>
              </w:rPr>
              <w:t>Sherman 2013; Moore y Braga 2003; Lum y Koper 2017</w:t>
            </w:r>
          </w:p>
        </w:tc>
        <w:tc>
          <w:tcPr>
            <w:tcW w:type="dxa" w:w="2347"/>
            <w:shd w:val="clear" w:color="auto" w:fill="F2F5F9"/>
          </w:tcPr>
          <w:p>
            <w:pPr>
              <w:spacing w:after="0"/>
            </w:pPr>
            <w:r/>
            <w:r>
              <w:rPr>
                <w:rFonts w:ascii="Archivo Light" w:hAnsi="Archivo Light" w:eastAsia="Archivo Light"/>
                <w:b w:val="0"/>
                <w:i w:val="0"/>
                <w:sz w:val="16"/>
              </w:rPr>
              <w:t>Informe público anual con indicadores de resultado, no solo de actividad</w:t>
            </w:r>
          </w:p>
        </w:tc>
      </w:tr>
      <w:tr>
        <w:trPr>
          <w:cantSplit w:val="true"/>
        </w:trPr>
        <w:tc>
          <w:tcPr>
            <w:tcW w:type="dxa" w:w="1826"/>
          </w:tcPr>
          <w:p>
            <w:pPr>
              <w:spacing w:after="0"/>
            </w:pPr>
            <w:r/>
            <w:r>
              <w:rPr>
                <w:rFonts w:ascii="Archivo Light" w:hAnsi="Archivo Light" w:eastAsia="Archivo Light"/>
                <w:b/>
                <w:i w:val="0"/>
                <w:sz w:val="16"/>
              </w:rPr>
              <w:t>17. Estado de fuerza, egresos y fallecimientos</w:t>
            </w:r>
          </w:p>
        </w:tc>
        <w:tc>
          <w:tcPr>
            <w:tcW w:type="dxa" w:w="1565"/>
          </w:tcPr>
          <w:p>
            <w:pPr>
              <w:spacing w:after="0"/>
            </w:pPr>
            <w:r/>
            <w:r>
              <w:rPr>
                <w:rFonts w:ascii="Archivo Light" w:hAnsi="Archivo Light" w:eastAsia="Archivo Light"/>
                <w:b w:val="0"/>
                <w:i w:val="0"/>
                <w:sz w:val="16"/>
              </w:rPr>
              <w:t>Eficiencia (letalidad, seguridad del personal)</w:t>
            </w:r>
          </w:p>
        </w:tc>
        <w:tc>
          <w:tcPr>
            <w:tcW w:type="dxa" w:w="2608"/>
          </w:tcPr>
          <w:p>
            <w:pPr>
              <w:spacing w:after="0"/>
            </w:pPr>
            <w:r/>
            <w:r>
              <w:rPr>
                <w:rFonts w:ascii="Archivo Light" w:hAnsi="Archivo Light" w:eastAsia="Archivo Light"/>
                <w:b w:val="0"/>
                <w:i w:val="0"/>
                <w:sz w:val="16"/>
              </w:rPr>
              <w:t>LGSNSP 2025; LNUF</w:t>
            </w:r>
          </w:p>
        </w:tc>
        <w:tc>
          <w:tcPr>
            <w:tcW w:type="dxa" w:w="2608"/>
          </w:tcPr>
          <w:p>
            <w:pPr>
              <w:spacing w:after="0"/>
            </w:pPr>
            <w:r/>
            <w:r>
              <w:rPr>
                <w:rFonts w:ascii="Archivo Light" w:hAnsi="Archivo Light" w:eastAsia="Archivo Light"/>
                <w:b w:val="0"/>
                <w:i w:val="0"/>
                <w:sz w:val="16"/>
              </w:rPr>
              <w:t>PIDCP art. 6; OG 36; Heyns 2014; Protocolo de Minnesota</w:t>
            </w:r>
          </w:p>
        </w:tc>
        <w:tc>
          <w:tcPr>
            <w:tcW w:type="dxa" w:w="2869"/>
          </w:tcPr>
          <w:p>
            <w:pPr>
              <w:spacing w:after="0"/>
            </w:pPr>
            <w:r/>
            <w:r>
              <w:rPr>
                <w:rFonts w:ascii="Archivo Light" w:hAnsi="Archivo Light" w:eastAsia="Archivo Light"/>
                <w:b w:val="0"/>
                <w:i w:val="0"/>
                <w:sz w:val="16"/>
              </w:rPr>
              <w:t>Silva Forné et al. 2017; Monitor de Fuerza Letal; Wagner et al. 2020; Causa en Común</w:t>
            </w:r>
          </w:p>
        </w:tc>
        <w:tc>
          <w:tcPr>
            <w:tcW w:type="dxa" w:w="2347"/>
          </w:tcPr>
          <w:p>
            <w:pPr>
              <w:spacing w:after="0"/>
            </w:pPr>
            <w:r/>
            <w:r>
              <w:rPr>
                <w:rFonts w:ascii="Archivo Light" w:hAnsi="Archivo Light" w:eastAsia="Archivo Light"/>
                <w:b w:val="0"/>
                <w:i w:val="0"/>
                <w:sz w:val="16"/>
              </w:rPr>
              <w:t>Tasa de policías fallecidos por 1,000 elementos; índice de letalidad</w:t>
            </w:r>
          </w:p>
        </w:tc>
      </w:tr>
      <w:tr>
        <w:trPr>
          <w:cantSplit w:val="true"/>
        </w:trPr>
        <w:tc>
          <w:tcPr>
            <w:tcW w:type="dxa" w:w="1826"/>
            <w:shd w:val="clear" w:color="auto" w:fill="F2F5F9"/>
          </w:tcPr>
          <w:p>
            <w:pPr>
              <w:spacing w:after="0"/>
            </w:pPr>
            <w:r/>
            <w:r>
              <w:rPr>
                <w:rFonts w:ascii="Archivo Light" w:hAnsi="Archivo Light" w:eastAsia="Archivo Light"/>
                <w:b/>
                <w:i w:val="0"/>
                <w:sz w:val="16"/>
              </w:rPr>
              <w:t>18. Puestas a disposición</w:t>
            </w:r>
          </w:p>
        </w:tc>
        <w:tc>
          <w:tcPr>
            <w:tcW w:type="dxa" w:w="1565"/>
            <w:shd w:val="clear" w:color="auto" w:fill="F2F5F9"/>
          </w:tcPr>
          <w:p>
            <w:pPr>
              <w:spacing w:after="0"/>
            </w:pPr>
            <w:r/>
            <w:r>
              <w:rPr>
                <w:rFonts w:ascii="Archivo Light" w:hAnsi="Archivo Light" w:eastAsia="Archivo Light"/>
                <w:b w:val="0"/>
                <w:i w:val="0"/>
                <w:sz w:val="16"/>
              </w:rPr>
              <w:t>Eficiencia (detenciones, cifra negra, abuso)</w:t>
            </w:r>
          </w:p>
        </w:tc>
        <w:tc>
          <w:tcPr>
            <w:tcW w:type="dxa" w:w="2608"/>
            <w:shd w:val="clear" w:color="auto" w:fill="F2F5F9"/>
          </w:tcPr>
          <w:p>
            <w:pPr>
              <w:spacing w:after="0"/>
            </w:pPr>
            <w:r/>
            <w:r>
              <w:rPr>
                <w:rFonts w:ascii="Archivo Light" w:hAnsi="Archivo Light" w:eastAsia="Archivo Light"/>
                <w:b w:val="0"/>
                <w:i w:val="0"/>
                <w:sz w:val="16"/>
              </w:rPr>
              <w:t>CPEUM art. 16; CNPP arts. 146-152; Ley Nacional del Registro de Detenciones; ADR 517/2011</w:t>
            </w:r>
          </w:p>
        </w:tc>
        <w:tc>
          <w:tcPr>
            <w:tcW w:type="dxa" w:w="2608"/>
            <w:shd w:val="clear" w:color="auto" w:fill="F2F5F9"/>
          </w:tcPr>
          <w:p>
            <w:pPr>
              <w:spacing w:after="0"/>
            </w:pPr>
            <w:r/>
            <w:r>
              <w:rPr>
                <w:rFonts w:ascii="Archivo Light" w:hAnsi="Archivo Light" w:eastAsia="Archivo Light"/>
                <w:b w:val="0"/>
                <w:i w:val="0"/>
                <w:sz w:val="16"/>
              </w:rPr>
              <w:t>PIDCP art. 9; OG 35; Corte IDH (Cabrera García; Atenco; García Rodríguez)</w:t>
            </w:r>
          </w:p>
        </w:tc>
        <w:tc>
          <w:tcPr>
            <w:tcW w:type="dxa" w:w="2869"/>
            <w:shd w:val="clear" w:color="auto" w:fill="F2F5F9"/>
          </w:tcPr>
          <w:p>
            <w:pPr>
              <w:spacing w:after="0"/>
            </w:pPr>
            <w:r/>
            <w:r>
              <w:rPr>
                <w:rFonts w:ascii="Archivo Light" w:hAnsi="Archivo Light" w:eastAsia="Archivo Light"/>
                <w:b w:val="0"/>
                <w:i w:val="0"/>
                <w:sz w:val="16"/>
              </w:rPr>
              <w:t>Nagin 2013; Chalfin y McCrary 2017; Magaloni y Rodriguez 2020; ENVIPE y ENPOL</w:t>
            </w:r>
          </w:p>
        </w:tc>
        <w:tc>
          <w:tcPr>
            <w:tcW w:type="dxa" w:w="2347"/>
            <w:shd w:val="clear" w:color="auto" w:fill="F2F5F9"/>
          </w:tcPr>
          <w:p>
            <w:pPr>
              <w:spacing w:after="0"/>
            </w:pPr>
            <w:r/>
            <w:r>
              <w:rPr>
                <w:rFonts w:ascii="Archivo Light" w:hAnsi="Archivo Light" w:eastAsia="Archivo Light"/>
                <w:b w:val="0"/>
                <w:i w:val="0"/>
                <w:sz w:val="16"/>
              </w:rPr>
              <w:t>Puesta a disposición sin demora; relación con incidencia y cifra negra</w:t>
            </w:r>
          </w:p>
        </w:tc>
      </w:tr>
    </w:tbl>
    <w:p>
      <w:pPr>
        <w:keepNext w:val="0"/>
        <w:spacing w:after="60" w:before="200" w:line="240" w:lineRule="auto"/>
        <w:ind w:left="0"/>
      </w:pPr>
      <w:r>
        <w:rPr>
          <w:rFonts w:ascii="Archivo Light" w:hAnsi="Archivo Light" w:eastAsia="Archivo Light"/>
          <w:b/>
          <w:i w:val="0"/>
          <w:color w:val="1F3A5F"/>
          <w:sz w:val="24"/>
        </w:rPr>
        <w:t>Pendientes de verificación</w:t>
      </w:r>
    </w:p>
    <w:p>
      <w:pPr>
        <w:keepNext w:val="0"/>
        <w:spacing w:after="40" w:before="0" w:line="240" w:lineRule="auto"/>
        <w:ind w:left="360" w:hanging="288"/>
      </w:pPr>
      <w:r>
        <w:rPr>
          <w:rFonts w:ascii="Archivo Light" w:hAnsi="Archivo Light" w:eastAsia="Archivo Light"/>
          <w:b w:val="0"/>
          <w:i w:val="0"/>
          <w:sz w:val="19"/>
        </w:rPr>
        <w:t>– Estatus de la minuta de Ley General de Protección Civil y Gestión del Riesgo de Desastres en el Senado.</w:t>
      </w:r>
    </w:p>
    <w:p>
      <w:pPr>
        <w:keepNext w:val="0"/>
        <w:spacing w:after="40" w:before="0" w:line="240" w:lineRule="auto"/>
        <w:ind w:left="360" w:hanging="288"/>
      </w:pPr>
      <w:r>
        <w:rPr>
          <w:rFonts w:ascii="Archivo Light" w:hAnsi="Archivo Light" w:eastAsia="Archivo Light"/>
          <w:b w:val="0"/>
          <w:i w:val="0"/>
          <w:sz w:val="19"/>
        </w:rPr>
        <w:t>– Si México es parte de la Convención Interamericana para Facilitar la Asistencia en Casos de Desastre (1991) y denominación exacta del plan interamericano de 2012.</w:t>
      </w:r>
    </w:p>
    <w:p>
      <w:pPr>
        <w:keepNext w:val="0"/>
        <w:spacing w:after="40" w:before="0" w:line="240" w:lineRule="auto"/>
        <w:ind w:left="360" w:hanging="288"/>
      </w:pPr>
      <w:r>
        <w:rPr>
          <w:rFonts w:ascii="Archivo Light" w:hAnsi="Archivo Light" w:eastAsia="Archivo Light"/>
          <w:b w:val="0"/>
          <w:i w:val="0"/>
          <w:sz w:val="19"/>
        </w:rPr>
        <w:t>– Edición vigente del Programa Nacional de Protección Civil y de la norma técnica de videovigilancia del SESNSP.</w:t>
      </w:r>
    </w:p>
    <w:p>
      <w:pPr>
        <w:keepNext w:val="0"/>
        <w:spacing w:after="40" w:before="0" w:line="240" w:lineRule="auto"/>
        <w:ind w:left="360" w:hanging="288"/>
      </w:pPr>
      <w:r>
        <w:rPr>
          <w:rFonts w:ascii="Archivo Light" w:hAnsi="Archivo Light" w:eastAsia="Archivo Light"/>
          <w:b w:val="0"/>
          <w:i w:val="0"/>
          <w:sz w:val="19"/>
        </w:rPr>
        <w:t>– Textos vigentes de la Ley General de Transparencia y de la ley general de datos personales tras las reformas de 2025.</w:t>
      </w:r>
    </w:p>
    <w:p>
      <w:pPr>
        <w:keepNext w:val="0"/>
        <w:spacing w:after="40" w:before="0" w:line="240" w:lineRule="auto"/>
        <w:ind w:left="360" w:hanging="288"/>
      </w:pPr>
      <w:r>
        <w:rPr>
          <w:rFonts w:ascii="Archivo Light" w:hAnsi="Archivo Light" w:eastAsia="Archivo Light"/>
          <w:b w:val="0"/>
          <w:i w:val="0"/>
          <w:sz w:val="19"/>
        </w:rPr>
        <w:t>– Autores de la revisión 'Strategies for disaster risk reduction education' (2018) y vigencia de la norma NIJ 0101.07.</w:t>
      </w:r>
    </w:p>
    <w:sectPr w:rsidR="00F23BA3" w:rsidRPr="00CB6D36" w:rsidSect="00004797">
      <w:pgSz w:w="15840" w:h="12240" w:code="1" w:orient="landscape"/>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font>
  <w:font w:name="Archivo">
    <w:altName w:val="Calibri"/>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