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4F73"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575B4E30" wp14:editId="64D3609A">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2563C3AC"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7F566F9A"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32046A25"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357CF070" w14:textId="77777777" w:rsidTr="000D2BF1">
        <w:trPr>
          <w:trHeight w:val="415"/>
        </w:trPr>
        <w:tc>
          <w:tcPr>
            <w:tcW w:w="2694" w:type="dxa"/>
            <w:shd w:val="clear" w:color="auto" w:fill="D9E2F3" w:themeFill="accent5" w:themeFillTint="33"/>
            <w:vAlign w:val="center"/>
          </w:tcPr>
          <w:p w14:paraId="6E68E960"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49CE0335" w14:textId="2F6CA5B8"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7F5DE17D" w14:textId="029E7B0C"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4FA0856D" w14:textId="6BCA8AEE"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5C2B7ABE" w14:textId="526BE4C9"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0B10A431" w14:textId="56C8ECE4"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1877A520" w14:textId="0684F2A1"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41066E61" w14:textId="4285F7AD"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2EC54A18" w14:textId="277B33F8"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61B83FCD" w14:textId="6960CDCE"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74748771" w14:textId="22DA1BAC" w:rsidR="003A4601" w:rsidRPr="003E5471" w:rsidRDefault="008F5F71"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r>
    </w:tbl>
    <w:p w14:paraId="1520D23B" w14:textId="77777777" w:rsidR="00B30691" w:rsidRPr="00302895" w:rsidRDefault="00B30691" w:rsidP="006002CB">
      <w:pPr>
        <w:spacing w:line="288" w:lineRule="auto"/>
        <w:rPr>
          <w:rFonts w:ascii="Arial" w:hAnsi="Arial" w:cs="Arial"/>
          <w:b/>
          <w:i/>
          <w:caps/>
          <w:color w:val="244061"/>
          <w:sz w:val="20"/>
          <w:szCs w:val="20"/>
        </w:rPr>
      </w:pPr>
    </w:p>
    <w:p w14:paraId="272DD73C"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24A6DC4F"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305E8F6D"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6EE546CF" w14:textId="77777777" w:rsidTr="00105D94">
        <w:trPr>
          <w:trHeight w:val="359"/>
        </w:trPr>
        <w:tc>
          <w:tcPr>
            <w:tcW w:w="10915" w:type="dxa"/>
            <w:gridSpan w:val="3"/>
            <w:shd w:val="clear" w:color="auto" w:fill="ED7D31" w:themeFill="accent2"/>
            <w:vAlign w:val="center"/>
            <w:hideMark/>
          </w:tcPr>
          <w:p w14:paraId="36B12270"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4482F45C"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6CC316C4"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6CDA67C9" w14:textId="37B4470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8F5F71">
              <w:rPr>
                <w:rFonts w:ascii="Arial" w:hAnsi="Arial" w:cs="Arial"/>
                <w:b/>
                <w:bCs/>
                <w:sz w:val="16"/>
                <w:szCs w:val="16"/>
              </w:rPr>
              <w:t>NGUYỄN HOÀNG DUNG</w:t>
            </w:r>
          </w:p>
          <w:p w14:paraId="11CC7C23"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20C23B05"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134D450F" w14:textId="28DBB18D"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8F5F71">
              <w:rPr>
                <w:rFonts w:ascii="Arial" w:hAnsi="Arial" w:cs="Arial"/>
                <w:b/>
                <w:bCs/>
                <w:sz w:val="16"/>
                <w:szCs w:val="16"/>
              </w:rPr>
              <w:t>01/09/1985</w:t>
            </w:r>
          </w:p>
          <w:p w14:paraId="165EFAA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54C1FCCE" w14:textId="52849125"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8F5F71">
              <w:rPr>
                <w:rFonts w:ascii="Arial" w:hAnsi="Arial" w:cs="Arial"/>
                <w:b/>
                <w:bCs/>
                <w:sz w:val="16"/>
                <w:szCs w:val="16"/>
              </w:rPr>
              <w:t>VIỆT NAM</w:t>
            </w:r>
          </w:p>
          <w:p w14:paraId="310C508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40799E16" w14:textId="0545D60E"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8F5F71">
              <w:rPr>
                <w:rFonts w:ascii="Arial" w:hAnsi="Arial" w:cs="Arial"/>
                <w:b/>
                <w:bCs/>
                <w:sz w:val="16"/>
                <w:szCs w:val="16"/>
              </w:rPr>
              <w:t>Nữ</w:t>
            </w:r>
          </w:p>
          <w:p w14:paraId="14B28C6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1FD16FB3"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565EE73D" w14:textId="7DF10FBE"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8F5F71">
              <w:rPr>
                <w:rFonts w:ascii="Arial" w:hAnsi="Arial" w:cs="Arial"/>
                <w:b/>
                <w:bCs/>
                <w:sz w:val="16"/>
                <w:szCs w:val="16"/>
              </w:rPr>
              <w:t>026001091</w:t>
            </w:r>
          </w:p>
          <w:p w14:paraId="11D9E06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6E81E58B" w14:textId="2932A45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8F5F71">
              <w:rPr>
                <w:rFonts w:ascii="Arial" w:hAnsi="Arial" w:cs="Arial"/>
                <w:b/>
                <w:bCs/>
                <w:sz w:val="16"/>
                <w:szCs w:val="16"/>
              </w:rPr>
              <w:t>07/03/2015</w:t>
            </w:r>
          </w:p>
          <w:p w14:paraId="084FEC7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7D2EC16E" w14:textId="4829B7D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8F5F71">
              <w:rPr>
                <w:rFonts w:ascii="Arial" w:hAnsi="Arial" w:cs="Arial"/>
                <w:b/>
                <w:bCs/>
                <w:sz w:val="16"/>
                <w:szCs w:val="16"/>
              </w:rPr>
              <w:t>Hồ Chí Minh</w:t>
            </w:r>
          </w:p>
          <w:p w14:paraId="05BF880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2B5838E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40B6D7A1" w14:textId="0DB74B34"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8F5F71">
              <w:rPr>
                <w:rFonts w:ascii="Arial" w:hAnsi="Arial" w:cs="Arial"/>
                <w:sz w:val="16"/>
                <w:szCs w:val="16"/>
              </w:rPr>
              <w:t>716/58 TÂN KỲ TÂN QUÝ, P B H HÒA, BÌNH TÂN, TP HỒ CHÍ MINH</w:t>
            </w:r>
          </w:p>
          <w:p w14:paraId="417B1EC5"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130F84E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728B6E0C" w14:textId="0B55509F"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8F5F71">
              <w:rPr>
                <w:rFonts w:ascii="Arial" w:hAnsi="Arial" w:cs="Arial"/>
                <w:sz w:val="16"/>
                <w:szCs w:val="16"/>
              </w:rPr>
              <w:t xml:space="preserve"> </w:t>
            </w:r>
          </w:p>
          <w:p w14:paraId="6A09BFC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04AD1560"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556B11B9" w14:textId="76D260EC"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8F5F71">
              <w:rPr>
                <w:rFonts w:ascii="Arial" w:hAnsi="Arial" w:cs="Arial"/>
                <w:sz w:val="16"/>
                <w:szCs w:val="16"/>
              </w:rPr>
              <w:t>0939100244</w:t>
            </w:r>
          </w:p>
          <w:p w14:paraId="0793C4B2"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4AED9603" w14:textId="645360BB"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8F5F71">
              <w:rPr>
                <w:rFonts w:ascii="Arial" w:hAnsi="Arial" w:cs="Arial"/>
                <w:sz w:val="16"/>
                <w:szCs w:val="16"/>
              </w:rPr>
              <w:t>dungnh.php@gmail.com</w:t>
            </w:r>
          </w:p>
          <w:p w14:paraId="17A0D785"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1078C869" w14:textId="7F6DC9D6"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8F5F71">
              <w:rPr>
                <w:rFonts w:ascii="Arial" w:hAnsi="Arial" w:cs="Arial"/>
                <w:sz w:val="16"/>
                <w:szCs w:val="16"/>
              </w:rPr>
              <w:t xml:space="preserve"> </w:t>
            </w:r>
          </w:p>
        </w:tc>
      </w:tr>
      <w:tr w:rsidR="00105D94" w:rsidRPr="00105D94" w14:paraId="311E83B3" w14:textId="77777777" w:rsidTr="00105D94">
        <w:trPr>
          <w:trHeight w:val="359"/>
        </w:trPr>
        <w:tc>
          <w:tcPr>
            <w:tcW w:w="10915" w:type="dxa"/>
            <w:gridSpan w:val="3"/>
            <w:shd w:val="clear" w:color="auto" w:fill="ED7D31" w:themeFill="accent2"/>
            <w:vAlign w:val="center"/>
            <w:hideMark/>
          </w:tcPr>
          <w:p w14:paraId="7F19C44F"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1A8D12FF"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3DE58648"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7AAF334E"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2E5029E7"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5464526A"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27BAA1F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53D2FFAF"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295D5F69"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7E21FE28"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79203B84"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649821E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3B587002"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4ACDCA3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6937F2F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60A7D1C3"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212702F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70AA023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4522F5AE"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08585AD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2271F1DC"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1D2822D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40A2B73D"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3D5C68AA"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33874C66"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27CE61B6"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597F379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688AB141"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2BBF0067"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024D5D67"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0083D92C"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5D2F2D7F"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75F14A09"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44B22BF6"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13567D1B"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6D04F482" w14:textId="3D2C8DF9"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8F5F71">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722512FE" w14:textId="0A6DF125"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8F5F71">
              <w:rPr>
                <w:rFonts w:ascii="Arial" w:hAnsi="Arial" w:cs="Arial"/>
                <w:b/>
                <w:bCs/>
                <w:color w:val="595959" w:themeColor="text1" w:themeTint="A6"/>
                <w:sz w:val="16"/>
                <w:szCs w:val="16"/>
              </w:rPr>
              <w:t xml:space="preserve"> </w:t>
            </w:r>
          </w:p>
        </w:tc>
      </w:tr>
      <w:tr w:rsidR="003A4601" w:rsidRPr="001D1DA2" w14:paraId="4B872A8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780A3EC2" w14:textId="4DFF222B"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8F5F71">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3C16A365" w14:textId="43E2863B"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8F5F71">
              <w:rPr>
                <w:rFonts w:ascii="Arial" w:hAnsi="Arial" w:cs="Arial"/>
                <w:b/>
                <w:bCs/>
                <w:color w:val="595959" w:themeColor="text1" w:themeTint="A6"/>
                <w:sz w:val="16"/>
                <w:szCs w:val="16"/>
              </w:rPr>
              <w:t xml:space="preserve"> </w:t>
            </w:r>
          </w:p>
        </w:tc>
      </w:tr>
    </w:tbl>
    <w:p w14:paraId="1B77C99A"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3D65E4ED"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5D7DC7C6"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59D37DFE"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090C2474"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31DF2D24"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1DAFCD08"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219550CB"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78493537"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2B8B6509"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42501D6F"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7EFC9DA1" w14:textId="77777777" w:rsidTr="005053F6">
              <w:trPr>
                <w:trHeight w:val="164"/>
              </w:trPr>
              <w:tc>
                <w:tcPr>
                  <w:tcW w:w="801" w:type="dxa"/>
                </w:tcPr>
                <w:p w14:paraId="7C597FAC"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1083EC8A"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301611C5"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59B48FC7"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0816DE38" w14:textId="77777777" w:rsidTr="005053F6">
              <w:trPr>
                <w:trHeight w:val="314"/>
              </w:trPr>
              <w:tc>
                <w:tcPr>
                  <w:tcW w:w="801" w:type="dxa"/>
                </w:tcPr>
                <w:p w14:paraId="3C382F9C"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528752E8"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2C8462F4" w14:textId="2F0A8677" w:rsidR="00A9142F" w:rsidRPr="001D1DA2" w:rsidRDefault="008F5F71"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6DD4E7DB"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1BCFA5C3"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4781311A" w14:textId="77777777" w:rsidTr="005053F6">
              <w:trPr>
                <w:trHeight w:val="620"/>
              </w:trPr>
              <w:tc>
                <w:tcPr>
                  <w:tcW w:w="801" w:type="dxa"/>
                </w:tcPr>
                <w:p w14:paraId="7057BC8B"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70E91528"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38DD98B1"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28378D34" w14:textId="2D77FA38" w:rsidR="00A9142F" w:rsidRPr="00030DE1" w:rsidRDefault="008F5F71"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7630C1A1"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5C2313F5" w14:textId="77777777" w:rsidTr="005053F6">
              <w:trPr>
                <w:trHeight w:val="251"/>
              </w:trPr>
              <w:tc>
                <w:tcPr>
                  <w:tcW w:w="801" w:type="dxa"/>
                </w:tcPr>
                <w:p w14:paraId="424596C6"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02B60C17"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1CFA7FE3" w14:textId="62271663" w:rsidR="00A9142F" w:rsidRPr="001D1DA2" w:rsidRDefault="008F5F71"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5108DD6A"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48C17FC9"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43183B28"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1685F5E1"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2C368850"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75670878"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556489D6" w14:textId="77777777" w:rsidTr="00014B10">
              <w:trPr>
                <w:trHeight w:val="164"/>
              </w:trPr>
              <w:tc>
                <w:tcPr>
                  <w:tcW w:w="885" w:type="dxa"/>
                </w:tcPr>
                <w:p w14:paraId="13A23C0F"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51E6CCB6"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1E4843FA"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2A8759D0" w14:textId="77777777" w:rsidTr="00014B10">
              <w:trPr>
                <w:trHeight w:val="242"/>
              </w:trPr>
              <w:tc>
                <w:tcPr>
                  <w:tcW w:w="885" w:type="dxa"/>
                </w:tcPr>
                <w:p w14:paraId="0D08C38B"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24425515"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1FC6D934" w14:textId="6975633A" w:rsidR="00A9142F" w:rsidRPr="001D1DA2" w:rsidRDefault="008F5F71"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0228A2C" w14:textId="77777777" w:rsidTr="00014B10">
              <w:trPr>
                <w:trHeight w:val="326"/>
              </w:trPr>
              <w:tc>
                <w:tcPr>
                  <w:tcW w:w="885" w:type="dxa"/>
                </w:tcPr>
                <w:p w14:paraId="258D43B3"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376AFA47"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1E103DE0" w14:textId="79DA4CA4" w:rsidR="00A9142F" w:rsidRPr="001D1DA2" w:rsidRDefault="008F5F71"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68639506" w14:textId="77777777" w:rsidTr="00014B10">
              <w:trPr>
                <w:trHeight w:val="191"/>
              </w:trPr>
              <w:tc>
                <w:tcPr>
                  <w:tcW w:w="885" w:type="dxa"/>
                </w:tcPr>
                <w:p w14:paraId="781BA4FB"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579519B5"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0E081D95" w14:textId="130B811A" w:rsidR="00A9142F" w:rsidRPr="001D1DA2" w:rsidRDefault="008F5F71"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3A613FA" w14:textId="77777777" w:rsidTr="00014B10">
              <w:trPr>
                <w:trHeight w:val="191"/>
              </w:trPr>
              <w:tc>
                <w:tcPr>
                  <w:tcW w:w="885" w:type="dxa"/>
                </w:tcPr>
                <w:p w14:paraId="4F58F459"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22A2ED20"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5F6FA297"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58BD5D03" w14:textId="17015C70" w:rsidR="00A9142F" w:rsidRPr="001D1DA2" w:rsidRDefault="008F5F71"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36291869" w14:textId="77777777" w:rsidTr="00014B10">
              <w:trPr>
                <w:trHeight w:val="191"/>
              </w:trPr>
              <w:tc>
                <w:tcPr>
                  <w:tcW w:w="885" w:type="dxa"/>
                </w:tcPr>
                <w:p w14:paraId="4559607F"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10D7B996"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3EF773FA"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619A3EC5"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444E0883"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0CBCDBEF"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209B82D0"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5451A6E8" w14:textId="77777777" w:rsidTr="00996F20">
              <w:trPr>
                <w:trHeight w:val="785"/>
              </w:trPr>
              <w:tc>
                <w:tcPr>
                  <w:tcW w:w="4865" w:type="dxa"/>
                </w:tcPr>
                <w:p w14:paraId="00A95546" w14:textId="0A0EC65B" w:rsidR="00C41D2E" w:rsidRPr="00370E19" w:rsidRDefault="008F5F71"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7B38FD12" w14:textId="77777777" w:rsidR="00C41D2E" w:rsidRPr="00370E19" w:rsidRDefault="00C41D2E" w:rsidP="00C41D2E">
                  <w:pPr>
                    <w:spacing w:line="360" w:lineRule="auto"/>
                    <w:rPr>
                      <w:sz w:val="16"/>
                      <w:szCs w:val="16"/>
                    </w:rPr>
                  </w:pPr>
                </w:p>
              </w:tc>
            </w:tr>
            <w:tr w:rsidR="00C41D2E" w14:paraId="44D217AF" w14:textId="77777777" w:rsidTr="00996F20">
              <w:trPr>
                <w:trHeight w:val="533"/>
              </w:trPr>
              <w:tc>
                <w:tcPr>
                  <w:tcW w:w="4865" w:type="dxa"/>
                </w:tcPr>
                <w:p w14:paraId="5B7CF1F7" w14:textId="36E2BBCA" w:rsidR="00C41D2E" w:rsidRPr="00370E19" w:rsidRDefault="008F5F71"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635B68D8"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38A3B468" w14:textId="77777777" w:rsidTr="00996F20">
              <w:trPr>
                <w:trHeight w:val="533"/>
              </w:trPr>
              <w:tc>
                <w:tcPr>
                  <w:tcW w:w="4865" w:type="dxa"/>
                </w:tcPr>
                <w:p w14:paraId="4AE38005" w14:textId="54621ADC" w:rsidR="00C41D2E" w:rsidRPr="00370E19" w:rsidRDefault="008F5F71"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14B32BCB"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22EA704E" w14:textId="77777777" w:rsidTr="00996F20">
              <w:trPr>
                <w:trHeight w:val="440"/>
              </w:trPr>
              <w:tc>
                <w:tcPr>
                  <w:tcW w:w="4865" w:type="dxa"/>
                </w:tcPr>
                <w:p w14:paraId="7B4CD351" w14:textId="4388853B" w:rsidR="00C41D2E" w:rsidRPr="00370E19" w:rsidRDefault="008F5F71"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4D53CCF3" w14:textId="33C8B551" w:rsidR="00C41D2E" w:rsidRPr="00370E19" w:rsidRDefault="00C41D2E" w:rsidP="00C41D2E">
                  <w:pPr>
                    <w:rPr>
                      <w:sz w:val="16"/>
                      <w:szCs w:val="16"/>
                    </w:rPr>
                  </w:pPr>
                  <w:r w:rsidRPr="00370E19">
                    <w:rPr>
                      <w:rFonts w:ascii="Arial" w:hAnsi="Arial" w:cs="Arial"/>
                      <w:sz w:val="16"/>
                      <w:szCs w:val="16"/>
                    </w:rPr>
                    <w:t xml:space="preserve">Đơn vị cấp/Issued by: </w:t>
                  </w:r>
                  <w:r w:rsidR="008F5F71">
                    <w:rPr>
                      <w:rFonts w:ascii="Arial" w:hAnsi="Arial" w:cs="Arial"/>
                      <w:sz w:val="16"/>
                      <w:szCs w:val="16"/>
                    </w:rPr>
                    <w:t>…………………….</w:t>
                  </w:r>
                  <w:r w:rsidRPr="00370E19">
                    <w:rPr>
                      <w:rFonts w:ascii="Arial" w:hAnsi="Arial" w:cs="Arial"/>
                      <w:sz w:val="16"/>
                      <w:szCs w:val="16"/>
                    </w:rPr>
                    <w:t>…………………….</w:t>
                  </w:r>
                </w:p>
              </w:tc>
            </w:tr>
          </w:tbl>
          <w:p w14:paraId="16E314A4"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57996C91"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08F637FD"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68CE90E4"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33098AAA"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3F244A78" w14:textId="77777777" w:rsidTr="00AF3ADA">
              <w:trPr>
                <w:trHeight w:val="164"/>
              </w:trPr>
              <w:tc>
                <w:tcPr>
                  <w:tcW w:w="889" w:type="dxa"/>
                  <w:tcBorders>
                    <w:left w:val="nil"/>
                  </w:tcBorders>
                </w:tcPr>
                <w:p w14:paraId="33E6EC8A"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3D0D3942"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3F5A6B9F"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0ADF9A04"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7A362067" w14:textId="77777777" w:rsidTr="00AF3ADA">
              <w:trPr>
                <w:trHeight w:val="177"/>
              </w:trPr>
              <w:tc>
                <w:tcPr>
                  <w:tcW w:w="889" w:type="dxa"/>
                  <w:tcBorders>
                    <w:left w:val="nil"/>
                  </w:tcBorders>
                </w:tcPr>
                <w:p w14:paraId="6E49AE37"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1BAD5EE8" w14:textId="064F9227"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651EA58C" w14:textId="77777777" w:rsidR="00AF3ADA" w:rsidRDefault="00AF3ADA" w:rsidP="00AF3ADA">
                  <w:pPr>
                    <w:pStyle w:val="ListParagraph"/>
                    <w:spacing w:line="360" w:lineRule="auto"/>
                    <w:ind w:left="0"/>
                    <w:contextualSpacing w:val="0"/>
                    <w:rPr>
                      <w:rFonts w:ascii="Arial" w:hAnsi="Arial" w:cs="Arial"/>
                      <w:b/>
                      <w:sz w:val="16"/>
                      <w:szCs w:val="16"/>
                    </w:rPr>
                  </w:pPr>
                </w:p>
                <w:p w14:paraId="63C1DFB2" w14:textId="50F8E16F" w:rsidR="00AF3ADA" w:rsidRPr="001D1DA2" w:rsidRDefault="008F5F71"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1FAFA8D3" w14:textId="77777777" w:rsidR="00AF3ADA" w:rsidRDefault="00AF3ADA" w:rsidP="00AF3ADA">
                  <w:pPr>
                    <w:pStyle w:val="ListParagraph"/>
                    <w:spacing w:line="360" w:lineRule="auto"/>
                    <w:ind w:left="0"/>
                    <w:contextualSpacing w:val="0"/>
                    <w:rPr>
                      <w:rFonts w:ascii="Arial" w:hAnsi="Arial" w:cs="Arial"/>
                      <w:b/>
                      <w:sz w:val="16"/>
                      <w:szCs w:val="16"/>
                    </w:rPr>
                  </w:pPr>
                </w:p>
                <w:p w14:paraId="30EC757A" w14:textId="07579F2E"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7A63A674" w14:textId="77777777" w:rsidR="00AF3ADA" w:rsidRDefault="00AF3ADA" w:rsidP="00AF3ADA">
                  <w:pPr>
                    <w:pStyle w:val="ListParagraph"/>
                    <w:spacing w:line="360" w:lineRule="auto"/>
                    <w:ind w:left="0"/>
                    <w:contextualSpacing w:val="0"/>
                    <w:rPr>
                      <w:rFonts w:ascii="Arial" w:hAnsi="Arial" w:cs="Arial"/>
                      <w:b/>
                      <w:sz w:val="16"/>
                      <w:szCs w:val="16"/>
                    </w:rPr>
                  </w:pPr>
                </w:p>
                <w:p w14:paraId="5BF5A7E0" w14:textId="715276B1"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080555ED" w14:textId="77777777" w:rsidTr="00AF3ADA">
              <w:trPr>
                <w:trHeight w:val="164"/>
              </w:trPr>
              <w:tc>
                <w:tcPr>
                  <w:tcW w:w="889" w:type="dxa"/>
                  <w:tcBorders>
                    <w:left w:val="nil"/>
                  </w:tcBorders>
                </w:tcPr>
                <w:p w14:paraId="0985FC11" w14:textId="77777777" w:rsidR="00AF3ADA" w:rsidRDefault="00AF3ADA" w:rsidP="00AF3ADA">
                  <w:pPr>
                    <w:pStyle w:val="ListParagraph"/>
                    <w:spacing w:line="360" w:lineRule="auto"/>
                    <w:ind w:left="0"/>
                    <w:contextualSpacing w:val="0"/>
                    <w:rPr>
                      <w:rFonts w:ascii="Arial" w:hAnsi="Arial" w:cs="Arial"/>
                      <w:b/>
                      <w:sz w:val="16"/>
                      <w:szCs w:val="16"/>
                    </w:rPr>
                  </w:pPr>
                </w:p>
                <w:p w14:paraId="7423DA56" w14:textId="36B8EE9A"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1E7BFDFF" w14:textId="77777777" w:rsidR="00AF3ADA" w:rsidRDefault="00AF3ADA" w:rsidP="00AF3ADA">
                  <w:pPr>
                    <w:pStyle w:val="ListParagraph"/>
                    <w:spacing w:line="360" w:lineRule="auto"/>
                    <w:ind w:left="0"/>
                    <w:contextualSpacing w:val="0"/>
                    <w:rPr>
                      <w:rFonts w:ascii="Arial" w:hAnsi="Arial" w:cs="Arial"/>
                      <w:b/>
                      <w:sz w:val="16"/>
                      <w:szCs w:val="16"/>
                    </w:rPr>
                  </w:pPr>
                </w:p>
                <w:p w14:paraId="15CBD0B8" w14:textId="5997727F" w:rsidR="00AF3ADA" w:rsidRPr="001D1DA2" w:rsidRDefault="008F5F71"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4712D558"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388F7B25" w14:textId="69646347"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7373FCAD" w14:textId="77777777" w:rsidR="00AF3ADA" w:rsidRDefault="00AF3ADA" w:rsidP="00AF3ADA">
                  <w:pPr>
                    <w:pStyle w:val="ListParagraph"/>
                    <w:spacing w:line="360" w:lineRule="auto"/>
                    <w:ind w:left="0"/>
                    <w:contextualSpacing w:val="0"/>
                    <w:rPr>
                      <w:rFonts w:ascii="Arial" w:hAnsi="Arial" w:cs="Arial"/>
                      <w:b/>
                      <w:sz w:val="16"/>
                      <w:szCs w:val="16"/>
                    </w:rPr>
                  </w:pPr>
                </w:p>
                <w:p w14:paraId="43B16891" w14:textId="2E5FC042"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3B696EAA" w14:textId="77777777" w:rsidTr="00AF3ADA">
              <w:trPr>
                <w:trHeight w:val="164"/>
              </w:trPr>
              <w:tc>
                <w:tcPr>
                  <w:tcW w:w="889" w:type="dxa"/>
                  <w:tcBorders>
                    <w:left w:val="nil"/>
                  </w:tcBorders>
                </w:tcPr>
                <w:p w14:paraId="4FBE1101" w14:textId="77777777" w:rsidR="00AF3ADA" w:rsidRDefault="00AF3ADA" w:rsidP="00AF3ADA">
                  <w:pPr>
                    <w:pStyle w:val="ListParagraph"/>
                    <w:spacing w:line="360" w:lineRule="auto"/>
                    <w:ind w:left="0"/>
                    <w:contextualSpacing w:val="0"/>
                    <w:rPr>
                      <w:rFonts w:ascii="Arial" w:hAnsi="Arial" w:cs="Arial"/>
                      <w:b/>
                      <w:sz w:val="16"/>
                      <w:szCs w:val="16"/>
                    </w:rPr>
                  </w:pPr>
                </w:p>
                <w:p w14:paraId="499F3E23" w14:textId="2C031141"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7D1F9855" w14:textId="77777777" w:rsidR="00AF3ADA" w:rsidRDefault="00AF3ADA" w:rsidP="00AF3ADA">
                  <w:pPr>
                    <w:pStyle w:val="ListParagraph"/>
                    <w:spacing w:line="360" w:lineRule="auto"/>
                    <w:ind w:left="0"/>
                    <w:contextualSpacing w:val="0"/>
                    <w:rPr>
                      <w:rFonts w:ascii="Arial" w:hAnsi="Arial" w:cs="Arial"/>
                      <w:b/>
                      <w:sz w:val="16"/>
                      <w:szCs w:val="16"/>
                    </w:rPr>
                  </w:pPr>
                </w:p>
                <w:p w14:paraId="4023E9FE" w14:textId="4CDDB162" w:rsidR="00AF3ADA" w:rsidRPr="001D1DA2" w:rsidRDefault="008F5F71"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3CD48B84"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0F9236A" w14:textId="1ED582DD"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30D078E5"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8BAA56F" w14:textId="1EEA6D10" w:rsidR="00AF3ADA" w:rsidRPr="001D1DA2" w:rsidRDefault="008F5F71"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56C73358"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1019717B"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4EAA1704"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3B23275E"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57CD78DA"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231512F8" w14:textId="77777777" w:rsidTr="002463D5">
              <w:trPr>
                <w:trHeight w:val="1835"/>
              </w:trPr>
              <w:tc>
                <w:tcPr>
                  <w:tcW w:w="5311" w:type="dxa"/>
                  <w:gridSpan w:val="5"/>
                  <w:tcBorders>
                    <w:left w:val="nil"/>
                    <w:bottom w:val="single" w:sz="4" w:space="0" w:color="auto"/>
                  </w:tcBorders>
                  <w:shd w:val="clear" w:color="auto" w:fill="auto"/>
                </w:tcPr>
                <w:p w14:paraId="6E41D46F"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6E7F9A50" w14:textId="77777777" w:rsidR="006744CF" w:rsidRPr="00FC7B64" w:rsidRDefault="006744CF" w:rsidP="002463D5">
                  <w:pPr>
                    <w:tabs>
                      <w:tab w:val="left" w:pos="360"/>
                    </w:tabs>
                    <w:spacing w:line="276" w:lineRule="auto"/>
                    <w:rPr>
                      <w:rFonts w:ascii="Arial" w:hAnsi="Arial" w:cs="Arial"/>
                      <w:b/>
                      <w:bCs/>
                      <w:sz w:val="16"/>
                      <w:szCs w:val="16"/>
                    </w:rPr>
                  </w:pPr>
                </w:p>
                <w:p w14:paraId="304FCFCC"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00E38BC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3475C30F"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24C8DCA9"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48C605F0"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6FDEB5C4"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4DF0262D"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10F55D80"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3010A01D"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08DB3D40" w14:textId="77777777" w:rsidR="006744CF" w:rsidRPr="00FC7B64" w:rsidRDefault="006744CF" w:rsidP="002463D5">
                  <w:pPr>
                    <w:spacing w:line="276" w:lineRule="auto"/>
                    <w:rPr>
                      <w:rFonts w:ascii="Arial" w:hAnsi="Arial" w:cs="Arial"/>
                      <w:sz w:val="16"/>
                      <w:szCs w:val="16"/>
                    </w:rPr>
                  </w:pPr>
                </w:p>
                <w:p w14:paraId="5DC96304"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11E87516"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1DE07E4C"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4859F104"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3D800444"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73306810"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2FD0B190" w14:textId="77777777" w:rsidTr="002463D5">
              <w:trPr>
                <w:trHeight w:val="1683"/>
              </w:trPr>
              <w:tc>
                <w:tcPr>
                  <w:tcW w:w="5311" w:type="dxa"/>
                  <w:gridSpan w:val="5"/>
                  <w:tcBorders>
                    <w:left w:val="nil"/>
                    <w:bottom w:val="single" w:sz="4" w:space="0" w:color="auto"/>
                  </w:tcBorders>
                  <w:shd w:val="clear" w:color="auto" w:fill="auto"/>
                </w:tcPr>
                <w:p w14:paraId="7A856FF5"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6C250F3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64C5FC69"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1A7127F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021787E0"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5BC45EF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177CD5C0"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2B20D5F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25BCDC1E"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595522A5"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321EF32D"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6863DA04" w14:textId="77777777" w:rsidR="006744CF" w:rsidRPr="001D1DA2" w:rsidRDefault="006744CF" w:rsidP="002463D5">
                  <w:pPr>
                    <w:spacing w:line="276" w:lineRule="auto"/>
                    <w:rPr>
                      <w:rFonts w:ascii="Arial" w:hAnsi="Arial" w:cs="Arial"/>
                      <w:sz w:val="16"/>
                      <w:szCs w:val="16"/>
                    </w:rPr>
                  </w:pPr>
                </w:p>
                <w:p w14:paraId="59AFAF08"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43DAAF1B"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377C798C"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3D4FC86D"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38C8CBE6"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0A430947"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48C7B0A6"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5BB10539" w14:textId="77777777" w:rsidTr="002463D5">
              <w:trPr>
                <w:trHeight w:val="835"/>
              </w:trPr>
              <w:tc>
                <w:tcPr>
                  <w:tcW w:w="10844" w:type="dxa"/>
                  <w:gridSpan w:val="9"/>
                  <w:tcBorders>
                    <w:left w:val="nil"/>
                    <w:bottom w:val="single" w:sz="4" w:space="0" w:color="auto"/>
                  </w:tcBorders>
                  <w:shd w:val="clear" w:color="auto" w:fill="auto"/>
                </w:tcPr>
                <w:p w14:paraId="7438B24F"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3E1D681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092F7A6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7D77636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682E84FE"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75AAC402" w14:textId="77777777" w:rsidTr="002463D5">
              <w:trPr>
                <w:trHeight w:val="328"/>
              </w:trPr>
              <w:tc>
                <w:tcPr>
                  <w:tcW w:w="10844" w:type="dxa"/>
                  <w:gridSpan w:val="9"/>
                  <w:tcBorders>
                    <w:left w:val="nil"/>
                  </w:tcBorders>
                  <w:shd w:val="clear" w:color="auto" w:fill="auto"/>
                </w:tcPr>
                <w:p w14:paraId="31224CB3"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0BE54593"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2E55ABD8" w14:textId="77777777" w:rsidTr="002463D5">
              <w:trPr>
                <w:gridAfter w:val="1"/>
                <w:wAfter w:w="8" w:type="dxa"/>
                <w:trHeight w:val="164"/>
              </w:trPr>
              <w:tc>
                <w:tcPr>
                  <w:tcW w:w="800" w:type="dxa"/>
                  <w:tcBorders>
                    <w:left w:val="nil"/>
                  </w:tcBorders>
                  <w:shd w:val="clear" w:color="auto" w:fill="auto"/>
                </w:tcPr>
                <w:p w14:paraId="332E75FE"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18714F18"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4DF3F993"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23BA5C8A"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3F7CCF55"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322AC85F"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6A821CDA" w14:textId="77777777" w:rsidTr="002F38F5">
              <w:trPr>
                <w:gridAfter w:val="1"/>
                <w:wAfter w:w="8" w:type="dxa"/>
                <w:trHeight w:val="164"/>
              </w:trPr>
              <w:tc>
                <w:tcPr>
                  <w:tcW w:w="800" w:type="dxa"/>
                  <w:tcBorders>
                    <w:left w:val="nil"/>
                  </w:tcBorders>
                  <w:shd w:val="clear" w:color="auto" w:fill="auto"/>
                  <w:vAlign w:val="center"/>
                </w:tcPr>
                <w:p w14:paraId="27AE5450" w14:textId="5ADDC8A7" w:rsidR="006744CF" w:rsidRPr="001D1DA2" w:rsidRDefault="008F5F71"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65E5488B" w14:textId="77777777" w:rsidR="00A02DF0" w:rsidRDefault="00A02DF0" w:rsidP="00A02DF0">
                  <w:pPr>
                    <w:tabs>
                      <w:tab w:val="left" w:pos="360"/>
                    </w:tabs>
                    <w:spacing w:line="276" w:lineRule="auto"/>
                    <w:jc w:val="center"/>
                    <w:rPr>
                      <w:rFonts w:ascii="Arial" w:hAnsi="Arial" w:cs="Arial"/>
                      <w:sz w:val="16"/>
                      <w:szCs w:val="16"/>
                    </w:rPr>
                  </w:pPr>
                </w:p>
                <w:p w14:paraId="281CE147" w14:textId="66C6D40C" w:rsidR="006002CB"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76FB2008" w14:textId="77777777" w:rsidR="006744CF" w:rsidRDefault="006744CF" w:rsidP="00A02DF0">
                  <w:pPr>
                    <w:tabs>
                      <w:tab w:val="left" w:pos="360"/>
                    </w:tabs>
                    <w:spacing w:line="276" w:lineRule="auto"/>
                    <w:jc w:val="center"/>
                    <w:rPr>
                      <w:rFonts w:ascii="Arial" w:hAnsi="Arial" w:cs="Arial"/>
                      <w:sz w:val="16"/>
                      <w:szCs w:val="16"/>
                    </w:rPr>
                  </w:pPr>
                </w:p>
                <w:p w14:paraId="1B08B870" w14:textId="48B609A4"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389858F6" w14:textId="77777777" w:rsidR="006744CF" w:rsidRDefault="006744CF" w:rsidP="002463D5">
                  <w:pPr>
                    <w:tabs>
                      <w:tab w:val="left" w:pos="360"/>
                    </w:tabs>
                    <w:spacing w:line="276" w:lineRule="auto"/>
                    <w:rPr>
                      <w:rFonts w:ascii="Arial" w:hAnsi="Arial" w:cs="Arial"/>
                      <w:sz w:val="16"/>
                      <w:szCs w:val="16"/>
                    </w:rPr>
                  </w:pPr>
                </w:p>
                <w:p w14:paraId="479998A7" w14:textId="3A4CEF56"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76C7EE9A" w14:textId="77777777" w:rsidTr="002F38F5">
              <w:trPr>
                <w:gridAfter w:val="1"/>
                <w:wAfter w:w="8" w:type="dxa"/>
                <w:trHeight w:val="164"/>
              </w:trPr>
              <w:tc>
                <w:tcPr>
                  <w:tcW w:w="800" w:type="dxa"/>
                  <w:tcBorders>
                    <w:left w:val="nil"/>
                  </w:tcBorders>
                  <w:shd w:val="clear" w:color="auto" w:fill="auto"/>
                  <w:vAlign w:val="center"/>
                </w:tcPr>
                <w:p w14:paraId="1C99BD66" w14:textId="25B4B0F2" w:rsidR="006744CF" w:rsidRPr="001D1DA2" w:rsidRDefault="008F5F71"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5103C29A" w14:textId="77777777" w:rsidR="006744CF" w:rsidRDefault="006744CF" w:rsidP="002463D5">
                  <w:pPr>
                    <w:tabs>
                      <w:tab w:val="left" w:pos="360"/>
                    </w:tabs>
                    <w:spacing w:line="276" w:lineRule="auto"/>
                    <w:rPr>
                      <w:rFonts w:ascii="Arial" w:hAnsi="Arial" w:cs="Arial"/>
                      <w:sz w:val="16"/>
                      <w:szCs w:val="16"/>
                    </w:rPr>
                  </w:pPr>
                </w:p>
                <w:p w14:paraId="184D71E7" w14:textId="14B092B9" w:rsidR="006002CB" w:rsidRPr="001D1DA2" w:rsidRDefault="008F5F71"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6E176A3B" w14:textId="77777777" w:rsidR="006744CF" w:rsidRDefault="006744CF" w:rsidP="00A02DF0">
                  <w:pPr>
                    <w:tabs>
                      <w:tab w:val="left" w:pos="360"/>
                    </w:tabs>
                    <w:spacing w:line="276" w:lineRule="auto"/>
                    <w:jc w:val="center"/>
                    <w:rPr>
                      <w:rFonts w:ascii="Arial" w:hAnsi="Arial" w:cs="Arial"/>
                      <w:sz w:val="16"/>
                      <w:szCs w:val="16"/>
                    </w:rPr>
                  </w:pPr>
                </w:p>
                <w:p w14:paraId="135345EF" w14:textId="02649C94"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7CAE95E5" w14:textId="77777777" w:rsidR="006744CF" w:rsidRDefault="006744CF" w:rsidP="00A02DF0">
                  <w:pPr>
                    <w:tabs>
                      <w:tab w:val="left" w:pos="360"/>
                    </w:tabs>
                    <w:spacing w:line="276" w:lineRule="auto"/>
                    <w:jc w:val="center"/>
                    <w:rPr>
                      <w:rFonts w:ascii="Arial" w:hAnsi="Arial" w:cs="Arial"/>
                      <w:sz w:val="16"/>
                      <w:szCs w:val="16"/>
                    </w:rPr>
                  </w:pPr>
                </w:p>
                <w:p w14:paraId="50B97B9C" w14:textId="2D38F8E5"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1192F548" w14:textId="77777777" w:rsidTr="002F38F5">
              <w:trPr>
                <w:gridAfter w:val="1"/>
                <w:wAfter w:w="8" w:type="dxa"/>
                <w:trHeight w:val="164"/>
              </w:trPr>
              <w:tc>
                <w:tcPr>
                  <w:tcW w:w="800" w:type="dxa"/>
                  <w:tcBorders>
                    <w:left w:val="nil"/>
                  </w:tcBorders>
                  <w:shd w:val="clear" w:color="auto" w:fill="auto"/>
                  <w:vAlign w:val="center"/>
                </w:tcPr>
                <w:p w14:paraId="6F198F77" w14:textId="10016E26" w:rsidR="006744CF" w:rsidRPr="001D1DA2" w:rsidRDefault="008F5F71"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42A1BC72" w14:textId="77777777" w:rsidR="006744CF" w:rsidRDefault="006744CF" w:rsidP="002463D5">
                  <w:pPr>
                    <w:tabs>
                      <w:tab w:val="left" w:pos="360"/>
                    </w:tabs>
                    <w:spacing w:line="276" w:lineRule="auto"/>
                    <w:rPr>
                      <w:rFonts w:ascii="Arial" w:hAnsi="Arial" w:cs="Arial"/>
                      <w:sz w:val="16"/>
                      <w:szCs w:val="16"/>
                    </w:rPr>
                  </w:pPr>
                </w:p>
                <w:p w14:paraId="51C730C3" w14:textId="5D0E2B58" w:rsidR="006002CB" w:rsidRPr="001D1DA2" w:rsidRDefault="008F5F71"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61A69064" w14:textId="77777777" w:rsidR="006744CF" w:rsidRDefault="006744CF" w:rsidP="002463D5">
                  <w:pPr>
                    <w:tabs>
                      <w:tab w:val="left" w:pos="360"/>
                    </w:tabs>
                    <w:spacing w:line="276" w:lineRule="auto"/>
                    <w:rPr>
                      <w:rFonts w:ascii="Arial" w:hAnsi="Arial" w:cs="Arial"/>
                      <w:sz w:val="16"/>
                      <w:szCs w:val="16"/>
                    </w:rPr>
                  </w:pPr>
                </w:p>
                <w:p w14:paraId="4DFE2737" w14:textId="6E3D0331"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2A334F7C" w14:textId="77777777" w:rsidR="006744CF" w:rsidRDefault="006744CF" w:rsidP="00A02DF0">
                  <w:pPr>
                    <w:tabs>
                      <w:tab w:val="left" w:pos="360"/>
                    </w:tabs>
                    <w:spacing w:line="276" w:lineRule="auto"/>
                    <w:jc w:val="center"/>
                    <w:rPr>
                      <w:rFonts w:ascii="Arial" w:hAnsi="Arial" w:cs="Arial"/>
                      <w:sz w:val="16"/>
                      <w:szCs w:val="16"/>
                    </w:rPr>
                  </w:pPr>
                </w:p>
                <w:p w14:paraId="0D7D0E1C" w14:textId="4C9F4B1C"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7FACCB14" w14:textId="77777777" w:rsidTr="002F38F5">
              <w:trPr>
                <w:gridAfter w:val="1"/>
                <w:wAfter w:w="8" w:type="dxa"/>
                <w:trHeight w:val="164"/>
              </w:trPr>
              <w:tc>
                <w:tcPr>
                  <w:tcW w:w="800" w:type="dxa"/>
                  <w:tcBorders>
                    <w:left w:val="nil"/>
                  </w:tcBorders>
                  <w:shd w:val="clear" w:color="auto" w:fill="auto"/>
                  <w:vAlign w:val="center"/>
                </w:tcPr>
                <w:p w14:paraId="4DD88BF8" w14:textId="31719883" w:rsidR="006744CF" w:rsidRPr="001D1DA2" w:rsidRDefault="008F5F71"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077E8782" w14:textId="77777777" w:rsidR="006744CF" w:rsidRDefault="006744CF" w:rsidP="002463D5">
                  <w:pPr>
                    <w:tabs>
                      <w:tab w:val="left" w:pos="360"/>
                    </w:tabs>
                    <w:spacing w:line="276" w:lineRule="auto"/>
                    <w:rPr>
                      <w:rFonts w:ascii="Arial" w:hAnsi="Arial" w:cs="Arial"/>
                      <w:sz w:val="16"/>
                      <w:szCs w:val="16"/>
                    </w:rPr>
                  </w:pPr>
                </w:p>
                <w:p w14:paraId="1C21349C" w14:textId="5D864C4C" w:rsidR="006002CB" w:rsidRPr="001D1DA2" w:rsidRDefault="008F5F71"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0EC08DB" w14:textId="77777777" w:rsidR="006744CF" w:rsidRDefault="006744CF" w:rsidP="002463D5">
                  <w:pPr>
                    <w:tabs>
                      <w:tab w:val="left" w:pos="360"/>
                    </w:tabs>
                    <w:spacing w:line="276" w:lineRule="auto"/>
                    <w:rPr>
                      <w:rFonts w:ascii="Arial" w:hAnsi="Arial" w:cs="Arial"/>
                      <w:sz w:val="16"/>
                      <w:szCs w:val="16"/>
                    </w:rPr>
                  </w:pPr>
                </w:p>
                <w:p w14:paraId="3A1C9EA3" w14:textId="58423783"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76FEAE53" w14:textId="77777777" w:rsidR="006744CF" w:rsidRDefault="006744CF" w:rsidP="002463D5">
                  <w:pPr>
                    <w:tabs>
                      <w:tab w:val="left" w:pos="360"/>
                    </w:tabs>
                    <w:spacing w:line="276" w:lineRule="auto"/>
                    <w:rPr>
                      <w:rFonts w:ascii="Arial" w:hAnsi="Arial" w:cs="Arial"/>
                      <w:sz w:val="16"/>
                      <w:szCs w:val="16"/>
                    </w:rPr>
                  </w:pPr>
                </w:p>
                <w:p w14:paraId="2372A190" w14:textId="01A1562B" w:rsidR="00A02DF0" w:rsidRPr="001D1DA2" w:rsidRDefault="008F5F71"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549BDECA" w14:textId="77777777" w:rsidTr="002463D5">
              <w:trPr>
                <w:trHeight w:val="1341"/>
              </w:trPr>
              <w:tc>
                <w:tcPr>
                  <w:tcW w:w="10844" w:type="dxa"/>
                  <w:gridSpan w:val="9"/>
                  <w:tcBorders>
                    <w:left w:val="nil"/>
                  </w:tcBorders>
                  <w:shd w:val="clear" w:color="auto" w:fill="auto"/>
                </w:tcPr>
                <w:p w14:paraId="22F7C032"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1594F072"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0DD8F453" w14:textId="77777777" w:rsidR="006744CF" w:rsidRDefault="006744CF" w:rsidP="002463D5">
                  <w:pPr>
                    <w:tabs>
                      <w:tab w:val="left" w:pos="360"/>
                    </w:tabs>
                    <w:spacing w:line="276" w:lineRule="auto"/>
                    <w:rPr>
                      <w:rFonts w:ascii="Arial" w:hAnsi="Arial" w:cs="Arial"/>
                      <w:b/>
                      <w:bCs/>
                      <w:i/>
                      <w:iCs/>
                      <w:sz w:val="16"/>
                      <w:szCs w:val="16"/>
                    </w:rPr>
                  </w:pPr>
                </w:p>
                <w:p w14:paraId="5721BC63"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4445108F"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28991BB0" w14:textId="77777777" w:rsidR="00FF7BF2" w:rsidRDefault="00FF7BF2" w:rsidP="002463D5">
                  <w:pPr>
                    <w:tabs>
                      <w:tab w:val="left" w:pos="360"/>
                    </w:tabs>
                    <w:spacing w:line="276" w:lineRule="auto"/>
                    <w:rPr>
                      <w:rFonts w:ascii="Arial" w:hAnsi="Arial" w:cs="Arial"/>
                      <w:bCs/>
                      <w:i/>
                      <w:iCs/>
                      <w:sz w:val="16"/>
                      <w:szCs w:val="16"/>
                    </w:rPr>
                  </w:pPr>
                </w:p>
                <w:p w14:paraId="14C7EB55"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0D734267" w14:textId="77777777" w:rsidTr="002463D5">
              <w:trPr>
                <w:trHeight w:val="111"/>
              </w:trPr>
              <w:tc>
                <w:tcPr>
                  <w:tcW w:w="3105" w:type="dxa"/>
                  <w:gridSpan w:val="2"/>
                  <w:tcBorders>
                    <w:left w:val="nil"/>
                  </w:tcBorders>
                  <w:shd w:val="clear" w:color="auto" w:fill="auto"/>
                </w:tcPr>
                <w:p w14:paraId="7ABECD1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04CEBFCE"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0AA0EA3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5A4662E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594C00D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53CA2827"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1B6C9EDA" w14:textId="77777777" w:rsidTr="002463D5">
              <w:trPr>
                <w:trHeight w:val="111"/>
              </w:trPr>
              <w:tc>
                <w:tcPr>
                  <w:tcW w:w="3105" w:type="dxa"/>
                  <w:gridSpan w:val="2"/>
                  <w:tcBorders>
                    <w:left w:val="nil"/>
                  </w:tcBorders>
                  <w:shd w:val="clear" w:color="auto" w:fill="auto"/>
                </w:tcPr>
                <w:p w14:paraId="19C721EB"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076CE634"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77C8045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4F5BB1A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0BBB667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F56439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0825C68B" w14:textId="77777777" w:rsidTr="002463D5">
              <w:trPr>
                <w:trHeight w:val="111"/>
              </w:trPr>
              <w:tc>
                <w:tcPr>
                  <w:tcW w:w="3105" w:type="dxa"/>
                  <w:gridSpan w:val="2"/>
                  <w:tcBorders>
                    <w:left w:val="nil"/>
                  </w:tcBorders>
                  <w:shd w:val="clear" w:color="auto" w:fill="auto"/>
                </w:tcPr>
                <w:p w14:paraId="3116C93E"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52332444"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F032F4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08388F5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7CDF64A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124498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71478B01" w14:textId="77777777" w:rsidTr="002463D5">
              <w:trPr>
                <w:trHeight w:val="111"/>
              </w:trPr>
              <w:tc>
                <w:tcPr>
                  <w:tcW w:w="3105" w:type="dxa"/>
                  <w:gridSpan w:val="2"/>
                  <w:tcBorders>
                    <w:left w:val="nil"/>
                  </w:tcBorders>
                  <w:shd w:val="clear" w:color="auto" w:fill="auto"/>
                </w:tcPr>
                <w:p w14:paraId="2C3E77B2"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7382C027"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7A1285D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33A6462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0CDD278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1B42EB3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50A339CF" w14:textId="77777777" w:rsidTr="002463D5">
              <w:trPr>
                <w:trHeight w:val="111"/>
              </w:trPr>
              <w:tc>
                <w:tcPr>
                  <w:tcW w:w="10844" w:type="dxa"/>
                  <w:gridSpan w:val="9"/>
                  <w:tcBorders>
                    <w:left w:val="nil"/>
                  </w:tcBorders>
                  <w:shd w:val="clear" w:color="auto" w:fill="auto"/>
                </w:tcPr>
                <w:p w14:paraId="60AC8B4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56678AB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5D426919"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57C6C84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7FFD868E"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3C1FFC1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32168D44"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2636492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0BA19379"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20EDA486"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4153460B"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00A22AAD"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684BDC67"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63CF3650"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66AA4C94" w14:textId="77777777" w:rsidTr="002463D5">
              <w:trPr>
                <w:trHeight w:val="211"/>
              </w:trPr>
              <w:tc>
                <w:tcPr>
                  <w:tcW w:w="5222" w:type="dxa"/>
                  <w:tcBorders>
                    <w:left w:val="nil"/>
                  </w:tcBorders>
                  <w:shd w:val="clear" w:color="auto" w:fill="auto"/>
                </w:tcPr>
                <w:p w14:paraId="32B2E52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140D8B6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62C8FAF9" w14:textId="77777777" w:rsidTr="002463D5">
              <w:trPr>
                <w:trHeight w:val="224"/>
              </w:trPr>
              <w:tc>
                <w:tcPr>
                  <w:tcW w:w="5222" w:type="dxa"/>
                  <w:tcBorders>
                    <w:left w:val="nil"/>
                  </w:tcBorders>
                  <w:shd w:val="clear" w:color="auto" w:fill="auto"/>
                </w:tcPr>
                <w:p w14:paraId="2E48B94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36F7FD9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2BCCDF06" w14:textId="77777777" w:rsidTr="002463D5">
              <w:trPr>
                <w:trHeight w:val="211"/>
              </w:trPr>
              <w:tc>
                <w:tcPr>
                  <w:tcW w:w="5222" w:type="dxa"/>
                  <w:tcBorders>
                    <w:left w:val="nil"/>
                  </w:tcBorders>
                  <w:shd w:val="clear" w:color="auto" w:fill="auto"/>
                </w:tcPr>
                <w:p w14:paraId="5351103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67E85EE1"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588CC776"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22C514C1" w14:textId="77777777" w:rsidTr="002463D5">
              <w:trPr>
                <w:trHeight w:val="211"/>
              </w:trPr>
              <w:tc>
                <w:tcPr>
                  <w:tcW w:w="5222" w:type="dxa"/>
                  <w:tcBorders>
                    <w:left w:val="nil"/>
                  </w:tcBorders>
                  <w:shd w:val="clear" w:color="auto" w:fill="auto"/>
                </w:tcPr>
                <w:p w14:paraId="6D94A4E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7A86DC7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7DBA0142"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48237596"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1F63864A"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393D8400" w14:textId="77777777" w:rsidTr="005053F6">
        <w:trPr>
          <w:trHeight w:val="405"/>
        </w:trPr>
        <w:tc>
          <w:tcPr>
            <w:tcW w:w="11057" w:type="dxa"/>
            <w:tcBorders>
              <w:top w:val="single" w:sz="6" w:space="0" w:color="auto"/>
              <w:bottom w:val="single" w:sz="6" w:space="0" w:color="auto"/>
            </w:tcBorders>
            <w:shd w:val="clear" w:color="auto" w:fill="auto"/>
          </w:tcPr>
          <w:p w14:paraId="1362D7E2"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5200AB27"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7EB2DDE4"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2EF77528"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1C2DD3A2" wp14:editId="251C9F9B">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2802B"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665646C9"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16E68342"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5623C829" wp14:editId="35C2B858">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B6EED"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24464695"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370E802C"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0A26CD95" wp14:editId="0DA976CB">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34550"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4257DABF"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3F6FA528"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391FCC38"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13EA4E46"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1EC98350"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33BF4A29"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4C8CE647"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546B1466"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2AFA6865"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6383AE46"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4DC1AD7D"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1A296A21"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41D94609"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47609D23"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607927B2"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22F4CBA8"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2435A667"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07FDD1E4"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06563BC8"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2F69BBCC"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2881C74F" w14:textId="77777777" w:rsidTr="005053F6">
        <w:trPr>
          <w:trHeight w:val="405"/>
        </w:trPr>
        <w:tc>
          <w:tcPr>
            <w:tcW w:w="11057" w:type="dxa"/>
            <w:tcBorders>
              <w:top w:val="single" w:sz="6" w:space="0" w:color="auto"/>
              <w:bottom w:val="single" w:sz="6" w:space="0" w:color="auto"/>
            </w:tcBorders>
            <w:shd w:val="clear" w:color="auto" w:fill="auto"/>
          </w:tcPr>
          <w:p w14:paraId="354023C0"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78A84A26"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6B3185FE"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65EE5A95"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0415E2F8"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56B0F997"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5E640A38"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3EE8E38E"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076E96EE"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38A0E1DB"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0F056DA5"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5E4C19AC" w14:textId="77777777" w:rsidR="006002CB" w:rsidRPr="006002CB" w:rsidRDefault="006002CB" w:rsidP="002463D5">
            <w:pPr>
              <w:spacing w:line="360" w:lineRule="auto"/>
              <w:rPr>
                <w:rFonts w:ascii="Arial" w:hAnsi="Arial" w:cs="Arial"/>
                <w:b/>
                <w:color w:val="E36C0A"/>
                <w:sz w:val="16"/>
                <w:szCs w:val="16"/>
              </w:rPr>
            </w:pPr>
          </w:p>
        </w:tc>
      </w:tr>
    </w:tbl>
    <w:p w14:paraId="15C7E3CA"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307A77CD"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6552CEE2"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34D7A505"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5AFDD84D" w14:textId="77777777" w:rsidTr="00303720">
        <w:trPr>
          <w:trHeight w:val="424"/>
          <w:jc w:val="center"/>
        </w:trPr>
        <w:tc>
          <w:tcPr>
            <w:tcW w:w="5807" w:type="dxa"/>
            <w:shd w:val="clear" w:color="auto" w:fill="ED7D31" w:themeFill="accent2"/>
          </w:tcPr>
          <w:p w14:paraId="4FE28064"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3F64526C"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06BAC7C3"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468E451A"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1B70FFE7" w14:textId="77777777" w:rsidTr="00303720">
        <w:trPr>
          <w:trHeight w:val="2126"/>
          <w:jc w:val="center"/>
        </w:trPr>
        <w:tc>
          <w:tcPr>
            <w:tcW w:w="5807" w:type="dxa"/>
            <w:shd w:val="clear" w:color="auto" w:fill="auto"/>
          </w:tcPr>
          <w:p w14:paraId="575FE45A"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14C83D7F"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60EBDAB8"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5332BDC7"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5CA75B93" w14:textId="77777777" w:rsidR="002463D5" w:rsidRPr="00303720" w:rsidRDefault="002463D5" w:rsidP="002463D5">
            <w:pPr>
              <w:spacing w:line="360" w:lineRule="auto"/>
              <w:jc w:val="center"/>
              <w:rPr>
                <w:rFonts w:ascii="Arial" w:hAnsi="Arial" w:cs="Arial"/>
                <w:b/>
                <w:bCs/>
                <w:sz w:val="16"/>
                <w:szCs w:val="16"/>
              </w:rPr>
            </w:pPr>
          </w:p>
        </w:tc>
      </w:tr>
    </w:tbl>
    <w:p w14:paraId="5916112A" w14:textId="77777777" w:rsidR="002463D5" w:rsidRDefault="002463D5">
      <w:pPr>
        <w:rPr>
          <w:rFonts w:ascii="Arial" w:hAnsi="Arial" w:cs="Arial"/>
          <w:b/>
          <w:sz w:val="16"/>
          <w:szCs w:val="16"/>
        </w:rPr>
      </w:pPr>
      <w:r>
        <w:rPr>
          <w:rFonts w:ascii="Arial" w:hAnsi="Arial" w:cs="Arial"/>
          <w:b/>
          <w:sz w:val="16"/>
          <w:szCs w:val="16"/>
        </w:rPr>
        <w:br w:type="page"/>
      </w:r>
    </w:p>
    <w:p w14:paraId="3E9D66B4"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58F885D9" w14:textId="77777777" w:rsidTr="00303720">
        <w:trPr>
          <w:trHeight w:val="806"/>
          <w:jc w:val="center"/>
        </w:trPr>
        <w:tc>
          <w:tcPr>
            <w:tcW w:w="11160" w:type="dxa"/>
            <w:gridSpan w:val="2"/>
            <w:shd w:val="clear" w:color="auto" w:fill="ED7D31" w:themeFill="accent2"/>
            <w:vAlign w:val="center"/>
          </w:tcPr>
          <w:p w14:paraId="3779D731"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5841376F"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49BC588D" w14:textId="77777777" w:rsidTr="00303720">
        <w:trPr>
          <w:trHeight w:val="389"/>
          <w:jc w:val="center"/>
        </w:trPr>
        <w:tc>
          <w:tcPr>
            <w:tcW w:w="5590" w:type="dxa"/>
            <w:shd w:val="clear" w:color="auto" w:fill="DEEAF6" w:themeFill="accent1" w:themeFillTint="33"/>
          </w:tcPr>
          <w:p w14:paraId="5133BE95"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4923316C"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662BC729"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38846250"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34D9114B" w14:textId="77777777" w:rsidTr="006002CB">
        <w:trPr>
          <w:trHeight w:val="277"/>
          <w:jc w:val="center"/>
        </w:trPr>
        <w:tc>
          <w:tcPr>
            <w:tcW w:w="5590" w:type="dxa"/>
          </w:tcPr>
          <w:p w14:paraId="599DE99F"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1A184EC8" w14:textId="77777777" w:rsidR="001A2C6B" w:rsidRDefault="001A2C6B" w:rsidP="00303720">
            <w:pPr>
              <w:keepNext/>
              <w:keepLines/>
              <w:spacing w:line="360" w:lineRule="auto"/>
              <w:rPr>
                <w:rFonts w:ascii="Arial" w:hAnsi="Arial" w:cs="Arial"/>
                <w:i/>
                <w:sz w:val="16"/>
                <w:szCs w:val="16"/>
              </w:rPr>
            </w:pPr>
          </w:p>
          <w:p w14:paraId="31931637" w14:textId="77777777" w:rsidR="001A2C6B" w:rsidRDefault="001A2C6B" w:rsidP="00303720">
            <w:pPr>
              <w:keepNext/>
              <w:keepLines/>
              <w:spacing w:line="360" w:lineRule="auto"/>
              <w:rPr>
                <w:rFonts w:ascii="Arial" w:hAnsi="Arial" w:cs="Arial"/>
                <w:i/>
                <w:sz w:val="16"/>
                <w:szCs w:val="16"/>
              </w:rPr>
            </w:pPr>
          </w:p>
          <w:p w14:paraId="72C8015C" w14:textId="77777777" w:rsidR="001A2C6B" w:rsidRPr="00CF2599" w:rsidRDefault="001A2C6B" w:rsidP="00303720">
            <w:pPr>
              <w:keepNext/>
              <w:keepLines/>
              <w:spacing w:line="360" w:lineRule="auto"/>
              <w:rPr>
                <w:rFonts w:ascii="Arial" w:hAnsi="Arial" w:cs="Arial"/>
                <w:i/>
                <w:sz w:val="16"/>
                <w:szCs w:val="16"/>
              </w:rPr>
            </w:pPr>
          </w:p>
          <w:p w14:paraId="7DE92E43"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75A0CCAD"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55B7B84D" w14:textId="77777777" w:rsidTr="006002CB">
        <w:trPr>
          <w:trHeight w:val="277"/>
          <w:jc w:val="center"/>
        </w:trPr>
        <w:tc>
          <w:tcPr>
            <w:tcW w:w="5590" w:type="dxa"/>
          </w:tcPr>
          <w:p w14:paraId="06793B3F"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73E2A0EC"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5844710C"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54B1C82D"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435958FD"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04264C60"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34FB7D06" w14:textId="77777777" w:rsidTr="00303720">
        <w:trPr>
          <w:trHeight w:val="611"/>
        </w:trPr>
        <w:tc>
          <w:tcPr>
            <w:tcW w:w="11005" w:type="dxa"/>
            <w:gridSpan w:val="2"/>
            <w:shd w:val="clear" w:color="auto" w:fill="auto"/>
            <w:vAlign w:val="center"/>
          </w:tcPr>
          <w:p w14:paraId="4C4CAFA7"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4055D6E4" w14:textId="77777777" w:rsidTr="00303720">
        <w:tc>
          <w:tcPr>
            <w:tcW w:w="5220" w:type="dxa"/>
            <w:shd w:val="clear" w:color="auto" w:fill="auto"/>
            <w:vAlign w:val="center"/>
          </w:tcPr>
          <w:p w14:paraId="2EF8237A"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0075C010"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51C80FC5" w14:textId="77777777" w:rsidTr="00303720">
        <w:tc>
          <w:tcPr>
            <w:tcW w:w="5220" w:type="dxa"/>
            <w:shd w:val="clear" w:color="auto" w:fill="auto"/>
            <w:vAlign w:val="center"/>
          </w:tcPr>
          <w:p w14:paraId="3821C1B2"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021098F1"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3E52D955" w14:textId="77777777" w:rsidTr="00303720">
        <w:trPr>
          <w:trHeight w:val="80"/>
        </w:trPr>
        <w:tc>
          <w:tcPr>
            <w:tcW w:w="11005" w:type="dxa"/>
            <w:gridSpan w:val="2"/>
            <w:shd w:val="clear" w:color="auto" w:fill="auto"/>
            <w:vAlign w:val="center"/>
          </w:tcPr>
          <w:p w14:paraId="0311D795"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5E881F88"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272E8B49"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3FA2490F"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4FD9A09C"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6AF36A8B"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174B4997"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2DCDCC3F" w14:textId="77777777" w:rsidTr="00303720">
        <w:trPr>
          <w:trHeight w:val="2232"/>
        </w:trPr>
        <w:tc>
          <w:tcPr>
            <w:tcW w:w="5220" w:type="dxa"/>
            <w:shd w:val="clear" w:color="auto" w:fill="auto"/>
            <w:vAlign w:val="center"/>
          </w:tcPr>
          <w:p w14:paraId="0B68638E"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3EBFF19D"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64A4E242" w14:textId="77777777" w:rsidR="004B41B2" w:rsidRPr="001D1DA2" w:rsidRDefault="004B41B2" w:rsidP="00303720">
            <w:pPr>
              <w:tabs>
                <w:tab w:val="left" w:pos="360"/>
              </w:tabs>
              <w:spacing w:line="360" w:lineRule="auto"/>
              <w:jc w:val="center"/>
              <w:rPr>
                <w:rFonts w:ascii="Arial" w:hAnsi="Arial" w:cs="Arial"/>
                <w:sz w:val="16"/>
                <w:szCs w:val="16"/>
              </w:rPr>
            </w:pPr>
          </w:p>
          <w:p w14:paraId="2488F018" w14:textId="77777777" w:rsidR="004B41B2" w:rsidRPr="001D1DA2" w:rsidRDefault="004B41B2" w:rsidP="00303720">
            <w:pPr>
              <w:tabs>
                <w:tab w:val="left" w:pos="360"/>
              </w:tabs>
              <w:spacing w:line="360" w:lineRule="auto"/>
              <w:jc w:val="center"/>
              <w:rPr>
                <w:rFonts w:ascii="Arial" w:hAnsi="Arial" w:cs="Arial"/>
                <w:sz w:val="16"/>
                <w:szCs w:val="16"/>
              </w:rPr>
            </w:pPr>
          </w:p>
          <w:p w14:paraId="346F94B2" w14:textId="77777777" w:rsidR="004B41B2" w:rsidRPr="001D1DA2" w:rsidRDefault="004B41B2" w:rsidP="00303720">
            <w:pPr>
              <w:tabs>
                <w:tab w:val="left" w:pos="360"/>
              </w:tabs>
              <w:spacing w:line="360" w:lineRule="auto"/>
              <w:jc w:val="center"/>
              <w:rPr>
                <w:rFonts w:ascii="Arial" w:hAnsi="Arial" w:cs="Arial"/>
                <w:sz w:val="16"/>
                <w:szCs w:val="16"/>
              </w:rPr>
            </w:pPr>
          </w:p>
          <w:p w14:paraId="37A8518C" w14:textId="77777777" w:rsidR="004B41B2" w:rsidRPr="001D1DA2" w:rsidRDefault="004B41B2" w:rsidP="00303720">
            <w:pPr>
              <w:tabs>
                <w:tab w:val="left" w:pos="360"/>
              </w:tabs>
              <w:spacing w:line="360" w:lineRule="auto"/>
              <w:jc w:val="center"/>
              <w:rPr>
                <w:rFonts w:ascii="Arial" w:hAnsi="Arial" w:cs="Arial"/>
                <w:sz w:val="16"/>
                <w:szCs w:val="16"/>
              </w:rPr>
            </w:pPr>
          </w:p>
          <w:p w14:paraId="4F4D3C61"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61122AE1"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1103EB2F"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5E621DB3" w14:textId="77777777" w:rsidR="004B41B2" w:rsidRPr="001D1DA2" w:rsidRDefault="004B41B2" w:rsidP="00303720">
            <w:pPr>
              <w:tabs>
                <w:tab w:val="left" w:pos="360"/>
              </w:tabs>
              <w:spacing w:line="360" w:lineRule="auto"/>
              <w:jc w:val="center"/>
              <w:rPr>
                <w:rFonts w:ascii="Arial" w:hAnsi="Arial" w:cs="Arial"/>
                <w:sz w:val="16"/>
                <w:szCs w:val="16"/>
              </w:rPr>
            </w:pPr>
          </w:p>
          <w:p w14:paraId="751A3BA2" w14:textId="77777777" w:rsidR="004B41B2" w:rsidRPr="001D1DA2" w:rsidRDefault="004B41B2" w:rsidP="00303720">
            <w:pPr>
              <w:tabs>
                <w:tab w:val="left" w:pos="360"/>
              </w:tabs>
              <w:spacing w:line="360" w:lineRule="auto"/>
              <w:jc w:val="center"/>
              <w:rPr>
                <w:rFonts w:ascii="Arial" w:hAnsi="Arial" w:cs="Arial"/>
                <w:sz w:val="16"/>
                <w:szCs w:val="16"/>
              </w:rPr>
            </w:pPr>
          </w:p>
          <w:p w14:paraId="0A6EAD5E" w14:textId="77777777" w:rsidR="004B41B2" w:rsidRPr="001D1DA2" w:rsidRDefault="004B41B2" w:rsidP="00303720">
            <w:pPr>
              <w:tabs>
                <w:tab w:val="left" w:pos="360"/>
              </w:tabs>
              <w:spacing w:line="360" w:lineRule="auto"/>
              <w:jc w:val="center"/>
              <w:rPr>
                <w:rFonts w:ascii="Arial" w:hAnsi="Arial" w:cs="Arial"/>
                <w:sz w:val="16"/>
                <w:szCs w:val="16"/>
              </w:rPr>
            </w:pPr>
          </w:p>
          <w:p w14:paraId="52FD97D5" w14:textId="77777777" w:rsidR="004B41B2" w:rsidRPr="001D1DA2" w:rsidRDefault="004B41B2" w:rsidP="00303720">
            <w:pPr>
              <w:tabs>
                <w:tab w:val="left" w:pos="360"/>
              </w:tabs>
              <w:spacing w:line="360" w:lineRule="auto"/>
              <w:jc w:val="center"/>
              <w:rPr>
                <w:rFonts w:ascii="Arial" w:hAnsi="Arial" w:cs="Arial"/>
                <w:sz w:val="16"/>
                <w:szCs w:val="16"/>
              </w:rPr>
            </w:pPr>
          </w:p>
          <w:p w14:paraId="65B6B86B"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4B214B87"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F9BC2" w14:textId="77777777" w:rsidR="008F5F71" w:rsidRDefault="008F5F71">
      <w:r>
        <w:separator/>
      </w:r>
    </w:p>
  </w:endnote>
  <w:endnote w:type="continuationSeparator" w:id="0">
    <w:p w14:paraId="7F04F210" w14:textId="77777777" w:rsidR="008F5F71" w:rsidRDefault="008F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43604C91"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60663DED"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EFCEC" w14:textId="77777777" w:rsidR="008F5F71" w:rsidRDefault="008F5F71">
      <w:r>
        <w:separator/>
      </w:r>
    </w:p>
  </w:footnote>
  <w:footnote w:type="continuationSeparator" w:id="0">
    <w:p w14:paraId="1AA9CC11" w14:textId="77777777" w:rsidR="008F5F71" w:rsidRDefault="008F5F71">
      <w:r>
        <w:continuationSeparator/>
      </w:r>
    </w:p>
  </w:footnote>
  <w:footnote w:id="1">
    <w:p w14:paraId="093B627A"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463D9D83"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44D09776" w14:textId="77777777" w:rsidR="00660D87" w:rsidRDefault="00660D87" w:rsidP="006744CF">
      <w:pPr>
        <w:pStyle w:val="FootnoteText"/>
      </w:pPr>
    </w:p>
  </w:footnote>
  <w:footnote w:id="3">
    <w:p w14:paraId="114F60CA"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2D40CD79" w14:textId="77777777" w:rsidR="00660D87" w:rsidRDefault="00660D87" w:rsidP="006744CF">
      <w:pPr>
        <w:pStyle w:val="FootnoteText"/>
      </w:pPr>
    </w:p>
  </w:footnote>
  <w:footnote w:id="4">
    <w:p w14:paraId="2A175541"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D65C" w14:textId="77777777" w:rsidR="00660D87" w:rsidRPr="001E3B4D" w:rsidRDefault="00660D87" w:rsidP="00C04E08">
    <w:pPr>
      <w:spacing w:line="288" w:lineRule="auto"/>
      <w:rPr>
        <w:rFonts w:ascii="Arial" w:hAnsi="Arial" w:cs="Arial"/>
        <w:sz w:val="18"/>
        <w:szCs w:val="18"/>
      </w:rPr>
    </w:pPr>
  </w:p>
  <w:p w14:paraId="7CA156EB"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F71"/>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8F5F71"/>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85FE38"/>
  <w15:chartTrackingRefBased/>
  <w15:docId w15:val="{1C660036-570A-4655-A457-36F4314E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3005</Words>
  <Characters>17131</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2020-10-06T06:27:00Z</dcterms:created>
  <dcterms:modified xsi:type="dcterms:W3CDTF">2020-10-06T06:27:00Z</dcterms:modified>
</cp:coreProperties>
</file>