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02401764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  <w:r w:rsidR="00D67F63">
        <w:rPr>
          <w:rFonts w:ascii="Times New Roman" w:hAnsi="Times New Roman" w:cs="Times New Roman"/>
          <w:color w:val="auto"/>
          <w:lang w:val="en-US" w:eastAsia="zh-CN"/>
        </w:rPr>
        <w:t>—</w:t>
      </w:r>
      <w:r w:rsidR="00D67F63" w:rsidRPr="00D67F63">
        <w:rPr>
          <w:rFonts w:ascii="Times New Roman" w:hAnsi="Times New Roman" w:cs="Times New Roman" w:hint="eastAsia"/>
          <w:color w:val="FF0000"/>
          <w:lang w:val="en-US" w:eastAsia="zh-CN"/>
        </w:rPr>
        <w:t>暂时作废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1FBA7C9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DC5FFE">
        <w:rPr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  <w:bookmarkStart w:id="59" w:name="_GoBack"/>
      <w:bookmarkEnd w:id="59"/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20CDBF2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2B141C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F455C5" w:rsidRDefault="00F455C5">
      <w:r>
        <w:separator/>
      </w:r>
    </w:p>
  </w:endnote>
  <w:endnote w:type="continuationSeparator" w:id="0">
    <w:p w14:paraId="7E1742B6" w14:textId="77777777" w:rsidR="00F455C5" w:rsidRDefault="00F4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F455C5" w:rsidRDefault="00F455C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F455C5" w:rsidRDefault="00F455C5">
      <w:r>
        <w:separator/>
      </w:r>
    </w:p>
  </w:footnote>
  <w:footnote w:type="continuationSeparator" w:id="0">
    <w:p w14:paraId="069F23E4" w14:textId="77777777" w:rsidR="00F455C5" w:rsidRDefault="00F45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F455C5" w:rsidRDefault="00F455C5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22FC0"/>
    <w:rsid w:val="00A31F11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A360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42BE"/>
    <w:rsid w:val="00F35CC8"/>
    <w:rsid w:val="00F455C5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8E0478-DCC3-BE40-BFCD-2FB7A380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53</Pages>
  <Words>6229</Words>
  <Characters>35511</Characters>
  <Application>Microsoft Macintosh Word</Application>
  <DocSecurity>0</DocSecurity>
  <Lines>295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164</cp:revision>
  <dcterms:created xsi:type="dcterms:W3CDTF">2015-11-18T11:43:00Z</dcterms:created>
  <dcterms:modified xsi:type="dcterms:W3CDTF">2015-12-25T02:28:00Z</dcterms:modified>
</cp:coreProperties>
</file>