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864"/>
          <w:sz w:val="36"/>
        </w:rPr>
        <w:t>TÀI LIỆU KỸ THUẬT &amp; KIẾN TRÚC HỆ THỐNG</w:t>
      </w:r>
    </w:p>
    <w:p>
      <w:pPr>
        <w:jc w:val="center"/>
      </w:pPr>
      <w:r>
        <w:rPr>
          <w:rFonts w:ascii="Times New Roman" w:hAnsi="Times New Roman"/>
          <w:b/>
          <w:color w:val="2E74B5"/>
          <w:sz w:val="30"/>
        </w:rPr>
        <w:t>DASHBOARD BÁO CÁO KHO HCM HUB (J&amp;T CARGO)</w:t>
      </w:r>
    </w:p>
    <w:p>
      <w:pPr>
        <w:jc w:val="center"/>
      </w:pPr>
      <w:r>
        <w:rPr>
          <w:rFonts w:ascii="Times New Roman" w:hAnsi="Times New Roman"/>
          <w:b w:val="0"/>
          <w:color w:val="595959"/>
          <w:sz w:val="22"/>
        </w:rPr>
        <w:t>Phiên bản v2.5 Stable  |  Chốt Ngày: 05/08/2026</w:t>
      </w:r>
    </w:p>
    <w:p/>
    <w:p>
      <w:pPr>
        <w:pStyle w:val="Heading1"/>
      </w:pPr>
      <w:r>
        <w:rPr>
          <w:rFonts w:ascii="Times New Roman" w:hAnsi="Times New Roman"/>
          <w:b/>
          <w:color w:val="1F3864"/>
          <w:sz w:val="28"/>
        </w:rPr>
        <w:t>1. TỔNG QUAN HỆ THỐNG &amp; ĐỒNG BỘ 4 VỊ TRÍ DATA</w:t>
      </w:r>
    </w:p>
    <w:p>
      <w:r>
        <w:rPr>
          <w:rFonts w:ascii="Times New Roman" w:hAnsi="Times New Roman"/>
          <w:b w:val="0"/>
          <w:color w:val="000000"/>
          <w:sz w:val="22"/>
        </w:rPr>
        <w:t>Hệ thống Dashboard HCM HUB v2.5 hoạt động theo kiến trúc ETL phân tán song song, tự động kéo dữ liệu JFS API mỗi 30 phút, xử lý lưu trữ vào PostgreSQL và đồng bộ dữ liệu vào 4 thư mục đích:</w:t>
      </w:r>
    </w:p>
    <w:p>
      <w:pPr>
        <w:pStyle w:val="ListBullet"/>
      </w:pPr>
      <w:r>
        <w:rPr>
          <w:rFonts w:ascii="Times New Roman" w:hAnsi="Times New Roman"/>
          <w:sz w:val="22"/>
        </w:rPr>
        <w:t>1. data/ (Dữ liệu Live Localhost)</w:t>
      </w:r>
    </w:p>
    <w:p>
      <w:pPr>
        <w:pStyle w:val="ListBullet"/>
      </w:pPr>
      <w:r>
        <w:rPr>
          <w:rFonts w:ascii="Times New Roman" w:hAnsi="Times New Roman"/>
          <w:sz w:val="22"/>
        </w:rPr>
        <w:t>2. data/live/ (Snapshot Live Micro-JSON)</w:t>
      </w:r>
    </w:p>
    <w:p>
      <w:pPr>
        <w:pStyle w:val="ListBullet"/>
      </w:pPr>
      <w:r>
        <w:rPr>
          <w:rFonts w:ascii="Times New Roman" w:hAnsi="Times New Roman"/>
          <w:sz w:val="22"/>
        </w:rPr>
        <w:t>3. public/data/ (Dữ liệu phục vụ Build GitHub Pages)</w:t>
      </w:r>
    </w:p>
    <w:p>
      <w:pPr>
        <w:pStyle w:val="ListBullet"/>
      </w:pPr>
      <w:r>
        <w:rPr>
          <w:rFonts w:ascii="Times New Roman" w:hAnsi="Times New Roman"/>
          <w:sz w:val="22"/>
        </w:rPr>
        <w:t>4. public/data/live/ (Micro-JSON cho GitHub Pages Build)</w:t>
      </w:r>
    </w:p>
    <w:p>
      <w:pPr>
        <w:pStyle w:val="Heading1"/>
      </w:pPr>
      <w:r>
        <w:rPr>
          <w:rFonts w:ascii="Times New Roman" w:hAnsi="Times New Roman"/>
          <w:b/>
          <w:color w:val="1F3864"/>
          <w:sz w:val="28"/>
        </w:rPr>
        <w:t>2. QUY TẮC THIẾT KẾ UI &amp; CÔNG THỨC CHUẨN</w:t>
      </w:r>
    </w:p>
    <w:tbl>
      <w:tblPr>
        <w:tblStyle w:val="TableGrid"/>
        <w:tblW w:type="auto" w:w="0"/>
        <w:jc w:val="center"/>
        <w:tblLook w:firstColumn="1" w:firstRow="1" w:lastColumn="0" w:lastRow="0" w:noHBand="0" w:noVBand="1" w:val="04A0"/>
      </w:tblPr>
      <w:tblGrid>
        <w:gridCol w:w="3402"/>
        <w:gridCol w:w="5102"/>
        <w:gridCol w:w="1701"/>
      </w:tblGrid>
      <w:tr>
        <w:tc>
          <w:tcPr>
            <w:tcW w:type="dxa" w:w="3230"/>
            <w:shd w:val="clear" w:color="auto" w:fill="1F3864"/>
          </w:tcPr>
          <w:p>
            <w:pPr>
              <w:jc w:val="center"/>
            </w:pPr>
            <w:r>
              <w:rPr>
                <w:rFonts w:ascii="Times New Roman" w:hAnsi="Times New Roman"/>
                <w:b/>
                <w:color w:val="FFFFFF"/>
                <w:sz w:val="20"/>
              </w:rPr>
              <w:t>Màn Hình / Card</w:t>
            </w:r>
          </w:p>
        </w:tc>
        <w:tc>
          <w:tcPr>
            <w:tcW w:type="dxa" w:w="3230"/>
            <w:shd w:val="clear" w:color="auto" w:fill="1F3864"/>
          </w:tcPr>
          <w:p>
            <w:pPr>
              <w:jc w:val="center"/>
            </w:pPr>
            <w:r>
              <w:rPr>
                <w:rFonts w:ascii="Times New Roman" w:hAnsi="Times New Roman"/>
                <w:b/>
                <w:color w:val="FFFFFF"/>
                <w:sz w:val="20"/>
              </w:rPr>
              <w:t>Quy Tắc &amp; Công Thức</w:t>
            </w:r>
          </w:p>
        </w:tc>
        <w:tc>
          <w:tcPr>
            <w:tcW w:type="dxa" w:w="3230"/>
            <w:shd w:val="clear" w:color="auto" w:fill="1F3864"/>
          </w:tcPr>
          <w:p>
            <w:pPr>
              <w:jc w:val="center"/>
            </w:pPr>
            <w:r>
              <w:rPr>
                <w:rFonts w:ascii="Times New Roman" w:hAnsi="Times New Roman"/>
                <w:b/>
                <w:color w:val="FFFFFF"/>
                <w:sz w:val="20"/>
              </w:rPr>
              <w:t>Trạng Thái</w:t>
            </w:r>
          </w:p>
        </w:tc>
      </w:tr>
      <w:tr>
        <w:tc>
          <w:tcPr>
            <w:tcW w:type="dxa" w:w="3402"/>
            <w:shd w:val="clear" w:color="auto" w:fill="FFFFFF"/>
          </w:tcPr>
          <w:p>
            <w:r>
              <w:rPr>
                <w:rFonts w:ascii="Times New Roman" w:hAnsi="Times New Roman"/>
                <w:sz w:val="20"/>
              </w:rPr>
              <w:t>Operational Monitor Top Card</w:t>
            </w:r>
          </w:p>
        </w:tc>
        <w:tc>
          <w:tcPr>
            <w:tcW w:type="dxa" w:w="5102"/>
            <w:shd w:val="clear" w:color="auto" w:fill="FFFFFF"/>
          </w:tcPr>
          <w:p>
            <w:r>
              <w:rPr>
                <w:rFonts w:ascii="Times New Roman" w:hAnsi="Times New Roman"/>
                <w:sz w:val="20"/>
              </w:rPr>
              <w:t>TỈ LỆ LẤP ĐẦY = (Sum(tCur) / Sum(tCap)) * 100</w:t>
            </w:r>
          </w:p>
        </w:tc>
        <w:tc>
          <w:tcPr>
            <w:tcW w:type="dxa" w:w="1701"/>
            <w:shd w:val="clear" w:color="auto" w:fill="FFFFFF"/>
          </w:tcPr>
          <w:p>
            <w:r>
              <w:rPr>
                <w:rFonts w:ascii="Times New Roman" w:hAnsi="Times New Roman"/>
                <w:sz w:val="20"/>
              </w:rPr>
              <w:t>Đã chốt chuẩn</w:t>
            </w:r>
          </w:p>
        </w:tc>
      </w:tr>
      <w:tr>
        <w:tc>
          <w:tcPr>
            <w:tcW w:type="dxa" w:w="3402"/>
            <w:shd w:val="clear" w:color="auto" w:fill="F2F5F8"/>
          </w:tcPr>
          <w:p>
            <w:r>
              <w:rPr>
                <w:rFonts w:ascii="Times New Roman" w:hAnsi="Times New Roman"/>
                <w:sz w:val="20"/>
              </w:rPr>
              <w:t>Operational Monitor Lower Card</w:t>
            </w:r>
          </w:p>
        </w:tc>
        <w:tc>
          <w:tcPr>
            <w:tcW w:type="dxa" w:w="5102"/>
            <w:shd w:val="clear" w:color="auto" w:fill="F2F5F8"/>
          </w:tcPr>
          <w:p>
            <w:r>
              <w:rPr>
                <w:rFonts w:ascii="Times New Roman" w:hAnsi="Times New Roman"/>
                <w:sz w:val="20"/>
              </w:rPr>
              <w:t>Tỉ lệ Outbound = tCur / (tCur + tBacklog)</w:t>
            </w:r>
          </w:p>
        </w:tc>
        <w:tc>
          <w:tcPr>
            <w:tcW w:type="dxa" w:w="1701"/>
            <w:shd w:val="clear" w:color="auto" w:fill="F2F5F8"/>
          </w:tcPr>
          <w:p>
            <w:r>
              <w:rPr>
                <w:rFonts w:ascii="Times New Roman" w:hAnsi="Times New Roman"/>
                <w:sz w:val="20"/>
              </w:rPr>
              <w:t>Đã chốt chuẩn</w:t>
            </w:r>
          </w:p>
        </w:tc>
      </w:tr>
      <w:tr>
        <w:tc>
          <w:tcPr>
            <w:tcW w:type="dxa" w:w="3402"/>
            <w:shd w:val="clear" w:color="auto" w:fill="FFFFFF"/>
          </w:tcPr>
          <w:p>
            <w:r>
              <w:rPr>
                <w:rFonts w:ascii="Times New Roman" w:hAnsi="Times New Roman"/>
                <w:sz w:val="20"/>
              </w:rPr>
              <w:t>Inbound Truck ETA</w:t>
            </w:r>
          </w:p>
        </w:tc>
        <w:tc>
          <w:tcPr>
            <w:tcW w:type="dxa" w:w="5102"/>
            <w:shd w:val="clear" w:color="auto" w:fill="FFFFFF"/>
          </w:tcPr>
          <w:p>
            <w:r>
              <w:rPr>
                <w:rFonts w:ascii="Times New Roman" w:hAnsi="Times New Roman"/>
                <w:sz w:val="20"/>
              </w:rPr>
              <w:t>BN HUB Linehaul Truck +36h Transport Time Offset</w:t>
            </w:r>
          </w:p>
        </w:tc>
        <w:tc>
          <w:tcPr>
            <w:tcW w:type="dxa" w:w="1701"/>
            <w:shd w:val="clear" w:color="auto" w:fill="FFFFFF"/>
          </w:tcPr>
          <w:p>
            <w:r>
              <w:rPr>
                <w:rFonts w:ascii="Times New Roman" w:hAnsi="Times New Roman"/>
                <w:sz w:val="20"/>
              </w:rPr>
              <w:t>Đã chốt chuẩn</w:t>
            </w:r>
          </w:p>
        </w:tc>
      </w:tr>
      <w:tr>
        <w:tc>
          <w:tcPr>
            <w:tcW w:type="dxa" w:w="3402"/>
            <w:shd w:val="clear" w:color="auto" w:fill="F2F5F8"/>
          </w:tcPr>
          <w:p>
            <w:r>
              <w:rPr>
                <w:rFonts w:ascii="Times New Roman" w:hAnsi="Times New Roman"/>
                <w:sz w:val="20"/>
              </w:rPr>
              <w:t>Header Marquee Ticker Bar</w:t>
            </w:r>
          </w:p>
        </w:tc>
        <w:tc>
          <w:tcPr>
            <w:tcW w:type="dxa" w:w="5102"/>
            <w:shd w:val="clear" w:color="auto" w:fill="F2F5F8"/>
          </w:tcPr>
          <w:p>
            <w:r>
              <w:rPr>
                <w:rFonts w:ascii="Times New Roman" w:hAnsi="Times New Roman"/>
                <w:sz w:val="20"/>
              </w:rPr>
              <w:t>@keyframes inlineMarquee, offset left-12 vs left-40</w:t>
            </w:r>
          </w:p>
        </w:tc>
        <w:tc>
          <w:tcPr>
            <w:tcW w:type="dxa" w:w="1701"/>
            <w:shd w:val="clear" w:color="auto" w:fill="F2F5F8"/>
          </w:tcPr>
          <w:p>
            <w:r>
              <w:rPr>
                <w:rFonts w:ascii="Times New Roman" w:hAnsi="Times New Roman"/>
                <w:sz w:val="20"/>
              </w:rPr>
              <w:t>Đã chốt chuẩn</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