
<file path=[Content_Types].xml><?xml version="1.0" encoding="utf-8"?>
<Types xmlns="http://schemas.openxmlformats.org/package/2006/content-types">
  <Override PartName="/word/footer1.xml" ContentType="application/vnd.openxmlformats-officedocument.wordprocessingml.footer+xml"/>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pPr>
        <w:keepNext w:val="0"/>
        <w:keepLines/>
        <w:widowControl/>
        <w:spacing w:after="0" w:before="0" w:line="276" w:lineRule="auto"/>
        <w:jc w:val="center"/>
      </w:pPr>
      <w:r w:rsidR="00000000" w:rsidRPr="00000000" w:rsidDel="00000000">
        <w:rPr>
          <w:b/>
          <w:bCs/>
          <w:sz w:val="28"/>
          <w:szCs w:val="28"/>
        </w:rPr>
        <mc:AlternateContent>
          <mc:Choice Requires="wps">
            <w:drawing>
              <wp:anchor allowOverlap="1" behindDoc="1" distB="114300" distT="114300" distL="114300" distR="114300" hidden="0" layoutInCell="1" locked="0" relativeHeight="0" simplePos="0">
                <wp:simplePos x="0" y="0"/>
                <wp:positionH relativeFrom="page">
                  <wp:posOffset>1217083</wp:posOffset>
                </wp:positionH>
                <wp:positionV relativeFrom="page">
                  <wp:posOffset>408489</wp:posOffset>
                </wp:positionV>
                <wp:extent cx="5842000" cy="8991600"/>
                <wp:effectExtent b="0" l="0" r="0" t="0"/>
                <wp:wrapNone/>
                <wp:docPr id="1" name=""/>
                <a:graphic>
                  <a:graphicData uri="http://schemas.microsoft.com/office/word/2010/wordprocessingShape">
                    <wps:wsp>
                      <wps:cNvSpPr/>
                      <wps:cNvPr id="2" name="Shape 2"/>
                      <wps:spPr>
                        <a:xfrm>
                          <a:off x="3289075" y="782650"/>
                          <a:ext cx="3893400" cy="60036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AlternateContent>
      </w:r>
      <w:r w:rsidR="00000000" w:rsidRPr="00000000" w:rsidDel="00000000">
        <w:rPr>
          <w:rFonts w:ascii="Times New Roman" w:hAnsi="Times New Roman" w:eastAsia="Times New Roman" w:cs="Times New Roman"/>
          <w:b/>
          <w:bCs/>
          <w:sz w:val="28"/>
          <w:szCs w:val="28"/>
          <w:rtl w:val="0"/>
        </w:rPr>
        <w:t>ỦY BAN NHÂN DÂN THÀNH PHỐ HỒ CHÍ MINH</w:t>
      </w:r>
      <w:r w:rsidR="00000000" w:rsidRPr="00000000" w:rsidDel="00000000">
        <w:rPr>
          <w:rFonts w:ascii="Times New Roman" w:hAnsi="Times New Roman" w:eastAsia="Times New Roman" w:cs="Times New Roman"/>
          <w:b/>
          <w:bCs/>
          <w:sz w:val="28"/>
          <w:szCs w:val="28"/>
          <w:rtl w:val="0"/>
        </w:rPr>
        <w:br w:type="textWrapping"/>
      </w:r>
      <w:r w:rsidR="00000000" w:rsidRPr="00000000" w:rsidDel="00000000">
        <w:rPr>
          <w:rFonts w:ascii="Times New Roman" w:hAnsi="Times New Roman" w:eastAsia="Times New Roman" w:cs="Times New Roman"/>
          <w:b/>
          <w:bCs/>
          <w:sz w:val="28"/>
          <w:szCs w:val="28"/>
          <w:rtl w:val="0"/>
        </w:rPr>
        <w:t>TRƯỜNG ĐẠI HỌC SÀI GÒN</w:t>
      </w:r>
      <w:r w:rsidR="00000000" w:rsidRPr="00000000" w:rsidDel="00000000">
        <w:rPr>
          <w:rFonts w:ascii="Times New Roman" w:hAnsi="Times New Roman" w:eastAsia="Times New Roman" w:cs="Times New Roman"/>
          <w:b/>
          <w:bCs/>
          <w:sz w:val="28"/>
          <w:szCs w:val="28"/>
          <w:rtl w:val="0"/>
        </w:rPr>
        <w:br w:type="textWrapping"/>
      </w:r>
      <w:r w:rsidR="00000000" w:rsidRPr="00000000" w:rsidDel="00000000">
        <w:rPr>
          <w:rFonts w:ascii="Times New Roman" w:hAnsi="Times New Roman" w:eastAsia="Times New Roman" w:cs="Times New Roman"/>
          <w:b/>
          <w:bCs/>
          <w:sz w:val="28"/>
          <w:szCs w:val="28"/>
          <w:rtl w:val="0"/>
        </w:rPr>
        <w:t>KHOA CÔNG NGHỆ THÔNG TIN</w:t>
      </w:r>
      <w:r w:rsidR="00000000" w:rsidRPr="00000000" w:rsidDel="00000000">
        <w:rPr>
          <w:rFonts w:ascii="Times New Roman" w:hAnsi="Times New Roman" w:eastAsia="Times New Roman" w:cs="Times New Roman"/>
          <w:b/>
          <w:bCs/>
          <w:sz w:val="28"/>
          <w:szCs w:val="28"/>
          <w:rtl w:val="0"/>
        </w:rPr>
        <w:br w:type="textWrapping"/>
      </w:r>
    </w:p>
    <w:p w:rsidRDefault="00000000" w14:paraId="00000002" w:rsidR="00000000" w:rsidP="00000000" w:rsidRPr="00000000" w:rsidDel="00000000">
      <w:pPr>
        <w:keepNext w:val="0"/>
        <w:keepLines/>
        <w:widowControl/>
        <w:spacing w:after="0" w:before="0" w:line="240" w:lineRule="auto"/>
        <w:jc w:val="center"/>
      </w:pPr>
    </w:p>
    <w:p w:rsidRDefault="00000000" w14:paraId="00000003" w:rsidR="00000000" w:rsidP="00000000" w:rsidRPr="00000000" w:rsidDel="00000000">
      <w:pPr>
        <w:keepNext w:val="0"/>
        <w:keepLines/>
        <w:widowControl/>
        <w:spacing w:after="0" w:before="0" w:line="240" w:lineRule="auto"/>
        <w:jc w:val="center"/>
      </w:pPr>
    </w:p>
    <w:p w:rsidRDefault="00000000" w14:paraId="00000004" w:rsidR="00000000" w:rsidP="00000000" w:rsidRPr="00000000" w:rsidDel="00000000">
      <w:pPr>
        <w:keepNext w:val="0"/>
        <w:keepLines/>
        <w:widowControl/>
        <w:spacing w:after="0" w:before="0" w:line="240" w:lineRule="auto"/>
        <w:jc w:val="center"/>
      </w:pPr>
    </w:p>
    <w:p w:rsidRDefault="00000000" w14:paraId="00000005" w:rsidR="00000000" w:rsidP="00000000" w:rsidRPr="00000000" w:rsidDel="00000000">
      <w:pPr>
        <w:keepNext w:val="0"/>
        <w:keepLines/>
        <w:widowControl/>
        <w:spacing w:after="0" w:before="0" w:line="240" w:lineRule="auto"/>
        <w:jc w:val="center"/>
      </w:pPr>
    </w:p>
    <w:p w:rsidRDefault="00000000" w14:paraId="00000006" w:rsidR="00000000" w:rsidP="00000000" w:rsidRPr="00000000" w:rsidDel="00000000">
      <w:pPr>
        <w:keepNext w:val="0"/>
        <w:keepLines/>
        <w:widowControl/>
        <w:spacing w:after="0" w:before="0" w:line="300" w:lineRule="auto"/>
        <w:jc w:val="center"/>
      </w:pPr>
      <w:r w:rsidR="00000000" w:rsidRPr="00000000" w:rsidDel="00000000">
        <w:rPr>
          <w:rFonts w:ascii="Times New Roman" w:hAnsi="Times New Roman" w:eastAsia="Times New Roman" w:cs="Times New Roman"/>
          <w:b/>
          <w:bCs/>
          <w:sz w:val="28"/>
          <w:szCs w:val="28"/>
          <w:rtl w:val="0"/>
        </w:rPr>
        <w:t>LÊ HOÀNG SƠN - 3123560077</w:t>
      </w:r>
      <w:r w:rsidR="00000000" w:rsidRPr="00000000" w:rsidDel="00000000">
        <w:rPr>
          <w:rFonts w:ascii="Times New Roman" w:hAnsi="Times New Roman" w:eastAsia="Times New Roman" w:cs="Times New Roman"/>
          <w:b/>
          <w:bCs/>
          <w:sz w:val="28"/>
          <w:szCs w:val="28"/>
          <w:rtl w:val="0"/>
        </w:rPr>
        <w:br w:type="textWrapping"/>
      </w:r>
      <w:r w:rsidR="00000000" w:rsidRPr="00000000" w:rsidDel="00000000">
        <w:rPr>
          <w:rFonts w:ascii="Times New Roman" w:hAnsi="Times New Roman" w:eastAsia="Times New Roman" w:cs="Times New Roman"/>
          <w:b/>
          <w:bCs/>
          <w:sz w:val="28"/>
          <w:szCs w:val="28"/>
          <w:rtl w:val="0"/>
        </w:rPr>
        <w:t>PHẠM THIÊN PHÚC - 3123410282</w:t>
      </w:r>
    </w:p>
    <w:p w:rsidRDefault="00000000" w14:paraId="00000007" w:rsidR="00000000" w:rsidP="00000000" w:rsidRPr="00000000" w:rsidDel="00000000">
      <w:pPr>
        <w:keepNext w:val="0"/>
        <w:keepLines/>
        <w:widowControl/>
        <w:spacing w:after="0" w:before="0" w:line="240" w:lineRule="auto"/>
        <w:jc w:val="center"/>
      </w:pPr>
    </w:p>
    <w:p w:rsidRDefault="00000000" w14:paraId="00000008" w:rsidR="00000000" w:rsidP="00000000" w:rsidRPr="00000000" w:rsidDel="00000000">
      <w:pPr>
        <w:keepNext w:val="0"/>
        <w:keepLines/>
        <w:widowControl/>
        <w:spacing w:after="0" w:before="0" w:line="240" w:lineRule="auto"/>
        <w:jc w:val="center"/>
      </w:pPr>
    </w:p>
    <w:p w:rsidRDefault="00000000" w14:paraId="00000009" w:rsidR="00000000" w:rsidP="00000000" w:rsidRPr="00000000" w:rsidDel="00000000">
      <w:pPr>
        <w:keepNext w:val="0"/>
        <w:keepLines/>
        <w:widowControl/>
        <w:spacing w:after="0" w:before="0" w:line="276" w:lineRule="auto"/>
        <w:jc w:val="center"/>
        <w:rPr>
          <w:b/>
          <w:bCs/>
        </w:rPr>
      </w:pPr>
      <w:r w:rsidR="00000000" w:rsidRPr="00000000" w:rsidDel="00000000">
        <w:rPr>
          <w:b/>
          <w:bCs/>
          <w:rtl w:val="0"/>
        </w:rPr>
        <w:t>TỐI ƯU ĐA MỤC TIÊU XGBOOST THEO HIỆU NĂNG DỰ ĐOÁN VÀ ĐỘ ỔN ĐỊNH SHAP TRONG ĐÁNH GIÁ RỦI RO TÍN DỤNG</w:t>
      </w:r>
    </w:p>
    <w:p w:rsidRDefault="00000000" w14:paraId="0000000A" w:rsidR="00000000" w:rsidP="00000000" w:rsidRPr="00000000" w:rsidDel="00000000">
      <w:pPr>
        <w:keepNext w:val="0"/>
        <w:keepLines/>
        <w:widowControl/>
        <w:spacing w:after="0" w:before="0" w:line="240" w:lineRule="auto"/>
        <w:jc w:val="center"/>
      </w:pPr>
    </w:p>
    <w:p w:rsidRDefault="00000000" w14:paraId="0000000B" w:rsidR="00000000" w:rsidP="00000000" w:rsidRPr="00000000" w:rsidDel="00000000">
      <w:pPr>
        <w:keepNext w:val="0"/>
        <w:keepLines/>
        <w:widowControl/>
        <w:spacing w:after="0" w:before="0" w:line="240" w:lineRule="auto"/>
        <w:jc w:val="center"/>
      </w:pPr>
    </w:p>
    <w:p w:rsidRDefault="00000000" w14:paraId="0000000C" w:rsidR="00000000" w:rsidP="00000000" w:rsidRPr="00000000" w:rsidDel="00000000">
      <w:pPr>
        <w:keepNext w:val="0"/>
        <w:keepLines/>
        <w:widowControl/>
        <w:spacing w:after="0" w:before="0" w:line="240" w:lineRule="auto"/>
        <w:jc w:val="center"/>
      </w:pPr>
    </w:p>
    <w:p w:rsidRDefault="00000000" w14:paraId="0000000D" w:rsidR="00000000" w:rsidP="00000000" w:rsidRPr="00000000" w:rsidDel="00000000">
      <w:pPr>
        <w:keepNext w:val="0"/>
        <w:keepLines/>
        <w:widowControl/>
        <w:spacing w:after="0" w:before="0" w:line="240" w:lineRule="auto"/>
        <w:jc w:val="center"/>
      </w:pPr>
    </w:p>
    <w:p w:rsidRDefault="00000000" w14:paraId="0000000E" w:rsidR="00000000" w:rsidP="00000000" w:rsidRPr="00000000" w:rsidDel="00000000">
      <w:pPr>
        <w:keepNext w:val="0"/>
        <w:keepLines/>
        <w:widowControl/>
        <w:spacing w:after="0" w:before="0" w:line="300" w:lineRule="auto"/>
        <w:jc w:val="center"/>
      </w:pPr>
      <w:r w:rsidR="00000000" w:rsidRPr="00000000" w:rsidDel="00000000">
        <w:rPr>
          <w:rFonts w:ascii="Times New Roman" w:hAnsi="Times New Roman" w:eastAsia="Times New Roman" w:cs="Times New Roman"/>
          <w:b/>
          <w:bCs/>
          <w:sz w:val="28"/>
          <w:szCs w:val="28"/>
          <w:rtl w:val="0"/>
        </w:rPr>
        <w:t>ĐỀ CƯƠNG ĐỒ ÁN CHUYÊN NGÀNH</w:t>
      </w:r>
    </w:p>
    <w:p w:rsidRDefault="00000000" w14:paraId="0000000F" w:rsidR="00000000" w:rsidP="00000000" w:rsidRPr="00000000" w:rsidDel="00000000">
      <w:pPr>
        <w:keepNext w:val="0"/>
        <w:keepLines/>
        <w:widowControl/>
        <w:spacing w:after="0" w:before="0" w:line="288" w:lineRule="auto"/>
        <w:jc w:val="center"/>
      </w:pPr>
      <w:r w:rsidR="00000000" w:rsidRPr="00000000" w:rsidDel="00000000">
        <w:rPr>
          <w:rFonts w:ascii="Times New Roman" w:hAnsi="Times New Roman" w:eastAsia="Times New Roman" w:cs="Times New Roman"/>
          <w:b/>
          <w:bCs/>
          <w:sz w:val="26"/>
          <w:szCs w:val="26"/>
          <w:rtl w:val="0"/>
        </w:rPr>
        <w:t>NGÀNH: KỸ THUẬT PHẦN MỀM</w:t>
      </w:r>
    </w:p>
    <w:p w:rsidRDefault="00000000" w14:paraId="00000010" w:rsidR="00000000" w:rsidP="00000000" w:rsidRPr="00000000" w:rsidDel="00000000">
      <w:pPr>
        <w:keepNext w:val="0"/>
        <w:keepLines/>
        <w:widowControl/>
        <w:spacing w:after="0" w:before="0" w:line="288" w:lineRule="auto"/>
        <w:jc w:val="center"/>
      </w:pPr>
      <w:r w:rsidR="00000000" w:rsidRPr="00000000" w:rsidDel="00000000">
        <w:rPr>
          <w:rFonts w:ascii="Times New Roman" w:hAnsi="Times New Roman" w:eastAsia="Times New Roman" w:cs="Times New Roman"/>
          <w:b/>
          <w:bCs/>
          <w:sz w:val="26"/>
          <w:szCs w:val="26"/>
          <w:rtl w:val="0"/>
        </w:rPr>
        <w:t>GIẢNG VIÊN HƯỚNG DẪN: PHAN TẤN QUỐC</w:t>
      </w:r>
    </w:p>
    <w:p w:rsidRDefault="00000000" w14:paraId="00000011" w:rsidR="00000000" w:rsidP="00000000" w:rsidRPr="00000000" w:rsidDel="00000000">
      <w:pPr>
        <w:keepNext w:val="0"/>
        <w:keepLines/>
        <w:widowControl/>
        <w:spacing w:after="0" w:before="0" w:line="240" w:lineRule="auto"/>
        <w:jc w:val="center"/>
      </w:pPr>
    </w:p>
    <w:p w:rsidRDefault="00000000" w14:paraId="00000012" w:rsidR="00000000" w:rsidP="00000000" w:rsidRPr="00000000" w:rsidDel="00000000">
      <w:pPr>
        <w:keepNext w:val="0"/>
        <w:keepLines/>
        <w:widowControl/>
        <w:spacing w:after="0" w:before="0" w:line="240" w:lineRule="auto"/>
        <w:jc w:val="center"/>
      </w:pPr>
    </w:p>
    <w:p w:rsidRDefault="00000000" w14:paraId="00000013" w:rsidR="00000000" w:rsidP="00000000" w:rsidRPr="00000000" w:rsidDel="00000000">
      <w:pPr>
        <w:keepNext w:val="0"/>
        <w:keepLines/>
        <w:widowControl/>
        <w:spacing w:after="0" w:before="0" w:line="240" w:lineRule="auto"/>
        <w:jc w:val="center"/>
      </w:pPr>
    </w:p>
    <w:p w:rsidRDefault="00000000" w14:paraId="00000014" w:rsidR="00000000" w:rsidP="00000000" w:rsidRPr="00000000" w:rsidDel="00000000">
      <w:pPr>
        <w:keepNext w:val="0"/>
        <w:keepLines/>
        <w:widowControl/>
        <w:spacing w:after="0" w:before="0" w:line="240" w:lineRule="auto"/>
        <w:jc w:val="center"/>
      </w:pPr>
    </w:p>
    <w:p w:rsidRDefault="00000000" w14:paraId="00000015" w:rsidR="00000000" w:rsidP="00000000" w:rsidRPr="00000000" w:rsidDel="00000000">
      <w:pPr>
        <w:keepNext w:val="0"/>
        <w:keepLines/>
        <w:widowControl/>
        <w:spacing w:after="0" w:before="0" w:line="288" w:lineRule="auto"/>
        <w:jc w:val="center"/>
        <w:sectPr>
          <w:pgSz w:h="15840" w:w="12240" w:orient="portrait"/>
          <w:pgMar w:bottom="1701" w:top="1701" w:left="1984" w:right="1134" w:header="850" w:footer="850"/>
          <w:pgNumType w:start="1"/>
          <w:titlePg w:val="1"/>
        </w:sectPr>
      </w:pPr>
      <w:r w:rsidR="00000000" w:rsidRPr="00000000" w:rsidDel="00000000">
        <w:rPr>
          <w:rFonts w:ascii="Times New Roman" w:hAnsi="Times New Roman" w:eastAsia="Times New Roman" w:cs="Times New Roman"/>
          <w:b/>
          <w:bCs/>
          <w:sz w:val="26"/>
          <w:szCs w:val="26"/>
          <w:rtl w:val="0"/>
        </w:rPr>
        <w:t>Thành phố Hồ Chí Minh, năm 2026</w:t>
      </w:r>
    </w:p>
    <w:p w:rsidRDefault="00000000" w14:paraId="00000016" w:rsidR="00000000" w:rsidP="00000000" w:rsidRPr="00000000" w:rsidDel="00000000">
      <w:pPr>
        <w:keepNext w:val="0"/>
        <w:keepLines/>
        <w:widowControl/>
        <w:spacing w:after="120" w:before="0" w:line="360" w:lineRule="auto"/>
        <w:jc w:val="center"/>
      </w:pPr>
      <w:r w:rsidR="00000000" w:rsidRPr="00000000" w:rsidDel="00000000">
        <w:rPr>
          <w:rFonts w:ascii="Times New Roman" w:hAnsi="Times New Roman" w:eastAsia="Times New Roman" w:cs="Times New Roman"/>
          <w:b/>
          <w:bCs/>
          <w:sz w:val="30"/>
          <w:szCs w:val="30"/>
          <w:rtl w:val="0"/>
        </w:rPr>
        <w:t>ĐỀ CƯƠNG NGHIÊN CỨU</w:t>
      </w:r>
    </w:p>
    <w:p w:rsidRDefault="00000000" w14:paraId="00000017" w:rsidR="00000000" w:rsidP="00000000" w:rsidRPr="00000000" w:rsidDel="00000000">
      <w:pPr>
        <w:keepNext w:val="0"/>
        <w:keepLines/>
        <w:widowControl/>
        <w:spacing w:after="120" w:before="0" w:line="360" w:lineRule="auto"/>
        <w:jc w:val="both"/>
      </w:pPr>
      <w:r w:rsidR="00000000" w:rsidRPr="00000000" w:rsidDel="00000000">
        <w:rPr>
          <w:rFonts w:ascii="Times New Roman" w:hAnsi="Times New Roman" w:eastAsia="Times New Roman" w:cs="Times New Roman"/>
          <w:b/>
          <w:bCs/>
          <w:sz w:val="26"/>
          <w:szCs w:val="26"/>
          <w:rtl w:val="0"/>
        </w:rPr>
        <w:t>Tên đề tài: Tối ưu đa mục tiêu siêu tham số XGBoost cho dự đoán rủi ro tín dụng cá nhân xét đến hiệu năng dự đoán và độ ổn định của giải thích SHAP</w:t>
      </w:r>
    </w:p>
    <w:p w:rsidRDefault="00000000" w14:paraId="00000018"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1. Lý do chọn đề tài</w:t>
      </w:r>
    </w:p>
    <w:p w:rsidRDefault="00000000" w14:paraId="00000019"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Đánh giá </w:t>
      </w:r>
      <w:r w:rsidR="00000000" w:rsidRPr="00000000" w:rsidDel="00000000">
        <w:rPr>
          <w:rFonts w:ascii="Times New Roman" w:hAnsi="Times New Roman" w:eastAsia="Times New Roman" w:cs="Times New Roman"/>
          <w:b/>
          <w:bCs/>
          <w:sz w:val="26"/>
          <w:szCs w:val="26"/>
          <w:rtl w:val="0"/>
        </w:rPr>
        <w:t>rủi ro tín dụng cá nhân</w:t>
      </w:r>
      <w:r w:rsidR="00000000" w:rsidRPr="00000000" w:rsidDel="00000000">
        <w:rPr>
          <w:rFonts w:ascii="Times New Roman" w:hAnsi="Times New Roman" w:eastAsia="Times New Roman" w:cs="Times New Roman"/>
          <w:sz w:val="26"/>
          <w:szCs w:val="26"/>
          <w:rtl w:val="0"/>
        </w:rPr>
        <w:t xml:space="preserve"> là một bài toán quan trọng trong hoạt động của ngân hàng và các tổ chức tài chính. Bài toán thường được xây dựng dưới dạng dự đoán xác suất khách hàng không thực hiện đầy đủ nghĩa vụ trả nợ dựa trên thông tin nhân khẩu học, lịch sử thanh toán, hạn mức tín dụng, dư nợ và các đặc trưng tài chính liên quan. Các nghiên cứu benchmark cho thấy mô hình học máy và các phương pháp ensemble có thể cải thiện chất lượng </w:t>
      </w:r>
      <w:r w:rsidR="00000000" w:rsidRPr="00000000" w:rsidDel="00000000">
        <w:rPr>
          <w:rFonts w:ascii="Times New Roman" w:hAnsi="Times New Roman" w:eastAsia="Times New Roman" w:cs="Times New Roman"/>
          <w:i/>
          <w:iCs/>
          <w:sz w:val="26"/>
          <w:szCs w:val="26"/>
          <w:rtl w:val="0"/>
        </w:rPr>
        <w:t>credit scoring</w:t>
      </w:r>
      <w:r w:rsidR="00000000" w:rsidRPr="00000000" w:rsidDel="00000000">
        <w:rPr>
          <w:rFonts w:ascii="Times New Roman" w:hAnsi="Times New Roman" w:eastAsia="Times New Roman" w:cs="Times New Roman"/>
          <w:sz w:val="26"/>
          <w:szCs w:val="26"/>
          <w:rtl w:val="0"/>
        </w:rPr>
        <w:t xml:space="preserve"> so với nhiều phương pháp truyền thống trong các bối cảnh dữ liệu khác nhau [1].</w:t>
      </w:r>
    </w:p>
    <w:p w:rsidRDefault="00000000" w14:paraId="0000001A" w:rsidR="00000000" w:rsidP="00000000" w:rsidRPr="00000000" w:rsidDel="00000000">
      <w:pPr>
        <w:keepLines/>
        <w:widowControl/>
        <w:spacing w:after="0" w:before="0" w:lineRule="auto"/>
        <w:ind w:firstLine="567"/>
        <w:jc w:val="both"/>
      </w:pPr>
      <w:r w:rsidR="00000000" w:rsidRPr="00000000" w:rsidDel="00000000">
        <w:rPr>
          <w:b/>
          <w:bCs/>
          <w:rtl w:val="0"/>
        </w:rPr>
        <w:t>Trong chuyên khảo về credit scoring</w:t>
      </w:r>
      <w:r w:rsidR="00000000" w:rsidRPr="00000000" w:rsidDel="00000000">
        <w:rPr>
          <w:rtl w:val="0"/>
        </w:rPr>
        <w:t xml:space="preserve"> thuộc sách Data Science for Economics and Finance, Guidolin và Pedio phân biệt application scoring (đánh giá hồ sơ xin cấp tín dụng) với behavioral scoring (theo dõi rủi ro khách hàng hiện hữu). Hai tác giả xem credit scoring trong cho vay cá nhân là bài toán phân loại dựa trên đặc trưng người vay, đồng thời tổng quan cả phương pháp tuyến tính và ensemble; đây là cơ sở nghiệp vụ để đề tài chọn bộ dữ liệu thẻ tín dụng và thiết lập các mô hình đối chứng [2]. Không suy diễn kết quả của sách thành khẳng định rằng một họ thuật toán luôn vượt trội trong mọi điều kiện dữ liệu.</w:t>
      </w:r>
    </w:p>
    <w:p w:rsidRDefault="00000000" w14:paraId="0000001B"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Trong nhóm mô hình cây tăng cường, </w:t>
      </w:r>
      <w:r w:rsidR="00000000" w:rsidRPr="00000000" w:rsidDel="00000000">
        <w:rPr>
          <w:rFonts w:ascii="Times New Roman" w:hAnsi="Times New Roman" w:eastAsia="Times New Roman" w:cs="Times New Roman"/>
          <w:b/>
          <w:bCs/>
          <w:sz w:val="26"/>
          <w:szCs w:val="26"/>
          <w:rtl w:val="0"/>
        </w:rPr>
        <w:t>XGBoost</w:t>
      </w:r>
      <w:r w:rsidR="00000000" w:rsidRPr="00000000" w:rsidDel="00000000">
        <w:rPr>
          <w:rFonts w:ascii="Times New Roman" w:hAnsi="Times New Roman" w:eastAsia="Times New Roman" w:cs="Times New Roman"/>
          <w:sz w:val="26"/>
          <w:szCs w:val="26"/>
          <w:rtl w:val="0"/>
        </w:rPr>
        <w:t xml:space="preserve"> là một thuật toán mạnh cho dữ liệu dạng bảng nhờ cơ chế gradient boosting, regularization và các tối ưu hệ thống [3]. Tuy nhiên, hiệu năng của XGBoost phụ thuộc đáng kể vào việc lựa chọn các siêu tham số như </w:t>
      </w:r>
      <w:r w:rsidR="00000000" w:rsidRPr="00000000" w:rsidDel="00000000">
        <w:rPr>
          <w:rFonts w:ascii="Times New Roman" w:hAnsi="Times New Roman" w:eastAsia="Times New Roman" w:cs="Times New Roman"/>
          <w:i/>
          <w:iCs/>
          <w:sz w:val="26"/>
          <w:szCs w:val="26"/>
          <w:rtl w:val="0"/>
        </w:rPr>
        <w:t>max_depth, learning_rate, n_estimators, subsample, colsample_bytree, min_child_weight, gamma, reg_alpha</w:t>
      </w:r>
      <w:r w:rsidR="00000000" w:rsidRPr="00000000" w:rsidDel="00000000">
        <w:rPr>
          <w:rFonts w:ascii="Times New Roman" w:hAnsi="Times New Roman" w:eastAsia="Times New Roman" w:cs="Times New Roman"/>
          <w:sz w:val="26"/>
          <w:szCs w:val="26"/>
          <w:rtl w:val="0"/>
        </w:rPr>
        <w:t xml:space="preserve"> và </w:t>
      </w:r>
      <w:r w:rsidR="00000000" w:rsidRPr="00000000" w:rsidDel="00000000">
        <w:rPr>
          <w:rFonts w:ascii="Times New Roman" w:hAnsi="Times New Roman" w:eastAsia="Times New Roman" w:cs="Times New Roman"/>
          <w:i/>
          <w:iCs/>
          <w:sz w:val="26"/>
          <w:szCs w:val="26"/>
          <w:rtl w:val="0"/>
        </w:rPr>
        <w:t>reg_lambda</w:t>
      </w:r>
      <w:r w:rsidR="00000000" w:rsidRPr="00000000" w:rsidDel="00000000">
        <w:rPr>
          <w:rFonts w:ascii="Times New Roman" w:hAnsi="Times New Roman" w:eastAsia="Times New Roman" w:cs="Times New Roman"/>
          <w:sz w:val="26"/>
          <w:szCs w:val="26"/>
          <w:rtl w:val="0"/>
        </w:rPr>
        <w:t>. Nếu quá trình tối ưu chỉ tập trung vào một chỉ số dự đoán như ROC-AUC, mô hình thu được có thể tốt về khả năng phân biệt nhưng chưa chắc ổn định về mặt giải thích.</w:t>
      </w:r>
    </w:p>
    <w:p w:rsidRDefault="00000000" w14:paraId="0000001C" w:rsidR="00000000" w:rsidP="00000000" w:rsidRPr="00000000" w:rsidDel="00000000">
      <w:pPr>
        <w:keepNext w:val="0"/>
        <w:keepLines/>
        <w:widowControl/>
        <w:spacing w:after="0" w:before="0" w:line="360" w:lineRule="auto"/>
        <w:ind w:firstLine="567"/>
        <w:jc w:val="both"/>
      </w:pPr>
      <w:r w:rsidR="00000000" w:rsidRPr="00000000" w:rsidDel="00000000">
        <w:rPr>
          <w:rtl w:val="0"/>
        </w:rPr>
        <w:t>Trong các bài toán có ảnh hưởng đến quyết định tài chính, khả năng giải thích là một yêu cầu quan trọng. SHAP (SHapley Additive exPlanations) lượng hóa đóng góp của từng đặc trưng vào dự đoán dựa trên Shapley value [4]; đối với mô hình cây, TreeSHAP cung cấp một cách tính hiệu quả [5]. Cần phân biệt tính robust của lời giải thích khi dữ liệu đầu vào bị nhiễu nhẹ, được khảo sát ở [6], với độ ổn định thứ hạng SHAP khi huấn luyện lại mô hình bằng các seed hoặc tập huấn luyện khác nhau, được khảo sát trực tiếp trong credit scoring ở [7]. Đề tài tập trung vào dạng ổn định thứ hai.</w:t>
      </w:r>
    </w:p>
    <w:p w:rsidRDefault="00000000" w14:paraId="0000001D"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Các nghiên cứu gần đây cho thấy vấn đề này đã xuất hiện trực tiếp trong lĩnh vực tín dụng. Ballegeer, Bogaert và Benoit đánh giá độ ổn định của SHAP và LIME trên bốn bộ dữ liệu credit scoring và chỉ ra rằng mất cân bằng lớp cùng một số thiết kế cost-sensitive có thể làm giải thích kém ổn định hơn [8]. Lin và Wang huấn luyện 100 mô hình XGBoost với cùng siêu tham số nhưng khác random seed trên bộ dữ liệu Default of Credit Card Clients và ghi nhận thứ hạng SHAP của các đặc trưng có mức quan trọng trung bình biến động đáng kể [7]. Các kết quả này cho thấy </w:t>
      </w:r>
      <w:r w:rsidR="00000000" w:rsidRPr="00000000" w:rsidDel="00000000">
        <w:rPr>
          <w:rFonts w:ascii="Times New Roman" w:hAnsi="Times New Roman" w:eastAsia="Times New Roman" w:cs="Times New Roman"/>
          <w:b/>
          <w:bCs/>
          <w:i/>
          <w:iCs/>
          <w:sz w:val="26"/>
          <w:szCs w:val="26"/>
          <w:rtl w:val="0"/>
        </w:rPr>
        <w:t>SHAP stability</w:t>
      </w:r>
      <w:r w:rsidR="00000000" w:rsidRPr="00000000" w:rsidDel="00000000">
        <w:rPr>
          <w:rFonts w:ascii="Times New Roman" w:hAnsi="Times New Roman" w:eastAsia="Times New Roman" w:cs="Times New Roman"/>
          <w:sz w:val="26"/>
          <w:szCs w:val="26"/>
          <w:rtl w:val="0"/>
        </w:rPr>
        <w:t xml:space="preserve"> là một vấn đề thực nghiệm thực sự, đồng thời mở ra câu hỏi về cách lựa chọn siêu tham số để cân bằng giữa dự đoán và giải thích.</w:t>
      </w:r>
    </w:p>
    <w:p w:rsidRDefault="00000000" w14:paraId="0000001E"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Từ đó, đề tài xem quá trình lựa chọn siêu tham số XGBoost như một bài toán </w:t>
      </w:r>
      <w:r w:rsidR="00000000" w:rsidRPr="00000000" w:rsidDel="00000000">
        <w:rPr>
          <w:rFonts w:ascii="Times New Roman" w:hAnsi="Times New Roman" w:eastAsia="Times New Roman" w:cs="Times New Roman"/>
          <w:b/>
          <w:bCs/>
          <w:sz w:val="26"/>
          <w:szCs w:val="26"/>
          <w:rtl w:val="0"/>
        </w:rPr>
        <w:t>tối ưu đa mục tiêu</w:t>
      </w:r>
      <w:r w:rsidR="00000000" w:rsidRPr="00000000" w:rsidDel="00000000">
        <w:rPr>
          <w:rFonts w:ascii="Times New Roman" w:hAnsi="Times New Roman" w:eastAsia="Times New Roman" w:cs="Times New Roman"/>
          <w:sz w:val="26"/>
          <w:szCs w:val="26"/>
          <w:rtl w:val="0"/>
        </w:rPr>
        <w:t xml:space="preserve">. Mục tiêu thứ nhất là tối đa hóa </w:t>
      </w:r>
      <w:r w:rsidR="00000000" w:rsidRPr="00000000" w:rsidDel="00000000">
        <w:rPr>
          <w:rFonts w:ascii="Times New Roman" w:hAnsi="Times New Roman" w:eastAsia="Times New Roman" w:cs="Times New Roman"/>
          <w:i/>
          <w:iCs/>
          <w:sz w:val="26"/>
          <w:szCs w:val="26"/>
          <w:rtl w:val="0"/>
        </w:rPr>
        <w:t>predictive performance</w:t>
      </w:r>
      <w:r w:rsidR="00000000" w:rsidRPr="00000000" w:rsidDel="00000000">
        <w:rPr>
          <w:rFonts w:ascii="Times New Roman" w:hAnsi="Times New Roman" w:eastAsia="Times New Roman" w:cs="Times New Roman"/>
          <w:sz w:val="26"/>
          <w:szCs w:val="26"/>
          <w:rtl w:val="0"/>
        </w:rPr>
        <w:t xml:space="preserve"> với ROC-AUC là chỉ số tối ưu chính; mục tiêu thứ hai là tối đa hóa </w:t>
      </w:r>
      <w:r w:rsidR="00000000" w:rsidRPr="00000000" w:rsidDel="00000000">
        <w:rPr>
          <w:rFonts w:ascii="Times New Roman" w:hAnsi="Times New Roman" w:eastAsia="Times New Roman" w:cs="Times New Roman"/>
          <w:i/>
          <w:iCs/>
          <w:sz w:val="26"/>
          <w:szCs w:val="26"/>
          <w:rtl w:val="0"/>
        </w:rPr>
        <w:t>SHAP explanation stability</w:t>
      </w:r>
      <w:r w:rsidR="00000000" w:rsidRPr="00000000" w:rsidDel="00000000">
        <w:rPr>
          <w:rFonts w:ascii="Times New Roman" w:hAnsi="Times New Roman" w:eastAsia="Times New Roman" w:cs="Times New Roman"/>
          <w:sz w:val="26"/>
          <w:szCs w:val="26"/>
          <w:rtl w:val="0"/>
        </w:rPr>
        <w:t xml:space="preserve"> thông qua mức độ nhất quán của thứ hạng global SHAP feature importance qua nhiều lần huấn luyện. Các chỉ số PR-AUC, Precision, Recall, F1-score và Balanced Accuracy được sử dụng để báo cáo bổ sung chứ không đồng thời trở thành các objective.</w:t>
      </w:r>
    </w:p>
    <w:p w:rsidRDefault="00000000" w14:paraId="0000001F"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Bên cạnh XGBoost, đề tài khảo sát và thực nghiệm tham khảo với </w:t>
      </w:r>
      <w:r w:rsidR="00000000" w:rsidRPr="00000000" w:rsidDel="00000000">
        <w:rPr>
          <w:rFonts w:ascii="Times New Roman" w:hAnsi="Times New Roman" w:eastAsia="Times New Roman" w:cs="Times New Roman"/>
          <w:b/>
          <w:bCs/>
          <w:sz w:val="26"/>
          <w:szCs w:val="26"/>
          <w:rtl w:val="0"/>
        </w:rPr>
        <w:t>Logistic Regression, Random Forest, Gradient Boosting, LightGBM và CatBoost</w:t>
      </w:r>
      <w:r w:rsidR="00000000" w:rsidRPr="00000000" w:rsidDel="00000000">
        <w:rPr>
          <w:rFonts w:ascii="Times New Roman" w:hAnsi="Times New Roman" w:eastAsia="Times New Roman" w:cs="Times New Roman"/>
          <w:sz w:val="26"/>
          <w:szCs w:val="26"/>
          <w:rtl w:val="0"/>
        </w:rPr>
        <w:t xml:space="preserve">. Các mô hình này đóng vai trò baseline/đối chứng để đặt kết quả XGBoost trong bối cảnh rộng hơn. Trọng tâm nghiên cứu vẫn là </w:t>
      </w:r>
      <w:r w:rsidR="00000000" w:rsidRPr="00000000" w:rsidDel="00000000">
        <w:rPr>
          <w:rFonts w:ascii="Times New Roman" w:hAnsi="Times New Roman" w:eastAsia="Times New Roman" w:cs="Times New Roman"/>
          <w:sz w:val="26"/>
          <w:szCs w:val="26"/>
          <w:u w:val="single"/>
          <w:rtl w:val="0"/>
        </w:rPr>
        <w:t>tối ưu đa mục tiêu siêu tham số XGBoost</w:t>
      </w:r>
      <w:r w:rsidR="00000000" w:rsidRPr="00000000" w:rsidDel="00000000">
        <w:rPr>
          <w:rFonts w:ascii="Times New Roman" w:hAnsi="Times New Roman" w:eastAsia="Times New Roman" w:cs="Times New Roman"/>
          <w:sz w:val="26"/>
          <w:szCs w:val="26"/>
          <w:rtl w:val="0"/>
        </w:rPr>
        <w:t>, nhờ đó đề tài vừa có cơ sở so sánh với các mô hình phổ biến vừa giữ được một đóng góp trung tâm rõ ràng.</w:t>
      </w:r>
    </w:p>
    <w:p w:rsidRDefault="00000000" w14:paraId="00000020"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2. Tổng quan và lịch sử nghiên cứu vấn đề</w:t>
      </w:r>
    </w:p>
    <w:p w:rsidRDefault="00000000" w14:paraId="00000021"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2.1. Bài toán dự đoán rủi ro tín dụng</w:t>
      </w:r>
    </w:p>
    <w:p w:rsidRDefault="00000000" w14:paraId="00000022"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i/>
          <w:iCs/>
          <w:sz w:val="26"/>
          <w:szCs w:val="26"/>
          <w:rtl w:val="0"/>
        </w:rPr>
        <w:t>Credit scoring</w:t>
      </w:r>
      <w:r w:rsidR="00000000" w:rsidRPr="00000000" w:rsidDel="00000000">
        <w:rPr>
          <w:rFonts w:ascii="Times New Roman" w:hAnsi="Times New Roman" w:eastAsia="Times New Roman" w:cs="Times New Roman"/>
          <w:sz w:val="26"/>
          <w:szCs w:val="26"/>
          <w:rtl w:val="0"/>
        </w:rPr>
        <w:t xml:space="preserve"> có thể được mô hình hóa dưới dạng bài toán phân loại nhị phân. Với tập dữ liệu D = {(xᵢ, yᵢ)}ᵢ₌₁ⁿ, xᵢ là vector đặc trưng của khách hàng và yᵢ ∈ {0,1} là nhãn tín dụng. Mô hình học một hàm f(x) để ước lượng xác suất hoặc nhãn rủi ro. Bộ dữ liệu </w:t>
      </w:r>
      <w:r w:rsidR="00000000" w:rsidRPr="00000000" w:rsidDel="00000000">
        <w:rPr>
          <w:rFonts w:ascii="Times New Roman" w:hAnsi="Times New Roman" w:eastAsia="Times New Roman" w:cs="Times New Roman"/>
          <w:b/>
          <w:bCs/>
          <w:sz w:val="26"/>
          <w:szCs w:val="26"/>
          <w:rtl w:val="0"/>
        </w:rPr>
        <w:t>Default of Credit Card Clients</w:t>
      </w:r>
      <w:r w:rsidR="00000000" w:rsidRPr="00000000" w:rsidDel="00000000">
        <w:rPr>
          <w:rFonts w:ascii="Times New Roman" w:hAnsi="Times New Roman" w:eastAsia="Times New Roman" w:cs="Times New Roman"/>
          <w:sz w:val="26"/>
          <w:szCs w:val="26"/>
          <w:rtl w:val="0"/>
        </w:rPr>
        <w:t xml:space="preserve"> của Yeh và Lien gồm 30.000 quan sát và là một bộ dữ liệu công khai thường được sử dụng cho nghiên cứu dự đoán default [9].</w:t>
      </w:r>
    </w:p>
    <w:p w:rsidRDefault="00000000" w14:paraId="00000023" w:rsidR="00000000" w:rsidP="00000000" w:rsidRPr="00000000" w:rsidDel="00000000">
      <w:pPr>
        <w:keepLines/>
        <w:widowControl/>
        <w:spacing w:after="0" w:before="0" w:lineRule="auto"/>
        <w:ind w:firstLine="567"/>
        <w:jc w:val="both"/>
      </w:pPr>
      <w:r w:rsidR="00000000" w:rsidRPr="00000000" w:rsidDel="00000000">
        <w:rPr>
          <w:b/>
          <w:bCs/>
          <w:rtl w:val="0"/>
        </w:rPr>
        <w:t>Về mặt mô hình hóa</w:t>
      </w:r>
      <w:r w:rsidR="00000000" w:rsidRPr="00000000" w:rsidDel="00000000">
        <w:rPr>
          <w:rtl w:val="0"/>
        </w:rPr>
        <w:t>, học có giám sát sử dụng các cặp quan sát–nhãn để ước lượng một hàm dự đoán; việc ước lượng và lựa chọn mô hình cần được phân biệt với đánh giá khả năng khái quát hóa trên dữ liệu mới [10]. Trong bài toán của nhóm, nhãn 1 biểu thị khách hàng không thanh toán đúng hạn theo định nghĩa của bộ dữ liệu, nhãn 0 biểu thị trường hợp còn lại; kết quả chỉ được diễn giải trong đúng phạm vi quần thể và kỳ quan sát của bộ dữ liệu.</w:t>
      </w:r>
    </w:p>
    <w:p w:rsidRDefault="00000000" w14:paraId="00000024" w:rsidR="00000000" w:rsidP="00000000" w:rsidRPr="00000000" w:rsidDel="00000000">
      <w:pPr>
        <w:keepNext w:val="0"/>
        <w:keepLines/>
        <w:widowControl/>
        <w:spacing w:after="0" w:before="0" w:line="360" w:lineRule="auto"/>
        <w:ind w:firstLine="567"/>
        <w:jc w:val="both"/>
      </w:pPr>
      <w:r w:rsidR="00000000" w:rsidRPr="00000000" w:rsidDel="00000000">
        <w:rPr>
          <w:rtl w:val="0"/>
        </w:rPr>
        <w:t>Nghiên cứu benchmark của Lessmann và cộng sự đối chiếu nhiều bộ phân loại trên nhiều tập dữ liệu credit scoring; kết quả cho thấy việc chọn mô hình cần dựa trên thực nghiệm có hệ thống thay vì chỉ kiểm tra một thuật toán hoặc một thước đo [1]. Chương tổng quan về credit scoring trong sách của Guidolin và Pedio cũng trình bày cả kết quả của các mô hình tuyến tính lẫn ensemble, đồng thời cho thấy kết luận so sánh phụ thuộc vào thiết kế nghiên cứu và tiêu chí đánh giá [2]. Vì vậy, đề tài sử dụng một nhóm mô hình đối chứng trước khi đi sâu vào XGBoost.</w:t>
      </w:r>
    </w:p>
    <w:p w:rsidRDefault="00000000" w14:paraId="00000025"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2.2. Các mô hình dự đoán tham khảo</w:t>
      </w:r>
    </w:p>
    <w:p w:rsidRDefault="00000000" w14:paraId="00000026"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2.2.1. Logistic Regression</w:t>
      </w:r>
    </w:p>
    <w:p w:rsidRDefault="00000000" w14:paraId="00000027"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Logistic Regression được sử dụng làm </w:t>
      </w:r>
      <w:r w:rsidR="00000000" w:rsidRPr="00000000" w:rsidDel="00000000">
        <w:rPr>
          <w:rFonts w:ascii="Times New Roman" w:hAnsi="Times New Roman" w:eastAsia="Times New Roman" w:cs="Times New Roman"/>
          <w:b/>
          <w:bCs/>
          <w:sz w:val="26"/>
          <w:szCs w:val="26"/>
          <w:rtl w:val="0"/>
        </w:rPr>
        <w:t>baseline tuyến tính</w:t>
      </w:r>
      <w:r w:rsidR="00000000" w:rsidRPr="00000000" w:rsidDel="00000000">
        <w:rPr>
          <w:rFonts w:ascii="Times New Roman" w:hAnsi="Times New Roman" w:eastAsia="Times New Roman" w:cs="Times New Roman"/>
          <w:sz w:val="26"/>
          <w:szCs w:val="26"/>
          <w:rtl w:val="0"/>
        </w:rPr>
        <w:t xml:space="preserve"> vì mô hình đơn giản, dễ diễn giải và là điểm tham chiếu phù hợp trước khi đánh giá các mô hình ensemble phi tuyến [11]. Mô hình này không phải đối tượng tối ưu đa mục tiêu của đề tài.</w:t>
      </w:r>
    </w:p>
    <w:p w:rsidRDefault="00000000" w14:paraId="00000028" w:rsidR="00000000" w:rsidP="00000000" w:rsidRPr="00000000" w:rsidDel="00000000">
      <w:pPr>
        <w:keepLines/>
        <w:widowControl/>
        <w:spacing w:after="0" w:before="0" w:lineRule="auto"/>
        <w:ind w:firstLine="567"/>
        <w:jc w:val="both"/>
      </w:pPr>
      <w:r w:rsidR="00000000" w:rsidRPr="00000000" w:rsidDel="00000000">
        <w:rPr>
          <w:b/>
          <w:bCs/>
          <w:rtl w:val="0"/>
        </w:rPr>
        <w:t>Giáo trình The Elements of Statistical Learning</w:t>
      </w:r>
      <w:r w:rsidR="00000000" w:rsidRPr="00000000" w:rsidDel="00000000">
        <w:rPr>
          <w:rtl w:val="0"/>
        </w:rPr>
        <w:t xml:space="preserve"> trình bày Logistic Regression trong nhóm phương pháp tuyến tính cho phân loại, còn sách Hands-On Machine Learning giới thiệu cách kiểm định bộ phân loại qua cross-validation và các thước đo phù hợp với lớp dương có tần suất thấp [11], [12]. Trong thí nghiệm, Logistic Regression được xử lý tiền dữ liệu bằng pipeline học tham số chuẩn hóa chỉ từ training fold để giữ so sánh có thể tái lập.</w:t>
      </w:r>
    </w:p>
    <w:p w:rsidRDefault="00000000" w14:paraId="00000029"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2.2.2. Random Forest</w:t>
      </w:r>
    </w:p>
    <w:p w:rsidRDefault="00000000" w14:paraId="0000002A"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Random Forest</w:t>
      </w:r>
      <w:r w:rsidR="00000000" w:rsidRPr="00000000" w:rsidDel="00000000">
        <w:rPr>
          <w:rFonts w:ascii="Times New Roman" w:hAnsi="Times New Roman" w:eastAsia="Times New Roman" w:cs="Times New Roman"/>
          <w:sz w:val="26"/>
          <w:szCs w:val="26"/>
          <w:rtl w:val="0"/>
        </w:rPr>
        <w:t xml:space="preserve"> kết hợp nhiều cây quyết định được huấn luyện trên các mẫu bootstrap và các tập con đặc trưng ngẫu nhiên. Phương pháp giúp giảm phương sai của cây đơn và thường có tính robust tốt trên dữ liệu dạng bảng [13].</w:t>
      </w:r>
    </w:p>
    <w:p w:rsidRDefault="00000000" w14:paraId="0000002B" w:rsidR="00000000" w:rsidP="00000000" w:rsidRPr="00000000" w:rsidDel="00000000">
      <w:pPr>
        <w:keepLines/>
        <w:widowControl/>
        <w:spacing w:after="0" w:before="0" w:lineRule="auto"/>
        <w:ind w:firstLine="567"/>
        <w:jc w:val="both"/>
      </w:pPr>
      <w:r w:rsidR="00000000" w:rsidRPr="00000000" w:rsidDel="00000000">
        <w:rPr>
          <w:b/>
          <w:bCs/>
          <w:rtl w:val="0"/>
        </w:rPr>
        <w:t>Về nền tảng học máy</w:t>
      </w:r>
      <w:r w:rsidR="00000000" w:rsidRPr="00000000" w:rsidDel="00000000">
        <w:rPr>
          <w:rtl w:val="0"/>
        </w:rPr>
        <w:t>, Random Forest là một phương pháp ensemble sử dụng tính đa dạng giữa nhiều cây; Chương 7 của Géron và Chương 15 của Hastie cùng cộng sự cung cấp giải thích trực quan và thống kê cho bagging, chọn tập con đặc trưng và giảm tương quan giữa các cây [12], [11]. Bài báo gốc [13] vẫn là nguồn cho mô tả đóng góp thuật toán của Breiman.</w:t>
      </w:r>
    </w:p>
    <w:p w:rsidRDefault="00000000" w14:paraId="0000002C"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2.2.3. Gradient Boosting</w:t>
      </w:r>
    </w:p>
    <w:p w:rsidRDefault="00000000" w14:paraId="0000002D"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Gradient Boosting</w:t>
      </w:r>
      <w:r w:rsidR="00000000" w:rsidRPr="00000000" w:rsidDel="00000000">
        <w:rPr>
          <w:rFonts w:ascii="Times New Roman" w:hAnsi="Times New Roman" w:eastAsia="Times New Roman" w:cs="Times New Roman"/>
          <w:sz w:val="26"/>
          <w:szCs w:val="26"/>
          <w:rtl w:val="0"/>
        </w:rPr>
        <w:t xml:space="preserve"> xây dựng mô hình cộng dồn theo từng giai đoạn; mỗi weak learner mới được thêm vào để giảm hàm mất mát theo hướng gradient [14]. Đây là nền tảng lý thuyết quan trọng cho XGBoost, LightGBM và CatBoost.</w:t>
      </w:r>
    </w:p>
    <w:p w:rsidRDefault="00000000" w14:paraId="0000002E" w:rsidR="00000000" w:rsidP="00000000" w:rsidRPr="00000000" w:rsidDel="00000000">
      <w:pPr>
        <w:keepLines/>
        <w:widowControl/>
        <w:spacing w:after="0" w:before="0" w:lineRule="auto"/>
        <w:ind w:firstLine="567"/>
        <w:jc w:val="both"/>
      </w:pPr>
      <w:r w:rsidR="00000000" w:rsidRPr="00000000" w:rsidDel="00000000">
        <w:rPr>
          <w:b/>
          <w:bCs/>
          <w:rtl w:val="0"/>
        </w:rPr>
        <w:t>Khác với bagging</w:t>
      </w:r>
      <w:r w:rsidR="00000000" w:rsidRPr="00000000" w:rsidDel="00000000">
        <w:rPr>
          <w:rtl w:val="0"/>
        </w:rPr>
        <w:t>, boosting bổ sung các bộ học theo từng vòng để cải thiện mô hình tổng hợp. Phần Boosting and Additive Trees trong giáo trình của Hastie cùng cộng sự và phần Ensemble Learning của Géron giải thích cơ chế huấn luyện tuần tự này; bài báo Friedman cung cấp phát biểu nền tảng theo hướng tối ưu hàm mất mát [11], [12], [14].</w:t>
      </w:r>
    </w:p>
    <w:p w:rsidRDefault="00000000" w14:paraId="0000002F"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2.2.4. XGBoost</w:t>
      </w:r>
    </w:p>
    <w:p w:rsidRDefault="00000000" w14:paraId="00000030"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XGBoost</w:t>
      </w:r>
      <w:r w:rsidR="00000000" w:rsidRPr="00000000" w:rsidDel="00000000">
        <w:rPr>
          <w:rFonts w:ascii="Times New Roman" w:hAnsi="Times New Roman" w:eastAsia="Times New Roman" w:cs="Times New Roman"/>
          <w:sz w:val="26"/>
          <w:szCs w:val="26"/>
          <w:rtl w:val="0"/>
        </w:rPr>
        <w:t xml:space="preserve"> mở rộng gradient tree boosting với regularization, xử lý sparsity và nhiều tối ưu hệ thống giúp tăng hiệu quả huấn luyện [3]. Do có nhiều siêu tham số tương tác với nhau, XGBoost phù hợp để nghiên cứu sự đánh đổi giữa hiệu năng dự đoán và độ ổn định giải thích trong một bài toán HPO đa mục tiêu.</w:t>
      </w:r>
    </w:p>
    <w:p w:rsidRDefault="00000000" w14:paraId="00000031"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2.2.5. LightGBM</w:t>
      </w:r>
    </w:p>
    <w:p w:rsidRDefault="00000000" w14:paraId="00000032"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LightGBM</w:t>
      </w:r>
      <w:r w:rsidR="00000000" w:rsidRPr="00000000" w:rsidDel="00000000">
        <w:rPr>
          <w:rFonts w:ascii="Times New Roman" w:hAnsi="Times New Roman" w:eastAsia="Times New Roman" w:cs="Times New Roman"/>
          <w:sz w:val="26"/>
          <w:szCs w:val="26"/>
          <w:rtl w:val="0"/>
        </w:rPr>
        <w:t xml:space="preserve"> là một triển khai gradient boosting tối ưu về hiệu quả và khả năng mở rộng; công trình gốc đề xuất Gradient-based One-Side Sampling (GOSS) và Exclusive Feature Bundling (EFB) [15]. Trong đề tài, LightGBM đóng vai trò mô hình tham khảo về predictive performance.</w:t>
      </w:r>
    </w:p>
    <w:p w:rsidRDefault="00000000" w14:paraId="00000033" w:rsidR="00000000" w:rsidP="00000000" w:rsidRPr="00000000" w:rsidDel="00000000">
      <w:pPr>
        <w:pStyle w:val="Heading3"/>
        <w:keepNext/>
        <w:keepLines/>
        <w:pageBreakBefore w:val="0"/>
      </w:pPr>
      <w:r w:rsidR="00000000" w:rsidRPr="00000000" w:rsidDel="00000000">
        <w:rPr>
          <w:rFonts w:ascii="Times New Roman" w:hAnsi="Times New Roman" w:eastAsia="Times New Roman" w:cs="Times New Roman"/>
          <w:b/>
          <w:bCs/>
          <w:i/>
          <w:iCs/>
          <w:sz w:val="26"/>
          <w:szCs w:val="26"/>
          <w:rtl w:val="0"/>
        </w:rPr>
        <w:t>2.2.6. CatBoost</w:t>
      </w:r>
    </w:p>
    <w:p w:rsidRDefault="00000000" w14:paraId="00000034"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CatBoost</w:t>
      </w:r>
      <w:r w:rsidR="00000000" w:rsidRPr="00000000" w:rsidDel="00000000">
        <w:rPr>
          <w:rFonts w:ascii="Times New Roman" w:hAnsi="Times New Roman" w:eastAsia="Times New Roman" w:cs="Times New Roman"/>
          <w:sz w:val="26"/>
          <w:szCs w:val="26"/>
          <w:rtl w:val="0"/>
        </w:rPr>
        <w:t xml:space="preserve"> là một phương pháp gradient boosting được thiết kế tốt cho biến phân loại, với ordered boosting và các cơ chế hạn chế prediction shift [16]. CatBoost được đưa vào nhóm đối chứng để đánh giá liệu XGBoost sau tối ưu có cạnh tranh với một thuật toán boosting hiện đại khác hay không.</w:t>
      </w:r>
    </w:p>
    <w:p w:rsidRDefault="00000000" w14:paraId="00000035"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2.3. Tối ưu siêu tham số và tối ưu đa mục tiêu</w:t>
      </w:r>
    </w:p>
    <w:p w:rsidRDefault="00000000" w14:paraId="00000036" w:rsidR="00000000" w:rsidP="00000000" w:rsidRPr="00000000" w:rsidDel="00000000">
      <w:pPr>
        <w:keepNext w:val="0"/>
        <w:keepLines/>
        <w:widowControl/>
        <w:spacing w:after="0" w:before="0" w:line="360" w:lineRule="auto"/>
        <w:ind w:firstLine="567"/>
        <w:jc w:val="both"/>
      </w:pPr>
      <w:r w:rsidR="00000000" w:rsidRPr="00000000" w:rsidDel="00000000">
        <w:rPr>
          <w:rtl w:val="0"/>
        </w:rPr>
        <w:t>Siêu tham số là các lựa chọn cấu hình được xác định bên ngoài quá trình học tham số mô hình, ví dụ độ sâu cây, learning_rate hoặc số vòng boosting. Chương 1, “Hyperparameter Optimization”, trong sách Automated Machine Learning trình bày bài toán HPO, Grid Search, Random Search và Bayesian Optimization, đồng thời nêu vai trò của một protocol đánh giá nhất quán khi so sánh các cấu hình [17]. Đề tài sử dụng Optuna để tổ chức các phép thử và lấy mẫu cấu hình nhờ thiết kế define-by-run [18]; cơ sở lý thuyết riêng của tối ưu đa mục tiêu được trình bày dựa trên tổng quan [19], không quy toàn bộ nội dung này cho bài báo Optuna năm 2019.</w:t>
      </w:r>
    </w:p>
    <w:p w:rsidRDefault="00000000" w14:paraId="00000037"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Khác với HPO đơn mục tiêu, </w:t>
      </w:r>
      <w:r w:rsidR="00000000" w:rsidRPr="00000000" w:rsidDel="00000000">
        <w:rPr>
          <w:rFonts w:ascii="Times New Roman" w:hAnsi="Times New Roman" w:eastAsia="Times New Roman" w:cs="Times New Roman"/>
          <w:i/>
          <w:iCs/>
          <w:sz w:val="26"/>
          <w:szCs w:val="26"/>
          <w:rtl w:val="0"/>
        </w:rPr>
        <w:t>multi-objective hyperparameter optimization</w:t>
      </w:r>
      <w:r w:rsidR="00000000" w:rsidRPr="00000000" w:rsidDel="00000000">
        <w:rPr>
          <w:rFonts w:ascii="Times New Roman" w:hAnsi="Times New Roman" w:eastAsia="Times New Roman" w:cs="Times New Roman"/>
          <w:sz w:val="26"/>
          <w:szCs w:val="26"/>
          <w:rtl w:val="0"/>
        </w:rPr>
        <w:t xml:space="preserve"> tìm các cấu hình thỏa hiệp giữa nhiều tiêu chí có thể xung đột. Tổng quan của Morales-Hernández, Van Nieuwenhuyse và Rojas Gonzalez cho thấy đây là một hướng nghiên cứu riêng của HPO, với nhiều chiến lược metaheuristic và model-based được sử dụng để tìm tập nghiệm Pareto [19]. Trong đề tài này, hai tiêu chí xung đột được lựa chọn là predictive performance và SHAP stability.</w:t>
      </w:r>
    </w:p>
    <w:p w:rsidRDefault="00000000" w14:paraId="00000038" w:rsidR="00000000" w:rsidP="00000000" w:rsidRPr="00000000" w:rsidDel="00000000">
      <w:pPr>
        <w:keepLines/>
        <w:widowControl/>
        <w:spacing w:after="0" w:before="0" w:lineRule="auto"/>
        <w:ind w:firstLine="567"/>
        <w:jc w:val="both"/>
      </w:pPr>
      <w:r w:rsidR="00000000" w:rsidRPr="00000000" w:rsidDel="00000000">
        <w:rPr>
          <w:b/>
          <w:bCs/>
          <w:rtl w:val="0"/>
        </w:rPr>
        <w:t>Cần phân biệt tối ưu liên tục</w:t>
      </w:r>
      <w:r w:rsidR="00000000" w:rsidRPr="00000000" w:rsidDel="00000000">
        <w:rPr>
          <w:rtl w:val="0"/>
        </w:rPr>
        <w:t xml:space="preserve"> theo gradient với HPO dạng black-box: sách Mathematics for Machine Learning giới thiệu đạo hàm, gradient và tối ưu liên tục cho các hàm khả vi, còn chương HPO trong Automated Machine Learning xem hiệu năng của một cấu hình như kết quả cần được đo qua quy trình huấn luyện–đánh giá [10], [17]. Vì vậy, bài toán của nhóm không giả định có thể lấy trực tiếp gradient của điểm ROC-AUC hoặc độ ổn định SHAP theo siêu tham số.</w:t>
      </w:r>
    </w:p>
    <w:p w:rsidRDefault="00000000" w14:paraId="00000039"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2.4. Giải thích mô hình bằng SHAP</w:t>
      </w:r>
    </w:p>
    <w:p w:rsidRDefault="00000000" w14:paraId="0000003A"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SHAP</w:t>
      </w:r>
      <w:r w:rsidR="00000000" w:rsidRPr="00000000" w:rsidDel="00000000">
        <w:rPr>
          <w:rFonts w:ascii="Times New Roman" w:hAnsi="Times New Roman" w:eastAsia="Times New Roman" w:cs="Times New Roman"/>
          <w:sz w:val="26"/>
          <w:szCs w:val="26"/>
          <w:rtl w:val="0"/>
        </w:rPr>
        <w:t xml:space="preserve"> xây dựng lời giải thích dựa trên Shapley value trong lý thuyết trò chơi [4]. Với một dự đoán f(x), mô hình giải thích cộng có thể được biểu diễn như sau:</w:t>
      </w:r>
    </w:p>
    <w:p w:rsidRDefault="00000000" w14:paraId="0000003B"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f(x) = φ₀ + Σⱼ φⱼ</w:t>
      </w:r>
    </w:p>
    <w:p w:rsidRDefault="00000000" w14:paraId="0000003C"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Trong đó φ₀ là giá trị cơ sở và φⱼ là đóng góp của đặc trưng j. Global SHAP importance của đặc trưng j có thể được xác định bằng trung bình trị tuyệt đối của SHAP trên một tập mẫu tham chiếu cố định:</w:t>
      </w:r>
    </w:p>
    <w:p w:rsidRDefault="00000000" w14:paraId="0000003D"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Iⱼ = (1/N) Σᵢ |φᵢⱼ|</w:t>
      </w:r>
    </w:p>
    <w:p w:rsidRDefault="00000000" w14:paraId="0000003E"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Đối với các mô hình cây như XGBoost, </w:t>
      </w:r>
      <w:r w:rsidR="00000000" w:rsidRPr="00000000" w:rsidDel="00000000">
        <w:rPr>
          <w:rFonts w:ascii="Times New Roman" w:hAnsi="Times New Roman" w:eastAsia="Times New Roman" w:cs="Times New Roman"/>
          <w:i/>
          <w:iCs/>
          <w:sz w:val="26"/>
          <w:szCs w:val="26"/>
          <w:rtl w:val="0"/>
        </w:rPr>
        <w:t>TreeSHAP</w:t>
      </w:r>
      <w:r w:rsidR="00000000" w:rsidRPr="00000000" w:rsidDel="00000000">
        <w:rPr>
          <w:rFonts w:ascii="Times New Roman" w:hAnsi="Times New Roman" w:eastAsia="Times New Roman" w:cs="Times New Roman"/>
          <w:sz w:val="26"/>
          <w:szCs w:val="26"/>
          <w:rtl w:val="0"/>
        </w:rPr>
        <w:t xml:space="preserve"> là lựa chọn phù hợp để tính SHAP hiệu quả [5]. Đề tài tập trung chủ yếu vào </w:t>
      </w:r>
      <w:r w:rsidR="00000000" w:rsidRPr="00000000" w:rsidDel="00000000">
        <w:rPr>
          <w:rFonts w:ascii="Times New Roman" w:hAnsi="Times New Roman" w:eastAsia="Times New Roman" w:cs="Times New Roman"/>
          <w:i/>
          <w:iCs/>
          <w:sz w:val="26"/>
          <w:szCs w:val="26"/>
          <w:rtl w:val="0"/>
        </w:rPr>
        <w:t>global explanation</w:t>
      </w:r>
      <w:r w:rsidR="00000000" w:rsidRPr="00000000" w:rsidDel="00000000">
        <w:rPr>
          <w:rFonts w:ascii="Times New Roman" w:hAnsi="Times New Roman" w:eastAsia="Times New Roman" w:cs="Times New Roman"/>
          <w:sz w:val="26"/>
          <w:szCs w:val="26"/>
          <w:rtl w:val="0"/>
        </w:rPr>
        <w:t xml:space="preserve"> vì mục tiêu ổn định được xây dựng trên thứ hạng độ quan trọng đặc trưng giữa nhiều lần huấn luyện.</w:t>
      </w:r>
    </w:p>
    <w:p w:rsidRDefault="00000000" w14:paraId="0000003F"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2.5. Độ ổn định của giải thích và khoảng trống nghiên cứu</w:t>
      </w:r>
    </w:p>
    <w:p w:rsidRDefault="00000000" w14:paraId="00000040"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Một mô hình có predictive performance cao chưa đồng nghĩa với phần giải thích luôn ổn định. Nếu thay đổi seed, phép chia dữ liệu hoặc siêu tham số làm thứ hạng các đặc trưng SHAP biến động mạnh, khả năng tái lập của kết luận giải thích sẽ giảm. Nghiên cứu về robustness của interpretability methods đã chỉ ra rằng độ ổn định là một thuộc tính cần được định lượng [6].</w:t>
      </w:r>
    </w:p>
    <w:p w:rsidRDefault="00000000" w14:paraId="00000041"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Trong bối cảnh credit scoring, Ballegeer và cộng sự đánh giá trực tiếp stability của SHAP/LIME dưới các điều kiện cost-sensitive và class imbalance [8]. Lin và Wang tiếp cận vấn đề từ góc độ reproducibility của XGBoost: họ giữ nguyên hyperparameter, thay đổi random seed qua 100 mô hình và sử dụng Kendall’s W để đo mức đồng thuận của thứ hạng SHAP [7]. Hai nghiên cứu này xác nhận rằng explanation stability không chỉ là vấn đề lý thuyết mà có thể thay đổi đáng kể trong thực nghiệm tín dụng.</w:t>
      </w:r>
    </w:p>
    <w:p w:rsidRDefault="00000000" w14:paraId="00000042"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Vì vậy, </w:t>
      </w:r>
      <w:r w:rsidR="00000000" w:rsidRPr="00000000" w:rsidDel="00000000">
        <w:rPr>
          <w:rFonts w:ascii="Times New Roman" w:hAnsi="Times New Roman" w:eastAsia="Times New Roman" w:cs="Times New Roman"/>
          <w:b/>
          <w:bCs/>
          <w:sz w:val="26"/>
          <w:szCs w:val="26"/>
          <w:rtl w:val="0"/>
        </w:rPr>
        <w:t>khoảng trống mà đề tài lựa chọn không phải là chứng minh SHAP có thể bất ổn</w:t>
      </w:r>
      <w:r w:rsidR="00000000" w:rsidRPr="00000000" w:rsidDel="00000000">
        <w:rPr>
          <w:rFonts w:ascii="Times New Roman" w:hAnsi="Times New Roman" w:eastAsia="Times New Roman" w:cs="Times New Roman"/>
          <w:sz w:val="26"/>
          <w:szCs w:val="26"/>
          <w:rtl w:val="0"/>
        </w:rPr>
        <w:t xml:space="preserve">, mà là nghiên cứu việc </w:t>
      </w:r>
      <w:r w:rsidR="00000000" w:rsidRPr="00000000" w:rsidDel="00000000">
        <w:rPr>
          <w:rFonts w:ascii="Times New Roman" w:hAnsi="Times New Roman" w:eastAsia="Times New Roman" w:cs="Times New Roman"/>
          <w:sz w:val="26"/>
          <w:szCs w:val="26"/>
          <w:u w:val="single"/>
          <w:rtl w:val="0"/>
        </w:rPr>
        <w:t>đưa SHAP stability trực tiếp vào quá trình lựa chọn siêu tham số XGBoost như một objective đồng thời với predictive performance</w:t>
      </w:r>
      <w:r w:rsidR="00000000" w:rsidRPr="00000000" w:rsidDel="00000000">
        <w:rPr>
          <w:rFonts w:ascii="Times New Roman" w:hAnsi="Times New Roman" w:eastAsia="Times New Roman" w:cs="Times New Roman"/>
          <w:sz w:val="26"/>
          <w:szCs w:val="26"/>
          <w:rtl w:val="0"/>
        </w:rPr>
        <w:t>. Theo phạm vi khảo sát hiện tại, các công trình [8], [7] tập trung đánh giá stability dưới những nguồn biến thiên nhất định, nhưng không xây dựng bài toán HPO hai mục tiêu AUC–SHAP stability để phân tích Pareto front. Đây là điểm khác biệt chính của hướng nghiên cứu này.</w:t>
      </w:r>
    </w:p>
    <w:p w:rsidRDefault="00000000" w14:paraId="00000043"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3. Mục đích, câu hỏi và nhiệm vụ nghiên cứu</w:t>
      </w:r>
    </w:p>
    <w:p w:rsidRDefault="00000000" w14:paraId="00000044"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3.1. Mục đích nghiên cứu</w:t>
      </w:r>
    </w:p>
    <w:p w:rsidRDefault="00000000" w14:paraId="00000045"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Mục đích của đề tài là xây dựng và đánh giá một quy trình </w:t>
      </w:r>
      <w:r w:rsidR="00000000" w:rsidRPr="00000000" w:rsidDel="00000000">
        <w:rPr>
          <w:rFonts w:ascii="Times New Roman" w:hAnsi="Times New Roman" w:eastAsia="Times New Roman" w:cs="Times New Roman"/>
          <w:b/>
          <w:bCs/>
          <w:sz w:val="26"/>
          <w:szCs w:val="26"/>
          <w:rtl w:val="0"/>
        </w:rPr>
        <w:t>tối ưu đa mục tiêu siêu tham số XGBoost</w:t>
      </w:r>
      <w:r w:rsidR="00000000" w:rsidRPr="00000000" w:rsidDel="00000000">
        <w:rPr>
          <w:rFonts w:ascii="Times New Roman" w:hAnsi="Times New Roman" w:eastAsia="Times New Roman" w:cs="Times New Roman"/>
          <w:sz w:val="26"/>
          <w:szCs w:val="26"/>
          <w:rtl w:val="0"/>
        </w:rPr>
        <w:t xml:space="preserve"> trong bài toán dự đoán rủi ro tín dụng cá nhân, nhằm tìm các cấu hình có sự cân bằng hợp lý giữa hiệu năng dự đoán và độ ổn định của giải thích SHAP. Kết quả tối ưu được biểu diễn dưới dạng </w:t>
      </w:r>
      <w:r w:rsidR="00000000" w:rsidRPr="00000000" w:rsidDel="00000000">
        <w:rPr>
          <w:rFonts w:ascii="Times New Roman" w:hAnsi="Times New Roman" w:eastAsia="Times New Roman" w:cs="Times New Roman"/>
          <w:i/>
          <w:iCs/>
          <w:sz w:val="26"/>
          <w:szCs w:val="26"/>
          <w:rtl w:val="0"/>
        </w:rPr>
        <w:t>tập nghiệm Pareto</w:t>
      </w:r>
      <w:r w:rsidR="00000000" w:rsidRPr="00000000" w:rsidDel="00000000">
        <w:rPr>
          <w:rFonts w:ascii="Times New Roman" w:hAnsi="Times New Roman" w:eastAsia="Times New Roman" w:cs="Times New Roman"/>
          <w:sz w:val="26"/>
          <w:szCs w:val="26"/>
          <w:rtl w:val="0"/>
        </w:rPr>
        <w:t xml:space="preserve"> thay vì bắt buộc chọn một cấu hình duy nhất ngay từ đầu.</w:t>
      </w:r>
    </w:p>
    <w:p w:rsidRDefault="00000000" w14:paraId="00000046"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3.2. Câu hỏi nghiên cứu</w:t>
      </w:r>
    </w:p>
    <w:p w:rsidRDefault="00000000" w14:paraId="00000047"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RQ1. </w:t>
      </w:r>
      <w:r w:rsidR="00000000" w:rsidRPr="00000000" w:rsidDel="00000000">
        <w:rPr>
          <w:rFonts w:ascii="Times New Roman" w:hAnsi="Times New Roman" w:eastAsia="Times New Roman" w:cs="Times New Roman"/>
          <w:sz w:val="26"/>
          <w:szCs w:val="26"/>
          <w:rtl w:val="0"/>
        </w:rPr>
        <w:t>Các siêu tham số XGBoost ảnh hưởng như thế nào đến hiệu năng dự đoán và độ ổn định của giải thích SHAP?</w:t>
      </w:r>
    </w:p>
    <w:p w:rsidRDefault="00000000" w14:paraId="00000048"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RQ2. </w:t>
      </w:r>
      <w:r w:rsidR="00000000" w:rsidRPr="00000000" w:rsidDel="00000000">
        <w:rPr>
          <w:rFonts w:ascii="Times New Roman" w:hAnsi="Times New Roman" w:eastAsia="Times New Roman" w:cs="Times New Roman"/>
          <w:sz w:val="26"/>
          <w:szCs w:val="26"/>
          <w:rtl w:val="0"/>
        </w:rPr>
        <w:t>Cấu hình XGBoost tối ưu về predictive performance có đồng thời tạo ra giải thích SHAP ổn định hay không?</w:t>
      </w:r>
    </w:p>
    <w:p w:rsidRDefault="00000000" w14:paraId="00000049"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RQ3. </w:t>
      </w:r>
      <w:r w:rsidR="00000000" w:rsidRPr="00000000" w:rsidDel="00000000">
        <w:rPr>
          <w:rFonts w:ascii="Times New Roman" w:hAnsi="Times New Roman" w:eastAsia="Times New Roman" w:cs="Times New Roman"/>
          <w:sz w:val="26"/>
          <w:szCs w:val="26"/>
          <w:rtl w:val="0"/>
        </w:rPr>
        <w:t>Tối ưu đa mục tiêu có tìm được các cấu hình cân bằng tốt hơn giữa predictive performance và SHAP stability so với tối ưu đơn mục tiêu hay không?</w:t>
      </w:r>
    </w:p>
    <w:p w:rsidRDefault="00000000" w14:paraId="0000004A"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RQ4. </w:t>
      </w:r>
      <w:r w:rsidR="00000000" w:rsidRPr="00000000" w:rsidDel="00000000">
        <w:rPr>
          <w:rFonts w:ascii="Times New Roman" w:hAnsi="Times New Roman" w:eastAsia="Times New Roman" w:cs="Times New Roman"/>
          <w:sz w:val="26"/>
          <w:szCs w:val="26"/>
          <w:rtl w:val="0"/>
        </w:rPr>
        <w:t>XGBoost sau tối ưu có vị trí như thế nào so với Logistic Regression, Random Forest, Gradient Boosting, LightGBM và CatBoost về predictive performance trên cùng protocol đánh giá?</w:t>
      </w:r>
    </w:p>
    <w:p w:rsidRDefault="00000000" w14:paraId="0000004B"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3.3. Nhiệm vụ nghiên cứu</w:t>
      </w:r>
    </w:p>
    <w:p w:rsidRDefault="00000000" w14:paraId="0000004C"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1. </w:t>
      </w:r>
      <w:r w:rsidR="00000000" w:rsidRPr="00000000" w:rsidDel="00000000">
        <w:rPr>
          <w:rFonts w:ascii="Times New Roman" w:hAnsi="Times New Roman" w:eastAsia="Times New Roman" w:cs="Times New Roman"/>
          <w:sz w:val="26"/>
          <w:szCs w:val="26"/>
          <w:rtl w:val="0"/>
        </w:rPr>
        <w:t>Khảo sát cơ sở lý thuyết của credit scoring, XGBoost, các mô hình ensemble tham khảo, SHAP và các chỉ số đánh giá.</w:t>
      </w:r>
    </w:p>
    <w:p w:rsidRDefault="00000000" w14:paraId="0000004D"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2. </w:t>
      </w:r>
      <w:r w:rsidR="00000000" w:rsidRPr="00000000" w:rsidDel="00000000">
        <w:rPr>
          <w:rFonts w:ascii="Times New Roman" w:hAnsi="Times New Roman" w:eastAsia="Times New Roman" w:cs="Times New Roman"/>
          <w:sz w:val="26"/>
          <w:szCs w:val="26"/>
          <w:rtl w:val="0"/>
        </w:rPr>
        <w:t>Khảo sát các công trình liên quan đến robustness/stability của giải thích và tối ưu đa mục tiêu, đặc biệt các nghiên cứu trực tiếp trong credit scoring.</w:t>
      </w:r>
    </w:p>
    <w:p w:rsidRDefault="00000000" w14:paraId="0000004E"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3. </w:t>
      </w:r>
      <w:r w:rsidR="00000000" w:rsidRPr="00000000" w:rsidDel="00000000">
        <w:rPr>
          <w:rFonts w:ascii="Times New Roman" w:hAnsi="Times New Roman" w:eastAsia="Times New Roman" w:cs="Times New Roman"/>
          <w:sz w:val="26"/>
          <w:szCs w:val="26"/>
          <w:rtl w:val="0"/>
        </w:rPr>
        <w:t>Xây dựng pipeline tiền xử lý và benchmark Logistic Regression, Random Forest, Gradient Boosting, LightGBM, CatBoost và XGBoost theo cùng protocol.</w:t>
      </w:r>
    </w:p>
    <w:p w:rsidRDefault="00000000" w14:paraId="0000004F"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4. </w:t>
      </w:r>
      <w:r w:rsidR="00000000" w:rsidRPr="00000000" w:rsidDel="00000000">
        <w:rPr>
          <w:rFonts w:ascii="Times New Roman" w:hAnsi="Times New Roman" w:eastAsia="Times New Roman" w:cs="Times New Roman"/>
          <w:sz w:val="26"/>
          <w:szCs w:val="26"/>
          <w:rtl w:val="0"/>
        </w:rPr>
        <w:t>Xây dựng quy trình lượng hóa SHAP stability cho XGBoost trên cùng một reference set và cùng tập seed/fold đã xác định trước.</w:t>
      </w:r>
    </w:p>
    <w:p w:rsidRDefault="00000000" w14:paraId="00000050"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5. </w:t>
      </w:r>
      <w:r w:rsidR="00000000" w:rsidRPr="00000000" w:rsidDel="00000000">
        <w:rPr>
          <w:rFonts w:ascii="Times New Roman" w:hAnsi="Times New Roman" w:eastAsia="Times New Roman" w:cs="Times New Roman"/>
          <w:sz w:val="26"/>
          <w:szCs w:val="26"/>
          <w:rtl w:val="0"/>
        </w:rPr>
        <w:t>Xây dựng không gian tìm kiếm và quy trình tối ưu siêu tham số XGBoost theo một mục tiêu predictive performance.</w:t>
      </w:r>
    </w:p>
    <w:p w:rsidRDefault="00000000" w14:paraId="00000051"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6. </w:t>
      </w:r>
      <w:r w:rsidR="00000000" w:rsidRPr="00000000" w:rsidDel="00000000">
        <w:rPr>
          <w:rFonts w:ascii="Times New Roman" w:hAnsi="Times New Roman" w:eastAsia="Times New Roman" w:cs="Times New Roman"/>
          <w:sz w:val="26"/>
          <w:szCs w:val="26"/>
          <w:rtl w:val="0"/>
        </w:rPr>
        <w:t>Mô hình hóa bài toán tối ưu đa mục tiêu với hai objective là predictive performance và SHAP stability.</w:t>
      </w:r>
    </w:p>
    <w:p w:rsidRDefault="00000000" w14:paraId="00000052"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7. </w:t>
      </w:r>
      <w:r w:rsidR="00000000" w:rsidRPr="00000000" w:rsidDel="00000000">
        <w:rPr>
          <w:rFonts w:ascii="Times New Roman" w:hAnsi="Times New Roman" w:eastAsia="Times New Roman" w:cs="Times New Roman"/>
          <w:sz w:val="26"/>
          <w:szCs w:val="26"/>
          <w:rtl w:val="0"/>
        </w:rPr>
        <w:t>Xây dựng, trực quan hóa và phân tích Pareto front; lựa chọn các nghiệm đại diện theo các tiêu chí hiệu năng cao, stability cao và cân bằng.</w:t>
      </w:r>
    </w:p>
    <w:p w:rsidRDefault="00000000" w14:paraId="00000053"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8. </w:t>
      </w:r>
      <w:r w:rsidR="00000000" w:rsidRPr="00000000" w:rsidDel="00000000">
        <w:rPr>
          <w:rFonts w:ascii="Times New Roman" w:hAnsi="Times New Roman" w:eastAsia="Times New Roman" w:cs="Times New Roman"/>
          <w:sz w:val="26"/>
          <w:szCs w:val="26"/>
          <w:rtl w:val="0"/>
        </w:rPr>
        <w:t>So sánh XGBoost mặc định, XGBoost tối ưu đơn mục tiêu và XGBoost tối ưu đa mục tiêu.</w:t>
      </w:r>
    </w:p>
    <w:p w:rsidRDefault="00000000" w14:paraId="00000054"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Nhiệm vụ 9. </w:t>
      </w:r>
      <w:r w:rsidR="00000000" w:rsidRPr="00000000" w:rsidDel="00000000">
        <w:rPr>
          <w:rFonts w:ascii="Times New Roman" w:hAnsi="Times New Roman" w:eastAsia="Times New Roman" w:cs="Times New Roman"/>
          <w:sz w:val="26"/>
          <w:szCs w:val="26"/>
          <w:rtl w:val="0"/>
        </w:rPr>
        <w:t>Khóa toàn bộ lựa chọn mô hình trước khi đánh giá cuối trên test set độc lập; sau đó thảo luận hạn chế, tính tái lập và hướng phát triển.</w:t>
      </w:r>
    </w:p>
    <w:p w:rsidRDefault="00000000" w14:paraId="00000055"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4. Đối tượng và phạm vi nghiên cứu</w:t>
      </w:r>
    </w:p>
    <w:p w:rsidRDefault="00000000" w14:paraId="00000056"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4.1. Đối tượng nghiên cứu</w:t>
      </w:r>
    </w:p>
    <w:p w:rsidRDefault="00000000" w14:paraId="00000057"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Đối tượng nghiên cứu trung tâm là </w:t>
      </w:r>
      <w:r w:rsidR="00000000" w:rsidRPr="00000000" w:rsidDel="00000000">
        <w:rPr>
          <w:rFonts w:ascii="Times New Roman" w:hAnsi="Times New Roman" w:eastAsia="Times New Roman" w:cs="Times New Roman"/>
          <w:b/>
          <w:bCs/>
          <w:sz w:val="26"/>
          <w:szCs w:val="26"/>
          <w:rtl w:val="0"/>
        </w:rPr>
        <w:t>XGBoost và ảnh hưởng của siêu tham số đến hai thuộc tính: predictive performance và SHAP stability</w:t>
      </w:r>
      <w:r w:rsidR="00000000" w:rsidRPr="00000000" w:rsidDel="00000000">
        <w:rPr>
          <w:rFonts w:ascii="Times New Roman" w:hAnsi="Times New Roman" w:eastAsia="Times New Roman" w:cs="Times New Roman"/>
          <w:sz w:val="26"/>
          <w:szCs w:val="26"/>
          <w:rtl w:val="0"/>
        </w:rPr>
        <w:t>. Bên cạnh đó, đề tài nghiên cứu SHAP/TreeSHAP ở mức global feature importance, các phép đo độ ổn định thứ hạng và khái niệm Pareto front trong tối ưu đa mục tiêu. Logistic Regression, Random Forest, Gradient Boosting, LightGBM và CatBoost được sử dụng ở vai trò mô hình tham khảo/đối chứng.</w:t>
      </w:r>
    </w:p>
    <w:p w:rsidRDefault="00000000" w14:paraId="00000058"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4.2. Phạm vi nghiên cứu</w:t>
      </w:r>
    </w:p>
    <w:p w:rsidRDefault="00000000" w14:paraId="00000059"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Đề tài tập trung vào bài toán phân loại nhị phân trên </w:t>
      </w:r>
      <w:r w:rsidR="00000000" w:rsidRPr="00000000" w:rsidDel="00000000">
        <w:rPr>
          <w:rFonts w:ascii="Times New Roman" w:hAnsi="Times New Roman" w:eastAsia="Times New Roman" w:cs="Times New Roman"/>
          <w:b/>
          <w:bCs/>
          <w:sz w:val="26"/>
          <w:szCs w:val="26"/>
          <w:rtl w:val="0"/>
        </w:rPr>
        <w:t>một bộ dữ liệu tín dụng công khai chính</w:t>
      </w:r>
      <w:r w:rsidR="00000000" w:rsidRPr="00000000" w:rsidDel="00000000">
        <w:rPr>
          <w:rFonts w:ascii="Times New Roman" w:hAnsi="Times New Roman" w:eastAsia="Times New Roman" w:cs="Times New Roman"/>
          <w:sz w:val="26"/>
          <w:szCs w:val="26"/>
          <w:rtl w:val="0"/>
        </w:rPr>
        <w:t>. Dự kiến sử dụng Default of Credit Card Clients từ UCI Machine Learning Repository, gắn với công trình của Yeh và Lien [9]. Việc sử dụng một dataset chính giúp giữ phạm vi phù hợp với thời lượng đồ án và dành tài nguyên cho repeated runs, HPO và phân tích stability.</w:t>
      </w:r>
    </w:p>
    <w:p w:rsidRDefault="00000000" w14:paraId="0000005A"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Các mô hình tham khảo được benchmark ở mức hợp lý để tạo baseline về predictive performance; đề tài không thực hiện tối ưu đa mục tiêu toàn diện cho từng mô hình. Độ ổn định SHAP là đối tượng phân tích chính của các biến thể XGBoost. Nếu tài nguyên cho phép, stability của một số mô hình cây khác có thể được khảo sát bổ sung nhưng không phải mục tiêu bắt buộc.</w:t>
      </w:r>
    </w:p>
    <w:p w:rsidRDefault="00000000" w14:paraId="0000005B"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Test set cuối cùng</w:t>
      </w:r>
      <w:r w:rsidR="00000000" w:rsidRPr="00000000" w:rsidDel="00000000">
        <w:rPr>
          <w:rFonts w:ascii="Times New Roman" w:hAnsi="Times New Roman" w:eastAsia="Times New Roman" w:cs="Times New Roman"/>
          <w:sz w:val="26"/>
          <w:szCs w:val="26"/>
          <w:rtl w:val="0"/>
        </w:rPr>
        <w:t xml:space="preserve"> được giữ độc lập và không tham gia tối ưu siêu tham số, lựa chọn Pareto solution hoặc xây dựng thước đo stability. Mọi quyết định về không gian tìm kiếm, metric, seed, reference set và quy tắc chọn nghiệm phải được chốt trên development data trước khi mở test set.</w:t>
      </w:r>
    </w:p>
    <w:p w:rsidRDefault="00000000" w14:paraId="0000005C"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5. Phương pháp nghiên cứu</w:t>
      </w:r>
    </w:p>
    <w:p w:rsidRDefault="00000000" w14:paraId="0000005D"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5.1. Quy trình tổng thể</w:t>
      </w:r>
    </w:p>
    <w:p w:rsidRDefault="00000000" w14:paraId="0000005E"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Quy trình nghiên cứu gồm hai nhánh liên kết. Nhánh thứ nhất benchmark các mô hình tham khảo để xác lập bối cảnh predictive performance. Nhánh thứ hai nghiên cứu sâu XGBoost bằng HPO đơn mục tiêu và đa mục tiêu. Quy trình tổng quát được mô tả theo thứ tự: </w:t>
      </w:r>
      <w:r w:rsidR="00000000" w:rsidRPr="00000000" w:rsidDel="00000000">
        <w:rPr>
          <w:rFonts w:ascii="Times New Roman" w:hAnsi="Times New Roman" w:eastAsia="Times New Roman" w:cs="Times New Roman"/>
          <w:i/>
          <w:iCs/>
          <w:sz w:val="26"/>
          <w:szCs w:val="26"/>
          <w:rtl w:val="0"/>
        </w:rPr>
        <w:t>dữ liệu → tiền xử lý → chia Development/Test → benchmark các mô hình → xây dựng XGBoost HPO → đánh giá predictive performance → tính SHAP trên reference set cố định → đánh giá SHAP stability qua repeated runs → multi-objective optimization → Pareto front → chọn cấu hình đại diện → đánh giá cuối trên Test set</w:t>
      </w:r>
      <w:r w:rsidR="00000000" w:rsidRPr="00000000" w:rsidDel="00000000">
        <w:rPr>
          <w:rFonts w:ascii="Times New Roman" w:hAnsi="Times New Roman" w:eastAsia="Times New Roman" w:cs="Times New Roman"/>
          <w:sz w:val="26"/>
          <w:szCs w:val="26"/>
          <w:rtl w:val="0"/>
        </w:rPr>
        <w:t>.</w:t>
      </w:r>
    </w:p>
    <w:p w:rsidRDefault="00000000" w14:paraId="0000005F"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5.2. Tiền xử lý, phân chia dữ liệu và kiểm soát leakage</w:t>
      </w:r>
    </w:p>
    <w:p w:rsidRDefault="00000000" w14:paraId="00000060"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Dữ liệu được kiểm tra missing values, giá trị bất thường, kiểu dữ liệu, phân bố lớp và mức độ mất cân bằng. Việc mã hóa biến phân loại hoặc các phép biến đổi có tham số phải được fit chỉ trên dữ liệu huấn luyện tương ứng, tránh fit trên toàn bộ dữ liệu trước khi chia tập. Dữ liệu được chia theo stratified sampling để duy trì tỷ lệ lớp.</w:t>
      </w:r>
    </w:p>
    <w:p w:rsidRDefault="00000000" w14:paraId="00000061" w:rsidR="00000000" w:rsidP="00000000" w:rsidRPr="00000000" w:rsidDel="00000000">
      <w:pPr>
        <w:keepLines/>
        <w:widowControl/>
        <w:spacing w:after="0" w:before="0" w:lineRule="auto"/>
        <w:ind w:firstLine="567"/>
        <w:jc w:val="both"/>
      </w:pPr>
      <w:r w:rsidR="00000000" w:rsidRPr="00000000" w:rsidDel="00000000">
        <w:rPr>
          <w:b/>
          <w:bCs/>
          <w:rtl w:val="0"/>
        </w:rPr>
        <w:t>Trong thực hành</w:t>
      </w:r>
      <w:r w:rsidR="00000000" w:rsidRPr="00000000" w:rsidDel="00000000">
        <w:rPr>
          <w:rtl w:val="0"/>
        </w:rPr>
        <w:t>, việc khảo sát kích thước tập, phân phối nhãn, giá trị bất thường và kiểm tra phương pháp chuẩn hóa cần được ghi lại thành các bước tái lập. Sách Machine Learning Mastery with Python mô tả các thao tác kiểm tra phân phối lớp, thống kê mô tả và quy trình đánh giá bằng phép chia train/test hoặc k-fold; nhóm chỉ vận dụng các hướng dẫn thao tác này, còn lập luận về kiểm định và lựa chọn mô hình dựa trên giáo trình thống kê [20], [11].</w:t>
      </w:r>
    </w:p>
    <w:p w:rsidRDefault="00000000" w14:paraId="00000062" w:rsidR="00000000" w:rsidP="00000000" w:rsidRPr="00000000" w:rsidDel="00000000">
      <w:pPr>
        <w:keepNext w:val="0"/>
        <w:keepLines/>
        <w:widowControl/>
        <w:spacing w:after="0" w:before="0" w:line="360" w:lineRule="auto"/>
        <w:ind w:firstLine="567"/>
        <w:jc w:val="both"/>
      </w:pPr>
      <w:r w:rsidR="00000000" w:rsidRPr="00000000" w:rsidDel="00000000">
        <w:rPr>
          <w:rtl w:val="0"/>
        </w:rPr>
        <w:t>Một protocol dự kiến là giữ 20% dữ liệu làm test set độc lập. Phần development 80% tiếp tục được chia thành core và một reference set cố định; reference set chỉ dùng để tính SHAP và không tham gia huấn luyện hoặc validation trong các trial. Trên core, nhóm sử dụng cùng các fold stratified cho mọi trial đơn mục tiêu và đa mục tiêu. Ba tập core, reference và test không giao nhau. Quy trình này cho phép đo AUC bằng cross-validation, đồng thời so sánh SHAP trên cùng các quan sát tham chiếu mà không để test set tham gia lựa chọn cấu hình [12], [11].</w:t>
      </w:r>
    </w:p>
    <w:p w:rsidRDefault="00000000" w14:paraId="00000063"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Để tránh việc objective stability bị chi phối bởi những thay đổi không kiểm soát, cùng một bộ seed/fold và cùng reference set được dùng khi đánh giá các cấu hình θ. Nhờ vậy, sự khác biệt về stability giữa các trial phản ánh nhiều hơn ảnh hưởng của cấu hình mô hình thay vì chỉ phản ánh việc mỗi trial nhìn thấy một tập mẫu khác nhau.</w:t>
      </w:r>
    </w:p>
    <w:p w:rsidRDefault="00000000" w14:paraId="00000064"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5.3. Benchmark các mô hình tham khảo</w:t>
      </w:r>
    </w:p>
    <w:p w:rsidRDefault="00000000" w14:paraId="00000065"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Logistic Regression, Random Forest, Gradient Boosting, LightGBM, CatBoost và XGBoost được huấn luyện theo cùng protocol chia dữ liệu và cùng nhóm metric. Các mô hình tham khảo chỉ được tuning ở mức nhẹ hoặc sử dụng cấu hình hợp lý có kiểm soát, nhằm tránh biến đề tài thành một benchmark HPO cho mọi thuật toán. Mục tiêu của bước này là trả lời </w:t>
      </w:r>
      <w:r w:rsidR="00000000" w:rsidRPr="00000000" w:rsidDel="00000000">
        <w:rPr>
          <w:rFonts w:ascii="Times New Roman" w:hAnsi="Times New Roman" w:eastAsia="Times New Roman" w:cs="Times New Roman"/>
          <w:b/>
          <w:bCs/>
          <w:sz w:val="26"/>
          <w:szCs w:val="26"/>
          <w:rtl w:val="0"/>
        </w:rPr>
        <w:t>XGBoost đang đứng ở đâu so với các lựa chọn phổ biến</w:t>
      </w:r>
      <w:r w:rsidR="00000000" w:rsidRPr="00000000" w:rsidDel="00000000">
        <w:rPr>
          <w:rFonts w:ascii="Times New Roman" w:hAnsi="Times New Roman" w:eastAsia="Times New Roman" w:cs="Times New Roman"/>
          <w:sz w:val="26"/>
          <w:szCs w:val="26"/>
          <w:rtl w:val="0"/>
        </w:rPr>
        <w:t>, chứ không phải chứng minh XGBoost bắt buộc phải đạt điểm cao nhất.</w:t>
      </w:r>
    </w:p>
    <w:p w:rsidRDefault="00000000" w14:paraId="00000066"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5.4. Mục tiêu 1 - Hiệu năng dự đoán</w:t>
      </w:r>
    </w:p>
    <w:p w:rsidRDefault="00000000" w14:paraId="00000067"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ROC-AUC</w:t>
      </w:r>
      <w:r w:rsidR="00000000" w:rsidRPr="00000000" w:rsidDel="00000000">
        <w:rPr>
          <w:rFonts w:ascii="Times New Roman" w:hAnsi="Times New Roman" w:eastAsia="Times New Roman" w:cs="Times New Roman"/>
          <w:sz w:val="26"/>
          <w:szCs w:val="26"/>
          <w:rtl w:val="0"/>
        </w:rPr>
        <w:t xml:space="preserve"> được chọn làm objective predictive chính vì đánh giá khả năng xếp hạng giữa hai lớp mà không phụ thuộc vào một ngưỡng phân loại duy nhất. Để phản ánh đầy đủ hơn dữ liệu có thể mất cân bằng, báo cáo cuối cùng bổ sung PR-AUC, Precision, Recall, F1-score và Balanced Accuracy. Chỉ ROC-AUC được đưa trực tiếp vào objective thứ nhất để giữ cách diễn giải rõ ràng.</w:t>
      </w:r>
    </w:p>
    <w:p w:rsidRDefault="00000000" w14:paraId="00000068" w:rsidR="00000000" w:rsidP="00000000" w:rsidRPr="00000000" w:rsidDel="00000000">
      <w:pPr>
        <w:keepLines/>
        <w:widowControl/>
        <w:spacing w:after="0" w:before="0" w:lineRule="auto"/>
        <w:ind w:firstLine="567"/>
        <w:jc w:val="both"/>
      </w:pPr>
      <w:r w:rsidR="00000000" w:rsidRPr="00000000" w:rsidDel="00000000">
        <w:rPr>
          <w:b/>
          <w:bCs/>
          <w:rtl w:val="0"/>
        </w:rPr>
        <w:t>Các chỉ số dự đoán</w:t>
      </w:r>
      <w:r w:rsidR="00000000" w:rsidRPr="00000000" w:rsidDel="00000000">
        <w:rPr>
          <w:rtl w:val="0"/>
        </w:rPr>
        <w:t xml:space="preserve"> được báo cáo theo nhiều góc nhìn: ROC-AUC phản ánh khả năng phân biệt trên các ngưỡng, trong khi Precision và Recall tập trung vào kết quả của lớp dương, có thể biến động theo ngưỡng phân loại; các khái niệm và ví dụ tính toán được trình bày trong chương Classification của Géron và chương đánh giá thuật toán của Brownlee [12], [20]. Khi triển khai, nếu dùng average_precision_score, nhóm ghi rõ chỉ số bổ sung là Average Precision (AP), không mặc định đồng nhất với tích phân hình thang của đường Precision–Recall.</w:t>
      </w:r>
    </w:p>
    <w:p w:rsidRDefault="00000000" w14:paraId="00000069"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f₁(θ) = mean ROC-AUC_CV(θ)</w:t>
      </w:r>
    </w:p>
    <w:p w:rsidRDefault="00000000" w14:paraId="0000006A"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5.5. Mục tiêu 2 - Độ ổn định của SHAP</w:t>
      </w:r>
    </w:p>
    <w:p w:rsidRDefault="00000000" w14:paraId="0000006B"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Với một cấu hình siêu tham số θ, mô hình được huấn luyện lặp R lần bằng tập seed và/hoặc các phép lấy mẫu đã xác định trước. Mỗi mô hình được giải thích trên cùng reference set. Với lần chạy r, vector global SHAP importance được xác định bởi:</w:t>
      </w:r>
    </w:p>
    <w:p w:rsidRDefault="00000000" w14:paraId="0000006C"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I⁽ʳ⁾ = [I₁⁽ʳ⁾, I₂⁽ʳ⁾, …, I_M⁽ʳ⁾]</w:t>
      </w:r>
    </w:p>
    <w:p w:rsidRDefault="00000000" w14:paraId="0000006D"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Độ ổn định chính được đo bằng </w:t>
      </w:r>
      <w:r w:rsidR="00000000" w:rsidRPr="00000000" w:rsidDel="00000000">
        <w:rPr>
          <w:rFonts w:ascii="Times New Roman" w:hAnsi="Times New Roman" w:eastAsia="Times New Roman" w:cs="Times New Roman"/>
          <w:b/>
          <w:bCs/>
          <w:sz w:val="26"/>
          <w:szCs w:val="26"/>
          <w:rtl w:val="0"/>
        </w:rPr>
        <w:t>tương quan thứ hạng Spearman trung bình</w:t>
      </w:r>
      <w:r w:rsidR="00000000" w:rsidRPr="00000000" w:rsidDel="00000000">
        <w:rPr>
          <w:rFonts w:ascii="Times New Roman" w:hAnsi="Times New Roman" w:eastAsia="Times New Roman" w:cs="Times New Roman"/>
          <w:sz w:val="26"/>
          <w:szCs w:val="26"/>
          <w:rtl w:val="0"/>
        </w:rPr>
        <w:t xml:space="preserve"> giữa tất cả các cặp lần chạy:</w:t>
      </w:r>
    </w:p>
    <w:p w:rsidRDefault="00000000" w14:paraId="0000006E"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S(θ) = 2 / [R(R−1)] · Σₐ&lt;ᵦ ρₛ(I⁽ᵃ⁾, I⁽ᵇ⁾)</w:t>
      </w:r>
    </w:p>
    <w:p w:rsidRDefault="00000000" w14:paraId="0000006F"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Giá trị S càng gần 1 cho thấy thứ hạng quan trọng đặc trưng càng ổn định. </w:t>
      </w:r>
      <w:r w:rsidR="00000000" w:rsidRPr="00000000" w:rsidDel="00000000">
        <w:rPr>
          <w:rFonts w:ascii="Times New Roman" w:hAnsi="Times New Roman" w:eastAsia="Times New Roman" w:cs="Times New Roman"/>
          <w:i/>
          <w:iCs/>
          <w:sz w:val="26"/>
          <w:szCs w:val="26"/>
          <w:rtl w:val="0"/>
        </w:rPr>
        <w:t>Top-k Jaccard</w:t>
      </w:r>
      <w:r w:rsidR="00000000" w:rsidRPr="00000000" w:rsidDel="00000000">
        <w:rPr>
          <w:rFonts w:ascii="Times New Roman" w:hAnsi="Times New Roman" w:eastAsia="Times New Roman" w:cs="Times New Roman"/>
          <w:sz w:val="26"/>
          <w:szCs w:val="26"/>
          <w:rtl w:val="0"/>
        </w:rPr>
        <w:t xml:space="preserve"> được dùng như chỉ số bổ sung để xem nhóm đặc trưng quan trọng nhất có nhất quán hay không:</w:t>
      </w:r>
    </w:p>
    <w:p w:rsidRDefault="00000000" w14:paraId="00000070"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J(A,B) = |A ∩ B| / |A ∪ B|</w:t>
      </w:r>
    </w:p>
    <w:p w:rsidRDefault="00000000" w14:paraId="00000071"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Ngoài ra, </w:t>
      </w:r>
      <w:r w:rsidR="00000000" w:rsidRPr="00000000" w:rsidDel="00000000">
        <w:rPr>
          <w:rFonts w:ascii="Times New Roman" w:hAnsi="Times New Roman" w:eastAsia="Times New Roman" w:cs="Times New Roman"/>
          <w:i/>
          <w:iCs/>
          <w:sz w:val="26"/>
          <w:szCs w:val="26"/>
          <w:rtl w:val="0"/>
        </w:rPr>
        <w:t>Kendall’s W</w:t>
      </w:r>
      <w:r w:rsidR="00000000" w:rsidRPr="00000000" w:rsidDel="00000000">
        <w:rPr>
          <w:rFonts w:ascii="Times New Roman" w:hAnsi="Times New Roman" w:eastAsia="Times New Roman" w:cs="Times New Roman"/>
          <w:sz w:val="26"/>
          <w:szCs w:val="26"/>
          <w:rtl w:val="0"/>
        </w:rPr>
        <w:t xml:space="preserve"> có thể được báo cáo như một phép kiểm tra bổ sung vì đây là thước đo được Lin và Wang sử dụng để đánh giá mức đồng thuận của nhiều bảng xếp hạng SHAP [7]. Tuy nhiên, objective thứ hai vẫn dùng Spearman stability để tránh đưa nhiều thước đo tương tự vào cùng bài toán tối ưu.</w:t>
      </w:r>
    </w:p>
    <w:p w:rsidRDefault="00000000" w14:paraId="00000072"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5.6. Mô hình hóa bài toán tối ưu đa mục tiêu</w:t>
      </w:r>
    </w:p>
    <w:p w:rsidRDefault="00000000" w14:paraId="00000073"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Gọi θ là vector siêu tham số XGBoost. Bài toán tối ưu được biểu diễn dưới dạng:</w:t>
      </w:r>
    </w:p>
    <w:p w:rsidRDefault="00000000" w14:paraId="00000074" w:rsidR="00000000" w:rsidP="00000000" w:rsidRPr="00000000" w:rsidDel="00000000">
      <w:pPr>
        <w:keepNext w:val="0"/>
        <w:keepLines/>
        <w:widowControl/>
        <w:spacing w:after="80" w:before="80" w:line="360" w:lineRule="auto"/>
        <w:jc w:val="center"/>
      </w:pPr>
      <w:r w:rsidR="00000000" w:rsidRPr="00000000" w:rsidDel="00000000">
        <w:rPr>
          <w:rFonts w:ascii="Cambria Math" w:hAnsi="Cambria Math" w:eastAsia="Cambria Math" w:cs="Cambria Math"/>
          <w:i/>
          <w:iCs/>
          <w:sz w:val="26"/>
          <w:szCs w:val="26"/>
          <w:rtl w:val="0"/>
        </w:rPr>
        <w:t>maximize F(θ) = [f₁(θ), f₂(θ)] = [ROC-AUC(θ), SHAP-Stability(θ)]</w:t>
      </w:r>
    </w:p>
    <w:p w:rsidRDefault="00000000" w14:paraId="00000075" w:rsidR="00000000" w:rsidP="00000000" w:rsidRPr="00000000" w:rsidDel="00000000">
      <w:pPr>
        <w:keepNext w:val="0"/>
        <w:keepLines/>
        <w:widowControl/>
        <w:spacing w:after="0" w:before="0" w:line="360" w:lineRule="auto"/>
        <w:ind w:firstLine="567"/>
        <w:jc w:val="both"/>
      </w:pPr>
      <w:r w:rsidR="00000000" w:rsidRPr="00000000" w:rsidDel="00000000">
        <w:rPr>
          <w:rtl w:val="0"/>
        </w:rPr>
        <w:t>Hai objective có thể xung đột. Một cấu hình A Pareto-dominate cấu hình B khi A không kém B ở cả hai objective và tốt hơn ít nhất một objective; các nghiệm không bị nghiệm khác dominate tạo thành tập nghiệm không bị chi phối [21], [19]. Chương 1 của Automated Machine Learning cũng nêu tối ưu đa mục tiêu là một mở rộng của HPO, nhưng không thay thế các nguồn chuyên sâu về Pareto hoặc NSGA-II [17]. Đề tài phân tích trade-off và chọn một số nghiệm đại diện theo quy tắc xác định trước khi đánh giá test set.</w:t>
      </w:r>
    </w:p>
    <w:p w:rsidRDefault="00000000" w14:paraId="00000076"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5.7. Không gian siêu tham số XGBoost dự kiến</w:t>
      </w:r>
    </w:p>
    <w:tbl>
      <w:tblPr>
        <w:tblStyle w:val="Table1"/>
        <w:tblW w:w="91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1" w:val="0400"/>
        <w:tblCellMar>
          <w:top w:w="0" w:type="dxa"/>
          <w:left w:w="108" w:type="dxa"/>
          <w:bottom w:w="0" w:type="dxa"/>
          <w:right w:w="108" w:type="dxa"/>
        </w:tblCellMar>
      </w:tblPr>
      <w:tblGrid>
        <w:gridCol w:w="3041"/>
        <w:gridCol w:w="3041"/>
        <w:gridCol w:w="3041"/>
      </w:tblGrid>
      <w:tr w14:paraId="0000010D">
        <w:trPr>
          <w:cantSplit/>
          <w:hidden w:val="0"/>
          <w:tblHeader/>
        </w:trPr>
        <w:tc>
          <w:tcPr>
            <w:shd w:fill="D9E1F2"/>
            <w:tcMar>
              <w:top w:w="70" w:type="dxa"/>
              <w:left w:w="108" w:type="dxa"/>
              <w:bottom w:w="70" w:type="dxa"/>
              <w:right w:w="108" w:type="dxa"/>
            </w:tcMar>
            <w:vAlign w:val="center"/>
            <w:tcW w:w="3041" w:type="dxa"/>
          </w:tcPr>
          <w:p w:rsidRDefault="00000000" w14:paraId="00000077"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4"/>
                <w:szCs w:val="24"/>
                <w:rtl w:val="0"/>
              </w:rPr>
              <w:t>Siêu tham số</w:t>
            </w:r>
          </w:p>
        </w:tc>
        <w:tc>
          <w:tcPr>
            <w:shd w:fill="D9E1F2"/>
            <w:tcMar>
              <w:top w:w="70" w:type="dxa"/>
              <w:left w:w="108" w:type="dxa"/>
              <w:bottom w:w="70" w:type="dxa"/>
              <w:right w:w="108" w:type="dxa"/>
            </w:tcMar>
            <w:vAlign w:val="center"/>
            <w:tcW w:w="3041" w:type="dxa"/>
          </w:tcPr>
          <w:p w:rsidRDefault="00000000" w14:paraId="00000078"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4"/>
                <w:szCs w:val="24"/>
                <w:rtl w:val="0"/>
              </w:rPr>
              <w:t>Khoảng dự kiến</w:t>
            </w:r>
          </w:p>
        </w:tc>
        <w:tc>
          <w:tcPr>
            <w:shd w:fill="D9E1F2"/>
            <w:tcMar>
              <w:top w:w="70" w:type="dxa"/>
              <w:left w:w="108" w:type="dxa"/>
              <w:bottom w:w="70" w:type="dxa"/>
              <w:right w:w="108" w:type="dxa"/>
            </w:tcMar>
            <w:vAlign w:val="center"/>
            <w:tcW w:w="3041" w:type="dxa"/>
          </w:tcPr>
          <w:p w:rsidRDefault="00000000" w14:paraId="00000079"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4"/>
                <w:szCs w:val="24"/>
                <w:rtl w:val="0"/>
              </w:rPr>
              <w:t>Kiểu lấy mẫu</w:t>
            </w:r>
          </w:p>
        </w:tc>
      </w:tr>
      <w:tr w14:paraId="0000010E">
        <w:trPr>
          <w:cantSplit/>
          <w:hidden w:val="0"/>
        </w:trPr>
        <w:tc>
          <w:tcPr>
            <w:tcMar>
              <w:top w:w="70" w:type="dxa"/>
              <w:left w:w="108" w:type="dxa"/>
              <w:bottom w:w="70" w:type="dxa"/>
              <w:right w:w="108" w:type="dxa"/>
            </w:tcMar>
            <w:vAlign w:val="center"/>
            <w:tcW w:w="3041" w:type="dxa"/>
          </w:tcPr>
          <w:p w:rsidRDefault="00000000" w14:paraId="0000007A"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n_estimators</w:t>
            </w:r>
          </w:p>
        </w:tc>
        <w:tc>
          <w:tcPr>
            <w:tcMar>
              <w:top w:w="70" w:type="dxa"/>
              <w:left w:w="108" w:type="dxa"/>
              <w:bottom w:w="70" w:type="dxa"/>
              <w:right w:w="108" w:type="dxa"/>
            </w:tcMar>
            <w:vAlign w:val="center"/>
            <w:tcW w:w="3041" w:type="dxa"/>
          </w:tcPr>
          <w:p w:rsidRDefault="00000000" w14:paraId="0000007B"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100 - 1000</w:t>
            </w:r>
          </w:p>
        </w:tc>
        <w:tc>
          <w:tcPr>
            <w:tcMar>
              <w:top w:w="70" w:type="dxa"/>
              <w:left w:w="108" w:type="dxa"/>
              <w:bottom w:w="70" w:type="dxa"/>
              <w:right w:w="108" w:type="dxa"/>
            </w:tcMar>
            <w:vAlign w:val="center"/>
            <w:tcW w:w="3041" w:type="dxa"/>
          </w:tcPr>
          <w:p w:rsidRDefault="00000000" w14:paraId="0000007C"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Integer</w:t>
            </w:r>
          </w:p>
        </w:tc>
      </w:tr>
      <w:tr w14:paraId="0000010F">
        <w:trPr>
          <w:cantSplit/>
          <w:hidden w:val="0"/>
        </w:trPr>
        <w:tc>
          <w:tcPr>
            <w:tcMar>
              <w:top w:w="70" w:type="dxa"/>
              <w:left w:w="108" w:type="dxa"/>
              <w:bottom w:w="70" w:type="dxa"/>
              <w:right w:w="108" w:type="dxa"/>
            </w:tcMar>
            <w:vAlign w:val="center"/>
            <w:tcW w:w="3041" w:type="dxa"/>
          </w:tcPr>
          <w:p w:rsidRDefault="00000000" w14:paraId="0000007D"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max_depth</w:t>
            </w:r>
          </w:p>
        </w:tc>
        <w:tc>
          <w:tcPr>
            <w:tcMar>
              <w:top w:w="70" w:type="dxa"/>
              <w:left w:w="108" w:type="dxa"/>
              <w:bottom w:w="70" w:type="dxa"/>
              <w:right w:w="108" w:type="dxa"/>
            </w:tcMar>
            <w:vAlign w:val="center"/>
            <w:tcW w:w="3041" w:type="dxa"/>
          </w:tcPr>
          <w:p w:rsidRDefault="00000000" w14:paraId="0000007E"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2 - 10</w:t>
            </w:r>
          </w:p>
        </w:tc>
        <w:tc>
          <w:tcPr>
            <w:tcMar>
              <w:top w:w="70" w:type="dxa"/>
              <w:left w:w="108" w:type="dxa"/>
              <w:bottom w:w="70" w:type="dxa"/>
              <w:right w:w="108" w:type="dxa"/>
            </w:tcMar>
            <w:vAlign w:val="center"/>
            <w:tcW w:w="3041" w:type="dxa"/>
          </w:tcPr>
          <w:p w:rsidRDefault="00000000" w14:paraId="0000007F"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Integer</w:t>
            </w:r>
          </w:p>
        </w:tc>
      </w:tr>
      <w:tr w14:paraId="00000110">
        <w:trPr>
          <w:cantSplit/>
          <w:hidden w:val="0"/>
        </w:trPr>
        <w:tc>
          <w:tcPr>
            <w:tcMar>
              <w:top w:w="70" w:type="dxa"/>
              <w:left w:w="108" w:type="dxa"/>
              <w:bottom w:w="70" w:type="dxa"/>
              <w:right w:w="108" w:type="dxa"/>
            </w:tcMar>
            <w:vAlign w:val="center"/>
            <w:tcW w:w="3041" w:type="dxa"/>
          </w:tcPr>
          <w:p w:rsidRDefault="00000000" w14:paraId="00000080"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learning_rate</w:t>
            </w:r>
          </w:p>
        </w:tc>
        <w:tc>
          <w:tcPr>
            <w:tcMar>
              <w:top w:w="70" w:type="dxa"/>
              <w:left w:w="108" w:type="dxa"/>
              <w:bottom w:w="70" w:type="dxa"/>
              <w:right w:w="108" w:type="dxa"/>
            </w:tcMar>
            <w:vAlign w:val="center"/>
            <w:tcW w:w="3041" w:type="dxa"/>
          </w:tcPr>
          <w:p w:rsidRDefault="00000000" w14:paraId="00000081"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0.01 - 0.30</w:t>
            </w:r>
          </w:p>
        </w:tc>
        <w:tc>
          <w:tcPr>
            <w:tcMar>
              <w:top w:w="70" w:type="dxa"/>
              <w:left w:w="108" w:type="dxa"/>
              <w:bottom w:w="70" w:type="dxa"/>
              <w:right w:w="108" w:type="dxa"/>
            </w:tcMar>
            <w:vAlign w:val="center"/>
            <w:tcW w:w="3041" w:type="dxa"/>
          </w:tcPr>
          <w:p w:rsidRDefault="00000000" w14:paraId="00000082"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Log/Float</w:t>
            </w:r>
          </w:p>
        </w:tc>
      </w:tr>
      <w:tr w14:paraId="00000111">
        <w:trPr>
          <w:cantSplit/>
          <w:hidden w:val="0"/>
        </w:trPr>
        <w:tc>
          <w:tcPr>
            <w:tcMar>
              <w:top w:w="70" w:type="dxa"/>
              <w:left w:w="108" w:type="dxa"/>
              <w:bottom w:w="70" w:type="dxa"/>
              <w:right w:w="108" w:type="dxa"/>
            </w:tcMar>
            <w:vAlign w:val="center"/>
            <w:tcW w:w="3041" w:type="dxa"/>
          </w:tcPr>
          <w:p w:rsidRDefault="00000000" w14:paraId="00000083"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min_child_weight</w:t>
            </w:r>
          </w:p>
        </w:tc>
        <w:tc>
          <w:tcPr>
            <w:tcMar>
              <w:top w:w="70" w:type="dxa"/>
              <w:left w:w="108" w:type="dxa"/>
              <w:bottom w:w="70" w:type="dxa"/>
              <w:right w:w="108" w:type="dxa"/>
            </w:tcMar>
            <w:vAlign w:val="center"/>
            <w:tcW w:w="3041" w:type="dxa"/>
          </w:tcPr>
          <w:p w:rsidRDefault="00000000" w14:paraId="00000084"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1 - 15</w:t>
            </w:r>
          </w:p>
        </w:tc>
        <w:tc>
          <w:tcPr>
            <w:tcMar>
              <w:top w:w="70" w:type="dxa"/>
              <w:left w:w="108" w:type="dxa"/>
              <w:bottom w:w="70" w:type="dxa"/>
              <w:right w:w="108" w:type="dxa"/>
            </w:tcMar>
            <w:vAlign w:val="center"/>
            <w:tcW w:w="3041" w:type="dxa"/>
          </w:tcPr>
          <w:p w:rsidRDefault="00000000" w14:paraId="00000085"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Integer/Float</w:t>
            </w:r>
          </w:p>
        </w:tc>
      </w:tr>
      <w:tr w14:paraId="00000112">
        <w:trPr>
          <w:cantSplit/>
          <w:hidden w:val="0"/>
        </w:trPr>
        <w:tc>
          <w:tcPr>
            <w:tcMar>
              <w:top w:w="70" w:type="dxa"/>
              <w:left w:w="108" w:type="dxa"/>
              <w:bottom w:w="70" w:type="dxa"/>
              <w:right w:w="108" w:type="dxa"/>
            </w:tcMar>
            <w:vAlign w:val="center"/>
            <w:tcW w:w="3041" w:type="dxa"/>
          </w:tcPr>
          <w:p w:rsidRDefault="00000000" w14:paraId="00000086"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subsample</w:t>
            </w:r>
          </w:p>
        </w:tc>
        <w:tc>
          <w:tcPr>
            <w:tcMar>
              <w:top w:w="70" w:type="dxa"/>
              <w:left w:w="108" w:type="dxa"/>
              <w:bottom w:w="70" w:type="dxa"/>
              <w:right w:w="108" w:type="dxa"/>
            </w:tcMar>
            <w:vAlign w:val="center"/>
            <w:tcW w:w="3041" w:type="dxa"/>
          </w:tcPr>
          <w:p w:rsidRDefault="00000000" w14:paraId="00000087"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0.50 - 1.00</w:t>
            </w:r>
          </w:p>
        </w:tc>
        <w:tc>
          <w:tcPr>
            <w:tcMar>
              <w:top w:w="70" w:type="dxa"/>
              <w:left w:w="108" w:type="dxa"/>
              <w:bottom w:w="70" w:type="dxa"/>
              <w:right w:w="108" w:type="dxa"/>
            </w:tcMar>
            <w:vAlign w:val="center"/>
            <w:tcW w:w="3041" w:type="dxa"/>
          </w:tcPr>
          <w:p w:rsidRDefault="00000000" w14:paraId="00000088"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Float</w:t>
            </w:r>
          </w:p>
        </w:tc>
      </w:tr>
      <w:tr w14:paraId="00000113">
        <w:trPr>
          <w:cantSplit/>
          <w:hidden w:val="0"/>
        </w:trPr>
        <w:tc>
          <w:tcPr>
            <w:tcMar>
              <w:top w:w="70" w:type="dxa"/>
              <w:left w:w="108" w:type="dxa"/>
              <w:bottom w:w="70" w:type="dxa"/>
              <w:right w:w="108" w:type="dxa"/>
            </w:tcMar>
            <w:vAlign w:val="center"/>
            <w:tcW w:w="3041" w:type="dxa"/>
          </w:tcPr>
          <w:p w:rsidRDefault="00000000" w14:paraId="00000089"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colsample_bytree</w:t>
            </w:r>
          </w:p>
        </w:tc>
        <w:tc>
          <w:tcPr>
            <w:tcMar>
              <w:top w:w="70" w:type="dxa"/>
              <w:left w:w="108" w:type="dxa"/>
              <w:bottom w:w="70" w:type="dxa"/>
              <w:right w:w="108" w:type="dxa"/>
            </w:tcMar>
            <w:vAlign w:val="center"/>
            <w:tcW w:w="3041" w:type="dxa"/>
          </w:tcPr>
          <w:p w:rsidRDefault="00000000" w14:paraId="0000008A"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0.50 - 1.00</w:t>
            </w:r>
          </w:p>
        </w:tc>
        <w:tc>
          <w:tcPr>
            <w:tcMar>
              <w:top w:w="70" w:type="dxa"/>
              <w:left w:w="108" w:type="dxa"/>
              <w:bottom w:w="70" w:type="dxa"/>
              <w:right w:w="108" w:type="dxa"/>
            </w:tcMar>
            <w:vAlign w:val="center"/>
            <w:tcW w:w="3041" w:type="dxa"/>
          </w:tcPr>
          <w:p w:rsidRDefault="00000000" w14:paraId="0000008B"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Float</w:t>
            </w:r>
          </w:p>
        </w:tc>
      </w:tr>
      <w:tr w14:paraId="00000114">
        <w:trPr>
          <w:cantSplit/>
          <w:hidden w:val="0"/>
        </w:trPr>
        <w:tc>
          <w:tcPr>
            <w:tcMar>
              <w:top w:w="70" w:type="dxa"/>
              <w:left w:w="108" w:type="dxa"/>
              <w:bottom w:w="70" w:type="dxa"/>
              <w:right w:w="108" w:type="dxa"/>
            </w:tcMar>
            <w:vAlign w:val="center"/>
            <w:tcW w:w="3041" w:type="dxa"/>
          </w:tcPr>
          <w:p w:rsidRDefault="00000000" w14:paraId="0000008C"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gamma</w:t>
            </w:r>
          </w:p>
        </w:tc>
        <w:tc>
          <w:tcPr>
            <w:tcMar>
              <w:top w:w="70" w:type="dxa"/>
              <w:left w:w="108" w:type="dxa"/>
              <w:bottom w:w="70" w:type="dxa"/>
              <w:right w:w="108" w:type="dxa"/>
            </w:tcMar>
            <w:vAlign w:val="center"/>
            <w:tcW w:w="3041" w:type="dxa"/>
          </w:tcPr>
          <w:p w:rsidRDefault="00000000" w14:paraId="0000008D"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0 - 10</w:t>
            </w:r>
          </w:p>
        </w:tc>
        <w:tc>
          <w:tcPr>
            <w:tcMar>
              <w:top w:w="70" w:type="dxa"/>
              <w:left w:w="108" w:type="dxa"/>
              <w:bottom w:w="70" w:type="dxa"/>
              <w:right w:w="108" w:type="dxa"/>
            </w:tcMar>
            <w:vAlign w:val="center"/>
            <w:tcW w:w="3041" w:type="dxa"/>
          </w:tcPr>
          <w:p w:rsidRDefault="00000000" w14:paraId="0000008E"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Float</w:t>
            </w:r>
          </w:p>
        </w:tc>
      </w:tr>
      <w:tr w14:paraId="00000115">
        <w:trPr>
          <w:cantSplit/>
          <w:hidden w:val="0"/>
        </w:trPr>
        <w:tc>
          <w:tcPr>
            <w:tcMar>
              <w:top w:w="70" w:type="dxa"/>
              <w:left w:w="108" w:type="dxa"/>
              <w:bottom w:w="70" w:type="dxa"/>
              <w:right w:w="108" w:type="dxa"/>
            </w:tcMar>
            <w:vAlign w:val="center"/>
            <w:tcW w:w="3041" w:type="dxa"/>
          </w:tcPr>
          <w:p w:rsidRDefault="00000000" w14:paraId="0000008F"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reg_alpha</w:t>
            </w:r>
          </w:p>
        </w:tc>
        <w:tc>
          <w:tcPr>
            <w:tcMar>
              <w:top w:w="70" w:type="dxa"/>
              <w:left w:w="108" w:type="dxa"/>
              <w:bottom w:w="70" w:type="dxa"/>
              <w:right w:w="108" w:type="dxa"/>
            </w:tcMar>
            <w:vAlign w:val="center"/>
            <w:tcW w:w="3041" w:type="dxa"/>
          </w:tcPr>
          <w:p w:rsidRDefault="00000000" w14:paraId="00000090"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10⁻⁴ - 10</w:t>
            </w:r>
          </w:p>
        </w:tc>
        <w:tc>
          <w:tcPr>
            <w:tcMar>
              <w:top w:w="70" w:type="dxa"/>
              <w:left w:w="108" w:type="dxa"/>
              <w:bottom w:w="70" w:type="dxa"/>
              <w:right w:w="108" w:type="dxa"/>
            </w:tcMar>
            <w:vAlign w:val="center"/>
            <w:tcW w:w="3041" w:type="dxa"/>
          </w:tcPr>
          <w:p w:rsidRDefault="00000000" w14:paraId="00000091"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Log</w:t>
            </w:r>
          </w:p>
        </w:tc>
      </w:tr>
      <w:tr w14:paraId="00000116">
        <w:trPr>
          <w:cantSplit/>
          <w:hidden w:val="0"/>
        </w:trPr>
        <w:tc>
          <w:tcPr>
            <w:tcMar>
              <w:top w:w="70" w:type="dxa"/>
              <w:left w:w="108" w:type="dxa"/>
              <w:bottom w:w="70" w:type="dxa"/>
              <w:right w:w="108" w:type="dxa"/>
            </w:tcMar>
            <w:vAlign w:val="center"/>
            <w:tcW w:w="3041" w:type="dxa"/>
          </w:tcPr>
          <w:p w:rsidRDefault="00000000" w14:paraId="00000092"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reg_lambda</w:t>
            </w:r>
          </w:p>
        </w:tc>
        <w:tc>
          <w:tcPr>
            <w:tcMar>
              <w:top w:w="70" w:type="dxa"/>
              <w:left w:w="108" w:type="dxa"/>
              <w:bottom w:w="70" w:type="dxa"/>
              <w:right w:w="108" w:type="dxa"/>
            </w:tcMar>
            <w:vAlign w:val="center"/>
            <w:tcW w:w="3041" w:type="dxa"/>
          </w:tcPr>
          <w:p w:rsidRDefault="00000000" w14:paraId="00000093"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10⁻³ - 100</w:t>
            </w:r>
          </w:p>
        </w:tc>
        <w:tc>
          <w:tcPr>
            <w:tcMar>
              <w:top w:w="70" w:type="dxa"/>
              <w:left w:w="108" w:type="dxa"/>
              <w:bottom w:w="70" w:type="dxa"/>
              <w:right w:w="108" w:type="dxa"/>
            </w:tcMar>
            <w:vAlign w:val="center"/>
            <w:tcW w:w="3041" w:type="dxa"/>
          </w:tcPr>
          <w:p w:rsidRDefault="00000000" w14:paraId="00000094"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4"/>
                <w:szCs w:val="24"/>
                <w:rtl w:val="0"/>
              </w:rPr>
              <w:t>Log</w:t>
            </w:r>
          </w:p>
        </w:tc>
      </w:tr>
    </w:tbl>
    <w:p w:rsidRDefault="00000000" w14:paraId="00000095"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Không gian trên là dự kiến và sẽ được điều chỉnh sau </w:t>
      </w:r>
      <w:r w:rsidR="00000000" w:rsidRPr="00000000" w:rsidDel="00000000">
        <w:rPr>
          <w:rFonts w:ascii="Times New Roman" w:hAnsi="Times New Roman" w:eastAsia="Times New Roman" w:cs="Times New Roman"/>
          <w:i/>
          <w:iCs/>
          <w:sz w:val="26"/>
          <w:szCs w:val="26"/>
          <w:rtl w:val="0"/>
        </w:rPr>
        <w:t>pilot experiment</w:t>
      </w:r>
      <w:r w:rsidR="00000000" w:rsidRPr="00000000" w:rsidDel="00000000">
        <w:rPr>
          <w:rFonts w:ascii="Times New Roman" w:hAnsi="Times New Roman" w:eastAsia="Times New Roman" w:cs="Times New Roman"/>
          <w:sz w:val="26"/>
          <w:szCs w:val="26"/>
          <w:rtl w:val="0"/>
        </w:rPr>
        <w:t xml:space="preserve"> để kiểm soát chi phí tính toán. Nếu khảo sát ban đầu cho thấy một số tham số ít ảnh hưởng trong phạm vi dữ liệu, không gian có thể được thu hẹp để dành nhiều trial hơn cho các chiều quan trọng.</w:t>
      </w:r>
    </w:p>
    <w:p w:rsidRDefault="00000000" w14:paraId="00000096" w:rsidR="00000000" w:rsidP="00000000" w:rsidRPr="00000000" w:rsidDel="00000000">
      <w:pPr>
        <w:pStyle w:val="Heading2"/>
        <w:keepNext/>
        <w:keepLines/>
        <w:pageBreakBefore w:val="0"/>
      </w:pPr>
      <w:r w:rsidR="00000000" w:rsidRPr="00000000" w:rsidDel="00000000">
        <w:rPr>
          <w:rFonts w:ascii="Times New Roman" w:hAnsi="Times New Roman" w:eastAsia="Times New Roman" w:cs="Times New Roman"/>
          <w:b/>
          <w:bCs/>
          <w:sz w:val="26"/>
          <w:szCs w:val="26"/>
          <w:rtl w:val="0"/>
        </w:rPr>
        <w:t>5.8. Thiết kế thực nghiệm và so sánh</w:t>
      </w:r>
    </w:p>
    <w:tbl>
      <w:tblPr>
        <w:tblStyle w:val="Table2"/>
        <w:tblW w:w="91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1" w:val="0400"/>
        <w:tblCellMar>
          <w:top w:w="0" w:type="dxa"/>
          <w:left w:w="108" w:type="dxa"/>
          <w:bottom w:w="0" w:type="dxa"/>
          <w:right w:w="108" w:type="dxa"/>
        </w:tblCellMar>
      </w:tblPr>
      <w:tblGrid>
        <w:gridCol w:w="3041"/>
        <w:gridCol w:w="3041"/>
        <w:gridCol w:w="3041"/>
      </w:tblGrid>
      <w:tr w14:paraId="00000117">
        <w:trPr>
          <w:cantSplit/>
          <w:hidden w:val="0"/>
          <w:tblHeader/>
        </w:trPr>
        <w:tc>
          <w:tcPr>
            <w:shd w:fill="D9E1F2"/>
            <w:tcMar>
              <w:top w:w="70" w:type="dxa"/>
              <w:left w:w="108" w:type="dxa"/>
              <w:bottom w:w="70" w:type="dxa"/>
              <w:right w:w="108" w:type="dxa"/>
            </w:tcMar>
            <w:vAlign w:val="center"/>
            <w:tcW w:w="3041" w:type="dxa"/>
          </w:tcPr>
          <w:p w:rsidRDefault="00000000" w14:paraId="00000097"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3"/>
                <w:szCs w:val="23"/>
                <w:rtl w:val="0"/>
              </w:rPr>
              <w:t>Nhóm mô hình/phương pháp</w:t>
            </w:r>
          </w:p>
        </w:tc>
        <w:tc>
          <w:tcPr>
            <w:shd w:fill="D9E1F2"/>
            <w:tcMar>
              <w:top w:w="70" w:type="dxa"/>
              <w:left w:w="108" w:type="dxa"/>
              <w:bottom w:w="70" w:type="dxa"/>
              <w:right w:w="108" w:type="dxa"/>
            </w:tcMar>
            <w:vAlign w:val="center"/>
            <w:tcW w:w="3041" w:type="dxa"/>
          </w:tcPr>
          <w:p w:rsidRDefault="00000000" w14:paraId="00000098"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3"/>
                <w:szCs w:val="23"/>
                <w:rtl w:val="0"/>
              </w:rPr>
              <w:t>Vai trò</w:t>
            </w:r>
          </w:p>
        </w:tc>
        <w:tc>
          <w:tcPr>
            <w:shd w:fill="D9E1F2"/>
            <w:tcMar>
              <w:top w:w="70" w:type="dxa"/>
              <w:left w:w="108" w:type="dxa"/>
              <w:bottom w:w="70" w:type="dxa"/>
              <w:right w:w="108" w:type="dxa"/>
            </w:tcMar>
            <w:vAlign w:val="center"/>
            <w:tcW w:w="3041" w:type="dxa"/>
          </w:tcPr>
          <w:p w:rsidRDefault="00000000" w14:paraId="00000099"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3"/>
                <w:szCs w:val="23"/>
                <w:rtl w:val="0"/>
              </w:rPr>
              <w:t>Đánh giá chính</w:t>
            </w:r>
          </w:p>
        </w:tc>
      </w:tr>
      <w:tr w14:paraId="00000118">
        <w:trPr>
          <w:cantSplit/>
          <w:hidden w:val="0"/>
        </w:trPr>
        <w:tc>
          <w:tcPr>
            <w:tcMar>
              <w:top w:w="70" w:type="dxa"/>
              <w:left w:w="108" w:type="dxa"/>
              <w:bottom w:w="70" w:type="dxa"/>
              <w:right w:w="108" w:type="dxa"/>
            </w:tcMar>
            <w:vAlign w:val="center"/>
            <w:tcW w:w="3041" w:type="dxa"/>
          </w:tcPr>
          <w:p w:rsidRDefault="00000000" w14:paraId="0000009A"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Logistic Regression, RF, GBM, LightGBM, CatBoost</w:t>
            </w:r>
          </w:p>
        </w:tc>
        <w:tc>
          <w:tcPr>
            <w:tcMar>
              <w:top w:w="70" w:type="dxa"/>
              <w:left w:w="108" w:type="dxa"/>
              <w:bottom w:w="70" w:type="dxa"/>
              <w:right w:w="108" w:type="dxa"/>
            </w:tcMar>
            <w:vAlign w:val="center"/>
            <w:tcW w:w="3041" w:type="dxa"/>
          </w:tcPr>
          <w:p w:rsidRDefault="00000000" w14:paraId="0000009B"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Baseline/đối chứng</w:t>
            </w:r>
          </w:p>
        </w:tc>
        <w:tc>
          <w:tcPr>
            <w:tcMar>
              <w:top w:w="70" w:type="dxa"/>
              <w:left w:w="108" w:type="dxa"/>
              <w:bottom w:w="70" w:type="dxa"/>
              <w:right w:w="108" w:type="dxa"/>
            </w:tcMar>
            <w:vAlign w:val="center"/>
            <w:tcW w:w="3041" w:type="dxa"/>
          </w:tcPr>
          <w:p w:rsidRDefault="00000000" w14:paraId="0000009C"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Predictive performance</w:t>
            </w:r>
          </w:p>
        </w:tc>
      </w:tr>
      <w:tr w14:paraId="00000119">
        <w:trPr>
          <w:cantSplit/>
          <w:hidden w:val="0"/>
        </w:trPr>
        <w:tc>
          <w:tcPr>
            <w:tcMar>
              <w:top w:w="70" w:type="dxa"/>
              <w:left w:w="108" w:type="dxa"/>
              <w:bottom w:w="70" w:type="dxa"/>
              <w:right w:w="108" w:type="dxa"/>
            </w:tcMar>
            <w:vAlign w:val="center"/>
            <w:tcW w:w="3041" w:type="dxa"/>
          </w:tcPr>
          <w:p w:rsidRDefault="00000000" w14:paraId="0000009D"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XGBoost mặc định</w:t>
            </w:r>
          </w:p>
        </w:tc>
        <w:tc>
          <w:tcPr>
            <w:tcMar>
              <w:top w:w="70" w:type="dxa"/>
              <w:left w:w="108" w:type="dxa"/>
              <w:bottom w:w="70" w:type="dxa"/>
              <w:right w:w="108" w:type="dxa"/>
            </w:tcMar>
            <w:vAlign w:val="center"/>
            <w:tcW w:w="3041" w:type="dxa"/>
          </w:tcPr>
          <w:p w:rsidRDefault="00000000" w14:paraId="0000009E"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Baseline trực tiếp</w:t>
            </w:r>
          </w:p>
        </w:tc>
        <w:tc>
          <w:tcPr>
            <w:tcMar>
              <w:top w:w="70" w:type="dxa"/>
              <w:left w:w="108" w:type="dxa"/>
              <w:bottom w:w="70" w:type="dxa"/>
              <w:right w:w="108" w:type="dxa"/>
            </w:tcMar>
            <w:vAlign w:val="center"/>
            <w:tcW w:w="3041" w:type="dxa"/>
          </w:tcPr>
          <w:p w:rsidRDefault="00000000" w14:paraId="0000009F"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Performance + SHAP stability</w:t>
            </w:r>
          </w:p>
        </w:tc>
      </w:tr>
      <w:tr w14:paraId="0000011A">
        <w:trPr>
          <w:cantSplit/>
          <w:hidden w:val="0"/>
        </w:trPr>
        <w:tc>
          <w:tcPr>
            <w:tcMar>
              <w:top w:w="70" w:type="dxa"/>
              <w:left w:w="108" w:type="dxa"/>
              <w:bottom w:w="70" w:type="dxa"/>
              <w:right w:w="108" w:type="dxa"/>
            </w:tcMar>
            <w:vAlign w:val="center"/>
            <w:tcW w:w="3041" w:type="dxa"/>
          </w:tcPr>
          <w:p w:rsidRDefault="00000000" w14:paraId="000000A0"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XGBoost tối ưu một mục tiêu</w:t>
            </w:r>
          </w:p>
        </w:tc>
        <w:tc>
          <w:tcPr>
            <w:tcMar>
              <w:top w:w="70" w:type="dxa"/>
              <w:left w:w="108" w:type="dxa"/>
              <w:bottom w:w="70" w:type="dxa"/>
              <w:right w:w="108" w:type="dxa"/>
            </w:tcMar>
            <w:vAlign w:val="center"/>
            <w:tcW w:w="3041" w:type="dxa"/>
          </w:tcPr>
          <w:p w:rsidRDefault="00000000" w14:paraId="000000A1"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Đối chứng HPO</w:t>
            </w:r>
          </w:p>
        </w:tc>
        <w:tc>
          <w:tcPr>
            <w:tcMar>
              <w:top w:w="70" w:type="dxa"/>
              <w:left w:w="108" w:type="dxa"/>
              <w:bottom w:w="70" w:type="dxa"/>
              <w:right w:w="108" w:type="dxa"/>
            </w:tcMar>
            <w:vAlign w:val="center"/>
            <w:tcW w:w="3041" w:type="dxa"/>
          </w:tcPr>
          <w:p w:rsidRDefault="00000000" w14:paraId="000000A2"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Performance + SHAP stability</w:t>
            </w:r>
          </w:p>
        </w:tc>
      </w:tr>
      <w:tr w14:paraId="0000011B">
        <w:trPr>
          <w:cantSplit/>
          <w:hidden w:val="0"/>
        </w:trPr>
        <w:tc>
          <w:tcPr>
            <w:tcMar>
              <w:top w:w="70" w:type="dxa"/>
              <w:left w:w="108" w:type="dxa"/>
              <w:bottom w:w="70" w:type="dxa"/>
              <w:right w:w="108" w:type="dxa"/>
            </w:tcMar>
            <w:vAlign w:val="center"/>
            <w:tcW w:w="3041" w:type="dxa"/>
          </w:tcPr>
          <w:p w:rsidRDefault="00000000" w14:paraId="000000A3"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XGBoost tối ưu đa mục tiêu</w:t>
            </w:r>
          </w:p>
        </w:tc>
        <w:tc>
          <w:tcPr>
            <w:tcMar>
              <w:top w:w="70" w:type="dxa"/>
              <w:left w:w="108" w:type="dxa"/>
              <w:bottom w:w="70" w:type="dxa"/>
              <w:right w:w="108" w:type="dxa"/>
            </w:tcMar>
            <w:vAlign w:val="center"/>
            <w:tcW w:w="3041" w:type="dxa"/>
          </w:tcPr>
          <w:p w:rsidRDefault="00000000" w14:paraId="000000A4"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Phương pháp đề xuất</w:t>
            </w:r>
          </w:p>
        </w:tc>
        <w:tc>
          <w:tcPr>
            <w:tcMar>
              <w:top w:w="70" w:type="dxa"/>
              <w:left w:w="108" w:type="dxa"/>
              <w:bottom w:w="70" w:type="dxa"/>
              <w:right w:w="108" w:type="dxa"/>
            </w:tcMar>
            <w:vAlign w:val="center"/>
            <w:tcW w:w="3041" w:type="dxa"/>
          </w:tcPr>
          <w:p w:rsidRDefault="00000000" w14:paraId="000000A5"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3"/>
                <w:szCs w:val="23"/>
                <w:rtl w:val="0"/>
              </w:rPr>
              <w:t>Performance + SHAP stability + Pareto trade-off</w:t>
            </w:r>
          </w:p>
        </w:tc>
      </w:tr>
    </w:tbl>
    <w:p w:rsidRDefault="00000000" w14:paraId="000000A6"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Thiết kế này tách rõ hai câu hỏi. Câu hỏi thứ nhất là XGBoost cạnh tranh như thế nào với các mô hình khác về khả năng dự đoán. Câu hỏi thứ hai là khi đã chọn XGBoost làm đối tượng nghiên cứu, tối ưu đa mục tiêu có tạo được sự cân bằng tốt hơn giữa prediction và explanation stability hay không.</w:t>
      </w:r>
    </w:p>
    <w:p w:rsidRDefault="00000000" w14:paraId="000000A7"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6. Giả thuyết khoa học</w:t>
      </w:r>
    </w:p>
    <w:p w:rsidRDefault="00000000" w14:paraId="000000A8"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H1. </w:t>
      </w:r>
      <w:r w:rsidR="00000000" w:rsidRPr="00000000" w:rsidDel="00000000">
        <w:rPr>
          <w:rFonts w:ascii="Times New Roman" w:hAnsi="Times New Roman" w:eastAsia="Times New Roman" w:cs="Times New Roman"/>
          <w:sz w:val="26"/>
          <w:szCs w:val="26"/>
          <w:rtl w:val="0"/>
        </w:rPr>
        <w:t>Các bộ siêu tham số XGBoost khác nhau tạo ra sự khác biệt không chỉ về hiệu năng dự đoán mà còn về độ ổn định của giải thích SHAP.</w:t>
      </w:r>
    </w:p>
    <w:p w:rsidRDefault="00000000" w14:paraId="000000A9"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H2. </w:t>
      </w:r>
      <w:r w:rsidR="00000000" w:rsidRPr="00000000" w:rsidDel="00000000">
        <w:rPr>
          <w:rFonts w:ascii="Times New Roman" w:hAnsi="Times New Roman" w:eastAsia="Times New Roman" w:cs="Times New Roman"/>
          <w:sz w:val="26"/>
          <w:szCs w:val="26"/>
          <w:rtl w:val="0"/>
        </w:rPr>
        <w:t>Bộ siêu tham số đạt predictive performance cao nhất không nhất thiết là bộ siêu tham số có SHAP explanation ổn định nhất.</w:t>
      </w:r>
    </w:p>
    <w:p w:rsidRDefault="00000000" w14:paraId="000000AA"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H3. </w:t>
      </w:r>
      <w:r w:rsidR="00000000" w:rsidRPr="00000000" w:rsidDel="00000000">
        <w:rPr>
          <w:rFonts w:ascii="Times New Roman" w:hAnsi="Times New Roman" w:eastAsia="Times New Roman" w:cs="Times New Roman"/>
          <w:sz w:val="26"/>
          <w:szCs w:val="26"/>
          <w:rtl w:val="0"/>
        </w:rPr>
        <w:t>Tối ưu đa mục tiêu có thể xác định một tập nghiệm Pareto cho phép lựa chọn cấu hình có sự cân bằng phù hợp hơn giữa predictive performance và explanation stability so với tối ưu đơn mục tiêu.</w:t>
      </w:r>
    </w:p>
    <w:p w:rsidRDefault="00000000" w14:paraId="000000AB"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H4. </w:t>
      </w:r>
      <w:r w:rsidR="00000000" w:rsidRPr="00000000" w:rsidDel="00000000">
        <w:rPr>
          <w:rFonts w:ascii="Times New Roman" w:hAnsi="Times New Roman" w:eastAsia="Times New Roman" w:cs="Times New Roman"/>
          <w:sz w:val="26"/>
          <w:szCs w:val="26"/>
          <w:rtl w:val="0"/>
        </w:rPr>
        <w:t>Sau khi tối ưu, XGBoost có predictive performance cạnh tranh với các mô hình ensemble tham khảo trên cùng bộ dữ liệu và protocol đánh giá. Giả thuyết này được kiểm chứng bằng thực nghiệm, không mặc định XGBoost phải là mô hình tốt nhất.</w:t>
      </w:r>
    </w:p>
    <w:p w:rsidRDefault="00000000" w14:paraId="000000AC"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7. Những đóng góp dự kiến của đề tài</w:t>
      </w:r>
    </w:p>
    <w:p w:rsidRDefault="00000000" w14:paraId="000000AD"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nhất. </w:t>
      </w:r>
      <w:r w:rsidR="00000000" w:rsidRPr="00000000" w:rsidDel="00000000">
        <w:rPr>
          <w:rFonts w:ascii="Times New Roman" w:hAnsi="Times New Roman" w:eastAsia="Times New Roman" w:cs="Times New Roman"/>
          <w:sz w:val="26"/>
          <w:szCs w:val="26"/>
          <w:rtl w:val="0"/>
        </w:rPr>
        <w:t>Xây dựng một quy trình đánh giá XGBoost trong credit scoring xét đồng thời predictive performance và độ ổn định của giải thích SHAP.</w:t>
      </w:r>
    </w:p>
    <w:p w:rsidRDefault="00000000" w14:paraId="000000AE"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hai. </w:t>
      </w:r>
      <w:r w:rsidR="00000000" w:rsidRPr="00000000" w:rsidDel="00000000">
        <w:rPr>
          <w:rFonts w:ascii="Times New Roman" w:hAnsi="Times New Roman" w:eastAsia="Times New Roman" w:cs="Times New Roman"/>
          <w:sz w:val="26"/>
          <w:szCs w:val="26"/>
          <w:rtl w:val="0"/>
        </w:rPr>
        <w:t>Xây dựng protocol lượng hóa SHAP stability dựa trên mức độ nhất quán của global SHAP feature-importance ranking qua repeated runs trên cùng reference set. Phần này là một thành phần thực nghiệm của đề tài, không tuyên bố sáng tạo ra Spearman, Jaccard hoặc Kendall’s W.</w:t>
      </w:r>
    </w:p>
    <w:p w:rsidRDefault="00000000" w14:paraId="000000AF"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ba. </w:t>
      </w:r>
      <w:r w:rsidR="00000000" w:rsidRPr="00000000" w:rsidDel="00000000">
        <w:rPr>
          <w:rFonts w:ascii="Times New Roman" w:hAnsi="Times New Roman" w:eastAsia="Times New Roman" w:cs="Times New Roman"/>
          <w:sz w:val="26"/>
          <w:szCs w:val="26"/>
          <w:rtl w:val="0"/>
        </w:rPr>
        <w:t>Mô hình hóa lựa chọn siêu tham số XGBoost thành bài toán tối ưu đa mục tiêu và phân tích Pareto front giữa ROC-AUC và SHAP stability.</w:t>
      </w:r>
    </w:p>
    <w:p w:rsidRDefault="00000000" w14:paraId="000000B0"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tư. </w:t>
      </w:r>
      <w:r w:rsidR="00000000" w:rsidRPr="00000000" w:rsidDel="00000000">
        <w:rPr>
          <w:rFonts w:ascii="Times New Roman" w:hAnsi="Times New Roman" w:eastAsia="Times New Roman" w:cs="Times New Roman"/>
          <w:sz w:val="26"/>
          <w:szCs w:val="26"/>
          <w:rtl w:val="0"/>
        </w:rPr>
        <w:t>Thực nghiệm so sánh XGBoost mặc định, XGBoost tối ưu đơn mục tiêu và XGBoost tối ưu đa mục tiêu trong cùng một protocol.</w:t>
      </w:r>
    </w:p>
    <w:p w:rsidRDefault="00000000" w14:paraId="000000B1"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năm. </w:t>
      </w:r>
      <w:r w:rsidR="00000000" w:rsidRPr="00000000" w:rsidDel="00000000">
        <w:rPr>
          <w:rFonts w:ascii="Times New Roman" w:hAnsi="Times New Roman" w:eastAsia="Times New Roman" w:cs="Times New Roman"/>
          <w:sz w:val="26"/>
          <w:szCs w:val="26"/>
          <w:rtl w:val="0"/>
        </w:rPr>
        <w:t>Đặt kết quả XGBoost trong bối cảnh rộng hơn thông qua benchmark tham khảo với Logistic Regression, Random Forest, Gradient Boosting, LightGBM và CatBoost.</w:t>
      </w:r>
    </w:p>
    <w:p w:rsidRDefault="00000000" w14:paraId="000000B2"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b/>
          <w:bCs/>
          <w:sz w:val="26"/>
          <w:szCs w:val="26"/>
          <w:rtl w:val="0"/>
        </w:rPr>
        <w:t xml:space="preserve">Đóng góp thứ sáu. </w:t>
      </w:r>
      <w:r w:rsidR="00000000" w:rsidRPr="00000000" w:rsidDel="00000000">
        <w:rPr>
          <w:rFonts w:ascii="Times New Roman" w:hAnsi="Times New Roman" w:eastAsia="Times New Roman" w:cs="Times New Roman"/>
          <w:sz w:val="26"/>
          <w:szCs w:val="26"/>
          <w:rtl w:val="0"/>
        </w:rPr>
        <w:t>Phân tích trade-off để xác định liệu có các cấu hình chỉ giảm rất ít predictive performance nhưng cải thiện đáng kể explanation stability hay không.</w:t>
      </w:r>
    </w:p>
    <w:p w:rsidRDefault="00000000" w14:paraId="000000B3"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Nhìn chung, đóng góp của đề tài được xác định ở mức </w:t>
      </w:r>
      <w:r w:rsidR="00000000" w:rsidRPr="00000000" w:rsidDel="00000000">
        <w:rPr>
          <w:rFonts w:ascii="Times New Roman" w:hAnsi="Times New Roman" w:eastAsia="Times New Roman" w:cs="Times New Roman"/>
          <w:b/>
          <w:bCs/>
          <w:sz w:val="26"/>
          <w:szCs w:val="26"/>
          <w:rtl w:val="0"/>
        </w:rPr>
        <w:t>xây dựng và kiểm chứng một framework thực nghiệm cho XGBoost</w:t>
      </w:r>
      <w:r w:rsidR="00000000" w:rsidRPr="00000000" w:rsidDel="00000000">
        <w:rPr>
          <w:rFonts w:ascii="Times New Roman" w:hAnsi="Times New Roman" w:eastAsia="Times New Roman" w:cs="Times New Roman"/>
          <w:sz w:val="26"/>
          <w:szCs w:val="26"/>
          <w:rtl w:val="0"/>
        </w:rPr>
        <w:t>, không tuyên bố phát minh XGBoost, SHAP hoặc một thuật toán tối ưu đa mục tiêu hoàn toàn mới. Điểm khác biệt nằm ở cách ghép hai tiêu chí hiệu năng và stability vào cùng bài toán HPO trong bối cảnh credit scoring.</w:t>
      </w:r>
    </w:p>
    <w:p w:rsidRDefault="00000000" w14:paraId="000000B4"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8. Dự kiến kế hoạch nghiên cứu</w:t>
      </w:r>
    </w:p>
    <w:p w:rsidRDefault="00000000" w14:paraId="000000B5"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Với phạm vi một dataset chính, các mô hình khác ở mức đối chứng và phần tối ưu sâu chỉ tập trung vào XGBoost, kế hoạch nghiên cứu dự kiến trong </w:t>
      </w:r>
      <w:r w:rsidR="00000000" w:rsidRPr="00000000" w:rsidDel="00000000">
        <w:rPr>
          <w:rFonts w:ascii="Times New Roman" w:hAnsi="Times New Roman" w:eastAsia="Times New Roman" w:cs="Times New Roman"/>
          <w:b/>
          <w:bCs/>
          <w:sz w:val="26"/>
          <w:szCs w:val="26"/>
          <w:rtl w:val="0"/>
        </w:rPr>
        <w:t>4 tuần</w:t>
      </w:r>
      <w:r w:rsidR="00000000" w:rsidRPr="00000000" w:rsidDel="00000000">
        <w:rPr>
          <w:rFonts w:ascii="Times New Roman" w:hAnsi="Times New Roman" w:eastAsia="Times New Roman" w:cs="Times New Roman"/>
          <w:sz w:val="26"/>
          <w:szCs w:val="26"/>
          <w:rtl w:val="0"/>
        </w:rPr>
        <w:t>. Việc viết báo cáo được thực hiện song song với thực nghiệm thay vì chờ đến cuối quá trình.</w:t>
      </w:r>
    </w:p>
    <w:tbl>
      <w:tblPr>
        <w:tblStyle w:val="Table3"/>
        <w:tblW w:w="91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1" w:val="0400"/>
        <w:tblCellMar>
          <w:top w:w="0" w:type="dxa"/>
          <w:left w:w="108" w:type="dxa"/>
          <w:bottom w:w="0" w:type="dxa"/>
          <w:right w:w="108" w:type="dxa"/>
        </w:tblCellMar>
      </w:tblPr>
      <w:tblGrid>
        <w:gridCol w:w="3041"/>
        <w:gridCol w:w="3041"/>
        <w:gridCol w:w="3041"/>
      </w:tblGrid>
      <w:tr w14:paraId="0000011C">
        <w:trPr>
          <w:cantSplit/>
          <w:hidden w:val="0"/>
          <w:tblHeader/>
        </w:trPr>
        <w:tc>
          <w:tcPr>
            <w:shd w:fill="D9E1F2"/>
            <w:tcMar>
              <w:top w:w="70" w:type="dxa"/>
              <w:left w:w="108" w:type="dxa"/>
              <w:bottom w:w="70" w:type="dxa"/>
              <w:right w:w="108" w:type="dxa"/>
            </w:tcMar>
            <w:vAlign w:val="center"/>
            <w:tcW w:w="3041" w:type="dxa"/>
          </w:tcPr>
          <w:p w:rsidRDefault="00000000" w14:paraId="000000B6"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2"/>
                <w:szCs w:val="22"/>
                <w:rtl w:val="0"/>
              </w:rPr>
              <w:t>Thời gian</w:t>
            </w:r>
          </w:p>
        </w:tc>
        <w:tc>
          <w:tcPr>
            <w:shd w:fill="D9E1F2"/>
            <w:tcMar>
              <w:top w:w="70" w:type="dxa"/>
              <w:left w:w="108" w:type="dxa"/>
              <w:bottom w:w="70" w:type="dxa"/>
              <w:right w:w="108" w:type="dxa"/>
            </w:tcMar>
            <w:vAlign w:val="center"/>
            <w:tcW w:w="3041" w:type="dxa"/>
          </w:tcPr>
          <w:p w:rsidRDefault="00000000" w14:paraId="000000B7"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2"/>
                <w:szCs w:val="22"/>
                <w:rtl w:val="0"/>
              </w:rPr>
              <w:t>Công việc chính</w:t>
            </w:r>
          </w:p>
        </w:tc>
        <w:tc>
          <w:tcPr>
            <w:shd w:fill="D9E1F2"/>
            <w:tcMar>
              <w:top w:w="70" w:type="dxa"/>
              <w:left w:w="108" w:type="dxa"/>
              <w:bottom w:w="70" w:type="dxa"/>
              <w:right w:w="108" w:type="dxa"/>
            </w:tcMar>
            <w:vAlign w:val="center"/>
            <w:tcW w:w="3041" w:type="dxa"/>
          </w:tcPr>
          <w:p w:rsidRDefault="00000000" w14:paraId="000000B8"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b/>
                <w:bCs/>
                <w:sz w:val="22"/>
                <w:szCs w:val="22"/>
                <w:rtl w:val="0"/>
              </w:rPr>
              <w:t>Kết quả cần đạt</w:t>
            </w:r>
          </w:p>
        </w:tc>
      </w:tr>
      <w:tr w14:paraId="0000011D">
        <w:trPr>
          <w:cantSplit/>
          <w:hidden w:val="0"/>
        </w:trPr>
        <w:tc>
          <w:tcPr>
            <w:tcMar>
              <w:top w:w="70" w:type="dxa"/>
              <w:left w:w="108" w:type="dxa"/>
              <w:bottom w:w="70" w:type="dxa"/>
              <w:right w:w="108" w:type="dxa"/>
            </w:tcMar>
            <w:vAlign w:val="center"/>
            <w:tcW w:w="3041" w:type="dxa"/>
          </w:tcPr>
          <w:p w:rsidRDefault="00000000" w14:paraId="000000B9"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Tuần 1</w:t>
            </w:r>
          </w:p>
        </w:tc>
        <w:tc>
          <w:tcPr>
            <w:tcMar>
              <w:top w:w="70" w:type="dxa"/>
              <w:left w:w="108" w:type="dxa"/>
              <w:bottom w:w="70" w:type="dxa"/>
              <w:right w:w="108" w:type="dxa"/>
            </w:tcMar>
            <w:vAlign w:val="center"/>
            <w:tcW w:w="3041" w:type="dxa"/>
          </w:tcPr>
          <w:p w:rsidRDefault="00000000" w14:paraId="000000BA"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Khảo sát tài liệu; chốt dataset; EDA và tiền xử lý; dựng baseline Logistic Regression, RF, GBM, XGBoost, LightGBM và CatBoost.</w:t>
            </w:r>
          </w:p>
        </w:tc>
        <w:tc>
          <w:tcPr>
            <w:tcMar>
              <w:top w:w="70" w:type="dxa"/>
              <w:left w:w="108" w:type="dxa"/>
              <w:bottom w:w="70" w:type="dxa"/>
              <w:right w:w="108" w:type="dxa"/>
            </w:tcMar>
            <w:vAlign w:val="center"/>
            <w:tcW w:w="3041" w:type="dxa"/>
          </w:tcPr>
          <w:p w:rsidRDefault="00000000" w14:paraId="000000BB"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Bảng benchmark đầu tiên; bản nháp Chương 1; pipeline dữ liệu tái lập.</w:t>
            </w:r>
          </w:p>
        </w:tc>
      </w:tr>
      <w:tr w14:paraId="0000011E">
        <w:trPr>
          <w:cantSplit/>
          <w:hidden w:val="0"/>
        </w:trPr>
        <w:tc>
          <w:tcPr>
            <w:tcMar>
              <w:top w:w="70" w:type="dxa"/>
              <w:left w:w="108" w:type="dxa"/>
              <w:bottom w:w="70" w:type="dxa"/>
              <w:right w:w="108" w:type="dxa"/>
            </w:tcMar>
            <w:vAlign w:val="center"/>
            <w:tcW w:w="3041" w:type="dxa"/>
          </w:tcPr>
          <w:p w:rsidRDefault="00000000" w14:paraId="000000BC"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Tuần 2</w:t>
            </w:r>
          </w:p>
        </w:tc>
        <w:tc>
          <w:tcPr>
            <w:tcMar>
              <w:top w:w="70" w:type="dxa"/>
              <w:left w:w="108" w:type="dxa"/>
              <w:bottom w:w="70" w:type="dxa"/>
              <w:right w:w="108" w:type="dxa"/>
            </w:tcMar>
            <w:vAlign w:val="center"/>
            <w:tcW w:w="3041" w:type="dxa"/>
          </w:tcPr>
          <w:p w:rsidRDefault="00000000" w14:paraId="000000BD"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Xây dựng XGBoost HPO; khóa protocol seed/fold và reference set; triển khai SHAP stability; chạy pilot multi-objective.</w:t>
            </w:r>
          </w:p>
        </w:tc>
        <w:tc>
          <w:tcPr>
            <w:tcMar>
              <w:top w:w="70" w:type="dxa"/>
              <w:left w:w="108" w:type="dxa"/>
              <w:bottom w:w="70" w:type="dxa"/>
              <w:right w:w="108" w:type="dxa"/>
            </w:tcMar>
            <w:vAlign w:val="center"/>
            <w:tcW w:w="3041" w:type="dxa"/>
          </w:tcPr>
          <w:p w:rsidRDefault="00000000" w14:paraId="000000BE"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Pipeline tính hai objective; ước lượng chi phí tính toán; Pareto scatter sơ bộ.</w:t>
            </w:r>
          </w:p>
        </w:tc>
      </w:tr>
      <w:tr w14:paraId="0000011F">
        <w:trPr>
          <w:cantSplit/>
          <w:hidden w:val="0"/>
        </w:trPr>
        <w:tc>
          <w:tcPr>
            <w:tcMar>
              <w:top w:w="70" w:type="dxa"/>
              <w:left w:w="108" w:type="dxa"/>
              <w:bottom w:w="70" w:type="dxa"/>
              <w:right w:w="108" w:type="dxa"/>
            </w:tcMar>
            <w:vAlign w:val="center"/>
            <w:tcW w:w="3041" w:type="dxa"/>
          </w:tcPr>
          <w:p w:rsidRDefault="00000000" w14:paraId="000000BF"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Tuần 3</w:t>
            </w:r>
          </w:p>
        </w:tc>
        <w:tc>
          <w:tcPr>
            <w:tcMar>
              <w:top w:w="70" w:type="dxa"/>
              <w:left w:w="108" w:type="dxa"/>
              <w:bottom w:w="70" w:type="dxa"/>
              <w:right w:w="108" w:type="dxa"/>
            </w:tcMar>
            <w:vAlign w:val="center"/>
            <w:tcW w:w="3041" w:type="dxa"/>
          </w:tcPr>
          <w:p w:rsidRDefault="00000000" w14:paraId="000000C0"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Chạy thí nghiệm chính gồm single-objective HPO, multi-objective HPO và repeated runs; dựng Pareto front; chọn nghiệm đại diện.</w:t>
            </w:r>
          </w:p>
        </w:tc>
        <w:tc>
          <w:tcPr>
            <w:tcMar>
              <w:top w:w="70" w:type="dxa"/>
              <w:left w:w="108" w:type="dxa"/>
              <w:bottom w:w="70" w:type="dxa"/>
              <w:right w:w="108" w:type="dxa"/>
            </w:tcMar>
            <w:vAlign w:val="center"/>
            <w:tcW w:w="3041" w:type="dxa"/>
          </w:tcPr>
          <w:p w:rsidRDefault="00000000" w14:paraId="000000C1"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Bộ kết quả chính, bảng/biểu đồ và log thực nghiệm; bản nháp Chương 2-3.</w:t>
            </w:r>
          </w:p>
        </w:tc>
      </w:tr>
      <w:tr w14:paraId="00000120">
        <w:trPr>
          <w:cantSplit/>
          <w:hidden w:val="0"/>
        </w:trPr>
        <w:tc>
          <w:tcPr>
            <w:tcMar>
              <w:top w:w="70" w:type="dxa"/>
              <w:left w:w="108" w:type="dxa"/>
              <w:bottom w:w="70" w:type="dxa"/>
              <w:right w:w="108" w:type="dxa"/>
            </w:tcMar>
            <w:vAlign w:val="center"/>
            <w:tcW w:w="3041" w:type="dxa"/>
          </w:tcPr>
          <w:p w:rsidRDefault="00000000" w14:paraId="000000C2"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Tuần 4</w:t>
            </w:r>
          </w:p>
        </w:tc>
        <w:tc>
          <w:tcPr>
            <w:tcMar>
              <w:top w:w="70" w:type="dxa"/>
              <w:left w:w="108" w:type="dxa"/>
              <w:bottom w:w="70" w:type="dxa"/>
              <w:right w:w="108" w:type="dxa"/>
            </w:tcMar>
            <w:vAlign w:val="center"/>
            <w:tcW w:w="3041" w:type="dxa"/>
          </w:tcPr>
          <w:p w:rsidRDefault="00000000" w14:paraId="000000C3"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Khóa lựa chọn mô hình; đánh giá cuối trên test set; phân tích trade-off và robustness; hoàn thiện báo cáo, tài liệu tham khảo và slide.</w:t>
            </w:r>
          </w:p>
        </w:tc>
        <w:tc>
          <w:tcPr>
            <w:tcMar>
              <w:top w:w="70" w:type="dxa"/>
              <w:left w:w="108" w:type="dxa"/>
              <w:bottom w:w="70" w:type="dxa"/>
              <w:right w:w="108" w:type="dxa"/>
            </w:tcMar>
            <w:vAlign w:val="center"/>
            <w:tcW w:w="3041" w:type="dxa"/>
          </w:tcPr>
          <w:p w:rsidRDefault="00000000" w14:paraId="000000C4" w:rsidR="00000000" w:rsidP="00000000" w:rsidRPr="00000000" w:rsidDel="00000000">
            <w:pPr>
              <w:keepLines/>
              <w:spacing w:after="0" w:before="0" w:line="276" w:lineRule="auto"/>
            </w:pPr>
            <w:r w:rsidR="00000000" w:rsidRPr="00000000" w:rsidDel="00000000">
              <w:rPr>
                <w:rFonts w:ascii="Times New Roman" w:hAnsi="Times New Roman" w:eastAsia="Times New Roman" w:cs="Times New Roman"/>
                <w:sz w:val="22"/>
                <w:szCs w:val="22"/>
                <w:rtl w:val="0"/>
              </w:rPr>
              <w:t>Bản báo cáo hoàn chỉnh; kết luận bám câu hỏi nghiên cứu; kết quả có thể tái lập.</w:t>
            </w:r>
          </w:p>
        </w:tc>
      </w:tr>
    </w:tbl>
    <w:p w:rsidRDefault="00000000" w14:paraId="000000C5"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9. Dự kiến nội dung của Đồ án chuyên ngành</w:t>
      </w:r>
    </w:p>
    <w:p w:rsidRDefault="00000000" w14:paraId="000000C6"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Đồ án dự kiến gồm </w:t>
      </w:r>
      <w:r w:rsidR="00000000" w:rsidRPr="00000000" w:rsidDel="00000000">
        <w:rPr>
          <w:rFonts w:ascii="Times New Roman" w:hAnsi="Times New Roman" w:eastAsia="Times New Roman" w:cs="Times New Roman"/>
          <w:b/>
          <w:bCs/>
          <w:sz w:val="26"/>
          <w:szCs w:val="26"/>
          <w:rtl w:val="0"/>
        </w:rPr>
        <w:t>ba chương chính</w:t>
      </w:r>
      <w:r w:rsidR="00000000" w:rsidRPr="00000000" w:rsidDel="00000000">
        <w:rPr>
          <w:rFonts w:ascii="Times New Roman" w:hAnsi="Times New Roman" w:eastAsia="Times New Roman" w:cs="Times New Roman"/>
          <w:sz w:val="26"/>
          <w:szCs w:val="26"/>
          <w:rtl w:val="0"/>
        </w:rPr>
        <w:t>, phù hợp định hướng Chương 1 trình bày tổng quan, Chương 2 trình bày phương pháp đề xuất và Chương 3 trình bày thực nghiệm - đánh giá. Sau ba chương là Kết luận và hướng phát triển.</w:t>
      </w:r>
    </w:p>
    <w:p w:rsidRDefault="00000000" w14:paraId="000000C7" w:rsidR="00000000" w:rsidP="00000000" w:rsidRPr="00000000" w:rsidDel="00000000">
      <w:pPr>
        <w:keepNext w:val="0"/>
        <w:keepLines/>
        <w:widowControl/>
        <w:spacing w:after="0" w:before="0" w:line="360" w:lineRule="auto"/>
        <w:ind w:firstLine="0" w:left="0"/>
        <w:jc w:val="left"/>
      </w:pPr>
      <w:r w:rsidR="00000000" w:rsidRPr="00000000" w:rsidDel="00000000">
        <w:rPr>
          <w:rFonts w:ascii="Times New Roman" w:hAnsi="Times New Roman" w:eastAsia="Times New Roman" w:cs="Times New Roman"/>
          <w:b/>
          <w:bCs/>
          <w:i w:val="0"/>
          <w:iCs w:val="0"/>
          <w:sz w:val="26"/>
          <w:szCs w:val="26"/>
          <w:rtl w:val="0"/>
        </w:rPr>
        <w:t>Chương 1. Tổng quan bài toán dự đoán rủi ro tín dụng và các phương pháp liên quan</w:t>
      </w:r>
    </w:p>
    <w:p w:rsidRDefault="00000000" w14:paraId="000000C8"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1.1. Bài toán dự đoán rủi ro tín dụng cá nhân</w:t>
      </w:r>
    </w:p>
    <w:p w:rsidRDefault="00000000" w14:paraId="000000C9"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1.2. Dữ liệu và đặc điểm của bài toán credit scoring</w:t>
      </w:r>
    </w:p>
    <w:p w:rsidRDefault="00000000" w14:paraId="000000CA"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 Các phương pháp dự đoán rủi ro tín dụng</w:t>
      </w:r>
    </w:p>
    <w:p w:rsidRDefault="00000000" w14:paraId="000000CB"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1.3.1. Logistic Regression</w:t>
      </w:r>
    </w:p>
    <w:p w:rsidRDefault="00000000" w14:paraId="000000CC"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1.3.2. Random Forest</w:t>
      </w:r>
    </w:p>
    <w:p w:rsidRDefault="00000000" w14:paraId="000000CD"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1.3.3. Gradient Boosting</w:t>
      </w:r>
    </w:p>
    <w:p w:rsidRDefault="00000000" w14:paraId="000000CE"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1.3.4. XGBoost</w:t>
      </w:r>
    </w:p>
    <w:p w:rsidRDefault="00000000" w14:paraId="000000CF"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1.3.5. LightGBM</w:t>
      </w:r>
    </w:p>
    <w:p w:rsidRDefault="00000000" w14:paraId="000000D0" w:rsidR="00000000" w:rsidP="00000000" w:rsidRPr="00000000" w:rsidDel="00000000">
      <w:pPr>
        <w:keepNext w:val="0"/>
        <w:keepLines/>
        <w:widowControl/>
        <w:spacing w:after="0" w:before="0" w:line="360" w:lineRule="auto"/>
        <w:ind w:firstLine="0" w:left="397"/>
        <w:jc w:val="left"/>
      </w:pPr>
      <w:r w:rsidR="00000000" w:rsidRPr="00000000" w:rsidDel="00000000">
        <w:rPr>
          <w:rFonts w:ascii="Times New Roman" w:hAnsi="Times New Roman" w:eastAsia="Times New Roman" w:cs="Times New Roman"/>
          <w:b w:val="0"/>
          <w:bCs w:val="0"/>
          <w:i w:val="0"/>
          <w:iCs w:val="0"/>
          <w:sz w:val="26"/>
          <w:szCs w:val="26"/>
          <w:rtl w:val="0"/>
        </w:rPr>
        <w:t>1.3.6. CatBoost</w:t>
      </w:r>
    </w:p>
    <w:p w:rsidRDefault="00000000" w14:paraId="000000D1"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1.4. So sánh ưu và nhược điểm của các phương pháp</w:t>
      </w:r>
    </w:p>
    <w:p w:rsidRDefault="00000000" w14:paraId="000000D2"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1.5. Tối ưu siêu tham số trong học máy</w:t>
      </w:r>
    </w:p>
    <w:p w:rsidRDefault="00000000" w14:paraId="000000D3"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1.6. Khả năng giải thích mô hình và SHAP</w:t>
      </w:r>
    </w:p>
    <w:p w:rsidRDefault="00000000" w14:paraId="000000D4"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1.7. Độ ổn định/robustness của giải thích</w:t>
      </w:r>
    </w:p>
    <w:p w:rsidRDefault="00000000" w14:paraId="000000D5"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1.8. Các nghiên cứu liên quan</w:t>
      </w:r>
    </w:p>
    <w:p w:rsidRDefault="00000000" w14:paraId="000000D6"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1.9. Khoảng trống nghiên cứu</w:t>
      </w:r>
    </w:p>
    <w:p w:rsidRDefault="00000000" w14:paraId="000000D7"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1.10. Tóm tắt chương</w:t>
      </w:r>
    </w:p>
    <w:p w:rsidRDefault="00000000" w14:paraId="000000D8"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Cuối Chương 1 cần xác lập rõ rằng SHAP stability trong credit scoring </w:t>
      </w:r>
      <w:r w:rsidR="00000000" w:rsidRPr="00000000" w:rsidDel="00000000">
        <w:rPr>
          <w:rFonts w:ascii="Times New Roman" w:hAnsi="Times New Roman" w:eastAsia="Times New Roman" w:cs="Times New Roman"/>
          <w:b/>
          <w:bCs/>
          <w:sz w:val="26"/>
          <w:szCs w:val="26"/>
          <w:rtl w:val="0"/>
        </w:rPr>
        <w:t>đã có nghiên cứu</w:t>
      </w:r>
      <w:r w:rsidR="00000000" w:rsidRPr="00000000" w:rsidDel="00000000">
        <w:rPr>
          <w:rFonts w:ascii="Times New Roman" w:hAnsi="Times New Roman" w:eastAsia="Times New Roman" w:cs="Times New Roman"/>
          <w:sz w:val="26"/>
          <w:szCs w:val="26"/>
          <w:rtl w:val="0"/>
        </w:rPr>
        <w:t>, nhưng đề tài đi tiếp một bước bằng cách đưa stability thành objective của HPO XGBoost. Đây là cầu nối sang phương pháp đề xuất ở Chương 2.</w:t>
      </w:r>
    </w:p>
    <w:p w:rsidRDefault="00000000" w14:paraId="000000D9" w:rsidR="00000000" w:rsidP="00000000" w:rsidRPr="00000000" w:rsidDel="00000000">
      <w:pPr>
        <w:keepNext w:val="0"/>
        <w:keepLines/>
        <w:widowControl/>
        <w:spacing w:after="0" w:before="0" w:line="360" w:lineRule="auto"/>
        <w:ind w:firstLine="0" w:left="0"/>
        <w:jc w:val="left"/>
      </w:pPr>
      <w:r w:rsidR="00000000" w:rsidRPr="00000000" w:rsidDel="00000000">
        <w:rPr>
          <w:rFonts w:ascii="Times New Roman" w:hAnsi="Times New Roman" w:eastAsia="Times New Roman" w:cs="Times New Roman"/>
          <w:b/>
          <w:bCs/>
          <w:i w:val="0"/>
          <w:iCs w:val="0"/>
          <w:sz w:val="26"/>
          <w:szCs w:val="26"/>
          <w:rtl w:val="0"/>
        </w:rPr>
        <w:t>Chương 2. Phương pháp tối ưu đa mục tiêu siêu tham số XGBoost xét đến hiệu năng dự đoán và độ ổn định SHAP</w:t>
      </w:r>
    </w:p>
    <w:p w:rsidRDefault="00000000" w14:paraId="000000DA"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2.1. Phát biểu bài toán</w:t>
      </w:r>
    </w:p>
    <w:p w:rsidRDefault="00000000" w14:paraId="000000DB"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2.2. Kiến trúc tổng thể của phương pháp đề xuất</w:t>
      </w:r>
    </w:p>
    <w:p w:rsidRDefault="00000000" w14:paraId="000000DC"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2.3. Phân chia dữ liệu, protocol seed/fold và reference set cho SHAP</w:t>
      </w:r>
    </w:p>
    <w:p w:rsidRDefault="00000000" w14:paraId="000000DD"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2.4. Không gian siêu tham số XGBoost</w:t>
      </w:r>
    </w:p>
    <w:p w:rsidRDefault="00000000" w14:paraId="000000DE"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2.5. Objective 1: predictive performance</w:t>
      </w:r>
    </w:p>
    <w:p w:rsidRDefault="00000000" w14:paraId="000000DF"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2.6. Phương pháp tính SHAP/TreeSHAP</w:t>
      </w:r>
    </w:p>
    <w:p w:rsidRDefault="00000000" w14:paraId="000000E0"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2.7. Xây dựng độ đo SHAP stability</w:t>
      </w:r>
    </w:p>
    <w:p w:rsidRDefault="00000000" w14:paraId="000000E1"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2.8. Objective 2: explanation stability</w:t>
      </w:r>
    </w:p>
    <w:p w:rsidRDefault="00000000" w14:paraId="000000E2"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2.9. Mô hình hóa bài toán tối ưu đa mục tiêu</w:t>
      </w:r>
    </w:p>
    <w:p w:rsidRDefault="00000000" w14:paraId="000000E3"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2.10. Pareto dominance và Pareto front</w:t>
      </w:r>
    </w:p>
    <w:p w:rsidRDefault="00000000" w14:paraId="000000E4"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2.11. Phương pháp lựa chọn nghiệm đại diện từ Pareto front</w:t>
      </w:r>
    </w:p>
    <w:p w:rsidRDefault="00000000" w14:paraId="000000E5"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2.12. Tóm tắt chương</w:t>
      </w:r>
    </w:p>
    <w:p w:rsidRDefault="00000000" w14:paraId="000000E6" w:rsidR="00000000" w:rsidP="00000000" w:rsidRPr="00000000" w:rsidDel="00000000">
      <w:pPr>
        <w:keepNext w:val="0"/>
        <w:keepLines/>
        <w:widowControl/>
        <w:spacing w:after="0" w:before="0" w:line="360" w:lineRule="auto"/>
        <w:ind w:firstLine="0" w:left="0"/>
        <w:jc w:val="left"/>
      </w:pPr>
      <w:r w:rsidR="00000000" w:rsidRPr="00000000" w:rsidDel="00000000">
        <w:rPr>
          <w:rFonts w:ascii="Times New Roman" w:hAnsi="Times New Roman" w:eastAsia="Times New Roman" w:cs="Times New Roman"/>
          <w:b/>
          <w:bCs/>
          <w:i w:val="0"/>
          <w:iCs w:val="0"/>
          <w:sz w:val="26"/>
          <w:szCs w:val="26"/>
          <w:rtl w:val="0"/>
        </w:rPr>
        <w:t>Chương 3. Thực nghiệm và đánh giá</w:t>
      </w:r>
    </w:p>
    <w:p w:rsidRDefault="00000000" w14:paraId="000000E7"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 Dữ liệu thực nghiệm</w:t>
      </w:r>
    </w:p>
    <w:p w:rsidRDefault="00000000" w14:paraId="000000E8"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3.2. Tiền xử lý dữ liệu</w:t>
      </w:r>
    </w:p>
    <w:p w:rsidRDefault="00000000" w14:paraId="000000E9"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3.3. Môi trường thực nghiệm: phần cứng, phần mềm và phiên bản thư viện</w:t>
      </w:r>
    </w:p>
    <w:p w:rsidRDefault="00000000" w14:paraId="000000EA"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3.4. Thiết kế và quy trình thực nghiệm</w:t>
      </w:r>
    </w:p>
    <w:p w:rsidRDefault="00000000" w14:paraId="000000EB"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3.5. Số lần chạy, seed, fold và protocol đánh giá</w:t>
      </w:r>
    </w:p>
    <w:p w:rsidRDefault="00000000" w14:paraId="000000EC"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3.6. Các chỉ số đánh giá</w:t>
      </w:r>
    </w:p>
    <w:p w:rsidRDefault="00000000" w14:paraId="000000ED"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3.7. Kết quả các mô hình baseline/đối chứng</w:t>
      </w:r>
    </w:p>
    <w:p w:rsidRDefault="00000000" w14:paraId="000000EE"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3.8. Kết quả XGBoost tối ưu đơn mục tiêu</w:t>
      </w:r>
    </w:p>
    <w:p w:rsidRDefault="00000000" w14:paraId="000000EF"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3.9. Kết quả XGBoost tối ưu đa mục tiêu</w:t>
      </w:r>
    </w:p>
    <w:p w:rsidRDefault="00000000" w14:paraId="000000F0"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3.10. Phân tích Pareto front</w:t>
      </w:r>
    </w:p>
    <w:p w:rsidRDefault="00000000" w14:paraId="000000F1"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3.11. So sánh predictive performance</w:t>
      </w:r>
    </w:p>
    <w:p w:rsidRDefault="00000000" w14:paraId="000000F2"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3.12. Phân tích SHAP stability</w:t>
      </w:r>
    </w:p>
    <w:p w:rsidRDefault="00000000" w14:paraId="000000F3"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3.13. Phân tích trade-off giữa performance và stability</w:t>
      </w:r>
    </w:p>
    <w:p w:rsidRDefault="00000000" w14:paraId="000000F4"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3.14. Thảo luận, hạn chế và đe dọa đến tính hợp lệ</w:t>
      </w:r>
    </w:p>
    <w:p w:rsidRDefault="00000000" w14:paraId="000000F5" w:rsidR="00000000" w:rsidP="00000000" w:rsidRPr="00000000" w:rsidDel="00000000">
      <w:pPr>
        <w:keepNext w:val="0"/>
        <w:keepLines/>
        <w:widowControl/>
        <w:spacing w:after="0" w:before="0" w:line="360" w:lineRule="auto"/>
        <w:ind w:firstLine="0" w:left="227"/>
        <w:jc w:val="left"/>
      </w:pPr>
      <w:r w:rsidR="00000000" w:rsidRPr="00000000" w:rsidDel="00000000">
        <w:rPr>
          <w:rFonts w:ascii="Times New Roman" w:hAnsi="Times New Roman" w:eastAsia="Times New Roman" w:cs="Times New Roman"/>
          <w:b w:val="0"/>
          <w:bCs w:val="0"/>
          <w:i w:val="0"/>
          <w:iCs w:val="0"/>
          <w:sz w:val="26"/>
          <w:szCs w:val="26"/>
          <w:rtl w:val="0"/>
        </w:rPr>
        <w:t>3.15. Tóm tắt chương</w:t>
      </w:r>
    </w:p>
    <w:p w:rsidRDefault="00000000" w14:paraId="000000F6" w:rsidR="00000000" w:rsidP="00000000" w:rsidRPr="00000000" w:rsidDel="00000000">
      <w:pPr>
        <w:keepNext w:val="0"/>
        <w:keepLines/>
        <w:widowControl/>
        <w:spacing w:after="0" w:before="0" w:line="360" w:lineRule="auto"/>
        <w:ind w:firstLine="567"/>
        <w:jc w:val="both"/>
      </w:pPr>
      <w:r w:rsidR="00000000" w:rsidRPr="00000000" w:rsidDel="00000000">
        <w:rPr>
          <w:rFonts w:ascii="Times New Roman" w:hAnsi="Times New Roman" w:eastAsia="Times New Roman" w:cs="Times New Roman"/>
          <w:sz w:val="26"/>
          <w:szCs w:val="26"/>
          <w:rtl w:val="0"/>
        </w:rPr>
        <w:t xml:space="preserve">Sau ba chương là </w:t>
      </w:r>
      <w:r w:rsidR="00000000" w:rsidRPr="00000000" w:rsidDel="00000000">
        <w:rPr>
          <w:rFonts w:ascii="Times New Roman" w:hAnsi="Times New Roman" w:eastAsia="Times New Roman" w:cs="Times New Roman"/>
          <w:b/>
          <w:bCs/>
          <w:sz w:val="26"/>
          <w:szCs w:val="26"/>
          <w:rtl w:val="0"/>
        </w:rPr>
        <w:t>Kết luận và hướng phát triển</w:t>
      </w:r>
      <w:r w:rsidR="00000000" w:rsidRPr="00000000" w:rsidDel="00000000">
        <w:rPr>
          <w:rFonts w:ascii="Times New Roman" w:hAnsi="Times New Roman" w:eastAsia="Times New Roman" w:cs="Times New Roman"/>
          <w:sz w:val="26"/>
          <w:szCs w:val="26"/>
          <w:rtl w:val="0"/>
        </w:rPr>
        <w:t xml:space="preserve"> khoảng một trang. Kết luận phải trả lời trực tiếp các câu hỏi RQ1-RQ4 bằng kết quả thực nghiệm của nhóm. Hướng phát triển có thể mở rộng tối ưu đa mục tiêu sang LightGBM/CatBoost, thêm dataset, bổ sung calibration/fairness hoặc nghiên cứu stability ở cấp local explanation.</w:t>
      </w:r>
    </w:p>
    <w:p w:rsidRDefault="00000000" w14:paraId="000000F7" w:rsidR="00000000" w:rsidP="00000000" w:rsidRPr="00000000" w:rsidDel="00000000">
      <w:pPr>
        <w:pStyle w:val="Heading1"/>
        <w:keepNext/>
        <w:keepLines/>
        <w:pageBreakBefore w:val="0"/>
      </w:pPr>
      <w:r w:rsidR="00000000" w:rsidRPr="00000000" w:rsidDel="00000000">
        <w:rPr>
          <w:rFonts w:ascii="Times New Roman" w:hAnsi="Times New Roman" w:eastAsia="Times New Roman" w:cs="Times New Roman"/>
          <w:b/>
          <w:bCs/>
          <w:sz w:val="28"/>
          <w:szCs w:val="28"/>
          <w:rtl w:val="0"/>
        </w:rPr>
        <w:t>10. Tài liệu tham khảo</w:t>
      </w:r>
    </w:p>
    <w:p w:rsidRDefault="00000000" w14:paraId="000000F8" w:rsidR="00000000" w:rsidP="00000000" w:rsidRPr="00000000" w:rsidDel="00000000">
      <w:pPr>
        <w:keepLines/>
        <w:spacing w:after="0" w:before="0" w:line="306" w:lineRule="auto"/>
        <w:ind w:hanging="454" w:left="454"/>
        <w:jc w:val="both"/>
      </w:pPr>
      <w:r w:rsidR="00000000" w:rsidRPr="00000000" w:rsidDel="00000000">
        <w:rPr>
          <w:sz w:val="26"/>
          <w:szCs w:val="26"/>
          <w:rtl w:val="0"/>
        </w:rPr>
        <w:t>[1] S. Lessmann, B. Baesens, H.-V. Seow, and L. C. Thomas, “Benchmarking state-of-the-art classification algorithms for credit scoring: An update of research,” European Journal of Operational Research, vol. 247, no. 1, pp. 124–136, 2015, doi: 10.1016/j.ejor.2015.05.030.</w:t>
      </w:r>
    </w:p>
    <w:p w:rsidRDefault="00000000" w14:paraId="000000F9" w:rsidR="00000000" w:rsidP="00000000" w:rsidRPr="00000000" w:rsidDel="00000000">
      <w:pPr>
        <w:keepLines/>
        <w:spacing w:after="0" w:before="0" w:line="306" w:lineRule="auto"/>
        <w:ind w:hanging="454" w:left="454"/>
        <w:jc w:val="both"/>
      </w:pPr>
      <w:r w:rsidR="00000000" w:rsidRPr="00000000" w:rsidDel="00000000">
        <w:rPr>
          <w:sz w:val="26"/>
          <w:szCs w:val="26"/>
          <w:rtl w:val="0"/>
        </w:rPr>
        <w:t>[2] M. Guidolin and M. Pedio, “Sharpening the Accuracy of Credit Scoring Models with Machine Learning Algorithms,” in Data Science for Economics and Finance: Methodologies and Applications, S. Consoli, D. Reforgiato Recupero, and M. Saisana, Eds. Cham, Switzerland: Springer, 2021, pp. 89–116, doi: 10.1007/978-3-030-66891-4_5.</w:t>
      </w:r>
    </w:p>
    <w:p w:rsidRDefault="00000000" w14:paraId="000000FA" w:rsidR="00000000" w:rsidP="00000000" w:rsidRPr="00000000" w:rsidDel="00000000">
      <w:pPr>
        <w:keepLines/>
        <w:spacing w:after="0" w:before="0" w:line="306" w:lineRule="auto"/>
        <w:ind w:hanging="454" w:left="454"/>
        <w:jc w:val="both"/>
      </w:pPr>
      <w:r w:rsidR="00000000" w:rsidRPr="00000000" w:rsidDel="00000000">
        <w:rPr>
          <w:sz w:val="26"/>
          <w:szCs w:val="26"/>
          <w:rtl w:val="0"/>
        </w:rPr>
        <w:t>[3] T. Chen and C. Guestrin, “XGBoost: A scalable tree boosting system,” in Proc. 22nd ACM SIGKDD Int. Conf. Knowledge Discovery and Data Mining, 2016, pp. 785–794, doi: 10.1145/2939672.2939785.</w:t>
      </w:r>
    </w:p>
    <w:p w:rsidRDefault="00000000" w14:paraId="000000FB" w:rsidR="00000000" w:rsidP="00000000" w:rsidRPr="00000000" w:rsidDel="00000000">
      <w:pPr>
        <w:keepLines/>
        <w:spacing w:after="0" w:before="0" w:line="306" w:lineRule="auto"/>
        <w:ind w:hanging="454" w:left="454"/>
        <w:jc w:val="both"/>
      </w:pPr>
      <w:r w:rsidR="00000000" w:rsidRPr="00000000" w:rsidDel="00000000">
        <w:rPr>
          <w:sz w:val="26"/>
          <w:szCs w:val="26"/>
          <w:rtl w:val="0"/>
        </w:rPr>
        <w:t>[4] S. M. Lundberg and S.-I. Lee, “A unified approach to interpreting model predictions,” in Advances in Neural Information Processing Systems 30, 2017, pp. 4765–4774.</w:t>
      </w:r>
    </w:p>
    <w:p w:rsidRDefault="00000000" w14:paraId="000000FC" w:rsidR="00000000" w:rsidP="00000000" w:rsidRPr="00000000" w:rsidDel="00000000">
      <w:pPr>
        <w:keepLines/>
        <w:spacing w:after="0" w:before="0" w:line="306" w:lineRule="auto"/>
        <w:ind w:hanging="454" w:left="454"/>
        <w:jc w:val="both"/>
      </w:pPr>
      <w:r w:rsidR="00000000" w:rsidRPr="00000000" w:rsidDel="00000000">
        <w:rPr>
          <w:sz w:val="26"/>
          <w:szCs w:val="26"/>
          <w:rtl w:val="0"/>
        </w:rPr>
        <w:t>[5] S. M. Lundberg et al., “From local explanations to global understanding with explainable AI for trees,” Nature Machine Intelligence, vol. 2, pp. 56–67, 2020, doi: 10.1038/s42256-019-0138-9.</w:t>
      </w:r>
    </w:p>
    <w:p w:rsidRDefault="00000000" w14:paraId="000000FD" w:rsidR="00000000" w:rsidP="00000000" w:rsidRPr="00000000" w:rsidDel="00000000">
      <w:pPr>
        <w:keepLines/>
        <w:spacing w:after="0" w:before="0" w:line="306" w:lineRule="auto"/>
        <w:ind w:hanging="454" w:left="454"/>
        <w:jc w:val="both"/>
      </w:pPr>
      <w:r w:rsidR="00000000" w:rsidRPr="00000000" w:rsidDel="00000000">
        <w:rPr>
          <w:sz w:val="26"/>
          <w:szCs w:val="26"/>
          <w:rtl w:val="0"/>
        </w:rPr>
        <w:t>[6] D. Alvarez-Melis and T. S. Jaakkola, “On the robustness of interpretability methods,” arXiv:1806.08049, 2018.</w:t>
      </w:r>
    </w:p>
    <w:p w:rsidRDefault="00000000" w14:paraId="000000FE" w:rsidR="00000000" w:rsidP="00000000" w:rsidRPr="00000000" w:rsidDel="00000000">
      <w:pPr>
        <w:keepLines/>
        <w:spacing w:after="0" w:before="0" w:line="306" w:lineRule="auto"/>
        <w:ind w:hanging="454" w:left="454"/>
        <w:jc w:val="both"/>
      </w:pPr>
      <w:r w:rsidR="00000000" w:rsidRPr="00000000" w:rsidDel="00000000">
        <w:rPr>
          <w:sz w:val="26"/>
          <w:szCs w:val="26"/>
          <w:rtl w:val="0"/>
        </w:rPr>
        <w:t>[7] L. Lin and Y. Wang, “SHAP Stability in Credit Risk Management: A Case Study in Credit Card Default Model,” Risks, vol. 13, no. 12, art. no. 238, 2025, doi: 10.3390/risks13120238.</w:t>
      </w:r>
    </w:p>
    <w:p w:rsidRDefault="00000000" w14:paraId="000000FF" w:rsidR="00000000" w:rsidP="00000000" w:rsidRPr="00000000" w:rsidDel="00000000">
      <w:pPr>
        <w:keepLines/>
        <w:spacing w:after="0" w:before="0" w:line="306" w:lineRule="auto"/>
        <w:ind w:hanging="454" w:left="454"/>
        <w:jc w:val="both"/>
      </w:pPr>
      <w:r w:rsidR="00000000" w:rsidRPr="00000000" w:rsidDel="00000000">
        <w:rPr>
          <w:sz w:val="26"/>
          <w:szCs w:val="26"/>
          <w:rtl w:val="0"/>
        </w:rPr>
        <w:t>[8] M. Ballegeer, M. Bogaert, and D. F. Benoit, “Evaluating the stability of model explanations in instance-dependent cost-sensitive credit scoring,” European Journal of Operational Research, vol. 326, no. 3, pp. 630–640, 2025, doi: 10.1016/j.ejor.2025.05.039.</w:t>
      </w:r>
    </w:p>
    <w:p w:rsidRDefault="00000000" w14:paraId="00000100" w:rsidR="00000000" w:rsidP="00000000" w:rsidRPr="00000000" w:rsidDel="00000000">
      <w:pPr>
        <w:keepLines/>
        <w:spacing w:after="0" w:before="0" w:line="306" w:lineRule="auto"/>
        <w:ind w:hanging="454" w:left="454"/>
        <w:jc w:val="both"/>
      </w:pPr>
      <w:r w:rsidR="00000000" w:rsidRPr="00000000" w:rsidDel="00000000">
        <w:rPr>
          <w:sz w:val="26"/>
          <w:szCs w:val="26"/>
          <w:rtl w:val="0"/>
        </w:rPr>
        <w:t>[9] I.-C. Yeh and C.-H. Lien, “The comparisons of data mining techniques for the predictive accuracy of probability of default of credit card clients,” Expert Systems with Applications, vol. 36, no. 2, pp. 2473–2480, 2009, doi: 10.1016/j.eswa.2007.12.020.</w:t>
      </w:r>
    </w:p>
    <w:p w:rsidRDefault="00000000" w14:paraId="00000101" w:rsidR="00000000" w:rsidP="00000000" w:rsidRPr="00000000" w:rsidDel="00000000">
      <w:pPr>
        <w:keepLines/>
        <w:spacing w:after="0" w:before="0" w:line="306" w:lineRule="auto"/>
        <w:ind w:hanging="454" w:left="454"/>
        <w:jc w:val="both"/>
      </w:pPr>
      <w:r w:rsidR="00000000" w:rsidRPr="00000000" w:rsidDel="00000000">
        <w:rPr>
          <w:sz w:val="26"/>
          <w:szCs w:val="26"/>
          <w:rtl w:val="0"/>
        </w:rPr>
        <w:t>[10] M. P. Deisenroth, A. A. Faisal, and C. S. Ong, Mathematics for Machine Learning. Cambridge, U.K.: Cambridge University Press, 2020, ISBN: 978-1-108-45514-5.</w:t>
      </w:r>
    </w:p>
    <w:p w:rsidRDefault="00000000" w14:paraId="00000102" w:rsidR="00000000" w:rsidP="00000000" w:rsidRPr="00000000" w:rsidDel="00000000">
      <w:pPr>
        <w:keepLines/>
        <w:spacing w:after="0" w:before="0" w:line="306" w:lineRule="auto"/>
        <w:ind w:hanging="454" w:left="454"/>
        <w:jc w:val="both"/>
      </w:pPr>
      <w:r w:rsidR="00000000" w:rsidRPr="00000000" w:rsidDel="00000000">
        <w:rPr>
          <w:sz w:val="26"/>
          <w:szCs w:val="26"/>
          <w:rtl w:val="0"/>
        </w:rPr>
        <w:t>[11] T. Hastie, R. Tibshirani, and J. Friedman, The Elements of Statistical Learning: Data Mining, Inference, and Prediction, 2nd ed. New York, NY, USA: Springer, 2009, doi: 10.1007/978-0-387-84858-7.</w:t>
      </w:r>
    </w:p>
    <w:p w:rsidRDefault="00000000" w14:paraId="00000103" w:rsidR="00000000" w:rsidP="00000000" w:rsidRPr="00000000" w:rsidDel="00000000">
      <w:pPr>
        <w:keepLines/>
        <w:spacing w:after="0" w:before="0" w:line="306" w:lineRule="auto"/>
        <w:ind w:hanging="454" w:left="454"/>
        <w:jc w:val="both"/>
      </w:pPr>
      <w:r w:rsidR="00000000" w:rsidRPr="00000000" w:rsidDel="00000000">
        <w:rPr>
          <w:sz w:val="26"/>
          <w:szCs w:val="26"/>
          <w:rtl w:val="0"/>
        </w:rPr>
        <w:t>[12] A. Géron, Hands-On Machine Learning with Scikit-Learn, Keras, and TensorFlow, 3rd ed. Sebastopol, CA, USA: O’Reilly Media, 2022, ISBN: 978-1-098-12597-4.</w:t>
      </w:r>
    </w:p>
    <w:p w:rsidRDefault="00000000" w14:paraId="00000104" w:rsidR="00000000" w:rsidP="00000000" w:rsidRPr="00000000" w:rsidDel="00000000">
      <w:pPr>
        <w:keepLines/>
        <w:spacing w:after="0" w:before="0" w:line="306" w:lineRule="auto"/>
        <w:ind w:hanging="454" w:left="454"/>
        <w:jc w:val="both"/>
      </w:pPr>
      <w:r w:rsidR="00000000" w:rsidRPr="00000000" w:rsidDel="00000000">
        <w:rPr>
          <w:sz w:val="26"/>
          <w:szCs w:val="26"/>
          <w:rtl w:val="0"/>
        </w:rPr>
        <w:t>[13] L. Breiman, “Random Forests,” Machine Learning, vol. 45, pp. 5–32, 2001, doi: 10.1023/A:1010933404324.</w:t>
      </w:r>
    </w:p>
    <w:p w:rsidRDefault="00000000" w14:paraId="00000105" w:rsidR="00000000" w:rsidP="00000000" w:rsidRPr="00000000" w:rsidDel="00000000">
      <w:pPr>
        <w:keepLines/>
        <w:spacing w:after="0" w:before="0" w:line="306" w:lineRule="auto"/>
        <w:ind w:hanging="454" w:left="454"/>
        <w:jc w:val="both"/>
      </w:pPr>
      <w:r w:rsidR="00000000" w:rsidRPr="00000000" w:rsidDel="00000000">
        <w:rPr>
          <w:sz w:val="26"/>
          <w:szCs w:val="26"/>
          <w:rtl w:val="0"/>
        </w:rPr>
        <w:t>[14] J. H. Friedman, “Greedy function approximation: A gradient boosting machine,” The Annals of Statistics, vol. 29, no. 5, pp. 1189–1232, 2001, doi: 10.1214/aos/1013203451.</w:t>
      </w:r>
    </w:p>
    <w:p w:rsidRDefault="00000000" w14:paraId="00000106" w:rsidR="00000000" w:rsidP="00000000" w:rsidRPr="00000000" w:rsidDel="00000000">
      <w:pPr>
        <w:keepLines/>
        <w:spacing w:after="0" w:before="0" w:line="306" w:lineRule="auto"/>
        <w:ind w:hanging="454" w:left="454"/>
        <w:jc w:val="both"/>
      </w:pPr>
      <w:r w:rsidR="00000000" w:rsidRPr="00000000" w:rsidDel="00000000">
        <w:rPr>
          <w:sz w:val="26"/>
          <w:szCs w:val="26"/>
          <w:rtl w:val="0"/>
        </w:rPr>
        <w:t>[15] G. Ke et al., “LightGBM: A highly efficient gradient boosting decision tree,” in Advances in Neural Information Processing Systems 30, 2017, pp. 3146–3154.</w:t>
      </w:r>
    </w:p>
    <w:p w:rsidRDefault="00000000" w14:paraId="00000107" w:rsidR="00000000" w:rsidP="00000000" w:rsidRPr="00000000" w:rsidDel="00000000">
      <w:pPr>
        <w:keepLines/>
        <w:spacing w:after="0" w:before="0" w:line="306" w:lineRule="auto"/>
        <w:ind w:hanging="454" w:left="454"/>
        <w:jc w:val="both"/>
      </w:pPr>
      <w:r w:rsidR="00000000" w:rsidRPr="00000000" w:rsidDel="00000000">
        <w:rPr>
          <w:sz w:val="26"/>
          <w:szCs w:val="26"/>
          <w:rtl w:val="0"/>
        </w:rPr>
        <w:t>[16] L. Prokhorenkova, G. Gusev, A. Vorobev, A. V. Dorogush, and A. Gulin, “CatBoost: Unbiased boosting with categorical features,” in Advances in Neural Information Processing Systems 31, 2018, pp. 6638–6648.</w:t>
      </w:r>
    </w:p>
    <w:p w:rsidRDefault="00000000" w14:paraId="00000108" w:rsidR="00000000" w:rsidP="00000000" w:rsidRPr="00000000" w:rsidDel="00000000">
      <w:pPr>
        <w:keepLines/>
        <w:spacing w:after="0" w:before="0" w:line="306" w:lineRule="auto"/>
        <w:ind w:hanging="454" w:left="454"/>
        <w:jc w:val="both"/>
      </w:pPr>
      <w:r w:rsidR="00000000" w:rsidRPr="00000000" w:rsidDel="00000000">
        <w:rPr>
          <w:sz w:val="26"/>
          <w:szCs w:val="26"/>
          <w:rtl w:val="0"/>
        </w:rPr>
        <w:t>[17] F. Hutter, L. Kotthoff, and J. Vanschoren, Eds., Automated Machine Learning: Methods, Systems, Challenges. Cham, Switzerland: Springer, 2019, doi: 10.1007/978-3-030-05318-5.</w:t>
      </w:r>
    </w:p>
    <w:p w:rsidRDefault="00000000" w14:paraId="00000109" w:rsidR="00000000" w:rsidP="00000000" w:rsidRPr="00000000" w:rsidDel="00000000">
      <w:pPr>
        <w:keepLines/>
        <w:spacing w:after="0" w:before="0" w:line="306" w:lineRule="auto"/>
        <w:ind w:hanging="454" w:left="454"/>
        <w:jc w:val="both"/>
      </w:pPr>
      <w:r w:rsidR="00000000" w:rsidRPr="00000000" w:rsidDel="00000000">
        <w:rPr>
          <w:sz w:val="26"/>
          <w:szCs w:val="26"/>
          <w:rtl w:val="0"/>
        </w:rPr>
        <w:t>[18] T. Akiba, S. Sano, T. Yanase, T. Ohta, and M. Koyama, “Optuna: A next-generation hyperparameter optimization framework,” in Proc. 25th ACM SIGKDD Int. Conf. Knowledge Discovery &amp; Data Mining, 2019, pp. 2623–2631, doi: 10.1145/3292500.3330701.</w:t>
      </w:r>
    </w:p>
    <w:p w:rsidRDefault="00000000" w14:paraId="0000010A" w:rsidR="00000000" w:rsidP="00000000" w:rsidRPr="00000000" w:rsidDel="00000000">
      <w:pPr>
        <w:keepLines/>
        <w:spacing w:after="0" w:before="0" w:line="306" w:lineRule="auto"/>
        <w:ind w:hanging="454" w:left="454"/>
        <w:jc w:val="both"/>
      </w:pPr>
      <w:r w:rsidR="00000000" w:rsidRPr="00000000" w:rsidDel="00000000">
        <w:rPr>
          <w:sz w:val="26"/>
          <w:szCs w:val="26"/>
          <w:rtl w:val="0"/>
        </w:rPr>
        <w:t>[19] A. Morales-Hernández, I. Van Nieuwenhuyse, and S. Rojas Gonzalez, “A survey on multi-objective hyperparameter optimization algorithms for machine learning,” Artificial Intelligence Review, vol. 56, no. 8, pp. 8043–8093, 2023, doi: 10.1007/s10462-022-10359-2.</w:t>
      </w:r>
    </w:p>
    <w:p w:rsidRDefault="00000000" w14:paraId="0000010B" w:rsidR="00000000" w:rsidP="00000000" w:rsidRPr="00000000" w:rsidDel="00000000">
      <w:pPr>
        <w:keepLines/>
        <w:spacing w:after="0" w:before="0" w:line="306" w:lineRule="auto"/>
        <w:ind w:hanging="454" w:left="454"/>
        <w:jc w:val="both"/>
      </w:pPr>
      <w:r w:rsidR="00000000" w:rsidRPr="00000000" w:rsidDel="00000000">
        <w:rPr>
          <w:sz w:val="26"/>
          <w:szCs w:val="26"/>
          <w:rtl w:val="0"/>
        </w:rPr>
        <w:t>[20] J. Brownlee, Machine Learning Mastery with Python: Understand Your Data, Create Accurate Models and Work Projects End-To-End, ver. 1.4, 2016.</w:t>
      </w:r>
    </w:p>
    <w:p w:rsidRDefault="00000000" w14:paraId="0000010C" w:rsidR="00000000" w:rsidP="00000000" w:rsidRPr="00000000" w:rsidDel="00000000">
      <w:pPr>
        <w:keepLines/>
        <w:spacing w:after="0" w:before="0" w:line="306" w:lineRule="auto"/>
        <w:ind w:hanging="454" w:left="454"/>
        <w:jc w:val="both"/>
      </w:pPr>
      <w:r w:rsidR="00000000" w:rsidRPr="00000000" w:rsidDel="00000000">
        <w:rPr>
          <w:sz w:val="26"/>
          <w:szCs w:val="26"/>
          <w:rtl w:val="0"/>
        </w:rPr>
        <w:t>[21] K. Deb, A. Pratap, S. Agarwal, and T. Meyarivan, “A fast and elitist multiobjective genetic algorithm: NSGA-II,” IEEE Transactions on Evolutionary Computation, vol. 6, no. 2, pp. 182–197, 2002, doi: 10.1109/4235.996017.</w:t>
      </w:r>
    </w:p>
    <w:sectPr>
      <w:headerReference r:id="rId7" w:type="default"/>
      <w:type w:val="nextPage"/>
      <w:pgSz w:h="15840" w:w="12240" w:orient="portrait"/>
      <w:pgMar w:bottom="1701" w:top="1701" w:left="1984" w:right="1134" w:header="850" w:footer="850" w:gutter="0"/>
      <w:pgNumType w:start="1"/>
      <w:titlePg w:val="1"/>
      <w:footerReference w:type="default" r:id="rId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mbria Math">
    <w:embedRegular w:fontKey="{00000000-0000-0000-0000-000000000000}" r:id="rId1" w:subsetted="0"/>
  </w:font>
</w:fonts>
</file>

<file path=word/footer1.xml><?xml version="1.0" encoding="utf-8"?>
<w:ftr xmlns:w="http://schemas.openxmlformats.org/wordprocessingml/2006/main" xmlns:r="http://schemas.openxmlformats.org/officeDocument/2006/relationship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15:restartNumberingAfterBreak="0">
    <w:nsid w:val="16126B07"/>
    <w:multiLevelType w:val="hybridMultilevel"/>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360" w:lineRule="auto"/>
      <w:ind w:left="0" w:firstLine="0"/>
    </w:pPr>
    <w:rPr>
      <w:rFonts w:ascii="Times New Roman" w:cs="Times New Roman" w:eastAsia="Times New Roman" w:hAnsi="Times New Roman"/>
      <w:b w:val="1"/>
      <w:bCs w:val="1"/>
      <w:i w:val="0"/>
      <w:iCs w:val="0"/>
      <w:color w:val="000000"/>
      <w:sz w:val="28"/>
      <w:szCs w:val="28"/>
    </w:rPr>
  </w:style>
  <w:style w:type="paragraph" w:styleId="Heading2">
    <w:name w:val="heading 2"/>
    <w:basedOn w:val="Normal"/>
    <w:next w:val="Normal"/>
    <w:pPr>
      <w:keepNext w:val="1"/>
      <w:keepLines w:val="1"/>
      <w:spacing w:after="40" w:before="120" w:line="360" w:lineRule="auto"/>
      <w:ind w:left="0" w:firstLine="0"/>
    </w:pPr>
    <w:rPr>
      <w:rFonts w:ascii="Times New Roman" w:cs="Times New Roman" w:eastAsia="Times New Roman" w:hAnsi="Times New Roman"/>
      <w:b w:val="1"/>
      <w:bCs w:val="1"/>
      <w:i w:val="0"/>
      <w:iCs w:val="0"/>
      <w:color w:val="000000"/>
      <w:sz w:val="26"/>
      <w:szCs w:val="26"/>
    </w:rPr>
  </w:style>
  <w:style w:type="paragraph" w:styleId="Heading3">
    <w:name w:val="heading 3"/>
    <w:basedOn w:val="Normal"/>
    <w:next w:val="Normal"/>
    <w:pPr>
      <w:keepNext w:val="1"/>
      <w:keepLines w:val="1"/>
      <w:spacing w:after="20" w:before="80" w:line="360" w:lineRule="auto"/>
      <w:ind w:left="0" w:firstLine="0"/>
    </w:pPr>
    <w:rPr>
      <w:rFonts w:ascii="Times New Roman" w:cs="Times New Roman" w:eastAsia="Times New Roman" w:hAnsi="Times New Roman"/>
      <w:b w:val="1"/>
      <w:bCs w:val="1"/>
      <w:i w:val="1"/>
      <w:i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footer" Target="footer1.xml" /></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6314</Words>
  <Characters>26832</Characters>
  <CharactersWithSpaces>32889</CharactersWithSpaces>
  <Pages>21</Pages>
</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google-docs</vt:lpwstr>
  </property>
  <property name="DocumentGuid" fmtid="{D5CDD505-2E9C-101B-9397-08002B2CF9AE}" pid="4">
    <vt:lpwstr>8416dc2e-4e36-4a96-8bb7-530e92c16a26</vt:lpwstr>
  </property>
</Properties>
</file>