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0" w:before="0" w:line="276" w:lineRule="auto"/>
        <w:ind w:left="0" w:right="0" w:firstLine="0"/>
        <w:jc w:val="center"/>
        <w:rPr/>
      </w:pPr>
      <w:r w:rsidDel="00000000" w:rsidR="00000000" w:rsidRPr="00000000">
        <w:rPr>
          <w:b w:val="1"/>
          <w:bCs w:val="1"/>
        </w:rPr>
        <mc:AlternateContent>
          <mc:Choice Requires="wpg">
            <w:drawing>
              <wp:anchor allowOverlap="1" behindDoc="1" distB="114300" distT="114300" distL="114300" distR="114300" hidden="0" layoutInCell="1" locked="0" relativeHeight="0" simplePos="0">
                <wp:simplePos x="0" y="0"/>
                <wp:positionH relativeFrom="page">
                  <wp:posOffset>1103681</wp:posOffset>
                </wp:positionH>
                <wp:positionV relativeFrom="page">
                  <wp:posOffset>739775</wp:posOffset>
                </wp:positionV>
                <wp:extent cx="5842000" cy="8991600"/>
                <wp:effectExtent b="0" l="0" r="0" t="0"/>
                <wp:wrapNone/>
                <wp:docPr id="2" name=""/>
                <a:graphic>
                  <a:graphicData uri="http://schemas.microsoft.com/office/word/2010/wordprocessingShape">
                    <wps:wsp>
                      <wps:cNvSpPr/>
                      <wps:cNvPr id="2" name="Shape 2"/>
                      <wps:spPr>
                        <a:xfrm>
                          <a:off x="3289075" y="782650"/>
                          <a:ext cx="3893400" cy="60036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1103681</wp:posOffset>
                </wp:positionH>
                <wp:positionV relativeFrom="page">
                  <wp:posOffset>739775</wp:posOffset>
                </wp:positionV>
                <wp:extent cx="5842000" cy="8991600"/>
                <wp:effectExtent b="0" l="0" r="0" t="0"/>
                <wp:wrapNone/>
                <wp:docPr id="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842000" cy="89916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color w:val="000000"/>
          <w:sz w:val="26"/>
          <w:szCs w:val="26"/>
          <w:rtl w:val="0"/>
        </w:rPr>
        <w:t xml:space="preserve">ỦY BAN NHÂN DÂN THÀNH PHỐ HỒ CHÍ MINH</w:t>
      </w:r>
      <w:r w:rsidDel="00000000" w:rsidR="00000000" w:rsidRPr="00000000">
        <w:rPr>
          <w:rtl w:val="0"/>
        </w:rPr>
      </w:r>
    </w:p>
    <w:p w:rsidR="00000000" w:rsidDel="00000000" w:rsidP="00000000" w:rsidRDefault="00000000" w:rsidRPr="00000000" w14:paraId="00000002">
      <w:pPr>
        <w:widowControl w:val="1"/>
        <w:spacing w:after="0" w:before="60" w:line="276" w:lineRule="auto"/>
        <w:ind w:left="0" w:right="0" w:firstLine="0"/>
        <w:jc w:val="center"/>
        <w:rPr/>
      </w:pPr>
      <w:r w:rsidDel="00000000" w:rsidR="00000000" w:rsidRPr="00000000">
        <w:rPr>
          <w:rFonts w:ascii="Times New Roman" w:cs="Times New Roman" w:eastAsia="Times New Roman" w:hAnsi="Times New Roman"/>
          <w:b w:val="1"/>
          <w:bCs w:val="1"/>
          <w:color w:val="000000"/>
          <w:sz w:val="28"/>
          <w:szCs w:val="28"/>
          <w:rtl w:val="0"/>
        </w:rPr>
        <w:t xml:space="preserve">TRƯỜNG ĐẠI HỌC SÀI GÒN</w:t>
      </w:r>
      <w:r w:rsidDel="00000000" w:rsidR="00000000" w:rsidRPr="00000000">
        <w:rPr>
          <w:rtl w:val="0"/>
        </w:rPr>
      </w:r>
    </w:p>
    <w:p w:rsidR="00000000" w:rsidDel="00000000" w:rsidP="00000000" w:rsidRDefault="00000000" w:rsidRPr="00000000" w14:paraId="00000003">
      <w:pPr>
        <w:widowControl w:val="1"/>
        <w:spacing w:after="0" w:before="60" w:line="276" w:lineRule="auto"/>
        <w:ind w:left="0" w:right="0" w:firstLine="0"/>
        <w:jc w:val="center"/>
        <w:rPr/>
      </w:pPr>
      <w:r w:rsidDel="00000000" w:rsidR="00000000" w:rsidRPr="00000000">
        <w:rPr>
          <w:rFonts w:ascii="Times New Roman" w:cs="Times New Roman" w:eastAsia="Times New Roman" w:hAnsi="Times New Roman"/>
          <w:b w:val="1"/>
          <w:bCs w:val="1"/>
          <w:color w:val="000000"/>
          <w:sz w:val="28"/>
          <w:szCs w:val="28"/>
          <w:rtl w:val="0"/>
        </w:rPr>
        <w:t xml:space="preserve">KHOA CÔNG NGHỆ THÔNG TIN</w:t>
      </w:r>
      <w:r w:rsidDel="00000000" w:rsidR="00000000" w:rsidRPr="00000000">
        <w:rPr>
          <w:rtl w:val="0"/>
        </w:rPr>
      </w:r>
    </w:p>
    <w:p w:rsidR="00000000" w:rsidDel="00000000" w:rsidP="00000000" w:rsidRDefault="00000000" w:rsidRPr="00000000" w14:paraId="00000004">
      <w:pPr>
        <w:widowControl w:val="1"/>
        <w:spacing w:after="0" w:before="1360" w:line="276" w:lineRule="auto"/>
        <w:ind w:left="0" w:right="0" w:firstLine="0"/>
        <w:jc w:val="center"/>
        <w:rPr/>
      </w:pPr>
      <w:r w:rsidDel="00000000" w:rsidR="00000000" w:rsidRPr="00000000">
        <w:rPr>
          <w:rFonts w:ascii="Times New Roman" w:cs="Times New Roman" w:eastAsia="Times New Roman" w:hAnsi="Times New Roman"/>
          <w:b w:val="1"/>
          <w:bCs w:val="1"/>
          <w:color w:val="000000"/>
          <w:sz w:val="28"/>
          <w:szCs w:val="28"/>
          <w:rtl w:val="0"/>
        </w:rPr>
        <w:t xml:space="preserve">LÊ HOÀNG SƠN – 3123560077</w:t>
      </w:r>
      <w:r w:rsidDel="00000000" w:rsidR="00000000" w:rsidRPr="00000000">
        <w:rPr>
          <w:rtl w:val="0"/>
        </w:rPr>
      </w:r>
    </w:p>
    <w:p w:rsidR="00000000" w:rsidDel="00000000" w:rsidP="00000000" w:rsidRDefault="00000000" w:rsidRPr="00000000" w14:paraId="00000005">
      <w:pPr>
        <w:widowControl w:val="1"/>
        <w:spacing w:after="0" w:before="120" w:line="276" w:lineRule="auto"/>
        <w:ind w:left="0" w:right="0" w:firstLine="0"/>
        <w:jc w:val="center"/>
        <w:rPr/>
      </w:pPr>
      <w:r w:rsidDel="00000000" w:rsidR="00000000" w:rsidRPr="00000000">
        <w:rPr>
          <w:rFonts w:ascii="Times New Roman" w:cs="Times New Roman" w:eastAsia="Times New Roman" w:hAnsi="Times New Roman"/>
          <w:b w:val="1"/>
          <w:bCs w:val="1"/>
          <w:color w:val="000000"/>
          <w:sz w:val="28"/>
          <w:szCs w:val="28"/>
          <w:rtl w:val="0"/>
        </w:rPr>
        <w:t xml:space="preserve">PHẠM THIÊN PHÚC – 3123410282</w:t>
      </w:r>
      <w:r w:rsidDel="00000000" w:rsidR="00000000" w:rsidRPr="00000000">
        <w:rPr>
          <w:rtl w:val="0"/>
        </w:rPr>
      </w:r>
    </w:p>
    <w:p w:rsidR="00000000" w:rsidDel="00000000" w:rsidP="00000000" w:rsidRDefault="00000000" w:rsidRPr="00000000" w14:paraId="00000006">
      <w:pPr>
        <w:pStyle w:val="Title"/>
        <w:widowControl w:val="1"/>
        <w:spacing w:after="0" w:before="1240" w:line="288" w:lineRule="auto"/>
        <w:ind w:left="0" w:right="0" w:firstLine="0"/>
        <w:jc w:val="center"/>
        <w:rPr/>
      </w:pPr>
      <w:r w:rsidDel="00000000" w:rsidR="00000000" w:rsidRPr="00000000">
        <w:rPr>
          <w:rFonts w:ascii="Times New Roman" w:cs="Times New Roman" w:eastAsia="Times New Roman" w:hAnsi="Times New Roman"/>
          <w:b w:val="1"/>
          <w:bCs w:val="1"/>
          <w:color w:val="000000"/>
          <w:sz w:val="34"/>
          <w:szCs w:val="34"/>
          <w:rtl w:val="0"/>
        </w:rPr>
        <w:t xml:space="preserve">TỐI ƯU ĐA MỤC TIÊU XGBOOST</w:t>
        <w:br w:type="textWrapping"/>
        <w:t xml:space="preserve">THEO HIỆU NĂNG DỰ ĐOÁN</w:t>
        <w:br w:type="textWrapping"/>
        <w:t xml:space="preserve">VÀ ĐỘ ỔN ĐỊNH </w:t>
      </w:r>
      <w:r w:rsidDel="00000000" w:rsidR="00000000" w:rsidRPr="00000000">
        <w:rPr>
          <w:rFonts w:ascii="Times New Roman" w:cs="Times New Roman" w:eastAsia="Times New Roman" w:hAnsi="Times New Roman"/>
          <w:b w:val="1"/>
          <w:bCs w:val="1"/>
          <w:color w:val="000000"/>
          <w:sz w:val="34"/>
          <w:szCs w:val="34"/>
          <w:rtl w:val="0"/>
        </w:rPr>
        <w:t xml:space="preserve">SHAP</w:t>
      </w:r>
      <w:r w:rsidDel="00000000" w:rsidR="00000000" w:rsidRPr="00000000">
        <w:rPr>
          <w:rFonts w:ascii="Times New Roman" w:cs="Times New Roman" w:eastAsia="Times New Roman" w:hAnsi="Times New Roman"/>
          <w:b w:val="1"/>
          <w:bCs w:val="1"/>
          <w:color w:val="000000"/>
          <w:sz w:val="34"/>
          <w:szCs w:val="34"/>
          <w:rtl w:val="0"/>
        </w:rPr>
        <w:t xml:space="preserve"> TRONG</w:t>
        <w:br w:type="textWrapping"/>
        <w:t xml:space="preserve">ĐÁNH GIÁ RỦI RO TÍN DỤNG</w:t>
      </w:r>
      <w:r w:rsidDel="00000000" w:rsidR="00000000" w:rsidRPr="00000000">
        <w:rPr>
          <w:rtl w:val="0"/>
        </w:rPr>
      </w:r>
    </w:p>
    <w:p w:rsidR="00000000" w:rsidDel="00000000" w:rsidP="00000000" w:rsidRDefault="00000000" w:rsidRPr="00000000" w14:paraId="00000007">
      <w:pPr>
        <w:widowControl w:val="1"/>
        <w:spacing w:after="0" w:before="840" w:line="276" w:lineRule="auto"/>
        <w:ind w:left="0" w:right="0" w:firstLine="0"/>
        <w:jc w:val="center"/>
        <w:rPr/>
      </w:pPr>
      <w:r w:rsidDel="00000000" w:rsidR="00000000" w:rsidRPr="00000000">
        <w:rPr>
          <w:rFonts w:ascii="Times New Roman" w:cs="Times New Roman" w:eastAsia="Times New Roman" w:hAnsi="Times New Roman"/>
          <w:b w:val="1"/>
          <w:bCs w:val="1"/>
          <w:color w:val="000000"/>
          <w:sz w:val="28"/>
          <w:szCs w:val="28"/>
          <w:rtl w:val="0"/>
        </w:rPr>
        <w:t xml:space="preserve">ĐỒ ÁN CHUYÊN NGÀNH</w:t>
      </w:r>
      <w:r w:rsidDel="00000000" w:rsidR="00000000" w:rsidRPr="00000000">
        <w:rPr>
          <w:rtl w:val="0"/>
        </w:rPr>
      </w:r>
    </w:p>
    <w:p w:rsidR="00000000" w:rsidDel="00000000" w:rsidP="00000000" w:rsidRDefault="00000000" w:rsidRPr="00000000" w14:paraId="00000008">
      <w:pPr>
        <w:widowControl w:val="1"/>
        <w:spacing w:after="0" w:before="160" w:line="276" w:lineRule="auto"/>
        <w:ind w:left="0" w:right="0" w:firstLine="0"/>
        <w:jc w:val="center"/>
        <w:rPr/>
      </w:pPr>
      <w:r w:rsidDel="00000000" w:rsidR="00000000" w:rsidRPr="00000000">
        <w:rPr>
          <w:rFonts w:ascii="Times New Roman" w:cs="Times New Roman" w:eastAsia="Times New Roman" w:hAnsi="Times New Roman"/>
          <w:color w:val="000000"/>
          <w:sz w:val="28"/>
          <w:szCs w:val="28"/>
          <w:rtl w:val="0"/>
        </w:rPr>
        <w:t xml:space="preserve">NGÀNH KỸ THUẬT PHẦN MỀM</w:t>
      </w:r>
      <w:r w:rsidDel="00000000" w:rsidR="00000000" w:rsidRPr="00000000">
        <w:rPr>
          <w:rtl w:val="0"/>
        </w:rPr>
      </w:r>
    </w:p>
    <w:p w:rsidR="00000000" w:rsidDel="00000000" w:rsidP="00000000" w:rsidRDefault="00000000" w:rsidRPr="00000000" w14:paraId="00000009">
      <w:pPr>
        <w:widowControl w:val="1"/>
        <w:spacing w:after="0" w:before="4200" w:line="276" w:lineRule="auto"/>
        <w:ind w:left="0" w:right="0" w:firstLine="0"/>
        <w:jc w:val="center"/>
        <w:rPr/>
        <w:sectPr>
          <w:pgSz w:h="16838" w:w="11906" w:orient="portrait"/>
          <w:pgMar w:bottom="1701" w:top="1701" w:left="1984" w:right="1134" w:header="850" w:footer="850"/>
          <w:pgNumType w:start="1"/>
        </w:sectPr>
      </w:pPr>
      <w:r w:rsidDel="00000000" w:rsidR="00000000" w:rsidRPr="00000000">
        <w:rPr>
          <w:rFonts w:ascii="Times New Roman" w:cs="Times New Roman" w:eastAsia="Times New Roman" w:hAnsi="Times New Roman"/>
          <w:b w:val="1"/>
          <w:bCs w:val="1"/>
          <w:color w:val="000000"/>
          <w:sz w:val="28"/>
          <w:szCs w:val="28"/>
          <w:rtl w:val="0"/>
        </w:rPr>
        <w:t xml:space="preserve">Thành phố Hồ Chí Minh, năm 2026</w:t>
      </w:r>
      <w:r w:rsidDel="00000000" w:rsidR="00000000" w:rsidRPr="00000000">
        <w:rPr>
          <w:rtl w:val="0"/>
        </w:rPr>
      </w:r>
    </w:p>
    <w:p w:rsidR="00000000" w:rsidDel="00000000" w:rsidP="00000000" w:rsidRDefault="00000000" w:rsidRPr="00000000" w14:paraId="0000000A">
      <w:pPr>
        <w:widowControl w:val="1"/>
        <w:spacing w:after="0" w:before="0" w:line="276" w:lineRule="auto"/>
        <w:ind w:left="0" w:right="0" w:firstLine="0"/>
        <w:jc w:val="center"/>
        <w:rPr/>
      </w:pPr>
      <w:r w:rsidDel="00000000" w:rsidR="00000000" w:rsidRPr="00000000">
        <w:rPr>
          <w:b w:val="1"/>
          <w:bCs w:val="1"/>
        </w:rPr>
        <mc:AlternateContent>
          <mc:Choice Requires="wpg">
            <w:drawing>
              <wp:anchor allowOverlap="1" behindDoc="1" distB="114300" distT="114300" distL="114300" distR="114300" hidden="0" layoutInCell="1" locked="0" relativeHeight="0" simplePos="0">
                <wp:simplePos x="0" y="0"/>
                <wp:positionH relativeFrom="page">
                  <wp:posOffset>1231604</wp:posOffset>
                </wp:positionH>
                <wp:positionV relativeFrom="page">
                  <wp:posOffset>738995</wp:posOffset>
                </wp:positionV>
                <wp:extent cx="5842000" cy="8991600"/>
                <wp:effectExtent b="0" l="0" r="0" t="0"/>
                <wp:wrapNone/>
                <wp:docPr id="1" name=""/>
                <a:graphic>
                  <a:graphicData uri="http://schemas.microsoft.com/office/word/2010/wordprocessingShape">
                    <wps:wsp>
                      <wps:cNvSpPr/>
                      <wps:cNvPr id="2" name="Shape 2"/>
                      <wps:spPr>
                        <a:xfrm>
                          <a:off x="3289075" y="782650"/>
                          <a:ext cx="3893400" cy="60036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1231604</wp:posOffset>
                </wp:positionH>
                <wp:positionV relativeFrom="page">
                  <wp:posOffset>738995</wp:posOffset>
                </wp:positionV>
                <wp:extent cx="5842000" cy="8991600"/>
                <wp:effectExtent b="0" l="0" r="0" t="0"/>
                <wp:wrapNone/>
                <wp:docPr id="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842000" cy="89916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bCs w:val="1"/>
          <w:color w:val="000000"/>
          <w:sz w:val="26"/>
          <w:szCs w:val="26"/>
          <w:rtl w:val="0"/>
        </w:rPr>
        <w:t xml:space="preserve">ỦY BAN NHÂN DÂN THÀNH PHỐ HỒ CHÍ MINH</w:t>
      </w:r>
      <w:r w:rsidDel="00000000" w:rsidR="00000000" w:rsidRPr="00000000">
        <w:rPr>
          <w:rtl w:val="0"/>
        </w:rPr>
      </w:r>
    </w:p>
    <w:p w:rsidR="00000000" w:rsidDel="00000000" w:rsidP="00000000" w:rsidRDefault="00000000" w:rsidRPr="00000000" w14:paraId="0000000B">
      <w:pPr>
        <w:widowControl w:val="1"/>
        <w:spacing w:after="0" w:before="60" w:line="276" w:lineRule="auto"/>
        <w:ind w:left="0" w:right="0" w:firstLine="0"/>
        <w:jc w:val="center"/>
        <w:rPr/>
      </w:pPr>
      <w:r w:rsidDel="00000000" w:rsidR="00000000" w:rsidRPr="00000000">
        <w:rPr>
          <w:rFonts w:ascii="Times New Roman" w:cs="Times New Roman" w:eastAsia="Times New Roman" w:hAnsi="Times New Roman"/>
          <w:b w:val="1"/>
          <w:bCs w:val="1"/>
          <w:color w:val="000000"/>
          <w:sz w:val="28"/>
          <w:szCs w:val="28"/>
          <w:rtl w:val="0"/>
        </w:rPr>
        <w:t xml:space="preserve">TRƯỜNG ĐẠI HỌC SÀI GÒN</w:t>
      </w:r>
      <w:r w:rsidDel="00000000" w:rsidR="00000000" w:rsidRPr="00000000">
        <w:rPr>
          <w:rtl w:val="0"/>
        </w:rPr>
      </w:r>
    </w:p>
    <w:p w:rsidR="00000000" w:rsidDel="00000000" w:rsidP="00000000" w:rsidRDefault="00000000" w:rsidRPr="00000000" w14:paraId="0000000C">
      <w:pPr>
        <w:widowControl w:val="1"/>
        <w:spacing w:after="0" w:before="60" w:line="276" w:lineRule="auto"/>
        <w:ind w:left="0" w:right="0" w:firstLine="0"/>
        <w:jc w:val="center"/>
        <w:rPr/>
      </w:pPr>
      <w:r w:rsidDel="00000000" w:rsidR="00000000" w:rsidRPr="00000000">
        <w:rPr>
          <w:rFonts w:ascii="Times New Roman" w:cs="Times New Roman" w:eastAsia="Times New Roman" w:hAnsi="Times New Roman"/>
          <w:b w:val="1"/>
          <w:bCs w:val="1"/>
          <w:color w:val="000000"/>
          <w:sz w:val="28"/>
          <w:szCs w:val="28"/>
          <w:rtl w:val="0"/>
        </w:rPr>
        <w:t xml:space="preserve">KHOA CÔNG NGHỆ THÔNG TIN</w:t>
      </w:r>
      <w:r w:rsidDel="00000000" w:rsidR="00000000" w:rsidRPr="00000000">
        <w:rPr>
          <w:rtl w:val="0"/>
        </w:rPr>
      </w:r>
    </w:p>
    <w:p w:rsidR="00000000" w:rsidDel="00000000" w:rsidP="00000000" w:rsidRDefault="00000000" w:rsidRPr="00000000" w14:paraId="0000000D">
      <w:pPr>
        <w:widowControl w:val="1"/>
        <w:spacing w:after="0" w:before="1360" w:line="276" w:lineRule="auto"/>
        <w:ind w:left="0" w:right="0" w:firstLine="0"/>
        <w:jc w:val="center"/>
        <w:rPr/>
      </w:pPr>
      <w:r w:rsidDel="00000000" w:rsidR="00000000" w:rsidRPr="00000000">
        <w:rPr>
          <w:rFonts w:ascii="Times New Roman" w:cs="Times New Roman" w:eastAsia="Times New Roman" w:hAnsi="Times New Roman"/>
          <w:b w:val="1"/>
          <w:bCs w:val="1"/>
          <w:color w:val="000000"/>
          <w:sz w:val="28"/>
          <w:szCs w:val="28"/>
          <w:rtl w:val="0"/>
        </w:rPr>
        <w:t xml:space="preserve">LÊ HOÀNG SƠN – 3123560077</w:t>
      </w:r>
      <w:r w:rsidDel="00000000" w:rsidR="00000000" w:rsidRPr="00000000">
        <w:rPr>
          <w:rtl w:val="0"/>
        </w:rPr>
      </w:r>
    </w:p>
    <w:p w:rsidR="00000000" w:rsidDel="00000000" w:rsidP="00000000" w:rsidRDefault="00000000" w:rsidRPr="00000000" w14:paraId="0000000E">
      <w:pPr>
        <w:widowControl w:val="1"/>
        <w:spacing w:after="0" w:before="120" w:line="276" w:lineRule="auto"/>
        <w:ind w:left="0" w:right="0" w:firstLine="0"/>
        <w:jc w:val="center"/>
        <w:rPr/>
      </w:pPr>
      <w:r w:rsidDel="00000000" w:rsidR="00000000" w:rsidRPr="00000000">
        <w:rPr>
          <w:rFonts w:ascii="Times New Roman" w:cs="Times New Roman" w:eastAsia="Times New Roman" w:hAnsi="Times New Roman"/>
          <w:b w:val="1"/>
          <w:bCs w:val="1"/>
          <w:color w:val="000000"/>
          <w:sz w:val="28"/>
          <w:szCs w:val="28"/>
          <w:rtl w:val="0"/>
        </w:rPr>
        <w:t xml:space="preserve">PHẠM THIÊN PHÚC – 3123410282</w:t>
      </w:r>
      <w:r w:rsidDel="00000000" w:rsidR="00000000" w:rsidRPr="00000000">
        <w:rPr>
          <w:rtl w:val="0"/>
        </w:rPr>
      </w:r>
    </w:p>
    <w:p w:rsidR="00000000" w:rsidDel="00000000" w:rsidP="00000000" w:rsidRDefault="00000000" w:rsidRPr="00000000" w14:paraId="0000000F">
      <w:pPr>
        <w:pStyle w:val="Title"/>
        <w:widowControl w:val="1"/>
        <w:spacing w:after="0" w:before="1240" w:line="288" w:lineRule="auto"/>
        <w:ind w:left="0" w:right="0" w:firstLine="0"/>
        <w:jc w:val="center"/>
        <w:rPr/>
      </w:pPr>
      <w:r w:rsidDel="00000000" w:rsidR="00000000" w:rsidRPr="00000000">
        <w:rPr>
          <w:rFonts w:ascii="Times New Roman" w:cs="Times New Roman" w:eastAsia="Times New Roman" w:hAnsi="Times New Roman"/>
          <w:b w:val="1"/>
          <w:bCs w:val="1"/>
          <w:color w:val="000000"/>
          <w:sz w:val="34"/>
          <w:szCs w:val="34"/>
          <w:rtl w:val="0"/>
        </w:rPr>
        <w:t xml:space="preserve">TỐI ƯU ĐA MỤC TIÊU XGBOOST</w:t>
        <w:br w:type="textWrapping"/>
        <w:t xml:space="preserve">THEO HIỆU NĂNG DỰ ĐOÁN</w:t>
        <w:br w:type="textWrapping"/>
        <w:t xml:space="preserve">VÀ ĐỘ ỔN ĐỊNH </w:t>
      </w:r>
      <w:r w:rsidDel="00000000" w:rsidR="00000000" w:rsidRPr="00000000">
        <w:rPr>
          <w:rFonts w:ascii="Times New Roman" w:cs="Times New Roman" w:eastAsia="Times New Roman" w:hAnsi="Times New Roman"/>
          <w:b w:val="1"/>
          <w:bCs w:val="1"/>
          <w:color w:val="000000"/>
          <w:sz w:val="34"/>
          <w:szCs w:val="34"/>
          <w:rtl w:val="0"/>
        </w:rPr>
        <w:t xml:space="preserve">SHAP</w:t>
      </w:r>
      <w:r w:rsidDel="00000000" w:rsidR="00000000" w:rsidRPr="00000000">
        <w:rPr>
          <w:rFonts w:ascii="Times New Roman" w:cs="Times New Roman" w:eastAsia="Times New Roman" w:hAnsi="Times New Roman"/>
          <w:b w:val="1"/>
          <w:bCs w:val="1"/>
          <w:color w:val="000000"/>
          <w:sz w:val="34"/>
          <w:szCs w:val="34"/>
          <w:rtl w:val="0"/>
        </w:rPr>
        <w:t xml:space="preserve"> TRONG</w:t>
        <w:br w:type="textWrapping"/>
        <w:t xml:space="preserve">ĐÁNH GIÁ RỦI RO TÍN DỤNG</w:t>
      </w:r>
      <w:r w:rsidDel="00000000" w:rsidR="00000000" w:rsidRPr="00000000">
        <w:rPr>
          <w:rtl w:val="0"/>
        </w:rPr>
      </w:r>
    </w:p>
    <w:p w:rsidR="00000000" w:rsidDel="00000000" w:rsidP="00000000" w:rsidRDefault="00000000" w:rsidRPr="00000000" w14:paraId="00000010">
      <w:pPr>
        <w:widowControl w:val="1"/>
        <w:spacing w:after="0" w:before="840" w:line="276" w:lineRule="auto"/>
        <w:ind w:left="0" w:right="0" w:firstLine="0"/>
        <w:jc w:val="center"/>
        <w:rPr/>
      </w:pPr>
      <w:r w:rsidDel="00000000" w:rsidR="00000000" w:rsidRPr="00000000">
        <w:rPr>
          <w:rFonts w:ascii="Times New Roman" w:cs="Times New Roman" w:eastAsia="Times New Roman" w:hAnsi="Times New Roman"/>
          <w:b w:val="1"/>
          <w:bCs w:val="1"/>
          <w:color w:val="000000"/>
          <w:sz w:val="28"/>
          <w:szCs w:val="28"/>
          <w:rtl w:val="0"/>
        </w:rPr>
        <w:t xml:space="preserve">ĐỒ ÁN CHUYÊN NGÀNH</w:t>
      </w:r>
      <w:r w:rsidDel="00000000" w:rsidR="00000000" w:rsidRPr="00000000">
        <w:rPr>
          <w:rtl w:val="0"/>
        </w:rPr>
      </w:r>
    </w:p>
    <w:p w:rsidR="00000000" w:rsidDel="00000000" w:rsidP="00000000" w:rsidRDefault="00000000" w:rsidRPr="00000000" w14:paraId="00000011">
      <w:pPr>
        <w:widowControl w:val="1"/>
        <w:spacing w:after="0" w:before="160" w:line="276" w:lineRule="auto"/>
        <w:ind w:left="0" w:right="0" w:firstLine="0"/>
        <w:jc w:val="center"/>
        <w:rPr/>
      </w:pPr>
      <w:r w:rsidDel="00000000" w:rsidR="00000000" w:rsidRPr="00000000">
        <w:rPr>
          <w:rFonts w:ascii="Times New Roman" w:cs="Times New Roman" w:eastAsia="Times New Roman" w:hAnsi="Times New Roman"/>
          <w:color w:val="000000"/>
          <w:sz w:val="28"/>
          <w:szCs w:val="28"/>
          <w:rtl w:val="0"/>
        </w:rPr>
        <w:t xml:space="preserve">NGÀNH KỸ THUẬT PHẦN MỀM</w:t>
      </w:r>
      <w:r w:rsidDel="00000000" w:rsidR="00000000" w:rsidRPr="00000000">
        <w:rPr>
          <w:rtl w:val="0"/>
        </w:rPr>
      </w:r>
    </w:p>
    <w:p w:rsidR="00000000" w:rsidDel="00000000" w:rsidP="00000000" w:rsidRDefault="00000000" w:rsidRPr="00000000" w14:paraId="00000012">
      <w:pPr>
        <w:widowControl w:val="1"/>
        <w:spacing w:after="0" w:before="600" w:line="276" w:lineRule="auto"/>
        <w:ind w:left="0" w:right="0" w:firstLine="0"/>
        <w:jc w:val="center"/>
        <w:rPr/>
      </w:pPr>
      <w:r w:rsidDel="00000000" w:rsidR="00000000" w:rsidRPr="00000000">
        <w:rPr>
          <w:rFonts w:ascii="Times New Roman" w:cs="Times New Roman" w:eastAsia="Times New Roman" w:hAnsi="Times New Roman"/>
          <w:b w:val="1"/>
          <w:bCs w:val="1"/>
          <w:color w:val="000000"/>
          <w:sz w:val="28"/>
          <w:szCs w:val="28"/>
          <w:rtl w:val="0"/>
        </w:rPr>
        <w:t xml:space="preserve">GIẢNG VIÊN HƯỚNG DẪN</w:t>
      </w:r>
      <w:r w:rsidDel="00000000" w:rsidR="00000000" w:rsidRPr="00000000">
        <w:rPr>
          <w:rtl w:val="0"/>
        </w:rPr>
      </w:r>
    </w:p>
    <w:p w:rsidR="00000000" w:rsidDel="00000000" w:rsidP="00000000" w:rsidRDefault="00000000" w:rsidRPr="00000000" w14:paraId="00000013">
      <w:pPr>
        <w:widowControl w:val="1"/>
        <w:spacing w:after="0" w:before="120" w:line="276" w:lineRule="auto"/>
        <w:ind w:left="0" w:right="0" w:firstLine="0"/>
        <w:jc w:val="center"/>
        <w:rPr/>
      </w:pPr>
      <w:r w:rsidDel="00000000" w:rsidR="00000000" w:rsidRPr="00000000">
        <w:rPr>
          <w:rFonts w:ascii="Times New Roman" w:cs="Times New Roman" w:eastAsia="Times New Roman" w:hAnsi="Times New Roman"/>
          <w:b w:val="1"/>
          <w:bCs w:val="1"/>
          <w:color w:val="000000"/>
          <w:sz w:val="28"/>
          <w:szCs w:val="28"/>
          <w:rtl w:val="0"/>
        </w:rPr>
        <w:t xml:space="preserve">PHAN TẤN QUỐC</w:t>
      </w:r>
      <w:r w:rsidDel="00000000" w:rsidR="00000000" w:rsidRPr="00000000">
        <w:rPr>
          <w:rtl w:val="0"/>
        </w:rPr>
      </w:r>
    </w:p>
    <w:p w:rsidR="00000000" w:rsidDel="00000000" w:rsidP="00000000" w:rsidRDefault="00000000" w:rsidRPr="00000000" w14:paraId="00000014">
      <w:pPr>
        <w:widowControl w:val="1"/>
        <w:spacing w:after="0" w:before="2800" w:line="276" w:lineRule="auto"/>
        <w:ind w:left="0" w:right="0" w:firstLine="0"/>
        <w:jc w:val="center"/>
        <w:rPr/>
        <w:sectPr>
          <w:type w:val="nextPage"/>
          <w:pgSz w:h="16838" w:w="11906" w:orient="portrait"/>
          <w:pgMar w:bottom="1701" w:top="1701" w:left="1984" w:right="1134" w:header="850" w:footer="850"/>
        </w:sectPr>
      </w:pPr>
      <w:r w:rsidDel="00000000" w:rsidR="00000000" w:rsidRPr="00000000">
        <w:rPr>
          <w:rFonts w:ascii="Times New Roman" w:cs="Times New Roman" w:eastAsia="Times New Roman" w:hAnsi="Times New Roman"/>
          <w:b w:val="1"/>
          <w:bCs w:val="1"/>
          <w:color w:val="000000"/>
          <w:sz w:val="28"/>
          <w:szCs w:val="28"/>
          <w:rtl w:val="0"/>
        </w:rPr>
        <w:t xml:space="preserve">Thành phố Hồ Chí Minh, năm 2026</w:t>
      </w:r>
      <w:r w:rsidDel="00000000" w:rsidR="00000000" w:rsidRPr="00000000">
        <w:rPr>
          <w:rtl w:val="0"/>
        </w:rPr>
      </w:r>
    </w:p>
    <w:p w:rsidR="00000000" w:rsidDel="00000000" w:rsidP="00000000" w:rsidRDefault="00000000" w:rsidRPr="00000000" w14:paraId="00000015">
      <w:pPr>
        <w:pStyle w:val="Title"/>
        <w:keepNext w:val="1"/>
        <w:widowControl w:val="1"/>
        <w:spacing w:after="320" w:before="0" w:line="360" w:lineRule="auto"/>
        <w:ind w:left="0" w:right="0" w:firstLine="0"/>
        <w:jc w:val="center"/>
        <w:rPr/>
      </w:pPr>
      <w:r w:rsidDel="00000000" w:rsidR="00000000" w:rsidRPr="00000000">
        <w:rPr>
          <w:rFonts w:ascii="Times New Roman" w:cs="Times New Roman" w:eastAsia="Times New Roman" w:hAnsi="Times New Roman"/>
          <w:b w:val="1"/>
          <w:bCs w:val="1"/>
          <w:color w:val="000000"/>
          <w:sz w:val="30"/>
          <w:szCs w:val="30"/>
          <w:rtl w:val="0"/>
        </w:rPr>
        <w:t xml:space="preserve">MỞ ĐẦU</w:t>
      </w:r>
      <w:r w:rsidDel="00000000" w:rsidR="00000000" w:rsidRPr="00000000">
        <w:rPr>
          <w:rtl w:val="0"/>
        </w:rPr>
      </w:r>
    </w:p>
    <w:p w:rsidR="00000000" w:rsidDel="00000000" w:rsidP="00000000" w:rsidRDefault="00000000" w:rsidRPr="00000000" w14:paraId="00000016">
      <w:pPr>
        <w:pStyle w:val="Heading1"/>
        <w:keepNext w:val="1"/>
        <w:widowControl w:val="1"/>
        <w:spacing w:after="120" w:before="200" w:line="360" w:lineRule="auto"/>
        <w:ind w:left="0" w:right="0" w:firstLine="0"/>
        <w:jc w:val="left"/>
        <w:rPr/>
      </w:pPr>
      <w:r w:rsidDel="00000000" w:rsidR="00000000" w:rsidRPr="00000000">
        <w:rPr>
          <w:rFonts w:ascii="Times New Roman" w:cs="Times New Roman" w:eastAsia="Times New Roman" w:hAnsi="Times New Roman"/>
          <w:b w:val="1"/>
          <w:bCs w:val="1"/>
          <w:color w:val="000000"/>
          <w:sz w:val="28"/>
          <w:szCs w:val="28"/>
          <w:rtl w:val="0"/>
        </w:rPr>
        <w:t xml:space="preserve">1. Lý do chọn đề tài</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đoán rủi ro tín dụng cá nhân cung cấp thông tin hỗ trợ đánh giá khả năng khách hàng thực hiện nghĩa vụ thanh toán. Trong bài toán này, mô hình học máy sử dụng các đặc trưng về hạn mức tín dụng, lịch sử trả nợ, dư nợ và thông tin khách hàng để ước lượng rủi ro. Chất lượng dự đoán cần được xem xét cùng với khả năng giải thích các yếu tố ảnh hưởng đến kết quả, qua đó giúp người sử dụng hiểu và kiểm tra hành vi của mô hình.</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lựa chọn XGBoost làm đối tượng nghiên cứu vì mô hình có khả năng biểu diễn quan hệ phi tuyến và tương tác giữa các đặc trưng trên dữ liệu dạng bảng. Hiệu quả của XGBoost phụ thuộc vào cấu hình siêu tham số. Việc thay đổi độ sâu cây, tốc độ học hoặc tỷ lệ lấy mẫu có thể làm thay đổi cả khả năng phân biệt khách hàng rủi ro và mức độ quan trọng của các đặc trưng.</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sử dụng để lượng hóa đóng góp của đặc trưng vào dự đoán. Tuy nhiên, một cấu hình có ROC-AUC cao chưa chắc duy trì được thứ hạng quan trọng của các đặc trưng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nhiều lần huấn luyện. Sự biến động này đặt ra câu hỏi về việc lựa chọn mô hình khi cần đồng thời quan tâm đến chất lượng dự đoán và tính nhất quán của giải thích.</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vấn đề trên, nhóm thực hiện đề tài “Tối ưu đa mục tiêu XGBoost theo hiệu năng dự đoán và độ ổn định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đánh giá rủi ro tín dụng”. Đề tài khảo sát việc đưa độ ổn định thứ hạng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vào quá trình tối ưu siêu tham số, nhằm tìm các cấu hình có sự cân bằng phù hợp giữa hai tiêu chí.</w:t>
      </w:r>
    </w:p>
    <w:p w:rsidR="00000000" w:rsidDel="00000000" w:rsidP="00000000" w:rsidRDefault="00000000" w:rsidRPr="00000000" w14:paraId="0000001B">
      <w:pPr>
        <w:pStyle w:val="Heading1"/>
        <w:keepNext w:val="1"/>
        <w:widowControl w:val="1"/>
        <w:spacing w:after="120" w:before="200" w:line="360" w:lineRule="auto"/>
        <w:ind w:left="0" w:right="0" w:firstLine="0"/>
        <w:jc w:val="left"/>
        <w:rPr/>
      </w:pPr>
      <w:r w:rsidDel="00000000" w:rsidR="00000000" w:rsidRPr="00000000">
        <w:rPr>
          <w:rFonts w:ascii="Times New Roman" w:cs="Times New Roman" w:eastAsia="Times New Roman" w:hAnsi="Times New Roman"/>
          <w:b w:val="1"/>
          <w:bCs w:val="1"/>
          <w:color w:val="000000"/>
          <w:sz w:val="28"/>
          <w:szCs w:val="28"/>
          <w:rtl w:val="0"/>
        </w:rPr>
        <w:t xml:space="preserve">2. Tổng quan hướng nghiên cứu</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khảo sát của đồ án kết nối ba hướng nghiên cứu: dự đoán rủi ro tín dụng bằng học máy, giải thích mô hình bằng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tối ưu đa mục tiêu siêu tham số. Chương 1 trình bày các phương pháp Logistic Regression, Random Forest, Gradient Boosting, XGBoost, LightGBM và CatBoost để làm cơ sở thiết lập nhóm mô hình đối chứng.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giải thích mô hình, đề tài tập trung vào độ ổn định của thứ hạng quan trọng đặc trưng khi huấn luyện lại XGBoost. Đại lượng này được phân biệt với tính nhất quán theo định nghĩa của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với độ nhạy của lời giải thích khi thay đổi đầu vào. Trên cơ sở tổng quan các công trình liên quan trong Chương 1, đồ án khảo sát cách đưa độ ổn định thứ hạng thành một mục tiêu của quá trình lựa chọn cấu hình.</w:t>
      </w:r>
    </w:p>
    <w:p w:rsidR="00000000" w:rsidDel="00000000" w:rsidP="00000000" w:rsidRDefault="00000000" w:rsidRPr="00000000" w14:paraId="0000001E">
      <w:pPr>
        <w:pStyle w:val="Heading1"/>
        <w:keepNext w:val="1"/>
        <w:widowControl w:val="1"/>
        <w:spacing w:after="120" w:before="200" w:line="360" w:lineRule="auto"/>
        <w:ind w:left="0" w:right="0" w:firstLine="0"/>
        <w:jc w:val="left"/>
        <w:rPr/>
      </w:pPr>
      <w:r w:rsidDel="00000000" w:rsidR="00000000" w:rsidRPr="00000000">
        <w:rPr>
          <w:rFonts w:ascii="Times New Roman" w:cs="Times New Roman" w:eastAsia="Times New Roman" w:hAnsi="Times New Roman"/>
          <w:b w:val="1"/>
          <w:bCs w:val="1"/>
          <w:color w:val="000000"/>
          <w:sz w:val="28"/>
          <w:szCs w:val="28"/>
          <w:rtl w:val="0"/>
        </w:rPr>
        <w:t xml:space="preserve">3. Mục đích và nhiệm vụ nghiên cứu</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đích của đề tài là xây dựng và đánh giá quy trình tối ưu đa mục tiêu siêu tham số XGBoost cho dự đoán rủi ro tín dụng cá nhân. Hai mục tiêu tối ưu là ROC-AUC và độ ổn định thứ hạng quan trọng đặc trưng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Kết quả tìm kiếm được xem xét dưới dạng tập nghiệm Pareto, từ đó lựa chọn các cấu hình đại diện theo quy tắc xác định trước.</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nhiệm vụ nghiên cứu gồm khảo sát cơ sở lý thuyết và công trình liên quan; xây dựng quy trình xử lý dữ liệu và đánh giá các mô hình đối chứng; xác định cách đo độ ổn định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trên cùng tập tham chiếu; triển khai tối ưu đơn mục tiêu và đa mục tiêu cho XGBoost; phân tích tập nghiệm Pareto và đánh giá các cấu hình được lựa chọn.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Qua thực nghiệm, nhóm tìm hiểu ảnh hưởng của siêu tham số đến hai mục tiêu, kiểm tra liệu cấu hình dự đoán tốt nhất có đồng thời ổn định về giải thích hay không và đánh giá mức đánh đổi giữa chúng. Kết quả XGBoost được đối chiếu với các mô hình tham khảo trên cùng quy trình đánh giá.</w:t>
      </w:r>
    </w:p>
    <w:p w:rsidR="00000000" w:rsidDel="00000000" w:rsidP="00000000" w:rsidRDefault="00000000" w:rsidRPr="00000000" w14:paraId="00000022">
      <w:pPr>
        <w:pStyle w:val="Heading1"/>
        <w:keepNext w:val="1"/>
        <w:widowControl w:val="1"/>
        <w:spacing w:after="120" w:before="200" w:line="360" w:lineRule="auto"/>
        <w:ind w:left="0" w:right="0" w:firstLine="0"/>
        <w:jc w:val="left"/>
        <w:rPr/>
      </w:pPr>
      <w:r w:rsidDel="00000000" w:rsidR="00000000" w:rsidRPr="00000000">
        <w:rPr>
          <w:rFonts w:ascii="Times New Roman" w:cs="Times New Roman" w:eastAsia="Times New Roman" w:hAnsi="Times New Roman"/>
          <w:b w:val="1"/>
          <w:bCs w:val="1"/>
          <w:color w:val="000000"/>
          <w:sz w:val="28"/>
          <w:szCs w:val="28"/>
          <w:rtl w:val="0"/>
        </w:rPr>
        <w:t xml:space="preserve">4. Đối tượng và phạm vi nghiên cứu</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tượng nghiên cứu trung tâm là quá trình lựa chọn siêu tham số XGBoost và mối quan hệ giữa hiệu năng dự đoán với độ ổn định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Logistic Regression, Random Forest, Gradient Boosting, LightGBM và CatBoost đóng vai trò đối chứng về khả năng dự đoán. Phần tối ưu đa mục tiêu được tập trung vào XGBoost.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sử dụng bộ dữ liệu Default of Credit Card Clients của UCI cho bài toán phân loại nhị phân. Phạm vi giải thích là mức độ quan trọng đặc trưng toàn cục, được tổng hợp từ giá trị SHAP trên một tập tham chiếu cố định. Độ ổn định được xem xét qua nhiều lần huấn luyện trong điều kiện kiểm soát seed và cách phân chia dữ liệu. Kết luận được giới hạn trong bộ dữ liệu và thiết kế thực nghiệm của đồ án; việc ứng dụng vào quy trình cấp tín dụng thực tế cần được đánh giá riêng.</w:t>
      </w:r>
    </w:p>
    <w:p w:rsidR="00000000" w:rsidDel="00000000" w:rsidP="00000000" w:rsidRDefault="00000000" w:rsidRPr="00000000" w14:paraId="00000025">
      <w:pPr>
        <w:pStyle w:val="Heading1"/>
        <w:keepNext w:val="1"/>
        <w:widowControl w:val="1"/>
        <w:spacing w:after="120" w:before="200" w:line="360" w:lineRule="auto"/>
        <w:ind w:left="0" w:right="0" w:firstLine="0"/>
        <w:jc w:val="left"/>
        <w:rPr/>
      </w:pPr>
      <w:r w:rsidDel="00000000" w:rsidR="00000000" w:rsidRPr="00000000">
        <w:rPr>
          <w:rFonts w:ascii="Times New Roman" w:cs="Times New Roman" w:eastAsia="Times New Roman" w:hAnsi="Times New Roman"/>
          <w:b w:val="1"/>
          <w:bCs w:val="1"/>
          <w:color w:val="000000"/>
          <w:sz w:val="28"/>
          <w:szCs w:val="28"/>
          <w:rtl w:val="0"/>
        </w:rPr>
        <w:t xml:space="preserve">5. Phương pháp nghiên cứu</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kết hợp khảo sát tài liệu với thực nghiệm định lượng. Khảo sát tài liệu làm rõ cơ sở của các mô hình dự đoán, tối ưu siêu tham số,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nghiệm Pareto. Thực nghiệm được tổ chức theo một quy trình chung để so sánh các mô hình và các phương án tối ưu XGBoost.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được kiểm tra chất lượng và phân bố lớp trước khi xây dựng các bước tiền xử lý. Tập kiểm tra cuối được giữ độc lập với quá trình tối ưu. Trong phần dữ liệu phát triển, nhóm xác định tập huấn luyện và đánh giá chéo cùng một tập tham chiếu riêng để tính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Những phép biến đổi cần học tham số chỉ được khớp trên dữ liệu huấn luyện tương ứng nhằm hạn chế rò rỉ thông tin.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mỗi cấu hình XGBoost, hiệu năng được đo bằng ROC-AUC trung bình qua đánh giá chéo. Độ ổn định được lượng hóa bằng mức tương quan Spearman giữa các thứ hạng quan trọng đặc trưng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qua nhiều lần huấn luyện, trên cùng tập tham chiếu. Các cấu hình được đánh giá với cùng điều kiện về seed, fold và cách tính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đảm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khả năng so sánh.</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Optuna được sử dụng để tổ chức quá trình tìm kiếm siêu tham số. Nhóm so sánh XGBoost mặc định, XGBoost tối ưu ROC-AUC và XGBoost tối ưu đồng thời ROC-AUC với độ ổn định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khi phân tích tập nghiệm Pareto và chọn cấu hình đại diện trên dữ liệu phát triển, nhóm đánh giá cuối trên tập kiểm tra. PR-AUC, Precision, Recall, F1-score và Balanced Accuracy được báo cáo bổ sung để mô tả chất lượng phân loại.</w:t>
      </w:r>
    </w:p>
    <w:p w:rsidR="00000000" w:rsidDel="00000000" w:rsidP="00000000" w:rsidRDefault="00000000" w:rsidRPr="00000000" w14:paraId="0000002A">
      <w:pPr>
        <w:pStyle w:val="Heading1"/>
        <w:keepNext w:val="1"/>
        <w:widowControl w:val="1"/>
        <w:spacing w:after="120" w:before="200" w:line="360" w:lineRule="auto"/>
        <w:ind w:left="0" w:right="0" w:firstLine="0"/>
        <w:jc w:val="left"/>
        <w:rPr/>
      </w:pPr>
      <w:r w:rsidDel="00000000" w:rsidR="00000000" w:rsidRPr="00000000">
        <w:rPr>
          <w:rFonts w:ascii="Times New Roman" w:cs="Times New Roman" w:eastAsia="Times New Roman" w:hAnsi="Times New Roman"/>
          <w:b w:val="1"/>
          <w:bCs w:val="1"/>
          <w:color w:val="000000"/>
          <w:sz w:val="28"/>
          <w:szCs w:val="28"/>
          <w:rtl w:val="0"/>
        </w:rPr>
        <w:t xml:space="preserve">6. Giả thuyết khoa học</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H1. Các cấu hình siêu tham số XGBoost tạo ra khác biệt về hiệu năng dự đoán và độ ổn định của thứ hạng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H2. Cấu hình đạt ROC-AUC cao nhất không nhất thiết có độ ổn định SHAP cao nhất.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H3. Tối ưu đa mục tiêu có thể tìm được các cấu hình cân bằng giữa ROC-AUC và độ ổn định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phù hợp hơn với yêu cầu của đề tài so với tối ưu một mục tiêu.</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H4. XGBoost sau tối ưu có khả năng dự đoán cạnh tranh với các mô hình đối chứng trên cùng dữ liệu và quy trình đánh giá.</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giả thuyết này cần được kiểm chứng bằng thực nghiệm. Kết quả đánh giá cũng cần được báo cáo nếu không cho thấy sự đánh đổi rõ rệt hoặc chưa chứng minh được lợi ích của tối ưu đa mục tiêu.</w:t>
      </w:r>
    </w:p>
    <w:p w:rsidR="00000000" w:rsidDel="00000000" w:rsidP="00000000" w:rsidRDefault="00000000" w:rsidRPr="00000000" w14:paraId="00000030">
      <w:pPr>
        <w:pStyle w:val="Heading1"/>
        <w:keepNext w:val="1"/>
        <w:widowControl w:val="1"/>
        <w:spacing w:after="120" w:before="200" w:line="360" w:lineRule="auto"/>
        <w:ind w:left="0" w:right="0" w:firstLine="0"/>
        <w:jc w:val="left"/>
        <w:rPr/>
      </w:pPr>
      <w:r w:rsidDel="00000000" w:rsidR="00000000" w:rsidRPr="00000000">
        <w:rPr>
          <w:rFonts w:ascii="Times New Roman" w:cs="Times New Roman" w:eastAsia="Times New Roman" w:hAnsi="Times New Roman"/>
          <w:b w:val="1"/>
          <w:bCs w:val="1"/>
          <w:color w:val="000000"/>
          <w:sz w:val="28"/>
          <w:szCs w:val="28"/>
          <w:rtl w:val="0"/>
        </w:rPr>
        <w:t xml:space="preserve">7. Những đóng góp dự kiến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hướng đến một quy trình thực nghiệm có thể tái lập để đánh giá XGBoost theo cả hiệu năng dự đoán và độ ổn định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Quy trình xác định rõ cách phân chia dữ liệu, tập tham chiếu, điều kiện lặp huấn luyện, hai mục tiêu tối ưu và nguyên tắc lựa chọn cấu hình.</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Trên cơ sở đó, đồ án dự kiến cung cấp kết quả so sánh giữa tối ưu đơn mục tiêu và đa mục tiêu, cùng phân tích tập nghiệm Pareto. Các kết quả này giúp xem xét mức thay đổi hiệu năng cần chấp nhận khi ưu tiên sự ổn định của thứ hạng đặc trưng. Đóng góp được xác định ở cách xây dựng và kiểm chứng quy trình thực nghiệm cho bài toán tín dụng trong phạm vi nghiên cứu.</w:t>
      </w:r>
    </w:p>
    <w:p w:rsidR="00000000" w:rsidDel="00000000" w:rsidP="00000000" w:rsidRDefault="00000000" w:rsidRPr="00000000" w14:paraId="00000033">
      <w:pPr>
        <w:pStyle w:val="Heading1"/>
        <w:keepNext w:val="1"/>
        <w:widowControl w:val="1"/>
        <w:spacing w:after="120" w:before="200" w:line="360" w:lineRule="auto"/>
        <w:ind w:left="0" w:right="0" w:firstLine="0"/>
        <w:jc w:val="left"/>
        <w:rPr/>
      </w:pPr>
      <w:r w:rsidDel="00000000" w:rsidR="00000000" w:rsidRPr="00000000">
        <w:rPr>
          <w:rFonts w:ascii="Times New Roman" w:cs="Times New Roman" w:eastAsia="Times New Roman" w:hAnsi="Times New Roman"/>
          <w:b w:val="1"/>
          <w:bCs w:val="1"/>
          <w:color w:val="000000"/>
          <w:sz w:val="28"/>
          <w:szCs w:val="28"/>
          <w:rtl w:val="0"/>
        </w:rPr>
        <w:t xml:space="preserve">8. Cấu trúc của đồ án</w:t>
      </w:r>
      <w:r w:rsidDel="00000000" w:rsidR="00000000" w:rsidRPr="00000000">
        <w:rPr>
          <w:rtl w:val="0"/>
        </w:rPr>
      </w:r>
    </w:p>
    <w:p w:rsidR="00000000" w:rsidDel="00000000" w:rsidP="00000000" w:rsidRDefault="00000000" w:rsidRPr="00000000" w14:paraId="000000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đề cương, nội dung chính của đồ án được tổ chức thành ba chương:</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trình bày tổng quan bài toán dự đoán rủi ro tín dụng, dữ liệu nghiên cứu, các mô hình đối chứng, tối ưu siêu tham số, cơ sở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những nghiên cứu liên quan. Chương này xác lập vấn đề và định hướng nghiên cứu của đề tài.</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2 trình bày phương pháp tối ưu đa mục tiêu siêu tham số XGBoost, gồm giao thức phân chia dữ liệu, cách tính hai mục tiêu, không gian tìm kiếm và quy tắc lựa chọn nghiệm Pareto đại diện.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3 trình bày thiết kế thực nghiệm, kết quả so sánh các mô hình và các phương án tối ưu XGBoost, phân tích sự đánh đổi giữa hiệu năng với độ ổn định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đồng thời thảo luận các hạn chế của nghiên cứu. Phần kết luận tổng hợp kết quả và đề xuất hướng phát triển tiếp theo.</w:t>
      </w:r>
    </w:p>
    <w:p w:rsidR="00000000" w:rsidDel="00000000" w:rsidP="00000000" w:rsidRDefault="00000000" w:rsidRPr="00000000" w14:paraId="00000038">
      <w:pPr>
        <w:pStyle w:val="Title"/>
        <w:pageBreakBefore w:val="1"/>
        <w:widowControl w:val="1"/>
        <w:jc w:val="center"/>
        <w:rPr/>
      </w:pPr>
      <w:r w:rsidDel="00000000" w:rsidR="00000000" w:rsidRPr="00000000">
        <w:rPr>
          <w:rtl w:val="0"/>
        </w:rPr>
        <w:t xml:space="preserve">CHƯƠNG 1</w:t>
        <w:br w:type="textWrapping"/>
        <w:t xml:space="preserve">TỔNG QUAN BÀI TOÁN DỰ ĐOÁN RỦI RO TÍN DỤNG</w:t>
        <w:br w:type="textWrapping"/>
        <w:t xml:space="preserve">VÀ CÁC PHƯƠNG PHÁP LIÊN QUAN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đoán rủi ro tín dụng bằng học máy đặt ra đồng thời yêu cầu về chất lượng dự đoán và khả năng hiểu hành vi của mô hình. Với các mô hình tổ hợp cây như XGBoost, một cấu hình đạt khả năng phân biệt tốt chưa đủ để kết luận rằng các đặc trưng được sử dụng để giải thích dự đoán luôn có thứ hạng nhất quán khi huấn luyện lại. Vì vậy, việc đánh giá mô hình cần xem xét cả hiệu năng dự đoán và độ ổn định của giải thích trong một quy trình thực nghiệm được kiểm soát.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này trình bày đặc điểm của bài toán rủi ro tín dụng cá nhân, dữ liệu nghiên cứu và sáu phương pháp dự đoán được xem xét trong đề tài. Tiếp đó, chương giới thiệu tối ưu siêu tham số, cơ sở của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 cách hiểu về độ ổn định giải thích và những nghiên cứu liên quan. Trên cơ sở tổng hợp tài liệu, chương xác lập hướng nghiên cứu đưa độ ổn định thứ hạng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toàn cục thành một mục tiêu của quá trình tối ưu siêu tham số XGBoost, đồng thời với ROC-AUC.</w:t>
      </w:r>
    </w:p>
    <w:bookmarkStart w:colFirst="0" w:colLast="0" w:name="e9veum55rajr" w:id="0"/>
    <w:bookmarkEnd w:id="0"/>
    <w:p w:rsidR="00000000" w:rsidDel="00000000" w:rsidP="00000000" w:rsidRDefault="00000000" w:rsidRPr="00000000" w14:paraId="0000003B">
      <w:pPr>
        <w:pStyle w:val="Heading1"/>
        <w:widowControl w:val="1"/>
        <w:spacing w:line="360" w:lineRule="auto"/>
        <w:rPr/>
      </w:pPr>
      <w:r w:rsidDel="00000000" w:rsidR="00000000" w:rsidRPr="00000000">
        <w:rPr>
          <w:rtl w:val="0"/>
        </w:rPr>
        <w:t xml:space="preserve">1.1. Bài toán dự đoán rủi ro tín dụng cá nhân</w:t>
      </w:r>
    </w:p>
    <w:bookmarkStart w:colFirst="0" w:colLast="0" w:name="1ahzjc5lwcqa" w:id="1"/>
    <w:bookmarkEnd w:id="1"/>
    <w:p w:rsidR="00000000" w:rsidDel="00000000" w:rsidP="00000000" w:rsidRDefault="00000000" w:rsidRPr="00000000" w14:paraId="0000003C">
      <w:pPr>
        <w:pStyle w:val="Heading2"/>
        <w:widowControl w:val="1"/>
        <w:spacing w:line="360" w:lineRule="auto"/>
        <w:rPr/>
      </w:pPr>
      <w:r w:rsidDel="00000000" w:rsidR="00000000" w:rsidRPr="00000000">
        <w:rPr>
          <w:rtl w:val="0"/>
        </w:rPr>
        <w:t xml:space="preserve">1.1.1. Khái niệm và ý nghĩa của bài toán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Rủi ro tín dụng cá nhân gắn với khả năng khách hàng không thực hiện nghĩa vụ thanh toán theo các điều kiện đã thỏa thuận. Trong nghiên cứu học máy, bài toán thường được cụ thể hóa bằng việc dự đoán một sự kiện tín dụng bất lợi trong một khoảng thời gian xác định, dựa trên các thông tin đã biết trước thời điểm dự báo. Credit scoring sử dụng mô hình thống kê hoặc học máy để biểu diễn mức độ rủi ro của khách hàng dưới dạng điểm số, xác suất ước lượng hoặc nhãn phân loại [1], [2].</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mục đích sử dụng, có thể phân biệt đánh giá hồ sơ xin cấp tín dụng với đánh giá hành vi của khách hàng hiện hữu. Trường hợp thứ nhất chủ yếu dựa trên thông tin có tại thời điểm xét duyệt hồ sơ. Trường hợp thứ hai có thể khai thác thêm lịch sử sử dụng tín dụng, sao kê và thanh toán. Do sử dụng lịch sử thẻ tín dụng theo tháng để dự đoán tình trạng thanh toán của kỳ tiếp theo, bài toán trong đề tài có đặc điểm của đánh giá rủi ro dựa trên hành vi [2], [3].</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dự đoán có thể hỗ trợ phân nhóm khách hàng theo mức độ rủi ro và xác định các trường hợp cần xem xét thêm. Tuy nhiên, điểm số do mô hình tạo ra phụ thuộc vào dữ liệu huấn luyện, định nghĩa nhãn và thiết kế đánh giá. Một mô hình được xây dựng trên dữ liệu công khai của một quần thể cụ thể chưa đủ cơ sở để áp dụng trực tiếp cho mọi tổ chức tín dụng. Trong phạm vi đồ án, mục tiêu là nghiên cứu và đánh giá phương pháp trên một bộ dữ liệu xác định, thay vì xây dựng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ngay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một hệ thống ra quyết định tín dụng trong thực tế.</w:t>
      </w:r>
    </w:p>
    <w:bookmarkStart w:colFirst="0" w:colLast="0" w:name="297doc3hwu7p" w:id="2"/>
    <w:bookmarkEnd w:id="2"/>
    <w:p w:rsidR="00000000" w:rsidDel="00000000" w:rsidP="00000000" w:rsidRDefault="00000000" w:rsidRPr="00000000" w14:paraId="00000040">
      <w:pPr>
        <w:pStyle w:val="Heading2"/>
        <w:widowControl w:val="1"/>
        <w:spacing w:line="360" w:lineRule="auto"/>
        <w:rPr/>
      </w:pPr>
      <w:r w:rsidDel="00000000" w:rsidR="00000000" w:rsidRPr="00000000">
        <w:rPr>
          <w:rtl w:val="0"/>
        </w:rPr>
        <w:t xml:space="preserve">1.1.2. Mô hình hóa dưới dạng phân loại nhị phân</w:t>
      </w:r>
    </w:p>
    <w:p w:rsidR="00000000" w:rsidDel="00000000" w:rsidP="00000000" w:rsidRDefault="00000000" w:rsidRPr="00000000" w14:paraId="0000004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Xét tập dữ liệu có giám sát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D</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gồm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n</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cặp quan sát </w:t>
      </w:r>
      <m:oMath>
        <m:d>
          <m:dPr>
            <m:begChr m:val="("/>
            <m:endChr m:val=")"/>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dPr>
          <m:e>
            <m:sSub>
              <m:sSubPr>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i</m:t>
                </m:r>
              </m:sub>
            </m:sSub>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y</m:t>
                </m:r>
              </m:e>
              <m:sub>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i</m:t>
                </m:r>
              </m:sub>
            </m:sSub>
          </m:e>
        </m:d>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đó </w:t>
      </w:r>
      <m:oMath>
        <m:sSub>
          <m:sSubPr>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x</m:t>
            </m:r>
          </m:e>
          <m:sub>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vector gồm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M</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đặc trưng của khách hàng thứ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i</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m:oMath>
        <m:sSub>
          <m:sSubPr>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y</m:t>
            </m:r>
          </m:e>
          <m:sub>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i</m:t>
            </m:r>
          </m:sub>
        </m:sSub>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nhãn quan sát nhận giá trị 0 hoặc 1. Nhãn 1 biểu thị sự kiện default theo định nghĩa của bộ dữ liệu; nhãn 0 biểu thị trường hợp còn lại. Mô hình học một hàm ước lượng xác suất có điều kiện:</w:t>
      </w:r>
    </w:p>
    <w:p w:rsidR="00000000" w:rsidDel="00000000" w:rsidP="00000000" w:rsidRDefault="00000000" w:rsidRPr="00000000" w14:paraId="0000004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94"/>
          <w:tab w:val="right" w:leader="none" w:pos="8788"/>
        </w:tabs>
        <w:spacing w:after="160" w:before="10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1536700" cy="177800"/>
            <wp:effectExtent b="0" l="0" r="0" t="0"/>
            <wp:docPr descr="\widehat p(\mathbf{x})\approx P(Y=1\mid X=\mathbf{x})" id="3" name="image6.png"/>
            <a:graphic>
              <a:graphicData uri="http://schemas.openxmlformats.org/drawingml/2006/picture">
                <pic:pic>
                  <pic:nvPicPr>
                    <pic:cNvPr descr="\widehat p(\mathbf{x})\approx P(Y=1\mid X=\mathbf{x})" id="0" name="image6.png"/>
                    <pic:cNvPicPr preferRelativeResize="0"/>
                  </pic:nvPicPr>
                  <pic:blipFill>
                    <a:blip r:embed="rId7"/>
                    <a:srcRect b="0" l="0" r="0" t="0"/>
                    <a:stretch>
                      <a:fillRect/>
                    </a:stretch>
                  </pic:blipFill>
                  <pic:spPr>
                    <a:xfrm>
                      <a:off x="0" y="0"/>
                      <a:ext cx="1536700" cy="1778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(1.1)</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cần chuyển xác suất thành quyết định phân loại, lựa chọn một ngưỡng </w:t>
      </w:r>
      <m:oMath>
        <m:r>
          <m:t>τ</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gán nhãn dương nếu </w:t>
      </w:r>
      <m:oMath>
        <m:acc>
          <m:accPr>
            <m:chr m:val="̂"/>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accPr>
          <m:e>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p</m:t>
            </m:r>
          </m:e>
        </m:acc>
        <m:d>
          <m:dPr>
            <m:begChr m:val="("/>
            <m:endChr m:val=")"/>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x</m:t>
            </m:r>
          </m:e>
        </m:d>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τ</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Ngưỡng này ảnh hưởng trực tiếp đến số khách hàng bị nhận diện là rủi ro và số trường hợp default bị bỏ sót. Vì vậy, đánh giá khả năng xếp hạng rủi ro và đánh giá quyết định tại một ngưỡng cụ thể là hai khía cạnh có liên quan nhưng không đồng nhất [4], [5].</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bài toán tín dụng, hai loại sai số có ý nghĩa khác nhau. Dự đoán một khách hàng default thành không default có thể làm đánh giá thấp rủi ro; dự đoán một khách hàng không default thành default có thể dẫn đến bỏ lỡ cơ hội cấp tín dụng. Chi phí thực tế của hai sai số còn phụ thuộc vào điều kiện khoản vay và chính sách của tổ chức. Khi dữ liệu không cung cấp đầy đủ thông tin về chi phí, không nên diễn giải trực tiếp một mức tăng ROC-AUC thành một mức tăng lợi nhuận xác định [1].</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lựa chọn ROC-AUC làm tiêu chí dự đoán chính và xem xét thêm các chỉ số phản ánh lớp default. Trọng tâm thứ hai là tính nhất quán của kết luận giải thích khi mô hình được huấn luyện lại trong những điều kiện đã xác định. Cách tiếp cận này cho phép đặt câu hỏi không chỉ về việc mô hình phân biệt rủi ro tốt đến đâu, mà còn về mức độ tái lập của những đặc trưng được xem là quan trọng.</w:t>
      </w:r>
    </w:p>
    <w:bookmarkStart w:colFirst="0" w:colLast="0" w:name="yvf93qkgsrrv" w:id="3"/>
    <w:bookmarkEnd w:id="3"/>
    <w:p w:rsidR="00000000" w:rsidDel="00000000" w:rsidP="00000000" w:rsidRDefault="00000000" w:rsidRPr="00000000" w14:paraId="00000046">
      <w:pPr>
        <w:pStyle w:val="Heading1"/>
        <w:widowControl w:val="1"/>
        <w:spacing w:line="360" w:lineRule="auto"/>
        <w:rPr/>
      </w:pPr>
      <w:r w:rsidDel="00000000" w:rsidR="00000000" w:rsidRPr="00000000">
        <w:rPr>
          <w:rtl w:val="0"/>
        </w:rPr>
        <w:t xml:space="preserve">1.2. Dữ liệu và đặc điểm của bài toán credit scoring</w:t>
      </w:r>
    </w:p>
    <w:bookmarkStart w:colFirst="0" w:colLast="0" w:name="rsa3mqke34in" w:id="4"/>
    <w:bookmarkEnd w:id="4"/>
    <w:p w:rsidR="00000000" w:rsidDel="00000000" w:rsidP="00000000" w:rsidRDefault="00000000" w:rsidRPr="00000000" w14:paraId="00000047">
      <w:pPr>
        <w:pStyle w:val="Heading2"/>
        <w:widowControl w:val="1"/>
        <w:spacing w:line="360" w:lineRule="auto"/>
        <w:rPr/>
      </w:pPr>
      <w:r w:rsidDel="00000000" w:rsidR="00000000" w:rsidRPr="00000000">
        <w:rPr>
          <w:rtl w:val="0"/>
        </w:rPr>
        <w:t xml:space="preserve">1.2.1. Bộ dữ liệu nghiên cứu</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dữ liệu chính được sử dụng trong đề tài là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Default of Credit Card Clients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do UCI Machine Learning Repository công bố. Bản dữ liệu công khai gồm 30.000 quan sát và 23 đặc trưng dự báo, cùng một nhãn nhị phân và một trường định danh. Thông tin mô tả bao gồm hạn mức tín dụng, nhân khẩu học và lịch sử thanh toán của khách hàng thẻ tín dụng tại Đài Loan [3].</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biến lịch sử phản ánh giai đoạn từ tháng 4 đến tháng 9 năm 2005; nhãn thể hiện tình trạng default của kỳ tiếp theo. Cần phân biệt quy mô của bản dữ liệu UCI với mẫu được mô tả trong bài báo gốc: Yeh và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Lien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trình bày mẫu nghiên cứu 25.000 quan sát, trong khi bản UCI được chọn cho đề tài có 30.000 quan sát [2], [3]. Sự phân biệt này giúp tránh gán nhầm quy mô dữ liệu và kết quả của một phiên bản cho phiên bản khác.</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1.1 trình bày các nhóm đặc trưng theo tên biến thường dùng trong dữ liệu. Trường ID chỉ có vai trò nhận diện bản ghi và không được xem là một đặc trưng dự báo.</w:t>
      </w:r>
    </w:p>
    <w:p w:rsidR="00000000" w:rsidDel="00000000" w:rsidP="00000000" w:rsidRDefault="00000000" w:rsidRPr="00000000" w14:paraId="0000004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60" w:line="360" w:lineRule="auto"/>
        <w:ind w:left="0" w:right="0"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6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1.1. Các nhóm biến trong bộ dữ liệu nghiên cứu</w:t>
      </w:r>
      <w:r w:rsidDel="00000000" w:rsidR="00000000" w:rsidRPr="00000000">
        <w:rPr>
          <w:rtl w:val="0"/>
        </w:rPr>
      </w:r>
    </w:p>
    <w:tbl>
      <w:tblPr>
        <w:tblStyle w:val="Table1"/>
        <w:tblW w:w="8788.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020"/>
      </w:tblPr>
      <w:tblGrid>
        <w:gridCol w:w="1652"/>
        <w:gridCol w:w="2643"/>
        <w:gridCol w:w="793"/>
        <w:gridCol w:w="3700"/>
        <w:tblGridChange w:id="0">
          <w:tblGrid>
            <w:gridCol w:w="1652"/>
            <w:gridCol w:w="2643"/>
            <w:gridCol w:w="793"/>
            <w:gridCol w:w="3700"/>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e7e6e6" w:val="clear"/>
            <w:tcMar>
              <w:top w:w="80.0" w:type="dxa"/>
              <w:left w:w="95.0" w:type="dxa"/>
              <w:bottom w:w="80.0" w:type="dxa"/>
              <w:right w:w="95.0" w:type="dxa"/>
            </w:tcMar>
            <w:vAlign w:val="cente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Nhóm biến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e7e6e6" w:val="clear"/>
            <w:tcMar>
              <w:top w:w="80.0" w:type="dxa"/>
              <w:left w:w="95.0" w:type="dxa"/>
              <w:bottom w:w="80.0" w:type="dxa"/>
              <w:right w:w="95.0" w:type="dxa"/>
            </w:tcMa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biến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e7e6e6" w:val="clear"/>
            <w:tcMar>
              <w:top w:w="80.0" w:type="dxa"/>
              <w:left w:w="95.0" w:type="dxa"/>
              <w:bottom w:w="80.0" w:type="dxa"/>
              <w:right w:w="95.0" w:type="dxa"/>
            </w:tcM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Số biến</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e7e6e6" w:val="clear"/>
            <w:tcMar>
              <w:top w:w="80.0" w:type="dxa"/>
              <w:left w:w="95.0" w:type="dxa"/>
              <w:bottom w:w="80.0" w:type="dxa"/>
              <w:right w:w="95.0" w:type="dxa"/>
            </w:tcM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Nội dung</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Hạn mức và độ tuổi</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LIMIT_BAL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AGE</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Hạn mức tín dụng và tuổi khách hàng</w:t>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Nhân khẩu học</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SEX, EDUCATION, MARRIAGE</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Giới tính, học vấn và tình trạng hôn nhân</w:t>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thanh toán</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PAY_0, PAY_2 đến PAY_6</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Trạng thái trả nợ trong sáu tháng</w:t>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 sao kê</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BILL_AMT1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đến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BILL_AMT6</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tiền trên sao kê từng tháng</w:t>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tiền đã thanh toán</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PAY_AMT1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đến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PAY_AMT6</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tiền thanh toán từng tháng</w:t>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Nguồn: tổng hợp từ mô tả dữ liệu UCI và Yeh–Lien [2], [3]. Tổng số đặc trưng đầu vào là 23, không bao gồm ID và nhãn.</w:t>
      </w:r>
      <w:r w:rsidDel="00000000" w:rsidR="00000000" w:rsidRPr="00000000">
        <w:rPr>
          <w:rtl w:val="0"/>
        </w:rPr>
      </w:r>
    </w:p>
    <w:bookmarkStart w:colFirst="0" w:colLast="0" w:name="x6inpd1npcsw" w:id="5"/>
    <w:bookmarkEnd w:id="5"/>
    <w:p w:rsidR="00000000" w:rsidDel="00000000" w:rsidP="00000000" w:rsidRDefault="00000000" w:rsidRPr="00000000" w14:paraId="00000066">
      <w:pPr>
        <w:pStyle w:val="Heading2"/>
        <w:widowControl w:val="1"/>
        <w:spacing w:line="360" w:lineRule="auto"/>
        <w:rPr/>
      </w:pPr>
      <w:r w:rsidDel="00000000" w:rsidR="00000000" w:rsidRPr="00000000">
        <w:rPr>
          <w:rtl w:val="0"/>
        </w:rPr>
        <w:t xml:space="preserve">1.2.2. Những đặc điểm ảnh hưởng đến mô hình dự đoán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Đặc điểm thứ nhất là sự kết hợp giữa biến định lượng và biến phân loại. Mặc dù nhiều cột được lưu dưới dạng số nguyên, mã học vấn hoặc tình trạng hôn nhân không mặc nhiên biểu thị khoảng cách số học có ý nghĩa. Do đó, việc nhận diện đúng kiểu biến cần được thực hiện trước khi lựa chọn cách mã hóa. Với mô hình tuyến tính, mã hóa và chuẩn hóa có ảnh hưởng trực tiếp đến quá trình ước lượng; với mô hình cây, các phép chia có thể xử lý quan hệ phi tuyến nhưng vẫn phụ thuộc vào ý nghĩa và chất lượng biểu diễn của dữ liệu [4], [5].</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Đặc điểm thứ hai là mất cân bằng lớp. Khi số khách hàng không default lớn hơn số khách hàng default, độ chính xác tổng thể có thể tạo cảm giác mô hình hoạt động tốt dù khả năng phát hiện lớp default còn hạn chế. Việc đánh giá vì thế cần xét riêng Precision, Recall và F1-score của lớp dương, đồng thời sử dụng các thước đo xếp hạng như ROC-AUC và đường Precision–Recall [5]. Những chỉ số này bổ sung thông tin cho nhau; không có cơ sở để xem một chỉ số đơn lẻ là đại diện đầy đủ cho mọi yêu cầu nghiệp vụ.</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Đặc điểm thứ ba là tính phụ thuộc giữa các biến lịch sử. Số tiền sao kê, số tiền thanh toán và trạng thái trả nợ của những tháng liên tiếp có thể tương quan với nhau. Mô hình có thể khai thác nhiều đặc trưng gần nhau về thông tin để tạo ra dự đoán tương tự. Tuy nhiên, mức đóng góp được gán cho từng đặc trưng có thể thay đổi khi mô hình hoặc cách xác định dữ liệu nền của phương pháp giải thích thay đổi. Đây là một lý do cần xem xét độ ổn định của giải thích, bên cạnh chất lượng dự đoán [6], [7].</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Đặc điểm thứ tư là phạm vi thời gian và quần thể của dữ liệu. Một phép chia ngẫu nhiên phân tầng giúp duy trì tỷ lệ lớp giữa các tập, nhưng chỉ đánh giá khả năng khái quát hóa trong điều kiện chia dữ liệu đó. Phép chia này không tự chứng minh mô hình vẫn hiệu quả khi kinh tế, hành vi khách hàng hoặc chính sách tín dụng thay đổi. Vì vậy, kết luận của đồ án cần được giới hạn trong bộ dữ liệu và giao thức thực nghiệm được sử dụng.</w:t>
      </w:r>
    </w:p>
    <w:bookmarkStart w:colFirst="0" w:colLast="0" w:name="yjbw8vu47sxr" w:id="6"/>
    <w:bookmarkEnd w:id="6"/>
    <w:p w:rsidR="00000000" w:rsidDel="00000000" w:rsidP="00000000" w:rsidRDefault="00000000" w:rsidRPr="00000000" w14:paraId="0000006B">
      <w:pPr>
        <w:pStyle w:val="Heading2"/>
        <w:widowControl w:val="1"/>
        <w:spacing w:line="360" w:lineRule="auto"/>
        <w:rPr/>
      </w:pPr>
      <w:r w:rsidDel="00000000" w:rsidR="00000000" w:rsidRPr="00000000">
        <w:rPr>
          <w:rtl w:val="0"/>
        </w:rPr>
        <w:t xml:space="preserve">1.2.3. Nguyên tắc tiền xử lý và đánh giá</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 chuẩn bị dữ liệu cần kiểm tra định nghĩa nhãn, kiểu dữ liệu, mã danh mục, giá trị bất thường và bản ghi trùng lặp. Những mã chưa được giải thích rõ trong tài liệu dữ liệu phải được đối chiếu trước khi gộp nhóm hoặc thay thế. Một giá trị tiền tệ lớn hoặc âm cũng không tự động là lỗi dữ liệu; quyết định xử lý cần dựa trên ý nghĩa của biến và quy tắc được ghi lại. Các bước khảo sát phân phối và thống kê mô tả là cơ sở để thiết kế tiền xử lý có thể tái lập [8].</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những phép biến đổi có tham số học từ dữ liệu, chẳng hạn chuẩn hóa, điền khuyết hoặc mã hóa dựa trên nhãn, tham số chỉ được ước lượng từ tập huấn luyện tương ứng. Khi dùng kiểm định chéo, mỗi fold phải có bước fit riêng trên phần huấn luyện; phần validation chỉ được transform và đánh giá. Nếu áp dụng tái lấy mẫu để xử lý mất cân bằng, thao tác đó cũng chỉ được thực hiện trong phần huấn luyện của fold [4], [5].</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thiết kế nghiên cứu của đề tài, tập kiểm tra cuối cùng được giữ độc lập với quá trình lựa chọn siêu tham số. Phần dữ liệu phát triển được tổ chức thành phần dùng cho huấn luyện và kiểm định chéo, cùng một tập tham chiếu cố định để tính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Tập tham chiếu không tham gia huấn luyện hoặc validation trong các trial theo giao thức đề xuất. Vai trò và cách phân chia cụ thể của các tập được trình bày ở Chương 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các chỉ số bổ sung, báo cáo cần ghi rõ cách tính diện tích dưới đường Precision–Recall. Nếu sử dụng Average Precision thì tên chỉ số được trình bày là AP; không mặc định đồng nhất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PR-AUC tính bằng tích phân hình thang. Đồng thời, các chỉ số phụ thuộc ngưỡng phải nêu ngưỡng áp dụng và nguyên tắc lựa chọn ngưỡng. Điều này giúp kết quả giữa các mô hình có thể được so sánh đúng cách.</w:t>
      </w:r>
    </w:p>
    <w:bookmarkStart w:colFirst="0" w:colLast="0" w:name="yt6px0yfwwg4" w:id="7"/>
    <w:bookmarkEnd w:id="7"/>
    <w:p w:rsidR="00000000" w:rsidDel="00000000" w:rsidP="00000000" w:rsidRDefault="00000000" w:rsidRPr="00000000" w14:paraId="00000070">
      <w:pPr>
        <w:pStyle w:val="Heading1"/>
        <w:widowControl w:val="1"/>
        <w:spacing w:line="360" w:lineRule="auto"/>
        <w:rPr/>
      </w:pPr>
      <w:r w:rsidDel="00000000" w:rsidR="00000000" w:rsidRPr="00000000">
        <w:rPr>
          <w:rtl w:val="0"/>
        </w:rPr>
        <w:t xml:space="preserve">1.3. Các phương pháp dự đoán rủi ro tín dụng</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xem xét Logistic Regression, Random Forest, Gradient Boosting, XGBoost, LightGBM và CatBoost. Nhóm phương pháp này bao quát một mô hình tuyến tính, một phương pháp tổ hợp theo hướng bagging và các phương pháp tăng cường cây. Trong đó, XGBoost là đối tượng nghiên cứu tối ưu đa mục tiêu; những mô hình còn lại cung cấp các đối chứng về hiệu năng dự đoán.</w:t>
      </w:r>
    </w:p>
    <w:bookmarkStart w:colFirst="0" w:colLast="0" w:name="9ym8gh9ad292" w:id="8"/>
    <w:bookmarkEnd w:id="8"/>
    <w:p w:rsidR="00000000" w:rsidDel="00000000" w:rsidP="00000000" w:rsidRDefault="00000000" w:rsidRPr="00000000" w14:paraId="00000072">
      <w:pPr>
        <w:pStyle w:val="Heading2"/>
        <w:widowControl w:val="1"/>
        <w:spacing w:line="360" w:lineRule="auto"/>
        <w:rPr/>
      </w:pPr>
      <w:r w:rsidDel="00000000" w:rsidR="00000000" w:rsidRPr="00000000">
        <w:rPr>
          <w:rtl w:val="0"/>
        </w:rPr>
        <w:t xml:space="preserve">1.3.1. Logistic Regression</w:t>
      </w:r>
    </w:p>
    <w:p w:rsidR="00000000" w:rsidDel="00000000" w:rsidP="00000000" w:rsidRDefault="00000000" w:rsidRPr="00000000" w14:paraId="0000007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Logistic Regression mô hình hóa xác suất của lớp dương thông qua hàm logistic của một tổ hợp tuyến tính các đặc trưng. Với hệ số chặn </w:t>
      </w:r>
      <m:oMath>
        <m:sSub>
          <m:sSubPr>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sSubPr>
          <m:e>
            <m:r>
              <m:t>β</m:t>
            </m:r>
          </m:e>
          <m:sub>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0</m:t>
            </m:r>
          </m:sub>
        </m:sSub>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vector hệ số </w:t>
      </w:r>
      <m:oMath>
        <m:r>
          <m:t>β</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xác suất được biểu diễn như sau [4]:</w:t>
      </w:r>
    </w:p>
    <w:p w:rsidR="00000000" w:rsidDel="00000000" w:rsidP="00000000" w:rsidRDefault="00000000" w:rsidRPr="00000000" w14:paraId="00000074">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94"/>
          <w:tab w:val="right" w:leader="none" w:pos="8788"/>
        </w:tabs>
        <w:spacing w:after="160" w:before="10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1536700" cy="279400"/>
            <wp:effectExtent b="0" l="0" r="0" t="0"/>
            <wp:docPr descr="\widehat p(\mathbf{x})=\frac{1}{1+\exp[-(\beta_0+\boldsymbol{\beta}^{\mathsf{T}}\mathbf{x})]}" id="5" name="image4.png"/>
            <a:graphic>
              <a:graphicData uri="http://schemas.openxmlformats.org/drawingml/2006/picture">
                <pic:pic>
                  <pic:nvPicPr>
                    <pic:cNvPr descr="\widehat p(\mathbf{x})=\frac{1}{1+\exp[-(\beta_0+\boldsymbol{\beta}^{\mathsf{T}}\mathbf{x})]}" id="0" name="image4.png"/>
                    <pic:cNvPicPr preferRelativeResize="0"/>
                  </pic:nvPicPr>
                  <pic:blipFill>
                    <a:blip r:embed="rId8"/>
                    <a:srcRect b="0" l="0" r="0" t="0"/>
                    <a:stretch>
                      <a:fillRect/>
                    </a:stretch>
                  </pic:blipFill>
                  <pic:spPr>
                    <a:xfrm>
                      <a:off x="0" y="0"/>
                      <a:ext cx="1536700" cy="2794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(1.2)</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tuyến tính theo log-odds, không phải tuyến tính trực tiếp theo xác suất. Dấu và độ lớn của hệ số cho biết quan hệ giữa đặc trưng và log-odds khi giữ các biến khác cố định, với điều kiện phải xét cách mã hóa và thang đo của biến. Việc diễn giải hệ số trong dữ liệu quan sát không đồng nghĩa với chứng minh quan hệ nhân quả. Tương quan mạnh giữa các biến cũng có thể làm hệ số nhạy với dữ liệu huấn luyện [4].</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Ưu điểm của Logistic Regression là cấu trúc tương đối đơn giản, chi phí huấn luyện thấp và thuận tiện để kiểm tra tác động của tiền xử lý. Regularization có thể được sử dụng để kiểm soát độ lớn của hệ số. Hạn chế chính là các quan hệ phi tuyến hoặc tương tác phức tạp thường phải được biểu diễn bằng đặc trưng bổ sung, thay vì được học tự động như trong mô hình cây [4], [5].</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đồ án, Logistic Regression là mô hình cơ sở để đánh giá mức cải thiện của các phương pháp tổ hợp. Tuy nhiên, chỉ vượt qua mô hình tuyến tính chưa đủ để kết luận một phương pháp mới có ưu thế rõ ràng; cần bổ sung các đối chứng mạnh hơn và sử dụng cùng điều kiện đánh giá [1].</w:t>
      </w:r>
    </w:p>
    <w:bookmarkStart w:colFirst="0" w:colLast="0" w:name="zgf10uvo0t89" w:id="9"/>
    <w:bookmarkEnd w:id="9"/>
    <w:p w:rsidR="00000000" w:rsidDel="00000000" w:rsidP="00000000" w:rsidRDefault="00000000" w:rsidRPr="00000000" w14:paraId="00000078">
      <w:pPr>
        <w:pStyle w:val="Heading2"/>
        <w:widowControl w:val="1"/>
        <w:spacing w:line="360" w:lineRule="auto"/>
        <w:rPr/>
      </w:pPr>
      <w:r w:rsidDel="00000000" w:rsidR="00000000" w:rsidRPr="00000000">
        <w:rPr>
          <w:rtl w:val="0"/>
        </w:rPr>
        <w:t xml:space="preserve">1.3.2. Random Forest</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Random Forest kết hợp nhiều cây quyết định được tạo ra bằng cơ chế ngẫu nhiên hóa. Trong cách xây dựng phổ biến cho phân loại, mỗi cây được huấn luyện trên một mẫu bootstrap và chỉ xem xét một tập con đặc trưng tại mỗi nút chia. Dự đoán của các cây được tổng hợp thành dự đoán của rừng. Hai nguồn ngẫu nhiên này giúp tạo ra sự đa dạng giữa các cây, từ đó hạn chế sự phụ thuộc quá lớn vào một cây riêng lẻ [9].</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Breiman chỉ ra rằng khả năng khái quát hóa của rừng liên quan đến sức mạnh của từng cây và tương quan giữa các cây [9]. Vì vậy, lợi ích của việc tăng số cây cần được phân biệt với việc thay đổi độ phức tạp hoặc mức tương quan của chúng. Một rừng gồm nhiều cây có thể cho dự đoán ổn định hơn cây đơn, nhưng không từ đó suy ra rằng mọi thứ hạng quan trọng đặc trưng đều bất biến.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Random Forest có khả năng học quan hệ phi tuyến và tương tác mà không yêu cầu chỉ định trước dạng hàm. Với các biến định lượng, phương pháp thường không cần chuẩn hóa theo cách mà mô hình tuyến tính có regularization cần. Những lựa chọn như số cây, độ sâu, số mẫu tối thiểu ở lá và số đặc trưng được xét khi chia có ảnh hưởng đến kết quả. Hạn chế của mô hình là khó diễn giải toàn bộ rừng bằng một tập quy tắc ngắn và có thể tốn tài nguyên khi số cây lớn [4], [9].</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nghiên cứu này, Random Forest cung cấp đối chứng thuộc họ bagging. Đối chứng này giúp đánh giá liệu cách học tuần tự của boosting có mang lại lợi ích về dự đoán trên dữ liệu đang xét hay không, thay vì mặc định boosting luôn tốt hơn.</w:t>
      </w:r>
    </w:p>
    <w:bookmarkStart w:colFirst="0" w:colLast="0" w:name="cag1v7vko4mx" w:id="10"/>
    <w:bookmarkEnd w:id="10"/>
    <w:p w:rsidR="00000000" w:rsidDel="00000000" w:rsidP="00000000" w:rsidRDefault="00000000" w:rsidRPr="00000000" w14:paraId="0000007D">
      <w:pPr>
        <w:pStyle w:val="Heading2"/>
        <w:widowControl w:val="1"/>
        <w:spacing w:line="360" w:lineRule="auto"/>
        <w:rPr/>
      </w:pPr>
      <w:r w:rsidDel="00000000" w:rsidR="00000000" w:rsidRPr="00000000">
        <w:rPr>
          <w:rtl w:val="0"/>
        </w:rPr>
        <w:t xml:space="preserve">1.3.3. Gradient Boosting</w:t>
      </w:r>
    </w:p>
    <w:p w:rsidR="00000000" w:rsidDel="00000000" w:rsidP="00000000" w:rsidRDefault="00000000" w:rsidRPr="00000000" w14:paraId="0000007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Gradient Boosting xây dựng mô hình cộng theo từng giai đoạn. Tại mỗi vòng, một bộ học mới được bổ sung để giảm hàm mất mát của mô hình hiện tại. Friedman diễn giải quá trình này theo hướng tối ưu trong không gian hàm; bộ học mới được fit theo tín hiệu gradient âm của mất mát [10]. Một biểu diễn khái quát của bước cập nhật là:</w:t>
      </w:r>
    </w:p>
    <w:p w:rsidR="00000000" w:rsidDel="00000000" w:rsidP="00000000" w:rsidRDefault="00000000" w:rsidRPr="00000000" w14:paraId="0000007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94"/>
          <w:tab w:val="right" w:leader="none" w:pos="8788"/>
        </w:tabs>
        <w:spacing w:after="160" w:before="10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1676400" cy="165100"/>
            <wp:effectExtent b="0" l="0" r="0" t="0"/>
            <wp:docPr descr="F_t(\mathbf{x})=F_{t-1}(\mathbf{x})+\eta h_t(\mathbf{x})" id="4" name="image10.png"/>
            <a:graphic>
              <a:graphicData uri="http://schemas.openxmlformats.org/drawingml/2006/picture">
                <pic:pic>
                  <pic:nvPicPr>
                    <pic:cNvPr descr="F_t(\mathbf{x})=F_{t-1}(\mathbf{x})+\eta h_t(\mathbf{x})" id="0" name="image10.png"/>
                    <pic:cNvPicPr preferRelativeResize="0"/>
                  </pic:nvPicPr>
                  <pic:blipFill>
                    <a:blip r:embed="rId9"/>
                    <a:srcRect b="0" l="0" r="0" t="0"/>
                    <a:stretch>
                      <a:fillRect/>
                    </a:stretch>
                  </pic:blipFill>
                  <pic:spPr>
                    <a:xfrm>
                      <a:off x="0" y="0"/>
                      <a:ext cx="1676400" cy="1651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(1.3)</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đó, </w:t>
      </w:r>
      <m:oMath>
        <m:sSub>
          <m:sSubPr>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t−1</m:t>
            </m:r>
          </m:sub>
        </m:sSub>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mô hình trước vòng thứ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t</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h</m:t>
            </m:r>
          </m:e>
          <m:sub>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thành phần cập nhật và </w:t>
      </w:r>
      <m:oMath>
        <m:r>
          <m:t>η</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hệ số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bước, thường gọi là learning rate. Thành phần </w:t>
      </w:r>
      <m:oMath>
        <m:sSub>
          <m:sSubPr>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h</m:t>
            </m:r>
          </m:e>
          <m:sub>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t</m:t>
            </m:r>
          </m:sub>
        </m:sSub>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có thể bao gồm hệ số bước được lựa chọn tại vòng học. Với mất mát bình phương, tín hiệu học liên quan trực tiếp đến phần dư; với mất mát khác, cần sử dụng gradient tương ứng, không nên mô tả mọi trường hợp đơn giản là học phần dư của nhãn [10].</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bộ học cơ sở là cây quyết định, Gradient Boosting có thể mô hình hóa các quan hệ phi tuyến và tương tác. Tuy nhiên, số vòng học, độ phức tạp cây và learning rate có mối liên hệ chặt chẽ. Learning rate nhỏ thường đòi hỏi nhiều vòng hơn để đạt mức khớp dữ liệu tương đương; quá nhiều vòng hoặc cây quá phức tạp có thể làm mô hình khớp cả nhiễu [4], [10].</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Gradient Boosting truyền thống được đưa vào nhóm đối chứng để làm rõ vai trò của những mở rộng trong XGBoost, LightGBM và CatBoost. Các phương pháp này cùng xuất phát từ nguyên lý tăng cường nhưng khác nhau về cách tối ưu, biểu diễn dữ liệu và cơ chế kiểm soát quá khớp.</w:t>
      </w:r>
    </w:p>
    <w:bookmarkStart w:colFirst="0" w:colLast="0" w:name="q9n8jl51v7xe" w:id="11"/>
    <w:bookmarkEnd w:id="11"/>
    <w:p w:rsidR="00000000" w:rsidDel="00000000" w:rsidP="00000000" w:rsidRDefault="00000000" w:rsidRPr="00000000" w14:paraId="00000083">
      <w:pPr>
        <w:pStyle w:val="Heading2"/>
        <w:widowControl w:val="1"/>
        <w:spacing w:line="360" w:lineRule="auto"/>
        <w:rPr/>
      </w:pPr>
      <w:r w:rsidDel="00000000" w:rsidR="00000000" w:rsidRPr="00000000">
        <w:rPr>
          <w:rtl w:val="0"/>
        </w:rPr>
        <w:t xml:space="preserve">1.3.4. XGBoost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XGBoost là một hệ thống tăng cường cây được Chen và Guestrin phát triển theo hướng mở rộng quy mô và nâng cao hiệu quả tính toán. Công trình gốc trình bày mục tiêu học có regularization, khai thác đạo hàm đến bậc hai, thuật toán xử lý dữ liệu thưa và các tối ưu hệ thống cho quá trình xây dựng cây [11]. Những thành phần này giúp XGBoost trở thành một lựa chọn đáng xem xét đối với dữ liệu dạng bảng.</w:t>
      </w:r>
    </w:p>
    <w:p w:rsidR="00000000" w:rsidDel="00000000" w:rsidP="00000000" w:rsidRDefault="00000000" w:rsidRPr="00000000" w14:paraId="0000008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mô hình cộng gồm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K</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cây, một dạng hàm mục tiêu có thể viết dưới dạng tổng mất mát dự đoán và các hạng phạt độ phức tạp [11]:</w:t>
      </w:r>
    </w:p>
    <w:p w:rsidR="00000000" w:rsidDel="00000000" w:rsidP="00000000" w:rsidRDefault="00000000" w:rsidRPr="00000000" w14:paraId="00000086">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94"/>
          <w:tab w:val="right" w:leader="none" w:pos="8788"/>
        </w:tabs>
        <w:spacing w:after="160" w:before="10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3860800" cy="467359"/>
            <wp:effectExtent b="0" l="0" r="0" t="0"/>
            <wp:docPr descr="\mathcal{L}=\sum_{i=1}^{n}\ell(y_i,F(\mathbf{x}_i))+\sum_{k=1}^{K}\Omega(f_k),\qquad \Omega(f_k)=\gamma T_k+\frac{\lambda}{2}\sum_{j=1}^{T_k}w_{kj}^{2}" id="7" name="image9.png"/>
            <a:graphic>
              <a:graphicData uri="http://schemas.openxmlformats.org/drawingml/2006/picture">
                <pic:pic>
                  <pic:nvPicPr>
                    <pic:cNvPr descr="\mathcal{L}=\sum_{i=1}^{n}\ell(y_i,F(\mathbf{x}_i))+\sum_{k=1}^{K}\Omega(f_k),\qquad \Omega(f_k)=\gamma T_k+\frac{\lambda}{2}\sum_{j=1}^{T_k}w_{kj}^{2}" id="0" name="image9.png"/>
                    <pic:cNvPicPr preferRelativeResize="0"/>
                  </pic:nvPicPr>
                  <pic:blipFill>
                    <a:blip r:embed="rId10"/>
                    <a:srcRect b="0" l="0" r="0" t="0"/>
                    <a:stretch>
                      <a:fillRect/>
                    </a:stretch>
                  </pic:blipFill>
                  <pic:spPr>
                    <a:xfrm>
                      <a:off x="0" y="0"/>
                      <a:ext cx="3860800" cy="467359"/>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(1.4)</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Ở đây,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F</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điểm đầu ra của mô hình cộng, </w:t>
      </w:r>
      <m:oMath>
        <m:sSub>
          <m:sSubPr>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f</m:t>
            </m:r>
          </m:e>
          <m:sub>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k</m:t>
            </m:r>
          </m:sub>
        </m:sSub>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cây thứ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k</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m:oMath>
        <m:sSub>
          <m:sSubPr>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T</m:t>
            </m:r>
          </m:e>
          <m:sub>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k</m:t>
            </m:r>
          </m:sub>
        </m:sSub>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số lá và </w:t>
      </w:r>
      <m:oMath>
        <m:sSub>
          <m:sSubPr>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w</m:t>
            </m:r>
          </m:e>
          <m:sub>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kj</m:t>
            </m:r>
          </m:sub>
        </m:sSub>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trọng số lá thứ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j</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Hàm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ℓ</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đo sai lệch dự đoán; </w:t>
      </w:r>
      <m:oMath>
        <m:r>
          <m:t>γ</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m:oMath>
        <m:r>
          <m:t>λ</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điều khiển mức phạt. Biểu thức trên minh họa regularization theo số lá và chuẩn L2 trong bài báo gốc. Khi thực hiện phân loại logistic, điểm đầu ra của tổ hợp cây được chuyển qua hàm logistic để tạo xác suất.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siêu tham số quan trọng của XGBoost tác động đến nhiều khía cạnh của quá trình học.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max_depth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min_child_weight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kiểm soát điều kiện phát triển cây;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learning_rate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n_estimators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điều khiển quá trình cộng dồn;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subsample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colsample_bytree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quy định lấy mẫu quan sát và đặc trưng;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gamma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reg_alpha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reg_lambda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liên quan đến regularization. Riêng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min_child_weight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hiểu theo tổng trọng số Hessian tối thiểu ở nút con, không đơn thuần là số lượng quan sát [11].</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Những lựa chọn này có thể làm thay đổi cả dự đoán và cấu trúc cây. Khi một số đặc trưng cung cấp thông tin gần nhau, các cấu hình khác nhau có thể lựa chọn những phép chia khác nhau mà vẫn đạt hiệu năng tương đương. Do đó, việc khảo sát ảnh hưởng của siêu tham số đến thứ hạng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một câu hỏi thực nghiệm hợp lý. Đề tài chọn XGBoost làm đối tượng tối ưu sâu nhằm kiểm chứng mối quan hệ này, không giả định trước rằng XGBoost bắt buộc phải đạt điểm dự đoán cao nhất trong nhóm đối chứng.</w:t>
      </w:r>
    </w:p>
    <w:bookmarkStart w:colFirst="0" w:colLast="0" w:name="g3542qqahdq0" w:id="12"/>
    <w:bookmarkEnd w:id="12"/>
    <w:p w:rsidR="00000000" w:rsidDel="00000000" w:rsidP="00000000" w:rsidRDefault="00000000" w:rsidRPr="00000000" w14:paraId="0000008A">
      <w:pPr>
        <w:pStyle w:val="Heading2"/>
        <w:widowControl w:val="1"/>
        <w:spacing w:line="360" w:lineRule="auto"/>
        <w:rPr/>
      </w:pPr>
      <w:r w:rsidDel="00000000" w:rsidR="00000000" w:rsidRPr="00000000">
        <w:rPr>
          <w:rtl w:val="0"/>
        </w:rPr>
        <w:t xml:space="preserve">1.3.5. LightGBM</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LightGBM là một hệ thống gradient boosting decision tree chú trọng hiệu quả huấn luyện. Ke và cộng sự đề xuất hai kỹ thuật nổi bật: Gradient-based One-Side Sampling (GOSS) và Exclusive Feature Bundling (EFB). GOSS giữ lại các quan sát có độ lớn gradient cao và lấy mẫu một phần nhóm gradient nhỏ, kèm điều chỉnh trọng số; EFB ghép các đặc trưng hiếm khi cùng khác không để giảm chi phí xử lý [12].</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Ý nghĩa của những kỹ thuật này là giảm lượng tính toán trong việc đánh giá các phép chia mà vẫn duy trì chất lượng mô hình trong các điều kiện khảo sát của công trình. Tuy nhiên, mức tăng tốc phụ thuộc vào kích thước, độ thưa của dữ liệu và cấu hình sử dụng. Không nên chuyển trực tiếp kết quả tăng tốc trong bài báo thành một cam kết về thời gian chạy trên bộ dữ liệu tín dụng của đồ án. Việc mô tả GOSS trong cơ sở lý thuyết cũng không đồng nghĩa mọi cấu hình LightGBM đều sử dụng GOSS.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LightGBM được sử dụng làm một đối chứng boosting về hiệu năng và chi phí tính toán. Khi so sánh, cần kiểm soát độ phức tạp cây và điều kiện đánh giá, đồng thời xem các kết quả đạt được là kết quả của cấu hình đã thử trong ngân sách thực nghiệm cụ thể.</w:t>
      </w:r>
    </w:p>
    <w:bookmarkStart w:colFirst="0" w:colLast="0" w:name="r6scw8z28016" w:id="13"/>
    <w:bookmarkEnd w:id="13"/>
    <w:p w:rsidR="00000000" w:rsidDel="00000000" w:rsidP="00000000" w:rsidRDefault="00000000" w:rsidRPr="00000000" w14:paraId="0000008E">
      <w:pPr>
        <w:pStyle w:val="Heading2"/>
        <w:widowControl w:val="1"/>
        <w:spacing w:line="360" w:lineRule="auto"/>
        <w:rPr/>
      </w:pPr>
      <w:r w:rsidDel="00000000" w:rsidR="00000000" w:rsidRPr="00000000">
        <w:rPr>
          <w:rtl w:val="0"/>
        </w:rPr>
        <w:t xml:space="preserve">1.3.6. CatBoost</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CatBoost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một phương pháp gradient boosting có các kỹ thuật xử lý biến phân loại và ordered boosting.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Prokhorenkova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cộng sự phân tích hiện tượng prediction shift liên quan đến việc sử dụng thông tin nhãn trong quá trình xây dựng mô hình, đồng thời đề xuất cơ chế dựa trên hoán vị để hạn chế hiện tượng này [13].</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xử lý biến phân loại dựa trên nhãn, một vấn đề cần tránh là đưa chính nhãn của quan sát vào thống kê được sử dụng để biểu diễn quan sát đó. Cách xây dựng thống kê có thứ tự của CatBoost sử dụng những quan sát đứng trước theo một hoán vị. Ordered boosting được thiết kế cùng hướng để hạn chế ảnh hưởng của việc tái sử dụng thông tin trong quá trình tính tín hiệu học. Đây là những đóng góp riêng của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CatBoost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thể xem đơn giản là áp dụng mã hóa one-hot trước một mô hình boosting bất kỳ [13].</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Lợi ích của CatBoost phụ thuộc vào dữ liệu và cách khai báo đặc trưng phân loại. Nếu thực nghiệm sử dụng một ma trận đã mã hóa từ trước, báo cáo cần mô tả đúng lựa chọn đó và không quy toàn bộ kết quả cho cơ chế xử lý phân loại nguyên bản. Trong đề tài, CatBoost đóng vai trò đối chứng; việc tối ưu đồng thời hiệu năng và độ ổn định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chưa được mở rộng sang mô hình này.</w:t>
      </w:r>
    </w:p>
    <w:bookmarkStart w:colFirst="0" w:colLast="0" w:name="hmsubsstvkbl" w:id="14"/>
    <w:bookmarkEnd w:id="14"/>
    <w:p w:rsidR="00000000" w:rsidDel="00000000" w:rsidP="00000000" w:rsidRDefault="00000000" w:rsidRPr="00000000" w14:paraId="00000092">
      <w:pPr>
        <w:pStyle w:val="Heading1"/>
        <w:widowControl w:val="1"/>
        <w:spacing w:line="360" w:lineRule="auto"/>
        <w:rPr/>
      </w:pPr>
      <w:r w:rsidDel="00000000" w:rsidR="00000000" w:rsidRPr="00000000">
        <w:rPr>
          <w:rtl w:val="0"/>
        </w:rPr>
        <w:t xml:space="preserve">1.4. So sánh ưu và nhược điểm của các phương pháp</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phương pháp được chọn khác nhau về dạng quan hệ có thể học, cơ chế tạo tổ hợp và mức độ phụ thuộc vào cấu hình. Bảng 1.2 tổng hợp những đặc điểm phục vụ thiết kế thực nghiệm. Đây là so sánh về nguyên lý và vai trò nghiên cứu, không phải bảng xếp hạng hiệu năng trên bộ dữ liệu của đề tài.</w:t>
      </w:r>
    </w:p>
    <w:p w:rsidR="00000000" w:rsidDel="00000000" w:rsidP="00000000" w:rsidRDefault="00000000" w:rsidRPr="00000000" w14:paraId="0000009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6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Bảng 1.2. So sánh các phương pháp dự đoán được khảo sát</w:t>
      </w:r>
      <w:r w:rsidDel="00000000" w:rsidR="00000000" w:rsidRPr="00000000">
        <w:rPr>
          <w:rtl w:val="0"/>
        </w:rPr>
      </w:r>
    </w:p>
    <w:tbl>
      <w:tblPr>
        <w:tblStyle w:val="Table2"/>
        <w:tblW w:w="8788.0" w:type="dxa"/>
        <w:jc w:val="center"/>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020"/>
      </w:tblPr>
      <w:tblGrid>
        <w:gridCol w:w="1520"/>
        <w:gridCol w:w="2445"/>
        <w:gridCol w:w="2841"/>
        <w:gridCol w:w="1982"/>
        <w:tblGridChange w:id="0">
          <w:tblGrid>
            <w:gridCol w:w="1520"/>
            <w:gridCol w:w="2445"/>
            <w:gridCol w:w="2841"/>
            <w:gridCol w:w="1982"/>
          </w:tblGrid>
        </w:tblGridChange>
      </w:tblGrid>
      <w:tr>
        <w:trPr>
          <w:cantSplit w:val="1"/>
          <w:tblHeader w:val="1"/>
        </w:trPr>
        <w:tc>
          <w:tcPr>
            <w:tcBorders>
              <w:top w:color="d9d9d9" w:space="0" w:sz="5" w:val="single"/>
              <w:left w:color="d9d9d9" w:space="0" w:sz="5" w:val="single"/>
              <w:bottom w:color="d9d9d9" w:space="0" w:sz="5" w:val="single"/>
              <w:right w:color="d9d9d9" w:space="0" w:sz="5" w:val="single"/>
            </w:tcBorders>
            <w:shd w:fill="e7e6e6" w:val="clear"/>
            <w:tcMar>
              <w:top w:w="80.0" w:type="dxa"/>
              <w:left w:w="95.0" w:type="dxa"/>
              <w:bottom w:w="80.0" w:type="dxa"/>
              <w:right w:w="95.0" w:type="dxa"/>
            </w:tcM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Phương pháp</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e7e6e6" w:val="clear"/>
            <w:tcMar>
              <w:top w:w="80.0" w:type="dxa"/>
              <w:left w:w="95.0" w:type="dxa"/>
              <w:bottom w:w="80.0" w:type="dxa"/>
              <w:right w:w="95.0" w:type="dxa"/>
            </w:tcMa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Ưu điểm chính</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e7e6e6" w:val="clear"/>
            <w:tcMar>
              <w:top w:w="80.0" w:type="dxa"/>
              <w:left w:w="95.0" w:type="dxa"/>
              <w:bottom w:w="80.0" w:type="dxa"/>
              <w:right w:w="95.0" w:type="dxa"/>
            </w:tcMa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Hạn chế cần xem xét</w:t>
            </w:r>
            <w:r w:rsidDel="00000000" w:rsidR="00000000" w:rsidRPr="00000000">
              <w:rPr>
                <w:rtl w:val="0"/>
              </w:rPr>
            </w:r>
          </w:p>
        </w:tc>
        <w:tc>
          <w:tcPr>
            <w:tcBorders>
              <w:top w:color="d9d9d9" w:space="0" w:sz="5" w:val="single"/>
              <w:left w:color="d9d9d9" w:space="0" w:sz="5" w:val="single"/>
              <w:bottom w:color="d9d9d9" w:space="0" w:sz="5" w:val="single"/>
              <w:right w:color="d9d9d9" w:space="0" w:sz="5" w:val="single"/>
            </w:tcBorders>
            <w:shd w:fill="e7e6e6" w:val="clear"/>
            <w:tcMar>
              <w:top w:w="80.0" w:type="dxa"/>
              <w:left w:w="95.0" w:type="dxa"/>
              <w:bottom w:w="80.0" w:type="dxa"/>
              <w:right w:w="95.0" w:type="dxa"/>
            </w:tcMa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Vai trò</w:t>
            </w:r>
            <w:r w:rsidDel="00000000" w:rsidR="00000000" w:rsidRPr="00000000">
              <w:rPr>
                <w:rtl w:val="0"/>
              </w:rPr>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Logistic Regression</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Đơn giản; hệ số có thể diễn giải; chi phí thấp</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Cần biểu diễn bổ sung cho quan hệ phi tuyến và tương tác</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cơ sở tuyến tính</w:t>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Random Forest</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Học phi tuyến; tổng hợp cây để giảm phương sai</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Khó diễn giải toàn rừng; phụ thuộc tương quan giữa cây</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chứng bagging</w:t>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Gradient Boosting</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Tối ưu mất mát theo từng giai đoạn; linh hoạt</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Nhạy với độ phức tạp cây, số vòng và learning rate</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chứng boosting nền tảng</w:t>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XGBoost</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Regularization; tối ưu cây và hệ thống; nhiều lựa chọn kiểm soát mô hình</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Nhiều siêu tham số tương tác; HPO có thể tốn chi phí</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tượng tối ưu đa mục tiêu</w:t>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LightGBM</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Chú trọng tốc độ và khả năng mở rộng</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Lợi ích phụ thuộc dữ liệu và cấu hình; cần kiểm soát quá khớp</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chứng boosting</w:t>
            </w:r>
          </w:p>
        </w:tc>
      </w:tr>
      <w:tr>
        <w:trPr>
          <w:cantSplit w:val="1"/>
          <w:tblHeader w:val="0"/>
        </w:trPr>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CatBoost</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chế xử lý biến phân loại và ordered boosting</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phụ thuộc cách biểu diễn, khai báo biến và cấu hình</w:t>
            </w:r>
          </w:p>
        </w:tc>
        <w:tc>
          <w:tcPr>
            <w:tcBorders>
              <w:top w:color="d9d9d9" w:space="0" w:sz="5" w:val="single"/>
              <w:left w:color="d9d9d9" w:space="0" w:sz="5" w:val="single"/>
              <w:bottom w:color="d9d9d9" w:space="0" w:sz="5" w:val="single"/>
              <w:right w:color="d9d9d9" w:space="0" w:sz="5" w:val="single"/>
            </w:tcBorders>
            <w:tcMar>
              <w:top w:w="80.0" w:type="dxa"/>
              <w:left w:w="95.0" w:type="dxa"/>
              <w:bottom w:w="80.0" w:type="dxa"/>
              <w:right w:w="95.0" w:type="dxa"/>
            </w:tcM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chứng boosting</w:t>
            </w:r>
          </w:p>
        </w:tc>
      </w:tr>
    </w:tbl>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00" w:line="36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Nguồn: tổng hợp từ [4] và [9]–[13].</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So sánh công bằng không yêu cầu mọi mô hình phải dùng đúng một phép biến đổi dữ liệu giống hệt nhau. Chẳng hạn, chuẩn hóa có thể cần thiết cho Logistic Regression trong khi mô hình cây thường không yêu cầu bước này. Điều cần thống nhất là dữ liệu đầu vào về mặt thông tin, các fold đánh giá, nguyên tắc chống rò rỉ và cách tính chỉ số. Những khác biệt tiền xử lý đặc thù của từng mô hình cần được công bố [4], [5].</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phạm vi đồ án, các mô hình đối chứng được cấu hình hợp lý hoặc tinh chỉnh với ngân sách giới hạn, còn XGBoost được nghiên cứu tối ưu sâu. Vì vậy, nếu XGBoost đạt kết quả tốt hơn trong thí nghiệm, kết luận cần gắn với ngân sách và cấu hình đã xét; không thể mặc nhiên xem đó là bằng chứng XGBoost luôn tốt hơn một đối thủ được tối ưu đầy đủ. Vai trò của benchmark là đặt kết quả nghiên cứu vào bối cảnh, đồng thời phát hiện những trường hợp lợi ích của tối ưu XGBoost còn hạn chế.</w:t>
      </w:r>
    </w:p>
    <w:bookmarkStart w:colFirst="0" w:colLast="0" w:name="n4xri9eiow5r" w:id="15"/>
    <w:bookmarkEnd w:id="15"/>
    <w:p w:rsidR="00000000" w:rsidDel="00000000" w:rsidP="00000000" w:rsidRDefault="00000000" w:rsidRPr="00000000" w14:paraId="000000B4">
      <w:pPr>
        <w:pStyle w:val="Heading1"/>
        <w:widowControl w:val="1"/>
        <w:spacing w:line="360" w:lineRule="auto"/>
        <w:rPr/>
      </w:pPr>
      <w:r w:rsidDel="00000000" w:rsidR="00000000" w:rsidRPr="00000000">
        <w:rPr>
          <w:rtl w:val="0"/>
        </w:rPr>
        <w:t xml:space="preserve">1.5. Tối ưu siêu tham số trong học máy</w:t>
      </w:r>
    </w:p>
    <w:bookmarkStart w:colFirst="0" w:colLast="0" w:name="5kmxmeo6guwe" w:id="16"/>
    <w:bookmarkEnd w:id="16"/>
    <w:p w:rsidR="00000000" w:rsidDel="00000000" w:rsidP="00000000" w:rsidRDefault="00000000" w:rsidRPr="00000000" w14:paraId="000000B5">
      <w:pPr>
        <w:pStyle w:val="Heading2"/>
        <w:widowControl w:val="1"/>
        <w:spacing w:line="360" w:lineRule="auto"/>
        <w:rPr/>
      </w:pPr>
      <w:r w:rsidDel="00000000" w:rsidR="00000000" w:rsidRPr="00000000">
        <w:rPr>
          <w:rtl w:val="0"/>
        </w:rPr>
        <w:t xml:space="preserve">1.5.1. Khái niệm và các phương pháp tìm kiếm</w:t>
      </w:r>
    </w:p>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Tham số mô hình được ước lượng trong quá trình huấn luyện, còn siêu tham số quy định cấu trúc hoặc cách thức huấn luyện. Ví dụ, trọng số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lá</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học từ dữ liệu, trong khi độ sâu tối đa của cây và learning rate là những lựa chọn cấu hình. Gọi </w:t>
      </w:r>
      <m:oMath>
        <m:r>
          <m:t>θ</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vector siêu tham số và </w:t>
      </w:r>
      <m:oMath>
        <m:r>
          <m:t>Θ</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không gian tìm kiếm, bài toán HPO đơn mục tiêu theo ROC-AUC có dạng [14]:</w:t>
      </w:r>
    </w:p>
    <w:p w:rsidR="00000000" w:rsidDel="00000000" w:rsidP="00000000" w:rsidRDefault="00000000" w:rsidRPr="00000000" w14:paraId="000000B7">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94"/>
          <w:tab w:val="right" w:leader="none" w:pos="8788"/>
        </w:tabs>
        <w:spacing w:after="160" w:before="10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1701800" cy="330200"/>
            <wp:effectExtent b="0" l="0" r="0" t="0"/>
            <wp:docPr descr="\boldsymbol{\theta}^{*}=\underset{\boldsymbol{\theta}\in\Theta}{\arg\max}\;\overline{\mathrm{AUC}}_{\mathrm{CV}}(\boldsymbol{\theta})" id="6" name="image5.png"/>
            <a:graphic>
              <a:graphicData uri="http://schemas.openxmlformats.org/drawingml/2006/picture">
                <pic:pic>
                  <pic:nvPicPr>
                    <pic:cNvPr descr="\boldsymbol{\theta}^{*}=\underset{\boldsymbol{\theta}\in\Theta}{\arg\max}\;\overline{\mathrm{AUC}}_{\mathrm{CV}}(\boldsymbol{\theta})" id="0" name="image5.png"/>
                    <pic:cNvPicPr preferRelativeResize="0"/>
                  </pic:nvPicPr>
                  <pic:blipFill>
                    <a:blip r:embed="rId11"/>
                    <a:srcRect b="0" l="0" r="0" t="0"/>
                    <a:stretch>
                      <a:fillRect/>
                    </a:stretch>
                  </pic:blipFill>
                  <pic:spPr>
                    <a:xfrm>
                      <a:off x="0" y="0"/>
                      <a:ext cx="1701800" cy="3302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(1.5)</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 mục tiêu được tính sau khi huấn luyện và đánh giá cấu hình trên các fold. Vì không gian siêu tham số có thể chứa biến nguyên, biến liên tục, biến phân loại và các điều kiện phụ thuộc, HPO thường được tiếp cận như tối ưu một hàm hộp đen tốn chi phí. Việc mô hình bên trong sử dụng gradient không có nghĩa có thể trực tiếp lấy gradient của ROC-AUC theo mọi siêu tham số [14], [15].</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Grid Search đánh giá tất cả tổ hợp của những giá trị được đặt trên một lưới. Phương pháp dễ tổ chức và thuận tiện khi không gian nhỏ, nhưng số tổ hợp tăng nhanh khi thêm chiều. Random Search lấy mẫu cấu hình từ các phân phối đã xác định, cho phép chủ động giới hạn số trial và mở rộng ngân sách linh hoạt. Hiệu quả của cả hai phương pháp phụ thuộc vào phạm vi tìm kiếm và cách phân bổ các giá trị [14].</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phương pháp tìm kiếm dựa trên mô hình, trong đó có Bayesian Optimization và những phương pháp ước lượng mật độ như TPE, sử dụng kết quả các trial trước để hướng dẫn việc thử cấu hình tiếp theo. Lợi ích kỳ vọng là sử dụng ngân sách đánh giá hiệu quả hơn; tuy nhiên, vẫn phải cân bằng giữa khám phá vùng mới và khai thác vùng đã có kết quả tốt. Không có một chiến lược HPO được bảo đảm tốt nhất cho mọi không gian và ngân sách [14].</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Optuna là một công cụ hỗ trợ tổ chức HPO. Akiba và cộng sự nhấn mạnh thiết kế define-by-run, cơ chế tìm kiếm, cắt tỉa trial và kiến trúc thực thi linh hoạt [16]. Trong đề tài, Optuna được lựa chọn để quản lý các phép thử và lưu thông tin cấu hình, giá trị mục tiêu cùng trạng thái thực thi. Optuna là khung công cụ; nguyên lý của thuật toán tìm kiếm hoặc của tối ưu đa mục tiêu cần được trình bày dựa trên nguồn lý thuyết tương ứng.</w:t>
      </w:r>
    </w:p>
    <w:bookmarkStart w:colFirst="0" w:colLast="0" w:name="qdxbxc13uo51" w:id="17"/>
    <w:bookmarkEnd w:id="17"/>
    <w:p w:rsidR="00000000" w:rsidDel="00000000" w:rsidP="00000000" w:rsidRDefault="00000000" w:rsidRPr="00000000" w14:paraId="000000BC">
      <w:pPr>
        <w:pStyle w:val="Heading2"/>
        <w:widowControl w:val="1"/>
        <w:spacing w:line="360" w:lineRule="auto"/>
        <w:rPr/>
      </w:pPr>
      <w:r w:rsidDel="00000000" w:rsidR="00000000" w:rsidRPr="00000000">
        <w:rPr>
          <w:rtl w:val="0"/>
        </w:rPr>
        <w:t xml:space="preserve">1.5.2. Tối ưu đa mục tiêu và tập nghiệm Pareto</w:t>
      </w:r>
    </w:p>
    <w:p w:rsidR="00000000" w:rsidDel="00000000" w:rsidP="00000000" w:rsidRDefault="00000000" w:rsidRPr="00000000" w14:paraId="000000B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chất lượng mô hình được đánh giá bằng nhiều tiêu chí có thể xung đột, một cấu hình tối ưu cho tiêu chí này chưa chắc tối ưu cho tiêu chí khác. Tổng quan của Morales-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Hernández</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cộng sự cho thấy HPO đa mục tiêu là một hướng nghiên cứu riêng, gồm các phương pháp dựa trên metaheuristic, mô hình thay thế và phương pháp kết hợp [15]. Đối với đề tài, hai mục tiêu được xác định ở mức khái quát như sau:</w:t>
      </w:r>
    </w:p>
    <w:p w:rsidR="00000000" w:rsidDel="00000000" w:rsidP="00000000" w:rsidRDefault="00000000" w:rsidRPr="00000000" w14:paraId="000000BE">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94"/>
          <w:tab w:val="right" w:leader="none" w:pos="8788"/>
        </w:tabs>
        <w:spacing w:after="160" w:before="10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3073400" cy="304800"/>
            <wp:effectExtent b="0" l="0" r="0" t="0"/>
            <wp:docPr descr="\max_{\boldsymbol{\theta}\in\Theta}\;\mathbf{F}(\boldsymbol{\theta})=\left[f_1(\boldsymbol{\theta}),f_2(\boldsymbol{\theta})\right]=\left[\overline{\mathrm{AUC}}_{\mathrm{CV}}(\boldsymbol{\theta}),S(\boldsymbol{\theta})\right]" id="9" name="image11.png"/>
            <a:graphic>
              <a:graphicData uri="http://schemas.openxmlformats.org/drawingml/2006/picture">
                <pic:pic>
                  <pic:nvPicPr>
                    <pic:cNvPr descr="\max_{\boldsymbol{\theta}\in\Theta}\;\mathbf{F}(\boldsymbol{\theta})=\left[f_1(\boldsymbol{\theta}),f_2(\boldsymbol{\theta})\right]=\left[\overline{\mathrm{AUC}}_{\mathrm{CV}}(\boldsymbol{\theta}),S(\boldsymbol{\theta})\right]" id="0" name="image11.png"/>
                    <pic:cNvPicPr preferRelativeResize="0"/>
                  </pic:nvPicPr>
                  <pic:blipFill>
                    <a:blip r:embed="rId12"/>
                    <a:srcRect b="0" l="0" r="0" t="0"/>
                    <a:stretch>
                      <a:fillRect/>
                    </a:stretch>
                  </pic:blipFill>
                  <pic:spPr>
                    <a:xfrm>
                      <a:off x="0" y="0"/>
                      <a:ext cx="3073400" cy="3048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(1.6)</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đó,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S</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thị độ ổn định thứ hạng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toàn cục giữa nhiều lần huấn luyện. Hai mục tiêu có thể cùng cải thiện trong một vùng cấu hình và đánh đổi nhau trong vùng khác; sự xung đột không được giả định là luôn xảy ra mà cần quan sát qua thực nghiệm.</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hai mục tiêu đều cần tối đa hóa, cấu hình A chi phối cấu hình B nếu A không kém B ở cả hai mục tiêu và tốt hơn B ở ít nhất một mục tiêu. Các cấu hình không bị chi phối tạo thành tập nghiệm Pareto trong không gian siêu tham số; ảnh của chúng trong không gian giá trị mục tiêu tạo thành biên Pareto. Khi số trial hữu hạn, tập tìm được chỉ là tập nghiệm không bị chi phối trong các cấu hình đã đánh giá, được dùng để xấp xỉ biên Pareto thực sự [15], [17].</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NSGA-II là một thuật toán tiến hóa đa mục tiêu sử dụng sắp xếp không bị chi phối, cơ chế giữ lại nghiệm tốt và khoảng cách đám đông để duy trì sự phân bố của nghiệm. Các thành phần này hỗ trợ tìm kiếm đồng thời chất lượng và độ đa dạng của tập phương án [17]. NSGA-II cung cấp một cơ sở thuật toán phù hợp để khảo sát bài toán hai mục tiêu; lựa chọn sampler, kích thước quần thể và ngân sách cụ thể thuộc thiết kế phương pháp ở Chương 2.</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sử dụng biên Pareto cho phép quan sát chi phí dự đoán khi ưu tiên thêm độ ổn định. Một cấu hình có thể được quan tâm nếu giảm rất ít ROC-AUC nhưng tăng rõ độ ổn định; khả năng tồn tại cấu hình như vậy là câu hỏi cần kiểm chứng. Quy tắc chọn nghiệm đại diện phải được xác định từ dữ liệu phát triển và khóa trước khi đánh giá trên tập test.</w:t>
      </w:r>
    </w:p>
    <w:bookmarkStart w:colFirst="0" w:colLast="0" w:name="l6vl7zp311rb" w:id="18"/>
    <w:bookmarkEnd w:id="18"/>
    <w:p w:rsidR="00000000" w:rsidDel="00000000" w:rsidP="00000000" w:rsidRDefault="00000000" w:rsidRPr="00000000" w14:paraId="000000C3">
      <w:pPr>
        <w:pStyle w:val="Heading2"/>
        <w:widowControl w:val="1"/>
        <w:spacing w:line="360" w:lineRule="auto"/>
        <w:rPr/>
      </w:pPr>
      <w:r w:rsidDel="00000000" w:rsidR="00000000" w:rsidRPr="00000000">
        <w:rPr>
          <w:rtl w:val="0"/>
        </w:rPr>
        <w:t xml:space="preserve">1.5.3. Yêu cầu đối với một quy trình HPO đáng tin cậy</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Mọi cấu hình cần được đánh giá bằng cùng nguyên tắc chia dữ liệu và cùng tập seed hoặc fold được xác định trước. Nếu mỗi cấu hình nhìn thấy một cách chia dữ liệu khác nhau, chênh lệch điểm số có thể phản ánh nguồn biến thiên của đánh giá thay vì ảnh hưởng thực của siêu tham số. Với mục tiêu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stability, tập khách hàng được giải thích, không gian đặc trưng và thiết lập bộ giải thích cũng cần được giữ nhất quán.</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trial đa mục tiêu có thể cần nhiều lần huấn luyện và nhiều lần tính SHAP, vì vậy chi phí không tương đương một lần fit mô hình. So sánh HPO đơn mục tiêu và đa mục tiêu cần báo cáo số trial, số lần fit, số lần lặp, thời gian chạy và điều kiện phần cứng. Nếu sử dụng cùng số trial, điều đó vẫn chưa có nghĩa hai phương pháp tiêu thụ cùng tài nguyên. Việc báo cáo rõ ngân sách giúp đánh giá lợi ích của độ ổn định trong tương quan với chi phí đạt được.</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Ngoài ra, lặp lại việc lựa chọn cấu hình trên cùng dữ liệu phát triển có thể dẫn đến thích nghi quá mức với giao thức đó. Tập test độc lập và các kiểm tra bổ sung bằng seed hoặc lần lặp chưa dùng khi tối ưu là những cách để xem xét mức độ khái quát hóa. Những bước này phục vụ đánh giá kết quả sau lựa chọn và không được sử dụng để tiếp tục điều chỉnh cấu hình dựa trên tập test [4], [14].</w:t>
      </w:r>
    </w:p>
    <w:bookmarkStart w:colFirst="0" w:colLast="0" w:name="t78jiwog3f8y" w:id="19"/>
    <w:bookmarkEnd w:id="19"/>
    <w:p w:rsidR="00000000" w:rsidDel="00000000" w:rsidP="00000000" w:rsidRDefault="00000000" w:rsidRPr="00000000" w14:paraId="000000C7">
      <w:pPr>
        <w:pStyle w:val="Heading1"/>
        <w:widowControl w:val="1"/>
        <w:spacing w:line="360" w:lineRule="auto"/>
        <w:rPr/>
      </w:pPr>
      <w:r w:rsidDel="00000000" w:rsidR="00000000" w:rsidRPr="00000000">
        <w:rPr>
          <w:rtl w:val="0"/>
        </w:rPr>
        <w:t xml:space="preserve">1.6. Khả năng giải thích mô hình và </w:t>
      </w:r>
      <w:r w:rsidDel="00000000" w:rsidR="00000000" w:rsidRPr="00000000">
        <w:rPr>
          <w:rtl w:val="0"/>
        </w:rPr>
        <w:t xml:space="preserve">SHAP</w:t>
      </w:r>
      <w:r w:rsidDel="00000000" w:rsidR="00000000" w:rsidRPr="00000000">
        <w:rPr>
          <w:rtl w:val="0"/>
        </w:rPr>
      </w:r>
    </w:p>
    <w:bookmarkStart w:colFirst="0" w:colLast="0" w:name="k1d6aalb01bo" w:id="20"/>
    <w:bookmarkEnd w:id="20"/>
    <w:p w:rsidR="00000000" w:rsidDel="00000000" w:rsidP="00000000" w:rsidRDefault="00000000" w:rsidRPr="00000000" w14:paraId="000000C8">
      <w:pPr>
        <w:pStyle w:val="Heading2"/>
        <w:widowControl w:val="1"/>
        <w:spacing w:line="360" w:lineRule="auto"/>
        <w:rPr/>
      </w:pPr>
      <w:r w:rsidDel="00000000" w:rsidR="00000000" w:rsidRPr="00000000">
        <w:rPr>
          <w:rtl w:val="0"/>
        </w:rPr>
        <w:t xml:space="preserve">1.6.1. Giải thích cục bộ và giải thích toàn cục</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Khả năng giải thích mô hình liên quan đến việc làm rõ những thông tin mà mô hình sử dụng để tạo ra dự đoán. Một mô hình đơn giản có thể được khảo sát trực tiếp qua hệ số hoặc cấu trúc của nó. Đối với tổ hợp nhiều cây, phương pháp giải thích hậu nghiệm có thể hỗ trợ phân tích sau khi mô hình đã được huấn luyện [6], [7].</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Giải thích cục bộ tập trung vào một khách hàng cụ thể: những đặc trưng nào làm điểm dự đoán của khách hàng tăng hoặc giảm so với giá trị cơ sở. Giải thích toàn cục mô tả hành vi chung trên một tập quan sát, chẳng hạn đặc trưng nào có đóng góp lớn về mặt tổng hợp. Hai cấp độ giải thích trả lời những câu hỏi khác nhau; một đặc trưng quan trọng trên toàn bộ tập khách hàng chưa chắc có đóng góp lớn đối với từng cá nhân.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đồ án, SHAP được sử dụng để thu được đóng góp cục bộ, sau đó tổng hợp thành độ quan trọng toàn cục. Đại lượng được đánh giá độ ổn định là thứ hạng của các độ quan trọng toàn cục này. Vì vậy, kết quả không trực tiếp đại diện cho sự ổn định của lời giải thích dành cho từng khách hàng.</w:t>
      </w:r>
    </w:p>
    <w:bookmarkStart w:colFirst="0" w:colLast="0" w:name="bu258bn9ypyn" w:id="21"/>
    <w:bookmarkEnd w:id="21"/>
    <w:p w:rsidR="00000000" w:rsidDel="00000000" w:rsidP="00000000" w:rsidRDefault="00000000" w:rsidRPr="00000000" w14:paraId="000000CC">
      <w:pPr>
        <w:pStyle w:val="Heading2"/>
        <w:widowControl w:val="1"/>
        <w:spacing w:line="360" w:lineRule="auto"/>
        <w:rPr/>
      </w:pPr>
      <w:r w:rsidDel="00000000" w:rsidR="00000000" w:rsidRPr="00000000">
        <w:rPr>
          <w:rtl w:val="0"/>
        </w:rPr>
        <w:t xml:space="preserve">1.6.2. Cơ sở của </w:t>
      </w:r>
      <w:r w:rsidDel="00000000" w:rsidR="00000000" w:rsidRPr="00000000">
        <w:rPr>
          <w:rtl w:val="0"/>
        </w:rPr>
        <w:t xml:space="preserve">SHAP</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 viết tắt của SHapley Additive exPlanations, xây dựng cách gán đóng góp đặc trưng trên cơ sở giá trị Shapley trong lý thuyết trò chơi hợp tác. Các đặc trưng được xem như những thành phần cùng tạo ra dự đoán; đóng góp của một đặc trưng được xác định bằng cách tổng hợp đóng góp biên của nó khi tham gia các tập đặc trưng khác nhau [6].</w:t>
      </w:r>
    </w:p>
    <w:p w:rsidR="00000000" w:rsidDel="00000000" w:rsidP="00000000" w:rsidRDefault="00000000" w:rsidRPr="00000000" w14:paraId="000000C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Gọi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M</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tập gồm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M</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đặc trưng và </w:t>
      </w:r>
      <m:oMath>
        <m:sSub>
          <m:sSubPr>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x</m:t>
            </m:r>
          </m:sub>
        </m:sSub>
        <m:d>
          <m:dPr>
            <m:begChr m:val="("/>
            <m:endChr m:val=")"/>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A</m:t>
            </m:r>
          </m:e>
        </m:d>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giá trị mô hình ứng với tập đặc trưng được giữ lại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A</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theo quy ước xác định phần đặc trưng còn thiếu. Ký hiệu </w:t>
      </w:r>
      <m:oMath>
        <m:sSub>
          <m:sSubPr>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A</m:t>
            </m:r>
          </m:e>
          <m:sub>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j</m:t>
            </m:r>
          </m:sub>
        </m:sSub>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tập các tập con của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M</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chứa đặc trưng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j</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Giá trị Shapley của đặc trưng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j</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có dạng:</w:t>
      </w:r>
    </w:p>
    <w:p w:rsidR="00000000" w:rsidDel="00000000" w:rsidP="00000000" w:rsidRDefault="00000000" w:rsidRPr="00000000" w14:paraId="000000CF">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94"/>
          <w:tab w:val="right" w:leader="none" w:pos="8788"/>
        </w:tabs>
        <w:spacing w:after="160" w:before="10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3200400" cy="381000"/>
            <wp:effectExtent b="0" l="0" r="0" t="0"/>
            <wp:docPr descr="\phi_j(\mathbf{x})=\sum_{A\in\mathcal{A}_j}\frac{|A|!\,(M-|A|-1)!}{M!}\left[v_{\mathbf{x}}(A\cup\left\{j\right\})-v_{\mathbf{x}}(A)\right]" id="8" name="image8.png"/>
            <a:graphic>
              <a:graphicData uri="http://schemas.openxmlformats.org/drawingml/2006/picture">
                <pic:pic>
                  <pic:nvPicPr>
                    <pic:cNvPr descr="\phi_j(\mathbf{x})=\sum_{A\in\mathcal{A}_j}\frac{|A|!\,(M-|A|-1)!}{M!}\left[v_{\mathbf{x}}(A\cup\left\{j\right\})-v_{\mathbf{x}}(A)\right]" id="0" name="image8.png"/>
                    <pic:cNvPicPr preferRelativeResize="0"/>
                  </pic:nvPicPr>
                  <pic:blipFill>
                    <a:blip r:embed="rId13"/>
                    <a:srcRect b="0" l="0" r="0" t="0"/>
                    <a:stretch>
                      <a:fillRect/>
                    </a:stretch>
                  </pic:blipFill>
                  <pic:spPr>
                    <a:xfrm>
                      <a:off x="0" y="0"/>
                      <a:ext cx="3200400" cy="381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(1.7)</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số trong tổng phản ánh việc lấy trung bình đóng góp biên qua các thứ tự xuất hiện của đặc trưng. Việc xác định </w:t>
      </w:r>
      <m:oMath>
        <m:sSub>
          <m:sSubPr>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v</m:t>
            </m:r>
          </m:e>
          <m:sub>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x</m:t>
            </m:r>
          </m:sub>
        </m:sSub>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một phần thiết yếu của bài toán giải thích: cần nêu cách xử lý những đặc trưng không có trong tập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A</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thông tin nền được dùng để tính kỳ vọng. Khi các biến có tương quan, lựa chọn này có thể ảnh hưởng đến giá trị được gán cho từng biến [6], [7].</w:t>
      </w:r>
    </w:p>
    <w:p w:rsidR="00000000" w:rsidDel="00000000" w:rsidP="00000000" w:rsidRDefault="00000000" w:rsidRPr="00000000" w14:paraId="000000D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đại lượng đầu ra được giải thích là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h</m:t>
        </m:r>
        <m:d>
          <m:dPr>
            <m:begChr m:val="("/>
            <m:endChr m:val=")"/>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x</m:t>
            </m:r>
          </m:e>
        </m:d>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tính cộng cho phép biểu diễn dự đoán thành giá trị cơ sở và tổng đóng góp:</w:t>
      </w:r>
    </w:p>
    <w:p w:rsidR="00000000" w:rsidDel="00000000" w:rsidP="00000000" w:rsidRDefault="00000000" w:rsidRPr="00000000" w14:paraId="000000D2">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94"/>
          <w:tab w:val="right" w:leader="none" w:pos="8788"/>
        </w:tabs>
        <w:spacing w:after="160" w:before="10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1409700" cy="444500"/>
            <wp:effectExtent b="0" l="0" r="0" t="0"/>
            <wp:docPr descr="h(\mathbf{x})=\phi_0+\sum_{j=1}^{M}\phi_j(\mathbf{x})" id="11" name="image2.png"/>
            <a:graphic>
              <a:graphicData uri="http://schemas.openxmlformats.org/drawingml/2006/picture">
                <pic:pic>
                  <pic:nvPicPr>
                    <pic:cNvPr descr="h(\mathbf{x})=\phi_0+\sum_{j=1}^{M}\phi_j(\mathbf{x})" id="0" name="image2.png"/>
                    <pic:cNvPicPr preferRelativeResize="0"/>
                  </pic:nvPicPr>
                  <pic:blipFill>
                    <a:blip r:embed="rId14"/>
                    <a:srcRect b="0" l="0" r="0" t="0"/>
                    <a:stretch>
                      <a:fillRect/>
                    </a:stretch>
                  </pic:blipFill>
                  <pic:spPr>
                    <a:xfrm>
                      <a:off x="0" y="0"/>
                      <a:ext cx="1409700" cy="444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(1.8)</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 trị </w:t>
      </w:r>
      <m:oMath>
        <m:sSub>
          <m:sSubPr>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sSubPr>
          <m:e>
            <m:r>
              <m:t>ϕ</m:t>
            </m:r>
          </m:e>
          <m:sub>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0</m:t>
            </m:r>
          </m:sub>
        </m:sSub>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mức cơ sở theo thiết lập giải thích; </w:t>
      </w:r>
      <m:oMath>
        <m:sSub>
          <m:sSubPr>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sSubPr>
          <m:e>
            <m:r>
              <m:t>ϕ</m:t>
            </m:r>
          </m:e>
          <m:sub>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j</m:t>
            </m:r>
          </m:sub>
        </m:sSub>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thị phần đóng góp của đặc trưng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j</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trên cùng thang đo với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h</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đang giải thích điểm đầu ra dạng log-odds,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cũng có đơn vị log-odds và không được diễn giải trực tiếp thành mức thay đổi xác suất. Nếu giải thích trên thang xác suất bằng một thiết lập phù hợp, phép cộng mới được hiểu trên thang xác suất đó. Thang đầu ra phải được công bố thống nhất trong các lần so sánh.</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Lundberg và Lee xác định các thuộc tính gồm độ chính xác cục bộ, tính không đóng góp của thành phần thiếu và tính nhất quán trong lớp phương pháp giải thích cộng [6]. Tính nhất quán ở đây liên quan đến cách phần đóng góp được gán thay đổi khi đóng góp biên của đặc trưng tăng theo các điều kiện của định lý. Thuộc tính đó không bảo đảm thứ hạng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bất biến khi huấn luyện lại mô hình với dữ liệu hoặc seed khác nhau.</w:t>
      </w:r>
    </w:p>
    <w:bookmarkStart w:colFirst="0" w:colLast="0" w:name="hcxe0dbmubie" w:id="22"/>
    <w:bookmarkEnd w:id="22"/>
    <w:p w:rsidR="00000000" w:rsidDel="00000000" w:rsidP="00000000" w:rsidRDefault="00000000" w:rsidRPr="00000000" w14:paraId="000000D5">
      <w:pPr>
        <w:pStyle w:val="Heading2"/>
        <w:widowControl w:val="1"/>
        <w:spacing w:line="360" w:lineRule="auto"/>
        <w:rPr/>
      </w:pPr>
      <w:r w:rsidDel="00000000" w:rsidR="00000000" w:rsidRPr="00000000">
        <w:rPr>
          <w:rtl w:val="0"/>
        </w:rPr>
        <w:t xml:space="preserve">1.6.3. TreeSHAP và độ quan trọng toàn cục</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trực tiếp giá trị Shapley đòi hỏi xét nhiều tổ hợp đặc trưng và trở nên tốn kém khi số chiều tăng. Đối với mô hình cây, công trình của Lundberg và cộng sự phát triển thuật toán tính giải thích dựa trên cấu trúc cây với thời gian đa thức, đồng thời trình bày cách tổng hợp nhiều giải thích cục bộ để hiểu hành vi toàn cục [7]. Đây là cơ sở để lựa chọn TreeSHAP khi phân tích XGBoost trong đề tài.</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TreeSHAP giúp giảm chi phí tính toán nhưng không tự giải quyết toàn bộ các lựa chọn về ý nghĩa của giải thích. Cần cố định chế độ xử lý phụ thuộc đặc trưng,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đầu ra và dữ liệu nền nếu thiết lập yêu cầu dữ liệu nền. Tập dữ liệu nền dùng để xác định kỳ vọng cũng cần được phân biệt với tập quan sát được đem ra giải thích: hai tập này có thể có vai trò khác nhau dù đôi khi được lựa chọn từ cùng một nguồn.</w:t>
      </w:r>
    </w:p>
    <w:p w:rsidR="00000000" w:rsidDel="00000000" w:rsidP="00000000" w:rsidRDefault="00000000" w:rsidRPr="00000000" w14:paraId="000000D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Trên tập tham chiếu gồm </w:t>
      </w:r>
      <m:oMath>
        <m:sSub>
          <m:sSubPr>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N</m:t>
            </m:r>
          </m:e>
          <m:sub>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ref</m:t>
            </m:r>
          </m:sub>
        </m:sSub>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khách hàng, độ quan trọng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toàn cục của đặc trưng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j</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xác định bằng trung bình trị tuyệt đối các đóng góp [7]:</w:t>
      </w:r>
    </w:p>
    <w:p w:rsidR="00000000" w:rsidDel="00000000" w:rsidP="00000000" w:rsidRDefault="00000000" w:rsidRPr="00000000" w14:paraId="000000D9">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94"/>
          <w:tab w:val="right" w:leader="none" w:pos="8788"/>
        </w:tabs>
        <w:spacing w:after="160" w:before="10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1181100" cy="444500"/>
            <wp:effectExtent b="0" l="0" r="0" t="0"/>
            <wp:docPr descr="I_j=\frac{1}{N_{\mathrm{ref}}}\sum_{i=1}^{N_{\mathrm{ref}}}|\phi_j(\mathbf{x}_i)|" id="10" name="image3.png"/>
            <a:graphic>
              <a:graphicData uri="http://schemas.openxmlformats.org/drawingml/2006/picture">
                <pic:pic>
                  <pic:nvPicPr>
                    <pic:cNvPr descr="I_j=\frac{1}{N_{\mathrm{ref}}}\sum_{i=1}^{N_{\mathrm{ref}}}|\phi_j(\mathbf{x}_i)|" id="0" name="image3.png"/>
                    <pic:cNvPicPr preferRelativeResize="0"/>
                  </pic:nvPicPr>
                  <pic:blipFill>
                    <a:blip r:embed="rId15"/>
                    <a:srcRect b="0" l="0" r="0" t="0"/>
                    <a:stretch>
                      <a:fillRect/>
                    </a:stretch>
                  </pic:blipFill>
                  <pic:spPr>
                    <a:xfrm>
                      <a:off x="0" y="0"/>
                      <a:ext cx="1181100" cy="4445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(1.9)</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Trị tuyệt đối ngăn đóng góp dương và âm triệt tiêu khi tổng hợp. Đổi lại, </w:t>
      </w:r>
      <m:oMath>
        <m:sSub>
          <m:sSubPr>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I</m:t>
            </m:r>
          </m:e>
          <m:sub>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j</m:t>
            </m:r>
          </m:sub>
        </m:sSub>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phản ánh cường độ đóng góp trung bình, không cho biết đặc trưng làm rủi ro tăng hay giảm. Để phân tích chiều tác động, cần xem thêm phân phối giá trị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hoặc các giải thích cục bộ.</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Khi một biến được mã hóa thành nhiều cột, đơn vị xếp hạng phải được xác định rõ. Có thể xếp hạng từng cột sau mã hóa hoặc tổng hợp về biến gốc, nhưng cần giữ cùng quy tắc giữa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mọi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lần chạy. Nếu lựa chọn tổng hợp về biến gốc, phép cộng đóng góp của các cột trong từng quan sát rồi lấy trị tuyệt đối không đồng nhất với cộng các độ quan trọng tuyệt đối của từng cột. Do đó, quy tắc tổng hợp phải được mô tả và giữ cố định trong phương pháp tính độ ổn định.</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biểu diễn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mô hình sử dụng thông tin để tạo dự đoán trong một thiết lập giải thích. Giá trị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lớn không chứng minh rằng can thiệp vào đặc trưng sẽ gây ra thay đổi tương ứng trong rủi ro thực tế. Tương tự, có giải thích bằng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tự chứng minh mô hình công bằng hoặc phù hợp để ra quyết định tín dụng. Trong đề tài,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dùng với mục đích phân tích hành vi mô hình và lượng hóa tính tái lập của thứ hạng đặc trưng.</w:t>
      </w:r>
    </w:p>
    <w:bookmarkStart w:colFirst="0" w:colLast="0" w:name="aabpw0kat6j6" w:id="23"/>
    <w:bookmarkEnd w:id="23"/>
    <w:p w:rsidR="00000000" w:rsidDel="00000000" w:rsidP="00000000" w:rsidRDefault="00000000" w:rsidRPr="00000000" w14:paraId="000000DD">
      <w:pPr>
        <w:pStyle w:val="Heading1"/>
        <w:widowControl w:val="1"/>
        <w:spacing w:line="360" w:lineRule="auto"/>
        <w:rPr/>
      </w:pPr>
      <w:r w:rsidDel="00000000" w:rsidR="00000000" w:rsidRPr="00000000">
        <w:rPr>
          <w:rtl w:val="0"/>
        </w:rPr>
        <w:t xml:space="preserve">1.7. Độ ổn định và robustness của giải thích</w:t>
      </w:r>
    </w:p>
    <w:bookmarkStart w:colFirst="0" w:colLast="0" w:name="s46hy3dn2vox" w:id="24"/>
    <w:bookmarkEnd w:id="24"/>
    <w:p w:rsidR="00000000" w:rsidDel="00000000" w:rsidP="00000000" w:rsidRDefault="00000000" w:rsidRPr="00000000" w14:paraId="000000DE">
      <w:pPr>
        <w:pStyle w:val="Heading2"/>
        <w:widowControl w:val="1"/>
        <w:spacing w:line="360" w:lineRule="auto"/>
        <w:rPr/>
      </w:pPr>
      <w:r w:rsidDel="00000000" w:rsidR="00000000" w:rsidRPr="00000000">
        <w:rPr>
          <w:rtl w:val="0"/>
        </w:rPr>
        <w:t xml:space="preserve">1.7.1. Phân biệt các nguồn biến thiên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Độ ổn định của giải thích chỉ có ý nghĩa khi xác định rõ thành phần nào được thay đổi và thành phần nào được giữ cố định. Alvarez-Melis và Jaakkola xem robustness theo góc độ những đầu vào tương tự nên có giải thích tương tự, đồng thời đề xuất các thước đo để khảo sát độ nhạy của giải thích với biến thiên đầu vào [18]. Cách đặt vấn đề này tập trung vào vùng lân cận của một quan sát dưới mô hình đang xét.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cách tiếp cận khác là huấn luyện lại mô hình rồi so sánh giải thích trên cùng những quan sát. Lúc này, nguồn biến thiên có thể đến từ seed, lấy mẫu quan sát, lấy mẫu đặc trưng hoặc cách phân chia dữ liệu. Lin và Wang nghiên cứu trực tiếp sự nhất quán của thứ hạng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giữa các mô hình XGBoost có cùng siêu tham số nhưng khác seed [19]. Ballegeer và cộng sự khảo sát giải thích dưới các thay đổi có kiểm soát về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tỷ</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lệ lớp và thiết kế học nhạy chi phí [20].</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Ngoài biến thiên đầu vào và biến thiên mô hình, bản thân một bộ giải thích xấp xỉ cũng có thể chứa ngẫu nhiên, chẳng hạn lấy mẫu tổ hợp hoặc dữ liệu nền. Các nguồn này cần được kiểm soát để tránh quy toàn bộ chênh lệch quan sát được cho mô hình. Trong đồ án, thuật ngữ “độ ổn định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chủ yếu chỉ sự nhất quán của thứ hạng độ quan trọng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toàn cục giữa nhiều lần huấn luyện XGBoost theo giao thức đã xác định.</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thay đổi seed chỉ có tác dụng kiểm tra một nguồn ngẫu nhiên đang thực sự hoạt động. Nếu cấu hình và quá trình huấn luyện là xác định hoặc không có bước lấy mẫu chịu ảnh hưởng của seed, lặp lại bằng các seed khác nhau có thể cho cùng mô hình. Điểm ổn định cao trong trường hợp đó chỉ phản ánh điều kiện lặp đã chọn, chưa đủ chứng minh khả năng chịu biến động dữ liệu. Đây là lý do cần phân biệt thử nghiệm thay seed với thử nghiệm tái lấy mẫu dữ liệu.</w:t>
      </w:r>
    </w:p>
    <w:bookmarkStart w:colFirst="0" w:colLast="0" w:name="ravdvxm5pf0s" w:id="25"/>
    <w:bookmarkEnd w:id="25"/>
    <w:p w:rsidR="00000000" w:rsidDel="00000000" w:rsidP="00000000" w:rsidRDefault="00000000" w:rsidRPr="00000000" w14:paraId="000000E3">
      <w:pPr>
        <w:pStyle w:val="Heading2"/>
        <w:widowControl w:val="1"/>
        <w:spacing w:line="360" w:lineRule="auto"/>
        <w:rPr/>
      </w:pPr>
      <w:r w:rsidDel="00000000" w:rsidR="00000000" w:rsidRPr="00000000">
        <w:rPr>
          <w:rtl w:val="0"/>
        </w:rPr>
        <w:t xml:space="preserve">1.7.2. Các thước đo được sử dụng</w:t>
      </w:r>
    </w:p>
    <w:p w:rsidR="00000000" w:rsidDel="00000000" w:rsidP="00000000" w:rsidRDefault="00000000" w:rsidRPr="00000000" w14:paraId="000000E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một cấu hình siêu tham số </w:t>
      </w:r>
      <m:oMath>
        <m:r>
          <m:t>θ</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giả sử mô hình được huấn luyện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R</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lần, với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R</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m:t>
        </m:r>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2</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Mỗi lần chạy tạo ra một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vector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độ quan trọng </w:t>
      </w:r>
      <m:oMath>
        <m:sSup>
          <m:sSupPr>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I</m:t>
            </m:r>
          </m:e>
          <m:sup>
            <m:d>
              <m:dPr>
                <m:begChr m:val="("/>
                <m:endChr m:val=")"/>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dPr>
              <m:e>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r</m:t>
                </m:r>
              </m:e>
            </m:d>
          </m:sup>
        </m:sSup>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gồm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M</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thành phần, được tính trên cùng tập tham chiếu. Một thước đo phù hợp với mục tiêu nhất quán thứ hạng là tương quan Spearman trung bình giữa các cặp lần chạy:</w:t>
      </w:r>
    </w:p>
    <w:p w:rsidR="00000000" w:rsidDel="00000000" w:rsidP="00000000" w:rsidRDefault="00000000" w:rsidRPr="00000000" w14:paraId="000000E5">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94"/>
          <w:tab w:val="right" w:leader="none" w:pos="8788"/>
        </w:tabs>
        <w:spacing w:after="160" w:before="10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2324100" cy="330200"/>
            <wp:effectExtent b="0" l="0" r="0" t="0"/>
            <wp:docPr descr="S(\boldsymbol{\theta})=\frac{2}{R(R-1)}\sum_{1\leq a&lt;b\leq R}\rho_s\!\left(\mathbf{I}^{(a)},\mathbf{I}^{(b)}\right)" id="13" name="image7.png"/>
            <a:graphic>
              <a:graphicData uri="http://schemas.openxmlformats.org/drawingml/2006/picture">
                <pic:pic>
                  <pic:nvPicPr>
                    <pic:cNvPr descr="S(\boldsymbol{\theta})=\frac{2}{R(R-1)}\sum_{1\leq a&lt;b\leq R}\rho_s\!\left(\mathbf{I}^{(a)},\mathbf{I}^{(b)}\right)" id="0" name="image7.png"/>
                    <pic:cNvPicPr preferRelativeResize="0"/>
                  </pic:nvPicPr>
                  <pic:blipFill>
                    <a:blip r:embed="rId16"/>
                    <a:srcRect b="0" l="0" r="0" t="0"/>
                    <a:stretch>
                      <a:fillRect/>
                    </a:stretch>
                  </pic:blipFill>
                  <pic:spPr>
                    <a:xfrm>
                      <a:off x="0" y="0"/>
                      <a:ext cx="2324100" cy="3302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(1.10)</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Ở đây, </w:t>
      </w:r>
      <m:oMath>
        <m:sSub>
          <m:sSubPr>
            <m:ctrl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ctrlPr>
          </m:sSubPr>
          <m:e>
            <m:r>
              <m:t>ρ</m:t>
            </m:r>
          </m:e>
          <m:sub>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s</m:t>
            </m:r>
          </m:sub>
        </m:sSub>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hệ số tương quan giữa thứ hạng của hai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vector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Giá trị gần 1 cho thấy sự đồng thuận cao về thứ tự quan trọng; giá trị thấp hơn thể hiện mức nhất quán kém hơn. Về phạm vi,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tương quan Spearman nằm trong đoạn từ −1 đến 1. Khi có các giá trị bằng nhau, cần áp dụng quy tắc hạng đồng mức. Nếu một vector có mọi phần tử bằng nhau, tương quan không được xác định; quy trình thực nghiệm phải công bố cách xử lý trường hợp này và không xem nó là bằng chứng về độ ổn định hoàn hảo.</w:t>
      </w:r>
    </w:p>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Spearman quan tâm đến thứ tự trên toàn bộ danh sách. Để bổ sung góc nhìn về những đặc trưng quan trọng nhất, có thể dùng Jaccard cho hai tập top-k. Gọi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A</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m:oMath>
        <m: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m:t xml:space="preserve">B</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hai tập đặc trưng được chọn, độ tương đồng được xác định bằng:</w:t>
      </w:r>
    </w:p>
    <w:p w:rsidR="00000000" w:rsidDel="00000000" w:rsidP="00000000" w:rsidRDefault="00000000" w:rsidRPr="00000000" w14:paraId="000000E8">
      <w:pPr>
        <w:keepNext w:val="0"/>
        <w:keepLines w:val="1"/>
        <w:pageBreakBefore w:val="0"/>
        <w:widowControl w:val="1"/>
        <w:pBdr>
          <w:top w:space="0" w:sz="0" w:val="nil"/>
          <w:left w:space="0" w:sz="0" w:val="nil"/>
          <w:bottom w:space="0" w:sz="0" w:val="nil"/>
          <w:right w:space="0" w:sz="0" w:val="nil"/>
          <w:between w:space="0" w:sz="0" w:val="nil"/>
        </w:pBdr>
        <w:shd w:fill="auto" w:val="clear"/>
        <w:tabs>
          <w:tab w:val="center" w:leader="none" w:pos="4394"/>
          <w:tab w:val="right" w:leader="none" w:pos="8788"/>
        </w:tabs>
        <w:spacing w:after="160" w:before="100" w:line="276"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inline distB="0" distT="0" distL="114300" distR="114300">
            <wp:extent cx="1003300" cy="254000"/>
            <wp:effectExtent b="0" l="0" r="0" t="0"/>
            <wp:docPr descr="J(A,B)=\frac{|A\cap B|}{|A\cup B|}" id="12" name="image1.png"/>
            <a:graphic>
              <a:graphicData uri="http://schemas.openxmlformats.org/drawingml/2006/picture">
                <pic:pic>
                  <pic:nvPicPr>
                    <pic:cNvPr descr="J(A,B)=\frac{|A\cap B|}{|A\cup B|}" id="0" name="image1.png"/>
                    <pic:cNvPicPr preferRelativeResize="0"/>
                  </pic:nvPicPr>
                  <pic:blipFill>
                    <a:blip r:embed="rId17"/>
                    <a:srcRect b="0" l="0" r="0" t="0"/>
                    <a:stretch>
                      <a:fillRect/>
                    </a:stretch>
                  </pic:blipFill>
                  <pic:spPr>
                    <a:xfrm>
                      <a:off x="0" y="0"/>
                      <a:ext cx="1003300" cy="2540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ab/>
        <w:t xml:space="preserve">(1.11)</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Jaccard bằng 1 khi hai tập trùng nhau và bằng 0 khi không có phần tử chung. Chỉ số này không phản ánh thứ tự bên trong top-k, nên cần được hiểu như một phép bổ sung cho Spearman. Giá trị k và quy tắc xử lý đồng hạng tại ranh giới top-k phải được xác định trước để kết quả giữa các cấu hình có thể so sánh.</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Kendall’s W đo mức đồng thuận của nhiều bảng xếp hạng và đã được Lin và Wang sử dụng trong nghiên cứu SHAP stability [19]. Khi có đồng hạng, cách tính cần xét hiệu chỉnh phù hợp. Trong đề tài, Spearman trung bình được chọn làm mục tiêu tối ưu chính; top-k Jaccard và Kendall’s W có thể phục vụ phân tích bổ sung. Không đưa đồng thời nhiều độ đo gần nhau vào hàm mục tiêu giúp giữ rõ ý nghĩa của bài toán hai mục tiêu.</w:t>
      </w:r>
    </w:p>
    <w:bookmarkStart w:colFirst="0" w:colLast="0" w:name="tb3pu3d7y7ik" w:id="26"/>
    <w:bookmarkEnd w:id="26"/>
    <w:p w:rsidR="00000000" w:rsidDel="00000000" w:rsidP="00000000" w:rsidRDefault="00000000" w:rsidRPr="00000000" w14:paraId="000000EB">
      <w:pPr>
        <w:pStyle w:val="Heading2"/>
        <w:widowControl w:val="1"/>
        <w:spacing w:line="360" w:lineRule="auto"/>
        <w:rPr/>
      </w:pPr>
      <w:r w:rsidDel="00000000" w:rsidR="00000000" w:rsidRPr="00000000">
        <w:rPr>
          <w:rtl w:val="0"/>
        </w:rPr>
        <w:t xml:space="preserve">1.7.3. Giới hạn của việc diễn giải độ ổn định</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Độ ổn định thứ hạng không bao quát mọi đặc điểm của giải thích. Hai mô hình có thể giữ nguyên thứ tự đặc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nhưng khác đáng kể về độ lớn của giá trị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Tương tự, sự ổn định của trung bình trị tuyệt đối không bảo đảm dấu đóng góp hoặc lời giải thích cho từng khách hàng luôn giống nhau. Vì vậy, kết quả của thước đo trong đề tài cần được diễn giải đúng là độ ổn định của thứ hạng toàn cục.</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Một mô hình kém hữu ích vẫn có thể tạo ra kết quả giải thích lặp lại. Chẳng hạn, mô hình gần như không sử dụng thông tin đầu vào có thể cho các độ quan trọng đều rất nhỏ. Nếu chỉ tối đa hóa độ ổn định mà bỏ qua khả năng dự đoán và các trường hợp suy biến, quá trình lựa chọn có thể ưu tiên những cấu hình không đáp ứng mục tiêu nghiên cứu. Việc tối ưu đồng thời ROC-AUC và độ ổn định giúp nhìn nhận hai tiêu chí trong cùng một không gian đánh giá.</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Cuối cùng, số lần huấn luyện hữu hạn tạo ra sai số ước lượng cho độ ổn định. Cần báo cáo số lần lặp và mức biến thiên quan sát được, đồng thời phân biệt kết quả dùng trong tối ưu với kết quả kiểm tra lại các nghiệm đã chọn. Các tương quan theo cặp cũng không độc lập hoàn toàn vì nhiều cặp dùng chung một lần chạy; không nên xem mọi cặp là các mẫu độc lập khi suy luận thống kê.</w:t>
      </w:r>
    </w:p>
    <w:bookmarkStart w:colFirst="0" w:colLast="0" w:name="q4w43kp4uzfi" w:id="27"/>
    <w:bookmarkEnd w:id="27"/>
    <w:p w:rsidR="00000000" w:rsidDel="00000000" w:rsidP="00000000" w:rsidRDefault="00000000" w:rsidRPr="00000000" w14:paraId="000000EF">
      <w:pPr>
        <w:pStyle w:val="Heading1"/>
        <w:widowControl w:val="1"/>
        <w:spacing w:line="360" w:lineRule="auto"/>
        <w:rPr/>
      </w:pPr>
      <w:r w:rsidDel="00000000" w:rsidR="00000000" w:rsidRPr="00000000">
        <w:rPr>
          <w:rtl w:val="0"/>
        </w:rPr>
        <w:t xml:space="preserve">1.8. Các nghiên cứu liên quan</w:t>
      </w:r>
    </w:p>
    <w:bookmarkStart w:colFirst="0" w:colLast="0" w:name="lapk0x2q5qob" w:id="28"/>
    <w:bookmarkEnd w:id="28"/>
    <w:p w:rsidR="00000000" w:rsidDel="00000000" w:rsidP="00000000" w:rsidRDefault="00000000" w:rsidRPr="00000000" w14:paraId="000000F0">
      <w:pPr>
        <w:pStyle w:val="Heading2"/>
        <w:widowControl w:val="1"/>
        <w:spacing w:line="360" w:lineRule="auto"/>
        <w:rPr/>
      </w:pPr>
      <w:r w:rsidDel="00000000" w:rsidR="00000000" w:rsidRPr="00000000">
        <w:rPr>
          <w:rtl w:val="0"/>
        </w:rPr>
        <w:t xml:space="preserve">1.8.1. Nghiên cứu về dự đoán rủi ro tín dụng</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Yeh và Lien so sánh sáu phương pháp khai phá dữ liệu trong dự đoán default của khách hàng thẻ tín dụng, đồng thời nhấn mạnh việc đánh giá xác suất dự đoán bên cạnh kết quả phân loại nhị phân [2]. Công trình cung cấp bối cảnh cho các biến nhân khẩu học và lịch sử thanh toán được sử dụng trong đề tài. Tuy nhiên, các kết quả của nghiên cứu gốc gắn với mẫu, phương pháp và tiêu chí đánh giá của công trình đó; không thể sử dụng trực tiếp để dự báo thứ hạng của sáu mô hình trong đồ án hiện tại.</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Lessmann và cộng sự thực hiện benchmark 41 phương pháp phân loại trên tám bộ dữ liệu credit scoring, sử dụng sáu thước đo đánh giá [1]. Nghiên cứu cho thấy nhiều phương pháp tổ hợp có kết quả cạnh tranh và khuyến nghị sử dụng những đối chứng đủ mạnh khi đánh giá một phương pháp mới. Giá trị kế thừa đối với đồ án là nguyên tắc so sánh có hệ thống trên cùng điều kiện đánh giá. Công trình này không khảo sát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cũng không cung cấp bằng chứng trực tiếp rằng XGBoost luôn đứng đầu trong credit scoring.</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công trình về Random Forest, Gradient Boosting, XGBoost, LightGBM và CatBoost cung cấp nền tảng thuật toán cho các mô hình được chọn [9]–[13]. Những đóng góp về hiệu quả dự đoán hoặc tính toán trong các công trình này là cơ sở để xây dựng đối chứng, nhưng không thay thế việc đánh giá lại trên dữ liệu của đề tài.</w:t>
      </w:r>
    </w:p>
    <w:bookmarkStart w:colFirst="0" w:colLast="0" w:name="kt94nqwyo1c3" w:id="29"/>
    <w:bookmarkEnd w:id="29"/>
    <w:p w:rsidR="00000000" w:rsidDel="00000000" w:rsidP="00000000" w:rsidRDefault="00000000" w:rsidRPr="00000000" w14:paraId="000000F4">
      <w:pPr>
        <w:pStyle w:val="Heading2"/>
        <w:widowControl w:val="1"/>
        <w:spacing w:line="360" w:lineRule="auto"/>
        <w:rPr/>
      </w:pPr>
      <w:r w:rsidDel="00000000" w:rsidR="00000000" w:rsidRPr="00000000">
        <w:rPr>
          <w:rtl w:val="0"/>
        </w:rPr>
        <w:t xml:space="preserve">1.8.2. Nghiên cứu về </w:t>
      </w:r>
      <w:r w:rsidDel="00000000" w:rsidR="00000000" w:rsidRPr="00000000">
        <w:rPr>
          <w:rtl w:val="0"/>
        </w:rPr>
        <w:t xml:space="preserve">SHAP</w:t>
      </w:r>
      <w:r w:rsidDel="00000000" w:rsidR="00000000" w:rsidRPr="00000000">
        <w:rPr>
          <w:rtl w:val="0"/>
        </w:rPr>
        <w:t xml:space="preserve"> và độ ổn định giải thích</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Lundberg và Lee xây dựng khung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thống nhất các phương pháp gán đóng góp đặc trưng trong lớp giải thích cộng [6]. Lundberg và cộng sự tiếp tục phát triển phương pháp giải thích cho mô hình cây và cách kết hợp giải thích cục bộ thành hiểu biết toàn cục [7]. Hai công trình này cung cấp cơ sở lựa chọn phương pháp giải thích và đại lượng mean absolute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nhưng không khẳng định mọi mô hình được huấn luyện lại sẽ có cùng thứ hạng quan trọng.</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Alvarez-Melis và Jaakkola chỉ ra rằng độ nhạy của giải thích với những thay đổi nhỏ ở đầu vào là một khía cạnh cần được đo lường [18]. Công trình giúp xác lập yêu cầu về tính ổn định như một thuộc tính của phương pháp giải thích. Tuy vậy, bài toán robustness theo đầu vào khác với bài toán so sánh các mô hình được huấn luyện lại. Trong đồ án, sự khác biệt này được giữ rõ để tránh dùng kết luận từ một loại phép thử thay thế cho loại còn lại.</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Ballegeer, Bogaert và Benoit nghiên cứu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LIME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credit scoring có chi phí phụ thuộc từng quan sát, trên bốn bộ dữ liệu công khai [20]. Các tác giả thay đổi tỷ lệ default của tập huấn luyện trong khoảng 1% đến 30% thông qua tái lấy mẫu có kiểm soát, với 25 lần lặp tại mỗi mức tỷ lệ. Nghiên cứu sử dụng hệ số biến thiên và Sequential Rank Agreement để xem xét biến động độ quan trọng và thứ hạng. Trong các điều kiện được khảo sát, mô hình nhạy chi phí có thể cải thiện hiệu quả chi phí nhưng tạo giải thích kém ổn định hơn, đặc biệt khi mức mất cân bằng tăng.</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của Ballegeer và cộng sự cho thấy cần phân tích độ ổn định trong mối quan hệ với mục tiêu học và cấu trúc dữ liệu. Tuy nhiên, trọng tâm của công trình là tác động của học nhạy chi phí và mất cân bằng lớp. Đây không phải một nghiên cứu tối ưu trực tiếp cặp mục tiêu ROC-AUC và độ ổn định SHAP của XGBoost. Đồ án kế thừa yêu cầu kiểm soát nguồn biến thiên và tiến thêm đến câu hỏi lựa chọn cấu hình dựa trên độ ổn định [20].</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Lin và Wang nghiên cứu trực tiếp sự nhất quán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của 100 mô hình XGBoost có cùng siêu tham số nhưng khác seed trên dữ liệu khách hàng thẻ tín dụng [19]. Các tác giả báo cáo Kendall’s W bằng 0,98 trên toàn bộ danh sách, bằng 0,93 cho nhóm năm đặc trưng quan trọng nhất và bằng 0,34 cho nhóm sáu đặc trưng có mức quan trọng trung bình được phân tích. Những số liệu này là kết quả của công trình được trích dẫn, không phải kết quả thực nghiệm của đồ án.</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Trường hợp của Lin và Wang cho thấy mức đồng thuận cao trên toàn bộ danh sách có thể cùng tồn tại với sự biến động đáng kể ở một nhóm đặc trưng. Vì vậy, báo cáo một độ đo tổng hợp nên được bổ sung bằng phân tích nhóm đặc trưng hoặc top-k. Công trình giữ cấu hình cố định và chủ động không tiến hành HPO sâu; do đó, còn để ngỏ trong phạm vi nghiên cứu đó câu hỏi liệu lựa chọn siêu tham số có cải thiện sự cân bằng giữa dự đoán và độ ổn định hay không [19].</w:t>
      </w:r>
    </w:p>
    <w:bookmarkStart w:colFirst="0" w:colLast="0" w:name="yivks2hvmeu7" w:id="30"/>
    <w:bookmarkEnd w:id="30"/>
    <w:p w:rsidR="00000000" w:rsidDel="00000000" w:rsidP="00000000" w:rsidRDefault="00000000" w:rsidRPr="00000000" w14:paraId="000000FB">
      <w:pPr>
        <w:pStyle w:val="Heading2"/>
        <w:widowControl w:val="1"/>
        <w:spacing w:line="360" w:lineRule="auto"/>
        <w:rPr/>
      </w:pPr>
      <w:r w:rsidDel="00000000" w:rsidR="00000000" w:rsidRPr="00000000">
        <w:rPr>
          <w:rtl w:val="0"/>
        </w:rPr>
        <w:t xml:space="preserve">1.8.3. Nghiên cứu về HPO đa mục tiêu và định hướng kế thừa</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về HPO của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Feurer</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Hutter trình bày bài toán tìm kiếm cấu hình và các nhóm phương pháp đánh giá, tìm kiếm khác nhau [14]. Akiba và cộng sự giới thiệu Optuna như một công cụ tổ chức quá trình này [16]. Morales-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Hernández</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cộng sự tổng hợp các hướng HPO đa mục tiêu, còn Deb và cộng sự cung cấp nền tảng thuật toán NSGA-II [15], [17]. Các nguồn này giải thích cách tiếp cận tối ưu nhiều tiêu chí, nhưng không tự xác lập rằng cặp ROC-AUC và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stability luôn đánh đổi nhau hoặc luôn được cải thiện bằng một thuật toán cụ thể.</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các công trình trên, đề tài kế thừa ba thành phần: đối chứng dự đoán có hệ thống, đo lường độ ổn định trong điều kiện biến thiên được kiểm soát và lựa chọn cấu hình theo nhiều mục tiêu. Sự kết hợp được nghiên cứu trong một phạm vi cụ thể: XGBoost, dữ liệu thẻ tín dụng công khai và độ ổn định thứ hạng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toàn cục. Kết quả cần được kiểm chứng bằng cùng một giao thức thay vì ghép trực tiếp các điểm số được công bố trong những công trình khác nhau.</w:t>
      </w:r>
    </w:p>
    <w:bookmarkStart w:colFirst="0" w:colLast="0" w:name="x78ed3v139i1" w:id="31"/>
    <w:bookmarkEnd w:id="31"/>
    <w:p w:rsidR="00000000" w:rsidDel="00000000" w:rsidP="00000000" w:rsidRDefault="00000000" w:rsidRPr="00000000" w14:paraId="000000FE">
      <w:pPr>
        <w:pStyle w:val="Heading1"/>
        <w:widowControl w:val="1"/>
        <w:spacing w:line="360" w:lineRule="auto"/>
        <w:rPr/>
      </w:pPr>
      <w:r w:rsidDel="00000000" w:rsidR="00000000" w:rsidRPr="00000000">
        <w:rPr>
          <w:rtl w:val="0"/>
        </w:rPr>
        <w:t xml:space="preserve">1.9. Khoảng trống nghiên cứu</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Những tài liệu được khảo sát cho thấy độ ổn định của giải thích đã được nghiên cứu trong credit scoring [20], [19]. Vì vậy, không thể xem việc phát hiện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có thể biến động là đóng góp mới của đề tài. Khoảng trống được lựa chọn nằm ở cách sử dụng thông tin về độ ổn định trong quá trình lựa chọn siêu tham số XGBoost, thay vì chỉ đánh giá nó sau khi đã cố định mô hình.</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Cụ thể, nghiên cứu của Lin và Wang tập trung vào các lần chạy khác seed trong một cấu hình cố định, còn Ballegeer và cộng sự tập trung vào các thiết kế học nhạy chi phí và tỷ lệ lớp [20], [19]. Hai công trình trực tiếp này chưa xây dựng bài toán HPO XGBoost với cặp mục tiêu là ROC-AUC kiểm định chéo và độ ổn định thứ hạng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toàn cục trên một tập tham chiếu cố định. Nhận định này giới hạn ở các công trình được đối chiếu, không được hiểu là tuyên bố chưa từng có bất kỳ nghiên cứu nào trên thế giới về kết hợp HPO và độ ổn định giải thích.</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Trên cơ sở đó, đề tài đặt ra bốn câu hỏi nghiên cứu:</w:t>
      </w:r>
    </w:p>
    <w:p w:rsidR="00000000" w:rsidDel="00000000" w:rsidP="00000000" w:rsidRDefault="00000000" w:rsidRPr="00000000" w14:paraId="0000010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21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RQ1.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 siêu tham số XGBoost ảnh hưởng như thế nào đến hiệu năng dự đoán và độ ổn định của giải thích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0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21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RQ2.</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Cấu hình XGBoost được lựa chọn theo hiệu năng dự đoán cao nhất có đồng thời tạo ra thứ hạng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ổn định hay không?</w:t>
      </w:r>
    </w:p>
    <w:p w:rsidR="00000000" w:rsidDel="00000000" w:rsidP="00000000" w:rsidRDefault="00000000" w:rsidRPr="00000000" w14:paraId="0000010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21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RQ3.</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Tối ưu đa mục tiêu có tìm được các cấu hình cân bằng giữa hiệu năng và độ ổn định tốt hơn so với tối ưu đơn mục tiêu trong cùng điều kiện so sánh hay không?</w:t>
      </w:r>
    </w:p>
    <w:p w:rsidR="00000000" w:rsidDel="00000000" w:rsidP="00000000" w:rsidRDefault="00000000" w:rsidRPr="00000000" w14:paraId="0000010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21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RQ4.</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XGBoost sau tối ưu có vị trí như thế nào so với Logistic Regression, Random Forest, Gradient Boosting, LightGBM và CatBoost về hiệu năng dự đoán trên cùng giao thức đánh giá?</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trả lời các câu hỏi này, đề tài định hướng so sánh XGBoost cấu hình ban đầu, XGBoost tối ưu đơn mục tiêu và XGBoost tối ưu đa mục tiêu. Với mỗi cấu hình được khảo sát về độ ổn định, mô hình được huấn luyện lặp theo một bộ điều kiện đã xác định; các giá trị SHAP được tính trên cùng tập tham chiếu và tổng hợp theo cùng quy tắc. Những nghiệm không bị chi phối được sử dụng để phân tích mức đánh đổi giữa ROC-AUC và độ ổn định.</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Đóng góp dự kiến là một quy trình thực nghiệm có thể tái lập để lựa chọn và đánh giá cấu hình XGBoost theo hai tiêu chí. Đề tài không xây dựng lại XGBoost,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Spearman hoặc NSGA-II thành một thuật toán mới; điểm cần kiểm chứng là giá trị của việc kết hợp chúng trong bài toán lựa chọn siêu tham số. Nếu thực nghiệm không cho thấy xung đột rõ giữa hai mục tiêu hoặc không ghi nhận lợi ích của HPO đa mục tiêu, kết quả đó vẫn cần được báo cáo vì trực tiếp trả lời câu hỏi nghiên cứu.</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Phạm vi kết luận được giới hạn ở một bộ dữ liệu chính và độ ổn định giải thích toàn cục. Hiệu chỉnh xác suất, công bằng giữa các nhóm khách hàng, dịch chuyển phân phối theo thời gian và độ ổn định cục bộ không phải các mục tiêu tối ưu chính của đồ án. Các vấn đề này có thể được thảo luận như hạn chế hoặc hướng mở rộng sau khi hoàn thành đánh giá trọng tâm.</w:t>
      </w:r>
    </w:p>
    <w:bookmarkStart w:colFirst="0" w:colLast="0" w:name="mqy06i9p5iyg" w:id="32"/>
    <w:bookmarkEnd w:id="32"/>
    <w:p w:rsidR="00000000" w:rsidDel="00000000" w:rsidP="00000000" w:rsidRDefault="00000000" w:rsidRPr="00000000" w14:paraId="00000109">
      <w:pPr>
        <w:pStyle w:val="Heading1"/>
        <w:widowControl w:val="1"/>
        <w:spacing w:line="360" w:lineRule="auto"/>
        <w:rPr/>
      </w:pPr>
      <w:r w:rsidDel="00000000" w:rsidR="00000000" w:rsidRPr="00000000">
        <w:rPr>
          <w:rtl w:val="0"/>
        </w:rPr>
        <w:t xml:space="preserve">1.10. Tóm tắt chương</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1 đã trình bày bài toán dự đoán rủi ro tín dụng cá nhân dưới dạng phân loại nhị phân, cùng những yêu cầu liên quan đến dữ liệu hỗn hợp, mất cân bằng lớp và đánh giá chống rò rỉ. Sáu phương pháp dự đoán được khảo sát tạo thành nền tảng cho thực nghiệm, trong đó XGBoost là đối tượng tối ưu sâu và các mô hình còn lại cung cấp đối chứng về hiệu năng.</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sở của HPO,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các thước đo độ ổn định cho thấy khả năng phân biệt rủi ro, khả năng giải thích và tính nhất quán của giải thích là những khía cạnh cần được đánh giá riêng. Đặc biệt, tính nhất quán theo định nghĩa của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không đồng nghĩa với thứ hạng đặc trưng không thay đổi khi huấn luyện lại mô hình. Các nghiên cứu liên quan đã ghi nhận biến động giải thích trong credit scoring, tạo cơ sở cho việc khảo sát cách lựa chọn cấu hình có tính đến biến động đó.</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Từ khoảng trống được xác định, Chương 2 trình bày phương pháp tối ưu đa mục tiêu siêu tham số XGBoost theo ROC-AUC và độ ổn định thứ hạng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Nội dung tiếp theo tập trung vào giao thức phân chia dữ liệu, tập tham chiếu, điều kiện lặp huấn luyện, cách tính hai mục tiêu và quy tắc lựa chọn nghiệm đại diện để đánh giá.</w:t>
      </w:r>
    </w:p>
    <w:p>
      <w:pPr>
        <w:pStyle w:val="Title"/>
        <w:pageBreakBefore w:val="1"/>
        <w:jc w:val="center"/>
      </w:pPr>
      <w:r>
        <w:t xml:space="preserve">CHƯƠNG 2</w:t>
        <w:br/>
        <w:t xml:space="preserve">PHƯƠNG PHÁP TỐI ƯU ĐA MỤC TIÊU SIÊU THAM SỐ XGBOOST</w:t>
        <w:br/>
        <w:t xml:space="preserve">XÉT ĐẾN HIỆU NĂNG DỰ ĐOÁN VÀ ĐỘ ỔN ĐỊNH SHAP</w:t>
      </w:r>
    </w:p>
    <w:p>
      <w:pPr>
        <w:widowControl/>
        <w:spacing w:after="120" w:line="360" w:lineRule="auto"/>
        <w:ind w:firstLine="360"/>
        <w:jc w:val="both"/>
      </w:pPr>
      <w:r>
        <w:rPr>
          <w:rFonts w:ascii="Times New Roman" w:hAnsi="Times New Roman" w:eastAsia="Times New Roman" w:cs="Times New Roman"/>
          <w:sz w:val="26"/>
          <w:szCs w:val="26"/>
        </w:rPr>
        <w:t xml:space="preserve">Chương này xác định bài toán, giao thức dữ liệu và cách tính hai mục tiêu trước khi tìm kiếm siêu tham số. Các quyết định về tập tham chiếu, fold, không gian tìm kiếm và lựa chọn nghiệm được giữ cố định để kết quả đối chứng có thể kiểm tra lại. Kết quả thực nghiệm và đánh giá trên tập Test được trình bày ở Chương 3.</w:t>
      </w:r>
    </w:p>
    <w:p>
      <w:pPr>
        <w:pStyle w:val="Heading1"/>
        <w:keepNext/>
        <w:spacing w:line="360" w:lineRule="auto"/>
      </w:pPr>
      <w:r>
        <w:rPr>
          <w:rFonts w:ascii="Times New Roman" w:hAnsi="Times New Roman" w:eastAsia="Times New Roman" w:cs="Times New Roman"/>
          <w:sz w:val="28"/>
          <w:szCs w:val="28"/>
        </w:rPr>
        <w:t xml:space="preserve">2.1. Phát biểu bài toán</w:t>
      </w:r>
    </w:p>
    <w:p>
      <w:pPr>
        <w:widowControl/>
        <w:spacing w:after="120" w:line="360" w:lineRule="auto"/>
        <w:ind w:firstLine="360"/>
        <w:jc w:val="both"/>
      </w:pPr>
      <w:r>
        <w:rPr>
          <w:rFonts w:ascii="Times New Roman" w:hAnsi="Times New Roman" w:eastAsia="Times New Roman" w:cs="Times New Roman"/>
          <w:sz w:val="26"/>
          <w:szCs w:val="26"/>
        </w:rPr>
        <w:t xml:space="preserve">Bộ dữ liệu Default of Credit Card Clients gồm 30.000 quan sát, 23 biến dự báo, trường định danh ID và nhãn nhị phân default.payment.next.month. Nhãn 1 biểu thị default trong kỳ tiếp theo. ID chỉ dùng để nhận diện bản ghi, không đưa vào mô hình. Với cấu hình siêu tham số θ thuộc không gian Θ, XGBoost dự đoán xác suất thuộc lớp default; chất lượng phân biệt hai lớp được đo bằng ROC-AUC, không quy đổi trực tiếp thành lợi nhuận hay quyết định cấp tín dụng.</w:t>
      </w:r>
    </w:p>
    <w:p>
      <w:pPr>
        <w:widowControl/>
        <w:spacing w:after="120" w:line="360" w:lineRule="auto"/>
        <w:ind w:firstLine="360"/>
        <w:jc w:val="both"/>
      </w:pPr>
      <w:r>
        <w:rPr>
          <w:rFonts w:ascii="Times New Roman" w:hAnsi="Times New Roman" w:eastAsia="Times New Roman" w:cs="Times New Roman"/>
          <w:sz w:val="26"/>
          <w:szCs w:val="26"/>
        </w:rPr>
        <w:t xml:space="preserve">Đề tài lựa chọn θ theo hai tiêu chí: hiệu năng dự đoán f₁(θ) và độ ổn định thứ hạng quan trọng đặc trưng SHAP f₂(θ). Nhánh đơn mục tiêu tối đa hóa f₁; nhánh đa mục tiêu tìm những cấu hình không bị chi phối theo cặp [f₁, f₂]. Hai giá trị đều được ước lượng trên dữ liệu phát triển bằng cùng giao thức kiểm định chéo. Tập Test độc lập chỉ dành cho đánh giá cuối sau khi đã khóa quy tắc lựa chọn cấu hình.</w:t>
      </w:r>
    </w:p>
    <w:p>
      <w:pPr>
        <w:pStyle w:val="Heading1"/>
        <w:keepNext/>
        <w:spacing w:line="360" w:lineRule="auto"/>
      </w:pPr>
      <w:r>
        <w:rPr>
          <w:rFonts w:ascii="Times New Roman" w:hAnsi="Times New Roman" w:eastAsia="Times New Roman" w:cs="Times New Roman"/>
          <w:sz w:val="28"/>
          <w:szCs w:val="28"/>
        </w:rPr>
        <w:t xml:space="preserve">2.2. Kiến trúc tổng thể của phương pháp đề xuất</w:t>
      </w:r>
    </w:p>
    <w:p>
      <w:pPr>
        <w:widowControl/>
        <w:spacing w:after="120" w:line="360" w:lineRule="auto"/>
        <w:ind w:firstLine="360"/>
        <w:jc w:val="both"/>
      </w:pPr>
      <w:r>
        <w:rPr>
          <w:rFonts w:ascii="Times New Roman" w:hAnsi="Times New Roman" w:eastAsia="Times New Roman" w:cs="Times New Roman"/>
          <w:sz w:val="26"/>
          <w:szCs w:val="26"/>
        </w:rPr>
        <w:t xml:space="preserve">Quy trình bắt đầu từ tệp CSV UCI đã có trong data/raw/default_credit_card.csv. Dữ liệu được kiểm tra cấu trúc và nhãn, chia phân tầng thành Development và Test, rồi tách tập tham chiếu SHAP khỏi Development. Phần còn lại, gọi là Core, được chia thành năm fold phân tầng. Trong mỗi fold, bộ tiền xử lý chỉ khớp trên train; validation và tập tham chiếu được biến đổi bằng bộ tiền xử lý của fold đó.</w:t>
      </w:r>
    </w:p>
    <w:p>
      <w:pPr>
        <w:widowControl/>
        <w:spacing w:after="120" w:line="360" w:lineRule="auto"/>
        <w:ind w:firstLine="360"/>
        <w:jc w:val="both"/>
      </w:pPr>
      <w:r>
        <w:rPr>
          <w:rFonts w:ascii="Times New Roman" w:hAnsi="Times New Roman" w:eastAsia="Times New Roman" w:cs="Times New Roman"/>
          <w:sz w:val="26"/>
          <w:szCs w:val="26"/>
        </w:rPr>
        <w:t xml:space="preserve">Sáu mô hình Logistic Regression, Random Forest, Gradient Boosting, LightGBM, CatBoost và XGBoost mặc định được đánh giá trên cùng năm fold Core để tạo đối chứng dự đoán. Phần nghiên cứu sâu dùng XGBoost với cùng không gian tìm kiếm cho TPE đơn mục tiêu và NSGA-II đa mục tiêu. Mỗi trial tạo năm mô hình, tính ROC-AUC trên validation và TreeSHAP trên tập tham chiếu; sau đó tổng hợp hai mục tiêu. Các trial đa mục tiêu hoàn thành tạo tập Pareto để chọn các nghiệm đại diện.</w:t>
      </w:r>
    </w:p>
    <w:p>
      <w:pPr>
        <w:widowControl/>
        <w:spacing w:after="120" w:line="360" w:lineRule="auto"/>
        <w:ind w:firstLine="360"/>
        <w:jc w:val="both"/>
      </w:pPr>
      <w:r>
        <w:rPr>
          <w:rFonts w:ascii="Times New Roman" w:hAnsi="Times New Roman" w:eastAsia="Times New Roman" w:cs="Times New Roman"/>
          <w:sz w:val="26"/>
          <w:szCs w:val="26"/>
        </w:rPr>
        <w:t xml:space="preserve">Sau khi lựa chọn trên Development, ba nghiệm đại diện được kiểm tra độ nhạy bằng các cách chia fold mới nhưng vẫn giữ Test độc lập. Mọi bước dùng Test và phân tích kết quả dự đoán cuối thuộc giai đoạn thực nghiệm ở Chương 3.</w:t>
      </w:r>
    </w:p>
    <w:p>
      <w:pPr>
        <w:pStyle w:val="Heading1"/>
        <w:keepNext/>
        <w:spacing w:line="360" w:lineRule="auto"/>
      </w:pPr>
      <w:r>
        <w:rPr>
          <w:rFonts w:ascii="Times New Roman" w:hAnsi="Times New Roman" w:eastAsia="Times New Roman" w:cs="Times New Roman"/>
          <w:sz w:val="28"/>
          <w:szCs w:val="28"/>
        </w:rPr>
        <w:t xml:space="preserve">2.3. Phân chia dữ liệu, protocol seed/fold và reference set cho SHAP</w:t>
      </w:r>
    </w:p>
    <w:p>
      <w:pPr>
        <w:widowControl/>
        <w:spacing w:after="120" w:line="360" w:lineRule="auto"/>
        <w:ind w:firstLine="360"/>
        <w:jc w:val="both"/>
      </w:pPr>
      <w:r>
        <w:rPr>
          <w:rFonts w:ascii="Times New Roman" w:hAnsi="Times New Roman" w:eastAsia="Times New Roman" w:cs="Times New Roman"/>
          <w:sz w:val="26"/>
          <w:szCs w:val="26"/>
        </w:rPr>
        <w:t xml:space="preserve">Từ 30.000 quan sát, phép chia ngẫu nhiên phân tầng với seed 42 tạo Development 24.000 quan sát (80%) và Test 6.000 quan sát (20%). Từ Development, lấy phân tầng 1.000 quan sát với seed 42 làm tập tham chiếu SHAP cố định. Core gồm 23.000 quan sát còn lại. Core, tập tham chiếu và Test đôi một không giao nhau; Test không đi vào fit, kiểm định chéo, tính SHAP, tối ưu hoặc chọn nghiệm.</w:t>
      </w:r>
    </w:p>
    <w:p>
      <w:pPr>
        <w:spacing w:before="120" w:after="80" w:line="300" w:lineRule="auto"/>
        <w:jc w:val="center"/>
      </w:pPr>
      <w:r>
        <w:rPr>
          <w:rFonts w:ascii="Times New Roman" w:hAnsi="Times New Roman" w:eastAsia="Times New Roman" w:cs="Times New Roman"/>
          <w:sz w:val="26"/>
          <w:szCs w:val="26"/>
        </w:rPr>
        <w:t xml:space="preserve">Bảng 2.1. Giao thức phân chia dữ liệu cố định</w:t>
      </w:r>
    </w:p>
    <w:tbl>
      <w:tblPr>
        <w:tblW w:w="0" w:type="auto"/>
        <w:tblBorders>
          <w:top w:val="single" w:sz="4" w:color="777777"/>
          <w:left w:val="single" w:sz="4" w:color="777777"/>
          <w:bottom w:val="single" w:sz="4" w:color="777777"/>
          <w:right w:val="single" w:sz="4" w:color="777777"/>
          <w:insideH w:val="single" w:sz="4" w:color="777777"/>
          <w:insideV w:val="single" w:sz="4" w:color="777777"/>
        </w:tblBorders>
        <w:tblCellMar>
          <w:top w:w="80" w:type="dxa"/>
          <w:bottom w:w="80" w:type="dxa"/>
          <w:left w:w="90" w:type="dxa"/>
          <w:right w:w="90" w:type="dxa"/>
        </w:tblCellMar>
      </w:tblPr>
      <w:tblGrid>
        <w:gridCol w:w="2600"/>
        <w:gridCol w:w="1800"/>
        <w:gridCol w:w="4600"/>
      </w:tblGrid>
      <w:tr>
        <w:tc>
          <w:tcPr>
            <w:tcW w:w="2600" w:type="dxa"/>
          </w:tcPr>
          <w:p>
            <w:pPr>
              <w:spacing w:after="0" w:line="260" w:lineRule="auto"/>
              <w:jc w:val="left"/>
            </w:pPr>
            <w:r>
              <w:rPr>
                <w:rFonts w:ascii="Times New Roman" w:hAnsi="Times New Roman"/>
                <w:sz w:val="24"/>
                <w:b/>
              </w:rPr>
              <w:t xml:space="preserve">Tập dữ liệu</w:t>
            </w:r>
          </w:p>
        </w:tc>
        <w:tc>
          <w:tcPr>
            <w:tcW w:w="1800" w:type="dxa"/>
          </w:tcPr>
          <w:p>
            <w:pPr>
              <w:spacing w:after="0" w:line="260" w:lineRule="auto"/>
              <w:jc w:val="left"/>
            </w:pPr>
            <w:r>
              <w:rPr>
                <w:rFonts w:ascii="Times New Roman" w:hAnsi="Times New Roman"/>
                <w:sz w:val="24"/>
                <w:b/>
              </w:rPr>
              <w:t xml:space="preserve">Số quan sát</w:t>
            </w:r>
          </w:p>
        </w:tc>
        <w:tc>
          <w:tcPr>
            <w:tcW w:w="4600" w:type="dxa"/>
          </w:tcPr>
          <w:p>
            <w:pPr>
              <w:spacing w:after="0" w:line="260" w:lineRule="auto"/>
              <w:jc w:val="left"/>
            </w:pPr>
            <w:r>
              <w:rPr>
                <w:rFonts w:ascii="Times New Roman" w:hAnsi="Times New Roman"/>
                <w:sz w:val="24"/>
                <w:b/>
              </w:rPr>
              <w:t xml:space="preserve">Vai trò</w:t>
            </w:r>
          </w:p>
        </w:tc>
      </w:tr>
      <w:tr>
        <w:tc>
          <w:tcPr>
            <w:tcW w:w="2600" w:type="dxa"/>
          </w:tcPr>
          <w:p>
            <w:pPr>
              <w:spacing w:after="0" w:line="260" w:lineRule="auto"/>
              <w:jc w:val="left"/>
            </w:pPr>
            <w:r>
              <w:rPr>
                <w:rFonts w:ascii="Times New Roman" w:hAnsi="Times New Roman"/>
                <w:sz w:val="24"/>
              </w:rPr>
              <w:t xml:space="preserve">Development</w:t>
            </w:r>
          </w:p>
        </w:tc>
        <w:tc>
          <w:tcPr>
            <w:tcW w:w="1800" w:type="dxa"/>
          </w:tcPr>
          <w:p>
            <w:pPr>
              <w:spacing w:after="0" w:line="260" w:lineRule="auto"/>
              <w:jc w:val="left"/>
            </w:pPr>
            <w:r>
              <w:rPr>
                <w:rFonts w:ascii="Times New Roman" w:hAnsi="Times New Roman"/>
                <w:sz w:val="24"/>
              </w:rPr>
              <w:t xml:space="preserve">24.000</w:t>
            </w:r>
          </w:p>
        </w:tc>
        <w:tc>
          <w:tcPr>
            <w:tcW w:w="4600" w:type="dxa"/>
          </w:tcPr>
          <w:p>
            <w:pPr>
              <w:spacing w:after="0" w:line="260" w:lineRule="auto"/>
              <w:jc w:val="left"/>
            </w:pPr>
            <w:r>
              <w:rPr>
                <w:rFonts w:ascii="Times New Roman" w:hAnsi="Times New Roman"/>
                <w:sz w:val="24"/>
              </w:rPr>
              <w:t xml:space="preserve">Nguồn của Core và tập tham chiếu SHAP</w:t>
            </w:r>
          </w:p>
        </w:tc>
      </w:tr>
      <w:tr>
        <w:tc>
          <w:tcPr>
            <w:tcW w:w="2600" w:type="dxa"/>
          </w:tcPr>
          <w:p>
            <w:pPr>
              <w:spacing w:after="0" w:line="260" w:lineRule="auto"/>
              <w:jc w:val="left"/>
            </w:pPr>
            <w:r>
              <w:rPr>
                <w:rFonts w:ascii="Times New Roman" w:hAnsi="Times New Roman"/>
                <w:sz w:val="24"/>
              </w:rPr>
              <w:t xml:space="preserve">Core</w:t>
            </w:r>
          </w:p>
        </w:tc>
        <w:tc>
          <w:tcPr>
            <w:tcW w:w="1800" w:type="dxa"/>
          </w:tcPr>
          <w:p>
            <w:pPr>
              <w:spacing w:after="0" w:line="260" w:lineRule="auto"/>
              <w:jc w:val="left"/>
            </w:pPr>
            <w:r>
              <w:rPr>
                <w:rFonts w:ascii="Times New Roman" w:hAnsi="Times New Roman"/>
                <w:sz w:val="24"/>
              </w:rPr>
              <w:t xml:space="preserve">23.000</w:t>
            </w:r>
          </w:p>
        </w:tc>
        <w:tc>
          <w:tcPr>
            <w:tcW w:w="4600" w:type="dxa"/>
          </w:tcPr>
          <w:p>
            <w:pPr>
              <w:spacing w:after="0" w:line="260" w:lineRule="auto"/>
              <w:jc w:val="left"/>
            </w:pPr>
            <w:r>
              <w:rPr>
                <w:rFonts w:ascii="Times New Roman" w:hAnsi="Times New Roman"/>
                <w:sz w:val="24"/>
              </w:rPr>
              <w:t xml:space="preserve">Huấn luyện và validation trong 5-fold CV</w:t>
            </w:r>
          </w:p>
        </w:tc>
      </w:tr>
      <w:tr>
        <w:tc>
          <w:tcPr>
            <w:tcW w:w="2600" w:type="dxa"/>
          </w:tcPr>
          <w:p>
            <w:pPr>
              <w:spacing w:after="0" w:line="260" w:lineRule="auto"/>
              <w:jc w:val="left"/>
            </w:pPr>
            <w:r>
              <w:rPr>
                <w:rFonts w:ascii="Times New Roman" w:hAnsi="Times New Roman"/>
                <w:sz w:val="24"/>
              </w:rPr>
              <w:t xml:space="preserve">SHAP reference</w:t>
            </w:r>
          </w:p>
        </w:tc>
        <w:tc>
          <w:tcPr>
            <w:tcW w:w="1800" w:type="dxa"/>
          </w:tcPr>
          <w:p>
            <w:pPr>
              <w:spacing w:after="0" w:line="260" w:lineRule="auto"/>
              <w:jc w:val="left"/>
            </w:pPr>
            <w:r>
              <w:rPr>
                <w:rFonts w:ascii="Times New Roman" w:hAnsi="Times New Roman"/>
                <w:sz w:val="24"/>
              </w:rPr>
              <w:t xml:space="preserve">1.000</w:t>
            </w:r>
          </w:p>
        </w:tc>
        <w:tc>
          <w:tcPr>
            <w:tcW w:w="4600" w:type="dxa"/>
          </w:tcPr>
          <w:p>
            <w:pPr>
              <w:spacing w:after="0" w:line="260" w:lineRule="auto"/>
              <w:jc w:val="left"/>
            </w:pPr>
            <w:r>
              <w:rPr>
                <w:rFonts w:ascii="Times New Roman" w:hAnsi="Times New Roman"/>
                <w:sz w:val="24"/>
              </w:rPr>
              <w:t xml:space="preserve">Cùng khách hàng được giải thích ở mọi trial/fold</w:t>
            </w:r>
          </w:p>
        </w:tc>
      </w:tr>
      <w:tr>
        <w:tc>
          <w:tcPr>
            <w:tcW w:w="2600" w:type="dxa"/>
          </w:tcPr>
          <w:p>
            <w:pPr>
              <w:spacing w:after="0" w:line="260" w:lineRule="auto"/>
              <w:jc w:val="left"/>
            </w:pPr>
            <w:r>
              <w:rPr>
                <w:rFonts w:ascii="Times New Roman" w:hAnsi="Times New Roman"/>
                <w:sz w:val="24"/>
              </w:rPr>
              <w:t xml:space="preserve">Final Test</w:t>
            </w:r>
          </w:p>
        </w:tc>
        <w:tc>
          <w:tcPr>
            <w:tcW w:w="1800" w:type="dxa"/>
          </w:tcPr>
          <w:p>
            <w:pPr>
              <w:spacing w:after="0" w:line="260" w:lineRule="auto"/>
              <w:jc w:val="left"/>
            </w:pPr>
            <w:r>
              <w:rPr>
                <w:rFonts w:ascii="Times New Roman" w:hAnsi="Times New Roman"/>
                <w:sz w:val="24"/>
              </w:rPr>
              <w:t xml:space="preserve">6.000</w:t>
            </w:r>
          </w:p>
        </w:tc>
        <w:tc>
          <w:tcPr>
            <w:tcW w:w="4600" w:type="dxa"/>
          </w:tcPr>
          <w:p>
            <w:pPr>
              <w:spacing w:after="0" w:line="260" w:lineRule="auto"/>
              <w:jc w:val="left"/>
            </w:pPr>
            <w:r>
              <w:rPr>
                <w:rFonts w:ascii="Times New Roman" w:hAnsi="Times New Roman"/>
                <w:sz w:val="24"/>
              </w:rPr>
              <w:t xml:space="preserve">Chỉ đánh giá cuối sau lựa chọn mô hình</w:t>
            </w:r>
          </w:p>
        </w:tc>
      </w:tr>
    </w:tbl>
    <w:p>
      <w:pPr>
        <w:widowControl/>
        <w:spacing w:after="120" w:line="360" w:lineRule="auto"/>
        <w:ind w:firstLine="360"/>
        <w:jc w:val="both"/>
      </w:pPr>
      <w:r>
        <w:rPr>
          <w:rFonts w:ascii="Times New Roman" w:hAnsi="Times New Roman" w:eastAsia="Times New Roman" w:cs="Times New Roman"/>
          <w:sz w:val="26"/>
          <w:szCs w:val="26"/>
        </w:rPr>
        <w:t xml:space="preserve">Trên Core, StratifiedKFold có trộn mẫu và seed 42 tạo năm fold một lần rồi tái sử dụng cho mọi mô hình và trial. Mỗi fold có 18.400 quan sát train và 4.600 quan sát validation; mỗi quan sát Core xuất hiện đúng một lần ở validation. Bộ mã hóa và mọi phép biến đổi có tham số được fit riêng trên train rồi mới transform validation và reference. Giao thức lưu các chỉ số Development, Test, Core, reference và năm fold để kiểm tra tính không giao nhau và tái sử dụng chính xác.</w:t>
      </w:r>
    </w:p>
    <w:p>
      <w:pPr>
        <w:widowControl/>
        <w:spacing w:after="120" w:line="360" w:lineRule="auto"/>
        <w:ind w:firstLine="360"/>
        <w:jc w:val="both"/>
      </w:pPr>
      <w:r>
        <w:rPr>
          <w:rFonts w:ascii="Times New Roman" w:hAnsi="Times New Roman" w:eastAsia="Times New Roman" w:cs="Times New Roman"/>
          <w:sz w:val="26"/>
          <w:szCs w:val="26"/>
        </w:rPr>
        <w:t xml:space="preserve">Các mã EDUCATION 0, 5, 6 được gộp về 4; MARRIAGE 0 được gộp về 3. SEX, EDUCATION và MARRIAGE được mã hóa one-hot. Logistic Regression dùng chuẩn hóa biến số với thống kê train; các mô hình cây và XGBoost tối ưu không chuẩn hóa các biến số. Tập reference là những quan sát được giải thích bằng TreeSHAP, không phải một tập nền riêng đưa vào bộ giải thích.</w:t>
      </w:r>
    </w:p>
    <w:p>
      <w:pPr>
        <w:pStyle w:val="Heading1"/>
        <w:keepNext/>
        <w:spacing w:line="360" w:lineRule="auto"/>
      </w:pPr>
      <w:r>
        <w:rPr>
          <w:rFonts w:ascii="Times New Roman" w:hAnsi="Times New Roman" w:eastAsia="Times New Roman" w:cs="Times New Roman"/>
          <w:sz w:val="28"/>
          <w:szCs w:val="28"/>
        </w:rPr>
        <w:t xml:space="preserve">2.4. Không gian siêu tham số XGBoost</w:t>
      </w:r>
    </w:p>
    <w:p>
      <w:pPr>
        <w:widowControl/>
        <w:spacing w:after="120" w:line="360" w:lineRule="auto"/>
        <w:ind w:firstLine="360"/>
        <w:jc w:val="both"/>
      </w:pPr>
      <w:r>
        <w:rPr>
          <w:rFonts w:ascii="Times New Roman" w:hAnsi="Times New Roman" w:eastAsia="Times New Roman" w:cs="Times New Roman"/>
          <w:sz w:val="26"/>
          <w:szCs w:val="26"/>
        </w:rPr>
        <w:t xml:space="preserve">Hai nhánh HPO cùng dùng không gian chín siêu tham số xác định trước trong configs/xgb_search_space.yaml. Số cây, độ sâu và tốc độ học chi phối độ phức tạp và tốc độ học; các tham số lấy mẫu, điều kiện tách và regularization kiểm soát cách xây cây. Những tham số ngoài bảng giữ cố định: objective=binary:logistic, eval_metric=logloss, tree_method=hist và random_state=42.</w:t>
      </w:r>
    </w:p>
    <w:p>
      <w:pPr>
        <w:spacing w:before="120" w:after="80" w:line="300" w:lineRule="auto"/>
        <w:jc w:val="center"/>
      </w:pPr>
      <w:r>
        <w:rPr>
          <w:rFonts w:ascii="Times New Roman" w:hAnsi="Times New Roman" w:eastAsia="Times New Roman" w:cs="Times New Roman"/>
          <w:sz w:val="26"/>
          <w:szCs w:val="26"/>
        </w:rPr>
        <w:t xml:space="preserve">Bảng 2.2. Không gian tìm kiếm chung của hai nhánh HPO</w:t>
      </w:r>
    </w:p>
    <w:tbl>
      <w:tblPr>
        <w:tblW w:w="0" w:type="auto"/>
        <w:tblBorders>
          <w:top w:val="single" w:sz="4" w:color="777777"/>
          <w:left w:val="single" w:sz="4" w:color="777777"/>
          <w:bottom w:val="single" w:sz="4" w:color="777777"/>
          <w:right w:val="single" w:sz="4" w:color="777777"/>
          <w:insideH w:val="single" w:sz="4" w:color="777777"/>
          <w:insideV w:val="single" w:sz="4" w:color="777777"/>
        </w:tblBorders>
        <w:tblCellMar>
          <w:top w:w="80" w:type="dxa"/>
          <w:bottom w:w="80" w:type="dxa"/>
          <w:left w:w="90" w:type="dxa"/>
          <w:right w:w="90" w:type="dxa"/>
        </w:tblCellMar>
      </w:tblPr>
      <w:tblGrid>
        <w:gridCol w:w="3000"/>
        <w:gridCol w:w="2200"/>
        <w:gridCol w:w="3800"/>
      </w:tblGrid>
      <w:tr>
        <w:tc>
          <w:tcPr>
            <w:tcW w:w="3000" w:type="dxa"/>
          </w:tcPr>
          <w:p>
            <w:pPr>
              <w:spacing w:after="0" w:line="260" w:lineRule="auto"/>
              <w:jc w:val="left"/>
            </w:pPr>
            <w:r>
              <w:rPr>
                <w:rFonts w:ascii="Times New Roman" w:hAnsi="Times New Roman"/>
                <w:sz w:val="24"/>
                <w:b/>
              </w:rPr>
              <w:t xml:space="preserve">Siêu tham số</w:t>
            </w:r>
          </w:p>
        </w:tc>
        <w:tc>
          <w:tcPr>
            <w:tcW w:w="2200" w:type="dxa"/>
          </w:tcPr>
          <w:p>
            <w:pPr>
              <w:spacing w:after="0" w:line="260" w:lineRule="auto"/>
              <w:jc w:val="left"/>
            </w:pPr>
            <w:r>
              <w:rPr>
                <w:rFonts w:ascii="Times New Roman" w:hAnsi="Times New Roman"/>
                <w:sz w:val="24"/>
                <w:b/>
              </w:rPr>
              <w:t xml:space="preserve">Miền giá trị</w:t>
            </w:r>
          </w:p>
        </w:tc>
        <w:tc>
          <w:tcPr>
            <w:tcW w:w="3800" w:type="dxa"/>
          </w:tcPr>
          <w:p>
            <w:pPr>
              <w:spacing w:after="0" w:line="260" w:lineRule="auto"/>
              <w:jc w:val="left"/>
            </w:pPr>
            <w:r>
              <w:rPr>
                <w:rFonts w:ascii="Times New Roman" w:hAnsi="Times New Roman"/>
                <w:sz w:val="24"/>
                <w:b/>
              </w:rPr>
              <w:t xml:space="preserve">Cách lấy mẫu</w:t>
            </w:r>
          </w:p>
        </w:tc>
      </w:tr>
      <w:tr>
        <w:tc>
          <w:tcPr>
            <w:tcW w:w="3000" w:type="dxa"/>
          </w:tcPr>
          <w:p>
            <w:pPr>
              <w:spacing w:after="0" w:line="260" w:lineRule="auto"/>
              <w:jc w:val="left"/>
            </w:pPr>
            <w:r>
              <w:rPr>
                <w:rFonts w:ascii="Times New Roman" w:hAnsi="Times New Roman"/>
                <w:sz w:val="24"/>
              </w:rPr>
              <w:t xml:space="preserve">n_estimators</w:t>
            </w:r>
          </w:p>
        </w:tc>
        <w:tc>
          <w:tcPr>
            <w:tcW w:w="2200" w:type="dxa"/>
          </w:tcPr>
          <w:p>
            <w:pPr>
              <w:spacing w:after="0" w:line="260" w:lineRule="auto"/>
              <w:jc w:val="left"/>
            </w:pPr>
            <w:r>
              <w:rPr>
                <w:rFonts w:ascii="Times New Roman" w:hAnsi="Times New Roman"/>
                <w:sz w:val="24"/>
              </w:rPr>
              <w:t xml:space="preserve">100–1.000</w:t>
            </w:r>
          </w:p>
        </w:tc>
        <w:tc>
          <w:tcPr>
            <w:tcW w:w="3800" w:type="dxa"/>
          </w:tcPr>
          <w:p>
            <w:pPr>
              <w:spacing w:after="0" w:line="260" w:lineRule="auto"/>
              <w:jc w:val="left"/>
            </w:pPr>
            <w:r>
              <w:rPr>
                <w:rFonts w:ascii="Times New Roman" w:hAnsi="Times New Roman"/>
                <w:sz w:val="24"/>
              </w:rPr>
              <w:t xml:space="preserve">Số nguyên, bước 50</w:t>
            </w:r>
          </w:p>
        </w:tc>
      </w:tr>
      <w:tr>
        <w:tc>
          <w:tcPr>
            <w:tcW w:w="3000" w:type="dxa"/>
          </w:tcPr>
          <w:p>
            <w:pPr>
              <w:spacing w:after="0" w:line="260" w:lineRule="auto"/>
              <w:jc w:val="left"/>
            </w:pPr>
            <w:r>
              <w:rPr>
                <w:rFonts w:ascii="Times New Roman" w:hAnsi="Times New Roman"/>
                <w:sz w:val="24"/>
              </w:rPr>
              <w:t xml:space="preserve">max_depth</w:t>
            </w:r>
          </w:p>
        </w:tc>
        <w:tc>
          <w:tcPr>
            <w:tcW w:w="2200" w:type="dxa"/>
          </w:tcPr>
          <w:p>
            <w:pPr>
              <w:spacing w:after="0" w:line="260" w:lineRule="auto"/>
              <w:jc w:val="left"/>
            </w:pPr>
            <w:r>
              <w:rPr>
                <w:rFonts w:ascii="Times New Roman" w:hAnsi="Times New Roman"/>
                <w:sz w:val="24"/>
              </w:rPr>
              <w:t xml:space="preserve">2–10</w:t>
            </w:r>
          </w:p>
        </w:tc>
        <w:tc>
          <w:tcPr>
            <w:tcW w:w="3800" w:type="dxa"/>
          </w:tcPr>
          <w:p>
            <w:pPr>
              <w:spacing w:after="0" w:line="260" w:lineRule="auto"/>
              <w:jc w:val="left"/>
            </w:pPr>
            <w:r>
              <w:rPr>
                <w:rFonts w:ascii="Times New Roman" w:hAnsi="Times New Roman"/>
                <w:sz w:val="24"/>
              </w:rPr>
              <w:t xml:space="preserve">Số nguyên, bước 1</w:t>
            </w:r>
          </w:p>
        </w:tc>
      </w:tr>
      <w:tr>
        <w:tc>
          <w:tcPr>
            <w:tcW w:w="3000" w:type="dxa"/>
          </w:tcPr>
          <w:p>
            <w:pPr>
              <w:spacing w:after="0" w:line="260" w:lineRule="auto"/>
              <w:jc w:val="left"/>
            </w:pPr>
            <w:r>
              <w:rPr>
                <w:rFonts w:ascii="Times New Roman" w:hAnsi="Times New Roman"/>
                <w:sz w:val="24"/>
              </w:rPr>
              <w:t xml:space="preserve">learning_rate</w:t>
            </w:r>
          </w:p>
        </w:tc>
        <w:tc>
          <w:tcPr>
            <w:tcW w:w="2200" w:type="dxa"/>
          </w:tcPr>
          <w:p>
            <w:pPr>
              <w:spacing w:after="0" w:line="260" w:lineRule="auto"/>
              <w:jc w:val="left"/>
            </w:pPr>
            <w:r>
              <w:rPr>
                <w:rFonts w:ascii="Times New Roman" w:hAnsi="Times New Roman"/>
                <w:sz w:val="24"/>
              </w:rPr>
              <w:t xml:space="preserve">0,01–0,30</w:t>
            </w:r>
          </w:p>
        </w:tc>
        <w:tc>
          <w:tcPr>
            <w:tcW w:w="3800" w:type="dxa"/>
          </w:tcPr>
          <w:p>
            <w:pPr>
              <w:spacing w:after="0" w:line="260" w:lineRule="auto"/>
              <w:jc w:val="left"/>
            </w:pPr>
            <w:r>
              <w:rPr>
                <w:rFonts w:ascii="Times New Roman" w:hAnsi="Times New Roman"/>
                <w:sz w:val="24"/>
              </w:rPr>
              <w:t xml:space="preserve">Số thực theo thang log</w:t>
            </w:r>
          </w:p>
        </w:tc>
      </w:tr>
      <w:tr>
        <w:tc>
          <w:tcPr>
            <w:tcW w:w="3000" w:type="dxa"/>
          </w:tcPr>
          <w:p>
            <w:pPr>
              <w:spacing w:after="0" w:line="260" w:lineRule="auto"/>
              <w:jc w:val="left"/>
            </w:pPr>
            <w:r>
              <w:rPr>
                <w:rFonts w:ascii="Times New Roman" w:hAnsi="Times New Roman"/>
                <w:sz w:val="24"/>
              </w:rPr>
              <w:t xml:space="preserve">min_child_weight</w:t>
            </w:r>
          </w:p>
        </w:tc>
        <w:tc>
          <w:tcPr>
            <w:tcW w:w="2200" w:type="dxa"/>
          </w:tcPr>
          <w:p>
            <w:pPr>
              <w:spacing w:after="0" w:line="260" w:lineRule="auto"/>
              <w:jc w:val="left"/>
            </w:pPr>
            <w:r>
              <w:rPr>
                <w:rFonts w:ascii="Times New Roman" w:hAnsi="Times New Roman"/>
                <w:sz w:val="24"/>
              </w:rPr>
              <w:t xml:space="preserve">1–15</w:t>
            </w:r>
          </w:p>
        </w:tc>
        <w:tc>
          <w:tcPr>
            <w:tcW w:w="3800" w:type="dxa"/>
          </w:tcPr>
          <w:p>
            <w:pPr>
              <w:spacing w:after="0" w:line="260" w:lineRule="auto"/>
              <w:jc w:val="left"/>
            </w:pPr>
            <w:r>
              <w:rPr>
                <w:rFonts w:ascii="Times New Roman" w:hAnsi="Times New Roman"/>
                <w:sz w:val="24"/>
              </w:rPr>
              <w:t xml:space="preserve">Số nguyên, bước 1</w:t>
            </w:r>
          </w:p>
        </w:tc>
      </w:tr>
      <w:tr>
        <w:tc>
          <w:tcPr>
            <w:tcW w:w="3000" w:type="dxa"/>
          </w:tcPr>
          <w:p>
            <w:pPr>
              <w:spacing w:after="0" w:line="260" w:lineRule="auto"/>
              <w:jc w:val="left"/>
            </w:pPr>
            <w:r>
              <w:rPr>
                <w:rFonts w:ascii="Times New Roman" w:hAnsi="Times New Roman"/>
                <w:sz w:val="24"/>
              </w:rPr>
              <w:t xml:space="preserve">subsample</w:t>
            </w:r>
          </w:p>
        </w:tc>
        <w:tc>
          <w:tcPr>
            <w:tcW w:w="2200" w:type="dxa"/>
          </w:tcPr>
          <w:p>
            <w:pPr>
              <w:spacing w:after="0" w:line="260" w:lineRule="auto"/>
              <w:jc w:val="left"/>
            </w:pPr>
            <w:r>
              <w:rPr>
                <w:rFonts w:ascii="Times New Roman" w:hAnsi="Times New Roman"/>
                <w:sz w:val="24"/>
              </w:rPr>
              <w:t xml:space="preserve">0,50–1,00</w:t>
            </w:r>
          </w:p>
        </w:tc>
        <w:tc>
          <w:tcPr>
            <w:tcW w:w="3800" w:type="dxa"/>
          </w:tcPr>
          <w:p>
            <w:pPr>
              <w:spacing w:after="0" w:line="260" w:lineRule="auto"/>
              <w:jc w:val="left"/>
            </w:pPr>
            <w:r>
              <w:rPr>
                <w:rFonts w:ascii="Times New Roman" w:hAnsi="Times New Roman"/>
                <w:sz w:val="24"/>
              </w:rPr>
              <w:t xml:space="preserve">Số thực, bước 0,05</w:t>
            </w:r>
          </w:p>
        </w:tc>
      </w:tr>
      <w:tr>
        <w:tc>
          <w:tcPr>
            <w:tcW w:w="3000" w:type="dxa"/>
          </w:tcPr>
          <w:p>
            <w:pPr>
              <w:spacing w:after="0" w:line="260" w:lineRule="auto"/>
              <w:jc w:val="left"/>
            </w:pPr>
            <w:r>
              <w:rPr>
                <w:rFonts w:ascii="Times New Roman" w:hAnsi="Times New Roman"/>
                <w:sz w:val="24"/>
              </w:rPr>
              <w:t xml:space="preserve">colsample_bytree</w:t>
            </w:r>
          </w:p>
        </w:tc>
        <w:tc>
          <w:tcPr>
            <w:tcW w:w="2200" w:type="dxa"/>
          </w:tcPr>
          <w:p>
            <w:pPr>
              <w:spacing w:after="0" w:line="260" w:lineRule="auto"/>
              <w:jc w:val="left"/>
            </w:pPr>
            <w:r>
              <w:rPr>
                <w:rFonts w:ascii="Times New Roman" w:hAnsi="Times New Roman"/>
                <w:sz w:val="24"/>
              </w:rPr>
              <w:t xml:space="preserve">0,50–1,00</w:t>
            </w:r>
          </w:p>
        </w:tc>
        <w:tc>
          <w:tcPr>
            <w:tcW w:w="3800" w:type="dxa"/>
          </w:tcPr>
          <w:p>
            <w:pPr>
              <w:spacing w:after="0" w:line="260" w:lineRule="auto"/>
              <w:jc w:val="left"/>
            </w:pPr>
            <w:r>
              <w:rPr>
                <w:rFonts w:ascii="Times New Roman" w:hAnsi="Times New Roman"/>
                <w:sz w:val="24"/>
              </w:rPr>
              <w:t xml:space="preserve">Số thực, bước 0,05</w:t>
            </w:r>
          </w:p>
        </w:tc>
      </w:tr>
      <w:tr>
        <w:tc>
          <w:tcPr>
            <w:tcW w:w="3000" w:type="dxa"/>
          </w:tcPr>
          <w:p>
            <w:pPr>
              <w:spacing w:after="0" w:line="260" w:lineRule="auto"/>
              <w:jc w:val="left"/>
            </w:pPr>
            <w:r>
              <w:rPr>
                <w:rFonts w:ascii="Times New Roman" w:hAnsi="Times New Roman"/>
                <w:sz w:val="24"/>
              </w:rPr>
              <w:t xml:space="preserve">gamma</w:t>
            </w:r>
          </w:p>
        </w:tc>
        <w:tc>
          <w:tcPr>
            <w:tcW w:w="2200" w:type="dxa"/>
          </w:tcPr>
          <w:p>
            <w:pPr>
              <w:spacing w:after="0" w:line="260" w:lineRule="auto"/>
              <w:jc w:val="left"/>
            </w:pPr>
            <w:r>
              <w:rPr>
                <w:rFonts w:ascii="Times New Roman" w:hAnsi="Times New Roman"/>
                <w:sz w:val="24"/>
              </w:rPr>
              <w:t xml:space="preserve">0–10</w:t>
            </w:r>
          </w:p>
        </w:tc>
        <w:tc>
          <w:tcPr>
            <w:tcW w:w="3800" w:type="dxa"/>
          </w:tcPr>
          <w:p>
            <w:pPr>
              <w:spacing w:after="0" w:line="260" w:lineRule="auto"/>
              <w:jc w:val="left"/>
            </w:pPr>
            <w:r>
              <w:rPr>
                <w:rFonts w:ascii="Times New Roman" w:hAnsi="Times New Roman"/>
                <w:sz w:val="24"/>
              </w:rPr>
              <w:t xml:space="preserve">Số thực, bước 0,5</w:t>
            </w:r>
          </w:p>
        </w:tc>
      </w:tr>
      <w:tr>
        <w:tc>
          <w:tcPr>
            <w:tcW w:w="3000" w:type="dxa"/>
          </w:tcPr>
          <w:p>
            <w:pPr>
              <w:spacing w:after="0" w:line="260" w:lineRule="auto"/>
              <w:jc w:val="left"/>
            </w:pPr>
            <w:r>
              <w:rPr>
                <w:rFonts w:ascii="Times New Roman" w:hAnsi="Times New Roman"/>
                <w:sz w:val="24"/>
              </w:rPr>
              <w:t xml:space="preserve">reg_alpha</w:t>
            </w:r>
          </w:p>
        </w:tc>
        <w:tc>
          <w:tcPr>
            <w:tcW w:w="2200" w:type="dxa"/>
          </w:tcPr>
          <w:p>
            <w:pPr>
              <w:spacing w:after="0" w:line="260" w:lineRule="auto"/>
              <w:jc w:val="left"/>
            </w:pPr>
            <w:r>
              <w:rPr>
                <w:rFonts w:ascii="Times New Roman" w:hAnsi="Times New Roman"/>
                <w:sz w:val="24"/>
              </w:rPr>
              <w:t xml:space="preserve">10⁻⁴–10</w:t>
            </w:r>
          </w:p>
        </w:tc>
        <w:tc>
          <w:tcPr>
            <w:tcW w:w="3800" w:type="dxa"/>
          </w:tcPr>
          <w:p>
            <w:pPr>
              <w:spacing w:after="0" w:line="260" w:lineRule="auto"/>
              <w:jc w:val="left"/>
            </w:pPr>
            <w:r>
              <w:rPr>
                <w:rFonts w:ascii="Times New Roman" w:hAnsi="Times New Roman"/>
                <w:sz w:val="24"/>
              </w:rPr>
              <w:t xml:space="preserve">Số thực theo thang log</w:t>
            </w:r>
          </w:p>
        </w:tc>
      </w:tr>
      <w:tr>
        <w:tc>
          <w:tcPr>
            <w:tcW w:w="3000" w:type="dxa"/>
          </w:tcPr>
          <w:p>
            <w:pPr>
              <w:spacing w:after="0" w:line="260" w:lineRule="auto"/>
              <w:jc w:val="left"/>
            </w:pPr>
            <w:r>
              <w:rPr>
                <w:rFonts w:ascii="Times New Roman" w:hAnsi="Times New Roman"/>
                <w:sz w:val="24"/>
              </w:rPr>
              <w:t xml:space="preserve">reg_lambda</w:t>
            </w:r>
          </w:p>
        </w:tc>
        <w:tc>
          <w:tcPr>
            <w:tcW w:w="2200" w:type="dxa"/>
          </w:tcPr>
          <w:p>
            <w:pPr>
              <w:spacing w:after="0" w:line="260" w:lineRule="auto"/>
              <w:jc w:val="left"/>
            </w:pPr>
            <w:r>
              <w:rPr>
                <w:rFonts w:ascii="Times New Roman" w:hAnsi="Times New Roman"/>
                <w:sz w:val="24"/>
              </w:rPr>
              <w:t xml:space="preserve">10⁻³–100</w:t>
            </w:r>
          </w:p>
        </w:tc>
        <w:tc>
          <w:tcPr>
            <w:tcW w:w="3800" w:type="dxa"/>
          </w:tcPr>
          <w:p>
            <w:pPr>
              <w:spacing w:after="0" w:line="260" w:lineRule="auto"/>
              <w:jc w:val="left"/>
            </w:pPr>
            <w:r>
              <w:rPr>
                <w:rFonts w:ascii="Times New Roman" w:hAnsi="Times New Roman"/>
                <w:sz w:val="24"/>
              </w:rPr>
              <w:t xml:space="preserve">Số thực theo thang log</w:t>
            </w:r>
          </w:p>
        </w:tc>
      </w:tr>
    </w:tbl>
    <w:p>
      <w:pPr>
        <w:widowControl/>
        <w:spacing w:after="120" w:line="360" w:lineRule="auto"/>
        <w:ind w:firstLine="360"/>
        <w:jc w:val="both"/>
      </w:pPr>
      <w:r>
        <w:rPr>
          <w:rFonts w:ascii="Times New Roman" w:hAnsi="Times New Roman" w:eastAsia="Times New Roman" w:cs="Times New Roman"/>
          <w:sz w:val="26"/>
          <w:szCs w:val="26"/>
        </w:rPr>
        <w:t xml:space="preserve">Các khoảng trên xác định phạm vi khảo sát, không hàm ý cấu hình tối ưu toàn cục của XGBoost. Hai nhánh dùng cùng giới hạn, bước lấy mẫu và các tham số cố định để phép so sánh không bị thay đổi bởi định nghĩa miền tìm kiếm.</w:t>
      </w:r>
    </w:p>
    <w:p>
      <w:pPr>
        <w:pStyle w:val="Heading1"/>
        <w:keepNext/>
        <w:spacing w:line="360" w:lineRule="auto"/>
      </w:pPr>
      <w:r>
        <w:rPr>
          <w:rFonts w:ascii="Times New Roman" w:hAnsi="Times New Roman" w:eastAsia="Times New Roman" w:cs="Times New Roman"/>
          <w:sz w:val="28"/>
          <w:szCs w:val="28"/>
        </w:rPr>
        <w:t xml:space="preserve">2.5. Objective 1: predictive performance</w:t>
      </w:r>
    </w:p>
    <w:p>
      <w:pPr>
        <w:widowControl/>
        <w:spacing w:after="120" w:line="360" w:lineRule="auto"/>
        <w:ind w:firstLine="360"/>
        <w:jc w:val="both"/>
      </w:pPr>
      <w:r>
        <w:rPr>
          <w:rFonts w:ascii="Times New Roman" w:hAnsi="Times New Roman" w:eastAsia="Times New Roman" w:cs="Times New Roman"/>
          <w:sz w:val="26"/>
          <w:szCs w:val="26"/>
        </w:rPr>
        <w:t xml:space="preserve">Với cấu hình θ, mô hình của fold r được fit trên 18.400 quan sát Core train và tạo xác suất default cho 4.600 quan sát validation. ROC-AUCᵣ(θ) được tính từ xác suất và nhãn của validation; mục tiêu thứ nhất là trung bình không trọng số của năm fold cố định:</w:t>
      </w:r>
    </w:p>
    <w:p>
      <w:pPr>
        <w:spacing w:before="120" w:after="120" w:line="360" w:lineRule="auto"/>
        <w:jc w:val="center"/>
      </w:pPr>
      <w:r>
        <w:rPr>
          <w:rFonts w:ascii="Times New Roman" w:hAnsi="Times New Roman" w:eastAsia="Times New Roman" w:cs="Times New Roman"/>
          <w:sz w:val="26"/>
          <w:szCs w:val="26"/>
        </w:rPr>
        <w:t xml:space="preserve">f₁(θ) = [ROC-AUC₁(θ) + ROC-AUC₂(θ) + ROC-AUC₃(θ) + ROC-AUC₄(θ) + ROC-AUC₅(θ)] / 5.</w:t>
      </w:r>
    </w:p>
    <w:p>
      <w:pPr>
        <w:widowControl/>
        <w:spacing w:after="120" w:line="360" w:lineRule="auto"/>
        <w:ind w:firstLine="360"/>
        <w:jc w:val="both"/>
      </w:pPr>
      <w:r>
        <w:rPr>
          <w:rFonts w:ascii="Times New Roman" w:hAnsi="Times New Roman" w:eastAsia="Times New Roman" w:cs="Times New Roman"/>
          <w:sz w:val="26"/>
          <w:szCs w:val="26"/>
        </w:rPr>
        <w:t xml:space="preserve">ROC-AUC đo khả năng xếp hạng lớp default trên các ngưỡng và không yêu cầu chọn trước ngưỡng quyết định. Benchmark còn báo cáo Average Precision (AP), Precision, Recall, F1-score, Balanced Accuracy và Brier score để phản ánh thêm lớp default và chất lượng xác suất. AP được tính bằng average_precision_score; không đồng nhất AP với diện tích Precision–Recall tính bằng tích phân hình thang. Các chỉ số phụ thuộc ngưỡng trong benchmark dùng ngưỡng 0,5 và không tham gia f₁.</w:t>
      </w:r>
    </w:p>
    <w:p>
      <w:pPr>
        <w:pStyle w:val="Heading1"/>
        <w:keepNext/>
        <w:spacing w:line="360" w:lineRule="auto"/>
      </w:pPr>
      <w:r>
        <w:rPr>
          <w:rFonts w:ascii="Times New Roman" w:hAnsi="Times New Roman" w:eastAsia="Times New Roman" w:cs="Times New Roman"/>
          <w:sz w:val="28"/>
          <w:szCs w:val="28"/>
        </w:rPr>
        <w:t xml:space="preserve">2.6. Phương pháp tính SHAP/TreeSHAP</w:t>
      </w:r>
    </w:p>
    <w:p>
      <w:pPr>
        <w:widowControl/>
        <w:spacing w:after="120" w:line="360" w:lineRule="auto"/>
        <w:ind w:firstLine="360"/>
        <w:jc w:val="both"/>
      </w:pPr>
      <w:r>
        <w:rPr>
          <w:rFonts w:ascii="Times New Roman" w:hAnsi="Times New Roman" w:eastAsia="Times New Roman" w:cs="Times New Roman"/>
          <w:sz w:val="26"/>
          <w:szCs w:val="26"/>
        </w:rPr>
        <w:t xml:space="preserve">Với mỗi θ, năm mô hình XGBoost được huấn luyện trên năm tập train Core. Bộ tiền xử lý của từng fold biến đổi cùng 1.000 quan sát tham chiếu trước khi giải thích. Vì reference không xuất hiện trong train hoặc validation, các vector độ quan trọng có thể so sánh trên cùng khách hàng dù mô hình được fit từ những tập con khác nhau.</w:t>
      </w:r>
    </w:p>
    <w:p>
      <w:pPr>
        <w:widowControl/>
        <w:spacing w:after="120" w:line="360" w:lineRule="auto"/>
        <w:ind w:firstLine="360"/>
        <w:jc w:val="both"/>
      </w:pPr>
      <w:r>
        <w:rPr>
          <w:rFonts w:ascii="Times New Roman" w:hAnsi="Times New Roman" w:eastAsia="Times New Roman" w:cs="Times New Roman"/>
          <w:sz w:val="26"/>
          <w:szCs w:val="26"/>
        </w:rPr>
        <w:t xml:space="preserve">Đóng góp TreeSHAP được tính chính xác qua Booster.predict(pred_contribs=True, approx_contribs=False) của XGBoost [7]. Đầu ra được giải thích là raw margin của bộ phân loại nhị phân, tương ứng thang log-odds; tổng đóng góp cùng thành phần cơ sở được kiểm tra bằng raw margin dự đoán. Phép tính dựa trên đường đi của cây đã học, không cung cấp tập dữ liệu nền riêng. Do đó, reference là tập quan sát được giải thích, không phải tập nền của phương pháp.</w:t>
      </w:r>
    </w:p>
    <w:p>
      <w:pPr>
        <w:widowControl/>
        <w:spacing w:after="120" w:line="360" w:lineRule="auto"/>
        <w:ind w:firstLine="360"/>
        <w:jc w:val="both"/>
      </w:pPr>
      <w:r>
        <w:rPr>
          <w:rFonts w:ascii="Times New Roman" w:hAnsi="Times New Roman" w:eastAsia="Times New Roman" w:cs="Times New Roman"/>
          <w:sz w:val="26"/>
          <w:szCs w:val="26"/>
        </w:rPr>
        <w:t xml:space="preserve">Các cột one-hot của cùng một biến gốc được cộng SHAP trên từng khách hàng trước khi lấy trị tuyệt đối. Với Gⱼ là tập cột mã hóa từ biến gốc j, đóng góp của biến trên quan sát i là φᵢⱼ = tổng các φᵢ,c với c thuộc Gⱼ. Độ quan trọng toàn cục của j trong lần huấn luyện r là:</w:t>
      </w:r>
    </w:p>
    <w:p>
      <w:pPr>
        <w:spacing w:before="120" w:after="120" w:line="360" w:lineRule="auto"/>
        <w:jc w:val="center"/>
      </w:pPr>
      <w:r>
        <w:rPr>
          <w:rFonts w:ascii="Times New Roman" w:hAnsi="Times New Roman" w:eastAsia="Times New Roman" w:cs="Times New Roman"/>
          <w:sz w:val="26"/>
          <w:szCs w:val="26"/>
        </w:rPr>
        <w:t xml:space="preserve">Iⱼ⁽ʳ⁾ = (1/1.000) × tổng |φᵢⱼ⁽ʳ⁾| trên 1.000 khách hàng tham chiếu.</w:t>
      </w:r>
    </w:p>
    <w:p>
      <w:pPr>
        <w:widowControl/>
        <w:spacing w:after="120" w:line="360" w:lineRule="auto"/>
        <w:ind w:firstLine="360"/>
        <w:jc w:val="both"/>
      </w:pPr>
      <w:r>
        <w:rPr>
          <w:rFonts w:ascii="Times New Roman" w:hAnsi="Times New Roman" w:eastAsia="Times New Roman" w:cs="Times New Roman"/>
          <w:sz w:val="26"/>
          <w:szCs w:val="26"/>
        </w:rPr>
        <w:t xml:space="preserve">Mỗi mô hình cho một vector gồm đúng 23 biến gốc theo cùng thứ tự. Trung bình trị tuyệt đối phản ánh cường độ đóng góp, không cho biết biến làm rủi ro tăng hay giảm và không chứng minh quan hệ nhân quả.</w:t>
      </w:r>
    </w:p>
    <w:p>
      <w:pPr>
        <w:pStyle w:val="Heading1"/>
        <w:keepNext/>
        <w:spacing w:line="360" w:lineRule="auto"/>
      </w:pPr>
      <w:r>
        <w:rPr>
          <w:rFonts w:ascii="Times New Roman" w:hAnsi="Times New Roman" w:eastAsia="Times New Roman" w:cs="Times New Roman"/>
          <w:sz w:val="28"/>
          <w:szCs w:val="28"/>
        </w:rPr>
        <w:t xml:space="preserve">2.7. Xây dựng độ đo SHAP stability</w:t>
      </w:r>
    </w:p>
    <w:p>
      <w:pPr>
        <w:widowControl/>
        <w:spacing w:after="120" w:line="360" w:lineRule="auto"/>
        <w:ind w:firstLine="360"/>
        <w:jc w:val="both"/>
      </w:pPr>
      <w:r>
        <w:rPr>
          <w:rFonts w:ascii="Times New Roman" w:hAnsi="Times New Roman" w:eastAsia="Times New Roman" w:cs="Times New Roman"/>
          <w:sz w:val="26"/>
          <w:szCs w:val="26"/>
        </w:rPr>
        <w:t xml:space="preserve">Năm tập train Core khác nhau tạo năm vector độ quan trọng I⁽ʳ⁾ cho cùng θ; seed của XGBoost giữ ở 42. Nguồn biến thiên được khảo sát là thay đổi tập huấn luyện giữa các fold. Độ ổn định chính là trung bình tương quan Spearman của tất cả mười cặp vector:</w:t>
      </w:r>
    </w:p>
    <w:p>
      <w:pPr>
        <w:spacing w:before="120" w:after="120" w:line="360" w:lineRule="auto"/>
        <w:jc w:val="center"/>
      </w:pPr>
      <w:r>
        <w:rPr>
          <w:rFonts w:ascii="Times New Roman" w:hAnsi="Times New Roman" w:eastAsia="Times New Roman" w:cs="Times New Roman"/>
          <w:sz w:val="26"/>
          <w:szCs w:val="26"/>
        </w:rPr>
        <w:t xml:space="preserve">S(θ) = (1/10) × tổng ρₛ(I⁽ᵃ⁾, I⁽ᵇ⁾) trên mọi cặp 1 ≤ a &lt; b ≤ 5.</w:t>
      </w:r>
    </w:p>
    <w:p>
      <w:pPr>
        <w:widowControl/>
        <w:spacing w:after="120" w:line="360" w:lineRule="auto"/>
        <w:ind w:firstLine="360"/>
        <w:jc w:val="both"/>
      </w:pPr>
      <w:r>
        <w:rPr>
          <w:rFonts w:ascii="Times New Roman" w:hAnsi="Times New Roman" w:eastAsia="Times New Roman" w:cs="Times New Roman"/>
          <w:sz w:val="26"/>
          <w:szCs w:val="26"/>
        </w:rPr>
        <w:t xml:space="preserve">Spearman dùng hạng trung bình khi có đồng hạng. Nếu một vector có mọi độ quan trọng bằng nhau, tương quan hạng không xác định; cặp chứa vector đó nhận điểm 0 theo quy tắc cố định. Mười cặp dùng chung năm mô hình nên không được xem là mười quan sát thống kê độc lập.</w:t>
      </w:r>
    </w:p>
    <w:p>
      <w:pPr>
        <w:widowControl/>
        <w:spacing w:after="120" w:line="360" w:lineRule="auto"/>
        <w:ind w:firstLine="360"/>
        <w:jc w:val="both"/>
      </w:pPr>
      <w:r>
        <w:rPr>
          <w:rFonts w:ascii="Times New Roman" w:hAnsi="Times New Roman" w:eastAsia="Times New Roman" w:cs="Times New Roman"/>
          <w:sz w:val="26"/>
          <w:szCs w:val="26"/>
        </w:rPr>
        <w:t xml:space="preserve">Đề tài còn báo cáo Jaccard trung bình giữa các tập top-5 của năm mô hình như chỉ số bổ sung. Khi đồng hạng tại ranh giới top-5, thứ tự 23 biến gốc được dùng để phá đồng hạng; cặp chứa vector hằng nhận điểm 0. Jaccard không xét thứ tự bên trong top-5 và không thay thế Spearman trong tối ưu.</w:t>
      </w:r>
    </w:p>
    <w:p>
      <w:pPr>
        <w:pStyle w:val="Heading1"/>
        <w:keepNext/>
        <w:spacing w:line="360" w:lineRule="auto"/>
      </w:pPr>
      <w:r>
        <w:rPr>
          <w:rFonts w:ascii="Times New Roman" w:hAnsi="Times New Roman" w:eastAsia="Times New Roman" w:cs="Times New Roman"/>
          <w:sz w:val="28"/>
          <w:szCs w:val="28"/>
        </w:rPr>
        <w:t xml:space="preserve">2.8. Objective 2: explanation stability</w:t>
      </w:r>
    </w:p>
    <w:p>
      <w:pPr>
        <w:widowControl/>
        <w:spacing w:after="120" w:line="360" w:lineRule="auto"/>
        <w:ind w:firstLine="360"/>
        <w:jc w:val="both"/>
      </w:pPr>
      <w:r>
        <w:rPr>
          <w:rFonts w:ascii="Times New Roman" w:hAnsi="Times New Roman" w:eastAsia="Times New Roman" w:cs="Times New Roman"/>
          <w:sz w:val="26"/>
          <w:szCs w:val="26"/>
        </w:rPr>
        <w:t xml:space="preserve">Mục tiêu thứ hai là tối đa hóa f₂(θ) = S(θ). Cùng năm mô hình fold dùng cho f₁ và f₂, nên mỗi trial đánh giá hai mục tiêu dưới cùng điều kiện train, validation, reference, seed mô hình, thang SHAP, quy tắc gộp biến và xử lý đồng hạng. Test không được dùng để tính mục tiêu hoặc lựa chọn cấu hình.</w:t>
      </w:r>
    </w:p>
    <w:p>
      <w:pPr>
        <w:widowControl/>
        <w:spacing w:after="120" w:line="360" w:lineRule="auto"/>
        <w:ind w:firstLine="360"/>
        <w:jc w:val="both"/>
      </w:pPr>
      <w:r>
        <w:rPr>
          <w:rFonts w:ascii="Times New Roman" w:hAnsi="Times New Roman" w:eastAsia="Times New Roman" w:cs="Times New Roman"/>
          <w:sz w:val="26"/>
          <w:szCs w:val="26"/>
        </w:rPr>
        <w:t xml:space="preserve">Giá trị f₂ chỉ diễn đạt mức nhất quán của thứ hạng quan trọng SHAP toàn cục trên reference khi thay đổi tập train theo năm fold đã định. Nó không đo ổn định về độ lớn, dấu của đóng góp hay giải thích của từng khách hàng. Sau khi chọn nghiệm trên Development, một kiểm tra với những cách chia fold mới là cần thiết để đánh giá mức phụ thuộc vào giao thức HPO.</w:t>
      </w:r>
    </w:p>
    <w:p>
      <w:pPr>
        <w:pStyle w:val="Heading1"/>
        <w:keepNext/>
        <w:spacing w:line="360" w:lineRule="auto"/>
      </w:pPr>
      <w:r>
        <w:rPr>
          <w:rFonts w:ascii="Times New Roman" w:hAnsi="Times New Roman" w:eastAsia="Times New Roman" w:cs="Times New Roman"/>
          <w:sz w:val="28"/>
          <w:szCs w:val="28"/>
        </w:rPr>
        <w:t xml:space="preserve">2.9. Mô hình hóa bài toán tối ưu đa mục tiêu</w:t>
      </w:r>
    </w:p>
    <w:p>
      <w:pPr>
        <w:widowControl/>
        <w:spacing w:after="120" w:line="360" w:lineRule="auto"/>
        <w:ind w:firstLine="360"/>
        <w:jc w:val="both"/>
      </w:pPr>
      <w:r>
        <w:rPr>
          <w:rFonts w:ascii="Times New Roman" w:hAnsi="Times New Roman" w:eastAsia="Times New Roman" w:cs="Times New Roman"/>
          <w:sz w:val="26"/>
          <w:szCs w:val="26"/>
        </w:rPr>
        <w:t xml:space="preserve">Nhánh đối chứng đơn mục tiêu dùng TPESampler của Optuna với seed 42 và 16 trial khởi tạo; sampler chỉ nhìn thấy f₁. Nhánh đa mục tiêu dùng NSGAIISampler với seed 42, cỡ quần thể 16 và hai hướng đều là maximize để tìm các cấu hình có cặp [f₁, f₂] tốt. Cả hai nhánh dùng cùng không gian chín tham số, năm fold Core, 1.000 reference và seed XGBoost. Mỗi trial của cả hai nhánh đều fit năm mô hình và tính đủ năm vector SHAP; f₂ của nhánh đơn mục tiêu được lưu để đối chiếu nhưng không chi phối cách TPE lấy mẫu.</w:t>
      </w:r>
    </w:p>
    <w:p>
      <w:pPr>
        <w:widowControl/>
        <w:spacing w:after="120" w:line="360" w:lineRule="auto"/>
        <w:ind w:firstLine="360"/>
        <w:jc w:val="both"/>
      </w:pPr>
      <w:r>
        <w:rPr>
          <w:rFonts w:ascii="Times New Roman" w:hAnsi="Times New Roman" w:eastAsia="Times New Roman" w:cs="Times New Roman"/>
          <w:sz w:val="26"/>
          <w:szCs w:val="26"/>
        </w:rPr>
        <w:t xml:space="preserve">Sau pilot riêng tám trial mỗi nhánh để đo chi phí, ngân sách chính được khóa ở 64 trial COMPLETE cho mỗi nhánh, tương ứng 320 lần fit và 320 lần tính TreeSHAP trong một nhánh. Pilot không nhập vào study chính. Optuna chạy tuần tự ở mức trial (n_jobs=1), lưu SQLite cùng tham số, giá trị mục tiêu, trạng thái, thời gian và phiên bản phần mềm. Các trial lỗi không được gán điểm giả; quá trình dừng để kiểm tra nguyên nhân trước khi tiếp tục.</w:t>
      </w:r>
    </w:p>
    <w:p>
      <w:pPr>
        <w:widowControl/>
        <w:spacing w:after="120" w:line="360" w:lineRule="auto"/>
        <w:ind w:firstLine="360"/>
        <w:jc w:val="both"/>
      </w:pPr>
      <w:r>
        <w:rPr>
          <w:rFonts w:ascii="Times New Roman" w:hAnsi="Times New Roman" w:eastAsia="Times New Roman" w:cs="Times New Roman"/>
          <w:sz w:val="26"/>
          <w:szCs w:val="26"/>
        </w:rPr>
        <w:t xml:space="preserve">Tập Test vẫn tách biệt trong suốt quá trình HPO. Lịch sử SQLite hỗ trợ kiểm tra trial; khi khởi tạo lại sampler sau gián đoạn, cùng seed không bảo đảm chuỗi đề xuất giống một lượt chạy liên tục vì trạng thái ngẫu nhiên của sampler không nằm trong lịch sử trial. Do đó, kết quả cần báo cáo đầy đủ điều kiện chạy và các lần tiếp tục nếu có.</w:t>
      </w:r>
    </w:p>
    <w:p>
      <w:pPr>
        <w:pStyle w:val="Heading1"/>
        <w:keepNext/>
        <w:spacing w:line="360" w:lineRule="auto"/>
      </w:pPr>
      <w:r>
        <w:rPr>
          <w:rFonts w:ascii="Times New Roman" w:hAnsi="Times New Roman" w:eastAsia="Times New Roman" w:cs="Times New Roman"/>
          <w:sz w:val="28"/>
          <w:szCs w:val="28"/>
        </w:rPr>
        <w:t xml:space="preserve">2.10. Pareto dominance và Pareto front</w:t>
      </w:r>
    </w:p>
    <w:p>
      <w:pPr>
        <w:widowControl/>
        <w:spacing w:after="120" w:line="360" w:lineRule="auto"/>
        <w:ind w:firstLine="360"/>
        <w:jc w:val="both"/>
      </w:pPr>
      <w:r>
        <w:rPr>
          <w:rFonts w:ascii="Times New Roman" w:hAnsi="Times New Roman" w:eastAsia="Times New Roman" w:cs="Times New Roman"/>
          <w:sz w:val="26"/>
          <w:szCs w:val="26"/>
        </w:rPr>
        <w:t xml:space="preserve">Xét tập C gồm các trial COMPLETE của study NSGA-II chính. Cấu hình a chi phối b khi f₁(a) ≥ f₁(b), f₂(a) ≥ f₂(b) và có ít nhất một bất đẳng thức nghiêm ngặt. Tập Pareto thực nghiệm là những trial trong C không bị trial nào khác thuộc C chi phối. Hai trial có đúng cùng cặp điểm không chi phối nhau; tập không bị chi phối được xác định từ các giá trị đã lưu, không thêm ngưỡng sai khác tùy chọn.</w:t>
      </w:r>
    </w:p>
    <w:p>
      <w:pPr>
        <w:spacing w:before="120" w:after="120" w:line="360" w:lineRule="auto"/>
        <w:jc w:val="center"/>
      </w:pPr>
      <w:r>
        <w:rPr>
          <w:rFonts w:ascii="Times New Roman" w:hAnsi="Times New Roman" w:eastAsia="Times New Roman" w:cs="Times New Roman"/>
          <w:sz w:val="26"/>
          <w:szCs w:val="26"/>
        </w:rPr>
        <w:t xml:space="preserve">P(C) = { b ∈ C : không tồn tại a ∈ C sao cho a chi phối b }.</w:t>
      </w:r>
    </w:p>
    <w:p>
      <w:pPr>
        <w:widowControl/>
        <w:spacing w:after="120" w:line="360" w:lineRule="auto"/>
        <w:ind w:firstLine="360"/>
        <w:jc w:val="both"/>
      </w:pPr>
      <w:r>
        <w:rPr>
          <w:rFonts w:ascii="Times New Roman" w:hAnsi="Times New Roman" w:eastAsia="Times New Roman" w:cs="Times New Roman"/>
          <w:sz w:val="26"/>
          <w:szCs w:val="26"/>
        </w:rPr>
        <w:t xml:space="preserve">Đề tài kiểm tra Pareto bằng phép so sánh từng cặp độc lập rồi đối chiếu mã trial với study.best_trials của Optuna. XGBoost mặc định, trial TPE và pilot có thể đặt trên cùng biểu đồ mục tiêu để đối chiếu nhưng không được thêm vào C. Pareto front chỉ phản ánh các cấu hình đã đánh giá trong ngân sách và miền tìm kiếm này, không phải biên tối ưu toàn cục.</w:t>
      </w:r>
    </w:p>
    <w:p>
      <w:pPr>
        <w:pStyle w:val="Heading1"/>
        <w:keepNext/>
        <w:spacing w:line="360" w:lineRule="auto"/>
      </w:pPr>
      <w:r>
        <w:rPr>
          <w:rFonts w:ascii="Times New Roman" w:hAnsi="Times New Roman" w:eastAsia="Times New Roman" w:cs="Times New Roman"/>
          <w:sz w:val="28"/>
          <w:szCs w:val="28"/>
        </w:rPr>
        <w:t xml:space="preserve">2.11. Phương pháp lựa chọn nghiệm đại diện từ Pareto front</w:t>
      </w:r>
    </w:p>
    <w:p>
      <w:pPr>
        <w:widowControl/>
        <w:spacing w:after="120" w:line="360" w:lineRule="auto"/>
        <w:ind w:firstLine="360"/>
        <w:jc w:val="both"/>
      </w:pPr>
      <w:r>
        <w:rPr>
          <w:rFonts w:ascii="Times New Roman" w:hAnsi="Times New Roman" w:eastAsia="Times New Roman" w:cs="Times New Roman"/>
          <w:sz w:val="26"/>
          <w:szCs w:val="26"/>
        </w:rPr>
        <w:t xml:space="preserve">Quy tắc lựa chọn được khóa trên Development trước khi xem Test. Các điểm Pareto trùng hẳn cặp [f₁, f₂] được biểu diễn bởi trial có mã nhỏ nhất. Trong các điểm còn lại, chọn ba vai trò theo thứ tự: ưu tiên AUC cao nhất (hòa thì ưu tiên f₂, rồi mã trial nhỏ hơn); ưu tiên stability cao nhất (hòa thì ưu tiên f₁, rồi mã trial nhỏ hơn); và một điểm cân bằng khác hai điểm cực trị.</w:t>
      </w:r>
    </w:p>
    <w:p>
      <w:pPr>
        <w:widowControl/>
        <w:spacing w:after="120" w:line="360" w:lineRule="auto"/>
        <w:ind w:firstLine="360"/>
        <w:jc w:val="both"/>
      </w:pPr>
      <w:r>
        <w:rPr>
          <w:rFonts w:ascii="Times New Roman" w:hAnsi="Times New Roman" w:eastAsia="Times New Roman" w:cs="Times New Roman"/>
          <w:sz w:val="26"/>
          <w:szCs w:val="26"/>
        </w:rPr>
        <w:t xml:space="preserve">Đối với vai trò cân bằng, hai mục tiêu được chuẩn hóa min–max riêng trên toàn bộ các điểm Pareto khác nhau. Nếu một mục tiêu có cùng giá trị ở mọi điểm, giá trị chuẩn hóa của mục tiêu đó được đặt là 1. Trong các điểm chưa chọn, lấy điểm có khoảng cách Euclid nhỏ nhất tới điểm lý tưởng (1, 1); khi hòa, ưu tiên lần lượt f₁ cao hơn, f₂ cao hơn và mã trial nhỏ hơn.</w:t>
      </w:r>
    </w:p>
    <w:p>
      <w:pPr>
        <w:spacing w:before="120" w:after="120" w:line="360" w:lineRule="auto"/>
        <w:jc w:val="center"/>
      </w:pPr>
      <w:r>
        <w:rPr>
          <w:rFonts w:ascii="Times New Roman" w:hAnsi="Times New Roman" w:eastAsia="Times New Roman" w:cs="Times New Roman"/>
          <w:sz w:val="26"/>
          <w:szCs w:val="26"/>
        </w:rPr>
        <w:t xml:space="preserve">zⱼ(θ) = [fⱼ(θ) − min_U(fⱼ)] / [max_U(fⱼ) − min_U(fⱼ)]; D(θ) = √[(1 − z₁)² + (1 − z₂)²].</w:t>
      </w:r>
    </w:p>
    <w:p>
      <w:pPr>
        <w:widowControl/>
        <w:spacing w:after="120" w:line="360" w:lineRule="auto"/>
        <w:ind w:firstLine="360"/>
        <w:jc w:val="both"/>
      </w:pPr>
      <w:r>
        <w:rPr>
          <w:rFonts w:ascii="Times New Roman" w:hAnsi="Times New Roman" w:eastAsia="Times New Roman" w:cs="Times New Roman"/>
          <w:sz w:val="26"/>
          <w:szCs w:val="26"/>
        </w:rPr>
        <w:t xml:space="preserve">Nếu front có ít hơn ba điểm mục tiêu khác nhau, chỉ báo cáo những nghiệm hiện có, không lấy trial bị chi phối để đủ ba vai trò. Jaccard top-5, AP và chỉ số trên Test không tham gia lựa chọn. Các nghiệm được chọn cần kiểm tra lại trên Development bằng điều kiện lặp mới trước khi đánh giá cuối trên Test.</w:t>
      </w:r>
    </w:p>
    <w:p>
      <w:pPr>
        <w:pStyle w:val="Heading1"/>
        <w:keepNext/>
        <w:spacing w:line="360" w:lineRule="auto"/>
      </w:pPr>
      <w:r>
        <w:rPr>
          <w:rFonts w:ascii="Times New Roman" w:hAnsi="Times New Roman" w:eastAsia="Times New Roman" w:cs="Times New Roman"/>
          <w:sz w:val="28"/>
          <w:szCs w:val="28"/>
        </w:rPr>
        <w:t xml:space="preserve">2.12. Tóm tắt chương</w:t>
      </w:r>
    </w:p>
    <w:p>
      <w:pPr>
        <w:widowControl/>
        <w:spacing w:after="120" w:line="360" w:lineRule="auto"/>
        <w:ind w:firstLine="360"/>
        <w:jc w:val="both"/>
      </w:pPr>
      <w:r>
        <w:rPr>
          <w:rFonts w:ascii="Times New Roman" w:hAnsi="Times New Roman" w:eastAsia="Times New Roman" w:cs="Times New Roman"/>
          <w:sz w:val="26"/>
          <w:szCs w:val="26"/>
        </w:rPr>
        <w:t xml:space="preserve">Chương 2 đã xác định quy trình lựa chọn siêu tham số XGBoost theo ROC-AUC kiểm định chéo và độ ổn định thứ hạng SHAP toàn cục. Mọi trial dùng chung Core, năm fold cố định, 1.000 khách hàng tham chiếu và không gian chín tham số. TPE là đối chứng đơn mục tiêu; NSGA-II khảo sát tập không bị chi phối, từ đó chọn các nghiệm đại diện bằng quy tắc đã khóa trên Development.</w:t>
      </w:r>
    </w:p>
    <w:p>
      <w:pPr>
        <w:widowControl/>
        <w:spacing w:after="120" w:line="360" w:lineRule="auto"/>
        <w:ind w:firstLine="360"/>
        <w:jc w:val="both"/>
      </w:pPr>
      <w:r>
        <w:rPr>
          <w:rFonts w:ascii="Times New Roman" w:hAnsi="Times New Roman" w:eastAsia="Times New Roman" w:cs="Times New Roman"/>
          <w:sz w:val="26"/>
          <w:szCs w:val="26"/>
        </w:rPr>
        <w:t xml:space="preserve">Phạm vi diễn giải được xác định rõ: f₂ chỉ đo thứ hạng độ quan trọng toàn cục trong điều kiện thay đổi train đã định, còn Pareto front chỉ mô tả các cấu hình được đánh giá. Chương 3 trình bày kết quả benchmark và HPO, kiểm tra độ nhạy của các nghiệm đã chọn trên những cách chia fold mới, sau đó mới sử dụng tập Test độc lập cho đánh giá cuối.</w:t>
      </w:r>
    </w:p>
    <w:sectPr>
      <w:headerReference r:id="rId18" w:type="default"/>
      <w:type w:val="nextPage"/>
      <w:pgSz w:h="16838" w:w="11906" w:orient="portrait"/>
      <w:pgMar w:bottom="1701" w:top="1701" w:left="1984" w:right="1134" w:header="850"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widowControl w:val="1"/>
      <w:spacing w:after="0" w:before="0" w:line="240" w:lineRule="auto"/>
      <w:ind w:left="0" w:right="0" w:firstLine="0"/>
      <w:jc w:val="center"/>
      <w:rPr/>
    </w:pPr>
    <w:r w:rsidDel="00000000" w:rsidR="00000000" w:rsidRPr="00000000">
      <w:rPr>
        <w:rFonts w:ascii="Times New Roman" w:cs="Times New Roman" w:eastAsia="Times New Roman" w:hAnsi="Times New Roman"/>
        <w:color w:val="000000"/>
        <w:sz w:val="26"/>
        <w:szCs w:val="26"/>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20" w:line="360" w:lineRule="auto"/>
        <w:ind w:firstLine="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80" w:line="276" w:lineRule="auto"/>
      <w:ind w:firstLine="0"/>
      <w:jc w:val="left"/>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100" w:before="200" w:line="276" w:lineRule="auto"/>
      <w:ind w:firstLine="0"/>
      <w:jc w:val="left"/>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320" w:before="0" w:line="276" w:lineRule="auto"/>
      <w:ind w:firstLine="0"/>
      <w:jc w:val="center"/>
    </w:pPr>
    <w:rPr>
      <w:rFonts w:ascii="Times New Roman" w:cs="Times New Roman" w:eastAsia="Times New Roman" w:hAnsi="Times New Roman"/>
      <w:b w:val="1"/>
      <w:bCs w:val="1"/>
      <w:color w:val="000000"/>
      <w:sz w:val="30"/>
      <w:szCs w:val="30"/>
    </w:rPr>
  </w:style>
  <w:style w:type="paragraph" w:styleId="Subtitle">
    <w:name w:val="Subtitle"/>
    <w:basedOn w:val="Normal"/>
    <w:next w:val="Normal"/>
    <w:pPr>
      <w:keepNext w:val="1"/>
      <w:keepLines w:val="1"/>
      <w:spacing w:after="240" w:before="240" w:line="276" w:lineRule="auto"/>
      <w:ind w:firstLine="0"/>
      <w:jc w:val="center"/>
    </w:pPr>
    <w:rPr>
      <w:rFonts w:ascii="Times New Roman" w:cs="Times New Roman" w:eastAsia="Times New Roman" w:hAnsi="Times New Roman"/>
      <w:b w:val="1"/>
      <w:bCs w:val="1"/>
      <w:color w:val="000000"/>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3.png"/><Relationship Id="rId18" Type="http://schemas.openxmlformats.org/officeDocument/2006/relationships/header" Target="header1.xml"/><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