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968E" w14:textId="34FBD034" w:rsidR="00112F66" w:rsidRPr="000F7BF3" w:rsidRDefault="002D4302">
      <w:pPr>
        <w:pStyle w:val="NormalWeb"/>
        <w:shd w:val="clear" w:color="auto" w:fill="FFFFFF"/>
        <w:rPr>
          <w:rStyle w:val="Strong"/>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THỰC TRẠNG THẾ CHẤP ĐẤT ĐAI VÀ ĐỀ XUẤT GIẢI PHÁP HOÀN THIỆN</w:t>
      </w:r>
    </w:p>
    <w:p w14:paraId="412EC0C6" w14:textId="37D616F6" w:rsidR="00112F66" w:rsidRPr="000F7BF3" w:rsidRDefault="00112F66" w:rsidP="002D4302">
      <w:pPr>
        <w:pStyle w:val="NormalWeb"/>
        <w:shd w:val="clear" w:color="auto" w:fill="FFFFFF"/>
        <w:rPr>
          <w:rStyle w:val="Strong"/>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Thực trạng:</w:t>
      </w:r>
    </w:p>
    <w:p w14:paraId="39A6397B" w14:textId="77777777" w:rsidR="00112F66" w:rsidRPr="000F7BF3" w:rsidRDefault="00112F66" w:rsidP="000E1043">
      <w:pPr>
        <w:pStyle w:val="NormalWeb"/>
        <w:numPr>
          <w:ilvl w:val="0"/>
          <w:numId w:val="8"/>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Thị trường thế chấp đất đai phát triển mạnh mẽ trong những năm gần đây, góp phần thúc đẩy thị trường bất động sản và nền kinh tế.</w:t>
      </w:r>
    </w:p>
    <w:p w14:paraId="38F7FD73" w14:textId="77777777" w:rsidR="00112F66" w:rsidRPr="000F7BF3" w:rsidRDefault="00112F66" w:rsidP="000E1043">
      <w:pPr>
        <w:pStyle w:val="NormalWeb"/>
        <w:numPr>
          <w:ilvl w:val="0"/>
          <w:numId w:val="8"/>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Tuy nhiên, bên cạnh những mặt tích cực, hoạt động thế chấp đất đai cũng tiềm ẩn nhiều rủi ro do những bất cập trong quy định pháp luật và thực tiễn áp dụng.</w:t>
      </w:r>
    </w:p>
    <w:p w14:paraId="023397D8" w14:textId="4960F4CF" w:rsidR="000F7BF3" w:rsidRPr="000F7BF3" w:rsidRDefault="009C784B" w:rsidP="000F7BF3">
      <w:pPr>
        <w:pStyle w:val="NormalWeb"/>
        <w:shd w:val="clear" w:color="auto" w:fill="FFFFFF"/>
        <w:rPr>
          <w:rStyle w:val="Strong"/>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MỘT SỐ VẤN ĐỀ TỒN TẠI:</w:t>
      </w:r>
    </w:p>
    <w:p w14:paraId="1054D8B8" w14:textId="77777777" w:rsidR="000F7BF3" w:rsidRPr="000F7BF3" w:rsidRDefault="000F7BF3" w:rsidP="000F7BF3">
      <w:pPr>
        <w:pStyle w:val="NormalWeb"/>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Quy định về bảo đảm cho nghĩa vụ của người thứ ba:</w:t>
      </w:r>
    </w:p>
    <w:p w14:paraId="220AB482" w14:textId="77777777" w:rsidR="000F7BF3" w:rsidRPr="000F7BF3" w:rsidRDefault="000F7BF3" w:rsidP="000F7BF3">
      <w:pPr>
        <w:pStyle w:val="NormalWeb"/>
        <w:numPr>
          <w:ilvl w:val="0"/>
          <w:numId w:val="11"/>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Chưa bảo vệ đầy đủ quyền lợi của bên bảo đảm.</w:t>
      </w:r>
    </w:p>
    <w:p w14:paraId="0FBBA969" w14:textId="77777777" w:rsidR="000F7BF3" w:rsidRPr="000F7BF3" w:rsidRDefault="000F7BF3" w:rsidP="000F7BF3">
      <w:pPr>
        <w:pStyle w:val="NormalWeb"/>
        <w:numPr>
          <w:ilvl w:val="0"/>
          <w:numId w:val="11"/>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Hợp đồng thế chấp thường do tổ chức tín dụng soạn thảo, gây bất lợi cho bên bảo đảm.</w:t>
      </w:r>
    </w:p>
    <w:p w14:paraId="2D5ECDE1" w14:textId="77777777" w:rsidR="000F7BF3" w:rsidRPr="000F7BF3" w:rsidRDefault="000F7BF3" w:rsidP="000F7BF3">
      <w:pPr>
        <w:pStyle w:val="NormalWeb"/>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Phân biệt bảo đảm bằng vật quyền và trái quyền:</w:t>
      </w:r>
    </w:p>
    <w:p w14:paraId="290CF513" w14:textId="77777777" w:rsidR="000F7BF3" w:rsidRPr="000F7BF3" w:rsidRDefault="000F7BF3" w:rsidP="000F7BF3">
      <w:pPr>
        <w:pStyle w:val="NormalWeb"/>
        <w:numPr>
          <w:ilvl w:val="0"/>
          <w:numId w:val="12"/>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Pháp luật chưa quy định và phân loại các biện pháp bảo đảm.</w:t>
      </w:r>
    </w:p>
    <w:p w14:paraId="7122A68D" w14:textId="77777777" w:rsidR="000F7BF3" w:rsidRPr="000F7BF3" w:rsidRDefault="000F7BF3" w:rsidP="000F7BF3">
      <w:pPr>
        <w:pStyle w:val="NormalWeb"/>
        <w:numPr>
          <w:ilvl w:val="0"/>
          <w:numId w:val="12"/>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Dẫn đến nhầm lẫn giữa bảo lãnh và thế chấp.</w:t>
      </w:r>
    </w:p>
    <w:p w14:paraId="595C6875" w14:textId="77777777" w:rsidR="000F7BF3" w:rsidRPr="000F7BF3" w:rsidRDefault="000F7BF3" w:rsidP="000F7BF3">
      <w:pPr>
        <w:pStyle w:val="NormalWeb"/>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Đăng ký giao dịch bảo đảm:</w:t>
      </w:r>
    </w:p>
    <w:p w14:paraId="49202672" w14:textId="77777777" w:rsidR="000F7BF3" w:rsidRPr="000F7BF3" w:rsidRDefault="000F7BF3" w:rsidP="000F7BF3">
      <w:pPr>
        <w:pStyle w:val="NormalWeb"/>
        <w:numPr>
          <w:ilvl w:val="0"/>
          <w:numId w:val="13"/>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Quy định tản mạn, gây khó khăn cho việc thực hiện.</w:t>
      </w:r>
    </w:p>
    <w:p w14:paraId="716FCA5D" w14:textId="77777777" w:rsidR="000F7BF3" w:rsidRPr="000F7BF3" w:rsidRDefault="000F7BF3" w:rsidP="000F7BF3">
      <w:pPr>
        <w:pStyle w:val="NormalWeb"/>
        <w:numPr>
          <w:ilvl w:val="0"/>
          <w:numId w:val="13"/>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Cần thống nhất thành Luật Giao dịch bảo đảm.</w:t>
      </w:r>
    </w:p>
    <w:p w14:paraId="68B341A7" w14:textId="77777777" w:rsidR="000F7BF3" w:rsidRPr="000F7BF3" w:rsidRDefault="000F7BF3" w:rsidP="000F7BF3">
      <w:pPr>
        <w:pStyle w:val="NormalWeb"/>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Xử lý tài sản bảo đảm:</w:t>
      </w:r>
    </w:p>
    <w:p w14:paraId="3FEA84DA" w14:textId="77777777" w:rsidR="000F7BF3" w:rsidRPr="000F7BF3" w:rsidRDefault="000F7BF3" w:rsidP="000F7BF3">
      <w:pPr>
        <w:pStyle w:val="NormalWeb"/>
        <w:numPr>
          <w:ilvl w:val="0"/>
          <w:numId w:val="14"/>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Quyền xử lý của tổ chức tín dụng chưa rõ ràng.</w:t>
      </w:r>
    </w:p>
    <w:p w14:paraId="22F7693A" w14:textId="77777777" w:rsidR="000F7BF3" w:rsidRPr="000F7BF3" w:rsidRDefault="000F7BF3" w:rsidP="000F7BF3">
      <w:pPr>
        <w:pStyle w:val="NormalWeb"/>
        <w:numPr>
          <w:ilvl w:val="0"/>
          <w:numId w:val="14"/>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Cần hạn chế quyền thu giữ tài sản của tổ chức tín dụng.</w:t>
      </w:r>
    </w:p>
    <w:p w14:paraId="088C9B3C" w14:textId="77777777" w:rsidR="000F7BF3" w:rsidRPr="000F7BF3" w:rsidRDefault="000F7BF3" w:rsidP="000F7BF3">
      <w:pPr>
        <w:pStyle w:val="NormalWeb"/>
        <w:numPr>
          <w:ilvl w:val="0"/>
          <w:numId w:val="14"/>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Cần quy định cụ thể về thông báo xử lý tài sản.</w:t>
      </w:r>
    </w:p>
    <w:p w14:paraId="152BF303" w14:textId="77777777" w:rsidR="000F7BF3" w:rsidRPr="000F7BF3" w:rsidRDefault="000F7BF3" w:rsidP="000F7BF3">
      <w:pPr>
        <w:pStyle w:val="NormalWeb"/>
        <w:numPr>
          <w:ilvl w:val="0"/>
          <w:numId w:val="14"/>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Chưa quy định về giá trị tài sản bảo đảm khi thỏa thuận giữa các bên.</w:t>
      </w:r>
    </w:p>
    <w:p w14:paraId="12CB97EC" w14:textId="521685FE" w:rsidR="000F7BF3" w:rsidRPr="000F7BF3" w:rsidRDefault="000F7BF3" w:rsidP="000F7BF3">
      <w:pPr>
        <w:pStyle w:val="NormalWeb"/>
        <w:numPr>
          <w:ilvl w:val="0"/>
          <w:numId w:val="14"/>
        </w:numPr>
        <w:shd w:val="clear" w:color="auto" w:fill="FFFFFF"/>
        <w:rPr>
          <w:rStyle w:val="Strong"/>
          <w:rFonts w:asciiTheme="majorHAnsi" w:hAnsiTheme="majorHAnsi" w:cstheme="majorHAnsi"/>
          <w:b w:val="0"/>
          <w:bCs w:val="0"/>
          <w:color w:val="1F1F1F"/>
          <w:sz w:val="28"/>
          <w:szCs w:val="28"/>
        </w:rPr>
      </w:pPr>
      <w:r w:rsidRPr="000F7BF3">
        <w:rPr>
          <w:rStyle w:val="Strong"/>
          <w:rFonts w:asciiTheme="majorHAnsi" w:hAnsiTheme="majorHAnsi" w:cstheme="majorHAnsi"/>
          <w:b w:val="0"/>
          <w:bCs w:val="0"/>
          <w:color w:val="1F1F1F"/>
          <w:sz w:val="28"/>
          <w:szCs w:val="28"/>
        </w:rPr>
        <w:t>Chưa quy định rõ thứ tự ưu tiên thanh toán.</w:t>
      </w:r>
    </w:p>
    <w:p w14:paraId="06DCED7D" w14:textId="273728D1" w:rsidR="00CF0C99" w:rsidRPr="000F7BF3" w:rsidRDefault="009C784B">
      <w:pPr>
        <w:pStyle w:val="NormalWeb"/>
        <w:shd w:val="clear" w:color="auto" w:fill="FFFFFF"/>
        <w:rPr>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GIẢI PHÁP HOÀN THIỆN:</w:t>
      </w:r>
    </w:p>
    <w:p w14:paraId="58078EC6" w14:textId="77777777" w:rsidR="000F7BF3" w:rsidRPr="000F7BF3" w:rsidRDefault="000F7BF3" w:rsidP="000F7BF3">
      <w:p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Kiến nghị hoàn thiện:</w:t>
      </w:r>
    </w:p>
    <w:p w14:paraId="34FD2D14" w14:textId="77777777" w:rsidR="000F7BF3" w:rsidRPr="000F7BF3" w:rsidRDefault="000F7BF3" w:rsidP="000F7BF3">
      <w:p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Bảo vệ quyền lợi của bên bảo đảm:</w:t>
      </w:r>
    </w:p>
    <w:p w14:paraId="6FB733D3" w14:textId="77777777" w:rsidR="000F7BF3" w:rsidRPr="000F7BF3" w:rsidRDefault="000F7BF3" w:rsidP="000F7BF3">
      <w:pPr>
        <w:pStyle w:val="ListParagraph"/>
        <w:numPr>
          <w:ilvl w:val="0"/>
          <w:numId w:val="15"/>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Quy định quyền yêu cầu bên vay hoàn trả.</w:t>
      </w:r>
    </w:p>
    <w:p w14:paraId="624C2481" w14:textId="77777777" w:rsidR="000F7BF3" w:rsidRPr="000F7BF3" w:rsidRDefault="000F7BF3" w:rsidP="000F7BF3">
      <w:pPr>
        <w:pStyle w:val="ListParagraph"/>
        <w:numPr>
          <w:ilvl w:val="0"/>
          <w:numId w:val="15"/>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lastRenderedPageBreak/>
        <w:t>Nâng cao trách nhiệm của công chứng viên.</w:t>
      </w:r>
    </w:p>
    <w:p w14:paraId="1E2156A3" w14:textId="77777777" w:rsidR="000F7BF3" w:rsidRPr="000F7BF3" w:rsidRDefault="000F7BF3" w:rsidP="000F7BF3">
      <w:p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Phân biệt bảo đảm bằng vật quyền và trái quyền:</w:t>
      </w:r>
    </w:p>
    <w:p w14:paraId="000562AA" w14:textId="77777777" w:rsidR="000F7BF3" w:rsidRPr="000F7BF3" w:rsidRDefault="000F7BF3" w:rsidP="000F7BF3">
      <w:pPr>
        <w:pStyle w:val="ListParagraph"/>
        <w:numPr>
          <w:ilvl w:val="0"/>
          <w:numId w:val="16"/>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Xây dựng khái niệm "vật quyền" thành một chương riêng trong BLDS.</w:t>
      </w:r>
    </w:p>
    <w:p w14:paraId="69A6D71E" w14:textId="77777777" w:rsidR="000F7BF3" w:rsidRPr="000F7BF3" w:rsidRDefault="000F7BF3" w:rsidP="000F7BF3">
      <w:p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Đăng ký giao dịch bảo đảm:</w:t>
      </w:r>
    </w:p>
    <w:p w14:paraId="40977F0E" w14:textId="015A1976" w:rsidR="000F7BF3" w:rsidRPr="000F7BF3" w:rsidRDefault="000F7BF3" w:rsidP="000F7BF3">
      <w:pPr>
        <w:pStyle w:val="ListParagraph"/>
        <w:numPr>
          <w:ilvl w:val="0"/>
          <w:numId w:val="16"/>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Ban hành Luật Giao dịch bảo đảm</w:t>
      </w:r>
    </w:p>
    <w:p w14:paraId="0EF205AB" w14:textId="77777777" w:rsidR="000F7BF3" w:rsidRPr="000F7BF3" w:rsidRDefault="000F7BF3" w:rsidP="000F7BF3">
      <w:pPr>
        <w:pStyle w:val="ListParagraph"/>
        <w:numPr>
          <w:ilvl w:val="0"/>
          <w:numId w:val="16"/>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Nâng cao sự công khai, minh bạch.</w:t>
      </w:r>
    </w:p>
    <w:p w14:paraId="75D032D5" w14:textId="77777777" w:rsidR="000F7BF3" w:rsidRPr="000F7BF3" w:rsidRDefault="000F7BF3" w:rsidP="000F7BF3">
      <w:p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Xử lý tài sản bảo đảm:</w:t>
      </w:r>
    </w:p>
    <w:p w14:paraId="4F3AFAAE" w14:textId="77777777" w:rsidR="000F7BF3" w:rsidRPr="000F7BF3" w:rsidRDefault="000F7BF3" w:rsidP="000F7BF3">
      <w:pPr>
        <w:pStyle w:val="ListParagraph"/>
        <w:numPr>
          <w:ilvl w:val="0"/>
          <w:numId w:val="17"/>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Quy định rõ quyền ưu tiên của chủ nợ.</w:t>
      </w:r>
    </w:p>
    <w:p w14:paraId="24AFD53B" w14:textId="77777777" w:rsidR="000F7BF3" w:rsidRPr="000F7BF3" w:rsidRDefault="000F7BF3" w:rsidP="000F7BF3">
      <w:pPr>
        <w:pStyle w:val="ListParagraph"/>
        <w:numPr>
          <w:ilvl w:val="0"/>
          <w:numId w:val="17"/>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Hạn chế quyền thu giữ của tổ chức tín dụng.</w:t>
      </w:r>
    </w:p>
    <w:p w14:paraId="0894011E" w14:textId="77777777" w:rsidR="000F7BF3" w:rsidRPr="000F7BF3" w:rsidRDefault="000F7BF3" w:rsidP="000F7BF3">
      <w:pPr>
        <w:pStyle w:val="ListParagraph"/>
        <w:numPr>
          <w:ilvl w:val="0"/>
          <w:numId w:val="17"/>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Quy định cụ thể về thời hạn thông báo.</w:t>
      </w:r>
    </w:p>
    <w:p w14:paraId="30FB96B8" w14:textId="77777777" w:rsidR="000F7BF3" w:rsidRPr="000F7BF3" w:rsidRDefault="000F7BF3" w:rsidP="000F7BF3">
      <w:pPr>
        <w:pStyle w:val="ListParagraph"/>
        <w:numPr>
          <w:ilvl w:val="0"/>
          <w:numId w:val="17"/>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Cho phép thỏa thuận về giá trị tài sản bảo đảm.</w:t>
      </w:r>
    </w:p>
    <w:p w14:paraId="3ED1DAE0" w14:textId="77777777" w:rsidR="000F7BF3" w:rsidRPr="000F7BF3" w:rsidRDefault="000F7BF3" w:rsidP="000F7BF3">
      <w:pPr>
        <w:pStyle w:val="ListParagraph"/>
        <w:numPr>
          <w:ilvl w:val="0"/>
          <w:numId w:val="17"/>
        </w:numPr>
        <w:shd w:val="clear" w:color="auto" w:fill="FFFFFF"/>
        <w:spacing w:before="100" w:beforeAutospacing="1" w:after="0" w:line="240" w:lineRule="auto"/>
        <w:rPr>
          <w:rStyle w:val="Strong"/>
          <w:rFonts w:asciiTheme="majorHAnsi" w:hAnsiTheme="majorHAnsi" w:cstheme="majorHAnsi"/>
          <w:b w:val="0"/>
          <w:bCs w:val="0"/>
          <w:color w:val="1F1F1F"/>
          <w:kern w:val="0"/>
          <w:sz w:val="28"/>
          <w:szCs w:val="28"/>
          <w14:ligatures w14:val="none"/>
        </w:rPr>
      </w:pPr>
      <w:r w:rsidRPr="000F7BF3">
        <w:rPr>
          <w:rStyle w:val="Strong"/>
          <w:rFonts w:asciiTheme="majorHAnsi" w:hAnsiTheme="majorHAnsi" w:cstheme="majorHAnsi"/>
          <w:b w:val="0"/>
          <w:bCs w:val="0"/>
          <w:color w:val="1F1F1F"/>
          <w:kern w:val="0"/>
          <w:sz w:val="28"/>
          <w:szCs w:val="28"/>
          <w14:ligatures w14:val="none"/>
        </w:rPr>
        <w:t>Quy định rõ thứ tự ưu tiên thanh toán.</w:t>
      </w:r>
    </w:p>
    <w:p w14:paraId="7B35A054" w14:textId="4E2020C3" w:rsidR="00CF0C99" w:rsidRPr="000F7BF3" w:rsidRDefault="00CF0C99" w:rsidP="00810FC8">
      <w:p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Style w:val="Strong"/>
          <w:rFonts w:asciiTheme="majorHAnsi" w:hAnsiTheme="majorHAnsi" w:cstheme="majorHAnsi"/>
          <w:color w:val="1F1F1F"/>
          <w:sz w:val="28"/>
          <w:szCs w:val="28"/>
        </w:rPr>
        <w:t>Một số giải pháp khác:</w:t>
      </w:r>
    </w:p>
    <w:p w14:paraId="5354BA17" w14:textId="77777777" w:rsidR="00CF0C99" w:rsidRPr="000F7BF3" w:rsidRDefault="00CF0C99" w:rsidP="00CF0C99">
      <w:pPr>
        <w:numPr>
          <w:ilvl w:val="0"/>
          <w:numId w:val="4"/>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Fonts w:asciiTheme="majorHAnsi" w:eastAsia="Times New Roman" w:hAnsiTheme="majorHAnsi" w:cstheme="majorHAnsi"/>
          <w:color w:val="1F1F1F"/>
          <w:sz w:val="28"/>
          <w:szCs w:val="28"/>
        </w:rPr>
        <w:t>Nâng cao nhận thức của người dân về hợp đồng thế chấp.</w:t>
      </w:r>
    </w:p>
    <w:p w14:paraId="7473DCB1" w14:textId="77777777" w:rsidR="00CF0C99" w:rsidRPr="000F7BF3" w:rsidRDefault="00CF0C99" w:rsidP="00CF0C99">
      <w:pPr>
        <w:numPr>
          <w:ilvl w:val="0"/>
          <w:numId w:val="4"/>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Fonts w:asciiTheme="majorHAnsi" w:eastAsia="Times New Roman" w:hAnsiTheme="majorHAnsi" w:cstheme="majorHAnsi"/>
          <w:color w:val="1F1F1F"/>
          <w:sz w:val="28"/>
          <w:szCs w:val="28"/>
        </w:rPr>
        <w:t>Khuyến khích các tổ chức tín dụng áp dụng các mô hình cho vay thế chấp mới, hiện đại.</w:t>
      </w:r>
    </w:p>
    <w:p w14:paraId="1BE6786D" w14:textId="77777777" w:rsidR="00CF0C99" w:rsidRPr="000F7BF3" w:rsidRDefault="00CF0C99" w:rsidP="00CF0C99">
      <w:pPr>
        <w:numPr>
          <w:ilvl w:val="0"/>
          <w:numId w:val="4"/>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Fonts w:asciiTheme="majorHAnsi" w:eastAsia="Times New Roman" w:hAnsiTheme="majorHAnsi" w:cstheme="majorHAnsi"/>
          <w:color w:val="1F1F1F"/>
          <w:sz w:val="28"/>
          <w:szCs w:val="28"/>
        </w:rPr>
        <w:t>Phát triển thị trường tài sản thế chấp thứ cấp.</w:t>
      </w:r>
    </w:p>
    <w:p w14:paraId="73A6A651" w14:textId="31CDF2B9" w:rsidR="00CF0C99" w:rsidRPr="000F7BF3" w:rsidRDefault="00810FC8">
      <w:pPr>
        <w:pStyle w:val="NormalWeb"/>
        <w:shd w:val="clear" w:color="auto" w:fill="FFFFFF"/>
        <w:rPr>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KẾT LUẬN:</w:t>
      </w:r>
    </w:p>
    <w:p w14:paraId="5B475E85" w14:textId="77777777" w:rsidR="00CF0C99" w:rsidRPr="000F7BF3" w:rsidRDefault="00CF0C99">
      <w:pPr>
        <w:pStyle w:val="NormalWeb"/>
        <w:shd w:val="clear" w:color="auto" w:fill="FFFFFF"/>
        <w:rPr>
          <w:rFonts w:asciiTheme="majorHAnsi" w:hAnsiTheme="majorHAnsi" w:cstheme="majorHAnsi"/>
          <w:color w:val="1F1F1F"/>
          <w:sz w:val="28"/>
          <w:szCs w:val="28"/>
        </w:rPr>
      </w:pPr>
      <w:r w:rsidRPr="000F7BF3">
        <w:rPr>
          <w:rFonts w:asciiTheme="majorHAnsi" w:hAnsiTheme="majorHAnsi" w:cstheme="majorHAnsi"/>
          <w:color w:val="1F1F1F"/>
          <w:sz w:val="28"/>
          <w:szCs w:val="28"/>
        </w:rPr>
        <w:t>Hoàn thiện hợp đồng thế chấp là một việc làm cần thiết để đảm bảo an toàn cho hoạt động cho vay thế chấp, bảo vệ quyền lợi của các bên liên quan và góp phần thúc đẩy thị trường tín dụng phát triển lành mạnh.</w:t>
      </w:r>
    </w:p>
    <w:p w14:paraId="5C020023" w14:textId="77777777" w:rsidR="00CF0C99" w:rsidRPr="000F7BF3" w:rsidRDefault="00CF0C99">
      <w:pPr>
        <w:pStyle w:val="NormalWeb"/>
        <w:shd w:val="clear" w:color="auto" w:fill="FFFFFF"/>
        <w:rPr>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Ngoài ra, cần lưu ý một số vấn đề sau:</w:t>
      </w:r>
    </w:p>
    <w:p w14:paraId="53CC272A" w14:textId="77777777" w:rsidR="00CF0C99" w:rsidRPr="000F7BF3" w:rsidRDefault="00CF0C99" w:rsidP="00CF0C99">
      <w:pPr>
        <w:numPr>
          <w:ilvl w:val="0"/>
          <w:numId w:val="5"/>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Style w:val="Strong"/>
          <w:rFonts w:asciiTheme="majorHAnsi" w:eastAsia="Times New Roman" w:hAnsiTheme="majorHAnsi" w:cstheme="majorHAnsi"/>
          <w:color w:val="1F1F1F"/>
          <w:sz w:val="28"/>
          <w:szCs w:val="28"/>
        </w:rPr>
        <w:t>Công tác tuyên truyền, phổ biến pháp luật</w:t>
      </w:r>
      <w:r w:rsidRPr="000F7BF3">
        <w:rPr>
          <w:rFonts w:asciiTheme="majorHAnsi" w:eastAsia="Times New Roman" w:hAnsiTheme="majorHAnsi" w:cstheme="majorHAnsi"/>
          <w:color w:val="1F1F1F"/>
          <w:sz w:val="28"/>
          <w:szCs w:val="28"/>
        </w:rPr>
        <w:t> về thế chấp đất đai cần được tăng cường.</w:t>
      </w:r>
    </w:p>
    <w:p w14:paraId="5A07580A" w14:textId="77777777" w:rsidR="00CF0C99" w:rsidRPr="000F7BF3" w:rsidRDefault="00CF0C99" w:rsidP="00CF0C99">
      <w:pPr>
        <w:numPr>
          <w:ilvl w:val="0"/>
          <w:numId w:val="5"/>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Style w:val="Strong"/>
          <w:rFonts w:asciiTheme="majorHAnsi" w:eastAsia="Times New Roman" w:hAnsiTheme="majorHAnsi" w:cstheme="majorHAnsi"/>
          <w:color w:val="1F1F1F"/>
          <w:sz w:val="28"/>
          <w:szCs w:val="28"/>
        </w:rPr>
        <w:t>Cần có sự phối hợp chặt chẽ giữa các cơ quan chức năng</w:t>
      </w:r>
      <w:r w:rsidRPr="000F7BF3">
        <w:rPr>
          <w:rFonts w:asciiTheme="majorHAnsi" w:eastAsia="Times New Roman" w:hAnsiTheme="majorHAnsi" w:cstheme="majorHAnsi"/>
          <w:color w:val="1F1F1F"/>
          <w:sz w:val="28"/>
          <w:szCs w:val="28"/>
        </w:rPr>
        <w:t> trong việc quản lý hoạt động cho vay thế chấp.</w:t>
      </w:r>
    </w:p>
    <w:p w14:paraId="66C9530B" w14:textId="77777777" w:rsidR="00CF0C99" w:rsidRPr="000F7BF3" w:rsidRDefault="00CF0C99" w:rsidP="00CF0C99">
      <w:pPr>
        <w:numPr>
          <w:ilvl w:val="0"/>
          <w:numId w:val="5"/>
        </w:numPr>
        <w:shd w:val="clear" w:color="auto" w:fill="FFFFFF"/>
        <w:spacing w:before="100" w:beforeAutospacing="1" w:after="0" w:line="240" w:lineRule="auto"/>
        <w:rPr>
          <w:rFonts w:asciiTheme="majorHAnsi" w:eastAsia="Times New Roman" w:hAnsiTheme="majorHAnsi" w:cstheme="majorHAnsi"/>
          <w:color w:val="1F1F1F"/>
          <w:sz w:val="28"/>
          <w:szCs w:val="28"/>
        </w:rPr>
      </w:pPr>
      <w:r w:rsidRPr="000F7BF3">
        <w:rPr>
          <w:rStyle w:val="Strong"/>
          <w:rFonts w:asciiTheme="majorHAnsi" w:eastAsia="Times New Roman" w:hAnsiTheme="majorHAnsi" w:cstheme="majorHAnsi"/>
          <w:color w:val="1F1F1F"/>
          <w:sz w:val="28"/>
          <w:szCs w:val="28"/>
        </w:rPr>
        <w:t>Cần nghiên cứu, phát triển các sản phẩm cho vay thế chấp mới</w:t>
      </w:r>
      <w:r w:rsidRPr="000F7BF3">
        <w:rPr>
          <w:rFonts w:asciiTheme="majorHAnsi" w:eastAsia="Times New Roman" w:hAnsiTheme="majorHAnsi" w:cstheme="majorHAnsi"/>
          <w:color w:val="1F1F1F"/>
          <w:sz w:val="28"/>
          <w:szCs w:val="28"/>
        </w:rPr>
        <w:t> phù hợp với nhu cầu của thị trường.</w:t>
      </w:r>
    </w:p>
    <w:p w14:paraId="5483BDE9" w14:textId="77777777" w:rsidR="00CF0C99" w:rsidRPr="000F7BF3" w:rsidRDefault="00CF0C99">
      <w:pPr>
        <w:pStyle w:val="NormalWeb"/>
        <w:shd w:val="clear" w:color="auto" w:fill="FFFFFF"/>
        <w:rPr>
          <w:rFonts w:asciiTheme="majorHAnsi" w:hAnsiTheme="majorHAnsi" w:cstheme="majorHAnsi"/>
          <w:color w:val="1F1F1F"/>
          <w:sz w:val="28"/>
          <w:szCs w:val="28"/>
        </w:rPr>
      </w:pPr>
      <w:r w:rsidRPr="000F7BF3">
        <w:rPr>
          <w:rStyle w:val="Strong"/>
          <w:rFonts w:asciiTheme="majorHAnsi" w:hAnsiTheme="majorHAnsi" w:cstheme="majorHAnsi"/>
          <w:color w:val="1F1F1F"/>
          <w:sz w:val="28"/>
          <w:szCs w:val="28"/>
        </w:rPr>
        <w:t>Với những giải pháp trên, hy vọng thị trường thế chấp đất đai sẽ ngày càng phát triển an toàn, hiệu quả và minh bạch.</w:t>
      </w:r>
    </w:p>
    <w:p w14:paraId="1B5E03BB" w14:textId="77777777" w:rsidR="00957090" w:rsidRPr="000F7BF3" w:rsidRDefault="00957090">
      <w:pPr>
        <w:rPr>
          <w:rFonts w:asciiTheme="majorHAnsi" w:hAnsiTheme="majorHAnsi" w:cstheme="majorHAnsi"/>
          <w:sz w:val="28"/>
          <w:szCs w:val="28"/>
        </w:rPr>
      </w:pPr>
    </w:p>
    <w:sectPr w:rsidR="00957090" w:rsidRPr="000F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C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0F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7BD0"/>
    <w:multiLevelType w:val="hybridMultilevel"/>
    <w:tmpl w:val="BAE6BB5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9C51769"/>
    <w:multiLevelType w:val="hybridMultilevel"/>
    <w:tmpl w:val="8AAC7C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6D83299"/>
    <w:multiLevelType w:val="hybridMultilevel"/>
    <w:tmpl w:val="8C8A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826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E4E99"/>
    <w:multiLevelType w:val="hybridMultilevel"/>
    <w:tmpl w:val="014626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CD3C09"/>
    <w:multiLevelType w:val="hybridMultilevel"/>
    <w:tmpl w:val="EA8CA0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9E214EA"/>
    <w:multiLevelType w:val="hybridMultilevel"/>
    <w:tmpl w:val="126E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C02E0"/>
    <w:multiLevelType w:val="hybridMultilevel"/>
    <w:tmpl w:val="FFA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263D9"/>
    <w:multiLevelType w:val="hybridMultilevel"/>
    <w:tmpl w:val="8634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75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7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8135C"/>
    <w:multiLevelType w:val="hybridMultilevel"/>
    <w:tmpl w:val="BE9E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8422E"/>
    <w:multiLevelType w:val="hybridMultilevel"/>
    <w:tmpl w:val="608087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AAA258F"/>
    <w:multiLevelType w:val="hybridMultilevel"/>
    <w:tmpl w:val="52E4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F6394"/>
    <w:multiLevelType w:val="hybridMultilevel"/>
    <w:tmpl w:val="E85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037782">
    <w:abstractNumId w:val="12"/>
  </w:num>
  <w:num w:numId="2" w16cid:durableId="193008190">
    <w:abstractNumId w:val="11"/>
  </w:num>
  <w:num w:numId="3" w16cid:durableId="1806191167">
    <w:abstractNumId w:val="1"/>
  </w:num>
  <w:num w:numId="4" w16cid:durableId="1170173006">
    <w:abstractNumId w:val="0"/>
  </w:num>
  <w:num w:numId="5" w16cid:durableId="1733891807">
    <w:abstractNumId w:val="5"/>
  </w:num>
  <w:num w:numId="6" w16cid:durableId="607740219">
    <w:abstractNumId w:val="2"/>
  </w:num>
  <w:num w:numId="7" w16cid:durableId="760178647">
    <w:abstractNumId w:val="14"/>
  </w:num>
  <w:num w:numId="8" w16cid:durableId="138497800">
    <w:abstractNumId w:val="6"/>
  </w:num>
  <w:num w:numId="9" w16cid:durableId="751197831">
    <w:abstractNumId w:val="3"/>
  </w:num>
  <w:num w:numId="10" w16cid:durableId="1644390561">
    <w:abstractNumId w:val="7"/>
  </w:num>
  <w:num w:numId="11" w16cid:durableId="889656302">
    <w:abstractNumId w:val="4"/>
  </w:num>
  <w:num w:numId="12" w16cid:durableId="2077586304">
    <w:abstractNumId w:val="8"/>
  </w:num>
  <w:num w:numId="13" w16cid:durableId="996373233">
    <w:abstractNumId w:val="9"/>
  </w:num>
  <w:num w:numId="14" w16cid:durableId="698504817">
    <w:abstractNumId w:val="13"/>
  </w:num>
  <w:num w:numId="15" w16cid:durableId="258484999">
    <w:abstractNumId w:val="10"/>
  </w:num>
  <w:num w:numId="16" w16cid:durableId="2085176170">
    <w:abstractNumId w:val="16"/>
  </w:num>
  <w:num w:numId="17" w16cid:durableId="12599445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90"/>
    <w:rsid w:val="000E1043"/>
    <w:rsid w:val="000F7BF3"/>
    <w:rsid w:val="00112F66"/>
    <w:rsid w:val="002D4302"/>
    <w:rsid w:val="0073023F"/>
    <w:rsid w:val="00810FC8"/>
    <w:rsid w:val="00957090"/>
    <w:rsid w:val="009C784B"/>
    <w:rsid w:val="009D07D3"/>
    <w:rsid w:val="00CF0C99"/>
    <w:rsid w:val="00D2024F"/>
    <w:rsid w:val="00F22A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531"/>
  <w15:chartTrackingRefBased/>
  <w15:docId w15:val="{B9610195-0084-434E-940C-8C5B8E93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090"/>
    <w:rPr>
      <w:rFonts w:eastAsiaTheme="majorEastAsia" w:cstheme="majorBidi"/>
      <w:color w:val="272727" w:themeColor="text1" w:themeTint="D8"/>
    </w:rPr>
  </w:style>
  <w:style w:type="paragraph" w:styleId="Title">
    <w:name w:val="Title"/>
    <w:basedOn w:val="Normal"/>
    <w:next w:val="Normal"/>
    <w:link w:val="TitleChar"/>
    <w:uiPriority w:val="10"/>
    <w:qFormat/>
    <w:rsid w:val="00957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090"/>
    <w:pPr>
      <w:spacing w:before="160"/>
      <w:jc w:val="center"/>
    </w:pPr>
    <w:rPr>
      <w:i/>
      <w:iCs/>
      <w:color w:val="404040" w:themeColor="text1" w:themeTint="BF"/>
    </w:rPr>
  </w:style>
  <w:style w:type="character" w:customStyle="1" w:styleId="QuoteChar">
    <w:name w:val="Quote Char"/>
    <w:basedOn w:val="DefaultParagraphFont"/>
    <w:link w:val="Quote"/>
    <w:uiPriority w:val="29"/>
    <w:rsid w:val="00957090"/>
    <w:rPr>
      <w:i/>
      <w:iCs/>
      <w:color w:val="404040" w:themeColor="text1" w:themeTint="BF"/>
    </w:rPr>
  </w:style>
  <w:style w:type="paragraph" w:styleId="ListParagraph">
    <w:name w:val="List Paragraph"/>
    <w:basedOn w:val="Normal"/>
    <w:uiPriority w:val="34"/>
    <w:qFormat/>
    <w:rsid w:val="00957090"/>
    <w:pPr>
      <w:ind w:left="720"/>
      <w:contextualSpacing/>
    </w:pPr>
  </w:style>
  <w:style w:type="character" w:styleId="IntenseEmphasis">
    <w:name w:val="Intense Emphasis"/>
    <w:basedOn w:val="DefaultParagraphFont"/>
    <w:uiPriority w:val="21"/>
    <w:qFormat/>
    <w:rsid w:val="00957090"/>
    <w:rPr>
      <w:i/>
      <w:iCs/>
      <w:color w:val="0F4761" w:themeColor="accent1" w:themeShade="BF"/>
    </w:rPr>
  </w:style>
  <w:style w:type="paragraph" w:styleId="IntenseQuote">
    <w:name w:val="Intense Quote"/>
    <w:basedOn w:val="Normal"/>
    <w:next w:val="Normal"/>
    <w:link w:val="IntenseQuoteChar"/>
    <w:uiPriority w:val="30"/>
    <w:qFormat/>
    <w:rsid w:val="00957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090"/>
    <w:rPr>
      <w:i/>
      <w:iCs/>
      <w:color w:val="0F4761" w:themeColor="accent1" w:themeShade="BF"/>
    </w:rPr>
  </w:style>
  <w:style w:type="character" w:styleId="IntenseReference">
    <w:name w:val="Intense Reference"/>
    <w:basedOn w:val="DefaultParagraphFont"/>
    <w:uiPriority w:val="32"/>
    <w:qFormat/>
    <w:rsid w:val="00957090"/>
    <w:rPr>
      <w:b/>
      <w:bCs/>
      <w:smallCaps/>
      <w:color w:val="0F4761" w:themeColor="accent1" w:themeShade="BF"/>
      <w:spacing w:val="5"/>
    </w:rPr>
  </w:style>
  <w:style w:type="paragraph" w:styleId="NormalWeb">
    <w:name w:val="Normal (Web)"/>
    <w:basedOn w:val="Normal"/>
    <w:uiPriority w:val="99"/>
    <w:semiHidden/>
    <w:unhideWhenUsed/>
    <w:rsid w:val="00CF0C99"/>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CF0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54">
      <w:bodyDiv w:val="1"/>
      <w:marLeft w:val="0"/>
      <w:marRight w:val="0"/>
      <w:marTop w:val="0"/>
      <w:marBottom w:val="0"/>
      <w:divBdr>
        <w:top w:val="none" w:sz="0" w:space="0" w:color="auto"/>
        <w:left w:val="none" w:sz="0" w:space="0" w:color="auto"/>
        <w:bottom w:val="none" w:sz="0" w:space="0" w:color="auto"/>
        <w:right w:val="none" w:sz="0" w:space="0" w:color="auto"/>
      </w:divBdr>
    </w:div>
    <w:div w:id="7386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Đức</dc:creator>
  <cp:keywords/>
  <dc:description/>
  <cp:lastModifiedBy>Lê Huỳnh Đức - B2203500</cp:lastModifiedBy>
  <cp:revision>3</cp:revision>
  <dcterms:created xsi:type="dcterms:W3CDTF">2024-03-22T13:28:00Z</dcterms:created>
  <dcterms:modified xsi:type="dcterms:W3CDTF">2024-03-23T04:50:00Z</dcterms:modified>
</cp:coreProperties>
</file>