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73F4B">
      <w:pPr>
        <w:spacing w:line="300" w:lineRule="auto"/>
        <w:jc w:val="center"/>
        <w:rPr>
          <w:rFonts w:hint="eastAsia" w:ascii="宋体" w:hAnsi="宋体" w:cs="宋体"/>
          <w:b/>
          <w:bCs/>
          <w:sz w:val="72"/>
          <w:szCs w:val="72"/>
        </w:rPr>
      </w:pPr>
    </w:p>
    <w:p w14:paraId="26084B4B">
      <w:pPr>
        <w:spacing w:line="300" w:lineRule="auto"/>
        <w:jc w:val="center"/>
        <w:rPr>
          <w:rFonts w:hint="eastAsia" w:ascii="宋体" w:hAnsi="宋体" w:cs="宋体"/>
          <w:b/>
          <w:bCs/>
          <w:sz w:val="72"/>
          <w:szCs w:val="72"/>
        </w:rPr>
      </w:pPr>
    </w:p>
    <w:p w14:paraId="1A72D8D8">
      <w:pPr>
        <w:spacing w:line="300" w:lineRule="auto"/>
        <w:jc w:val="center"/>
        <w:rPr>
          <w:rFonts w:eastAsia="黑体"/>
          <w:b/>
          <w:sz w:val="40"/>
          <w:szCs w:val="52"/>
        </w:rPr>
      </w:pPr>
      <w:r>
        <w:rPr>
          <w:rFonts w:hint="eastAsia" w:ascii="宋体" w:hAnsi="宋体" w:cs="宋体"/>
          <w:b/>
          <w:bCs/>
          <w:sz w:val="72"/>
          <w:szCs w:val="72"/>
        </w:rPr>
        <w:t>长沙轨道交通职业学院</w:t>
      </w:r>
    </w:p>
    <w:p w14:paraId="071B4BAF">
      <w:pPr>
        <w:keepNext w:val="0"/>
        <w:keepLines w:val="0"/>
        <w:pageBreakBefore w:val="0"/>
        <w:widowControl w:val="0"/>
        <w:kinsoku/>
        <w:wordWrap/>
        <w:overflowPunct/>
        <w:topLinePunct w:val="0"/>
        <w:autoSpaceDE/>
        <w:autoSpaceDN/>
        <w:bidi w:val="0"/>
        <w:adjustRightInd/>
        <w:snapToGrid/>
        <w:spacing w:before="313" w:beforeLines="100" w:after="313" w:afterLines="100" w:line="300" w:lineRule="auto"/>
        <w:jc w:val="center"/>
        <w:textAlignment w:val="auto"/>
        <w:rPr>
          <w:rFonts w:ascii="宋体" w:hAnsi="宋体" w:cs="宋体"/>
          <w:b/>
          <w:bCs/>
          <w:sz w:val="72"/>
          <w:szCs w:val="72"/>
        </w:rPr>
      </w:pPr>
      <w:r>
        <w:rPr>
          <w:rFonts w:hint="eastAsia" w:ascii="宋体" w:hAnsi="宋体" w:cs="宋体"/>
          <w:b/>
          <w:bCs/>
          <w:sz w:val="52"/>
          <w:szCs w:val="52"/>
        </w:rPr>
        <w:t>《城市轨道交通列车运行控制》</w:t>
      </w:r>
    </w:p>
    <w:p w14:paraId="135C1CB6">
      <w:pPr>
        <w:spacing w:line="300" w:lineRule="auto"/>
        <w:jc w:val="center"/>
        <w:rPr>
          <w:rFonts w:hint="eastAsia" w:ascii="宋体" w:hAnsi="宋体" w:cs="宋体"/>
          <w:b/>
          <w:bCs/>
          <w:sz w:val="72"/>
          <w:szCs w:val="72"/>
        </w:rPr>
      </w:pPr>
      <w:r>
        <w:rPr>
          <w:rFonts w:hint="eastAsia" w:ascii="宋体" w:hAnsi="宋体" w:cs="宋体"/>
          <w:b/>
          <w:bCs/>
          <w:sz w:val="72"/>
          <w:szCs w:val="72"/>
        </w:rPr>
        <w:t>课程标准</w:t>
      </w:r>
    </w:p>
    <w:p w14:paraId="0078457E">
      <w:pPr>
        <w:spacing w:line="300" w:lineRule="auto"/>
        <w:jc w:val="center"/>
        <w:rPr>
          <w:rFonts w:hint="eastAsia" w:ascii="宋体" w:hAnsi="宋体" w:cs="宋体"/>
          <w:b/>
          <w:bCs/>
          <w:sz w:val="72"/>
          <w:szCs w:val="72"/>
        </w:rPr>
      </w:pPr>
    </w:p>
    <w:p w14:paraId="7CF7830F">
      <w:pPr>
        <w:spacing w:line="480" w:lineRule="auto"/>
        <w:ind w:firstLine="640" w:firstLineChars="200"/>
        <w:rPr>
          <w:rFonts w:hint="default" w:eastAsia="宋体"/>
          <w:sz w:val="32"/>
          <w:szCs w:val="28"/>
          <w:u w:val="single"/>
          <w:lang w:val="en-US" w:eastAsia="zh-CN"/>
        </w:rPr>
      </w:pPr>
      <w:r>
        <w:rPr>
          <w:rFonts w:hint="eastAsia" w:eastAsia="黑体"/>
          <w:sz w:val="32"/>
          <w:szCs w:val="28"/>
        </w:rPr>
        <w:t>课程类别：</w:t>
      </w:r>
      <w:r>
        <w:rPr>
          <w:rFonts w:hint="eastAsia" w:eastAsia="黑体"/>
          <w:sz w:val="32"/>
          <w:szCs w:val="28"/>
          <w:u w:val="single"/>
        </w:rPr>
        <w:t xml:space="preserve"> </w:t>
      </w:r>
      <w:r>
        <w:rPr>
          <w:rFonts w:hint="eastAsia" w:ascii="宋体" w:hAnsi="宋体"/>
          <w:b w:val="0"/>
          <w:bCs w:val="0"/>
          <w:sz w:val="32"/>
          <w:szCs w:val="28"/>
          <w:u w:val="single"/>
          <w:lang w:val="en-US" w:eastAsia="zh-CN"/>
        </w:rPr>
        <w:t>专业</w:t>
      </w:r>
      <w:r>
        <w:rPr>
          <w:rFonts w:hint="eastAsia" w:ascii="宋体" w:hAnsi="宋体"/>
          <w:b w:val="0"/>
          <w:bCs w:val="0"/>
          <w:sz w:val="32"/>
          <w:szCs w:val="28"/>
          <w:u w:val="single"/>
        </w:rPr>
        <w:t>基础课</w:t>
      </w:r>
      <w:r>
        <w:rPr>
          <w:rFonts w:hint="eastAsia" w:ascii="宋体" w:hAnsi="宋体"/>
          <w:b w:val="0"/>
          <w:bCs w:val="0"/>
          <w:sz w:val="32"/>
          <w:szCs w:val="28"/>
          <w:u w:val="single"/>
          <w:lang w:val="en-US" w:eastAsia="zh-CN"/>
        </w:rPr>
        <w:t xml:space="preserve">                      </w:t>
      </w:r>
    </w:p>
    <w:p w14:paraId="5838B1F4">
      <w:pPr>
        <w:spacing w:line="480" w:lineRule="auto"/>
        <w:ind w:firstLine="640" w:firstLineChars="200"/>
        <w:rPr>
          <w:rFonts w:hint="default" w:eastAsia="黑体"/>
          <w:sz w:val="32"/>
          <w:szCs w:val="28"/>
          <w:u w:val="single"/>
          <w:lang w:val="en-US" w:eastAsia="zh-CN"/>
        </w:rPr>
      </w:pPr>
      <w:r>
        <w:rPr>
          <w:rFonts w:hint="eastAsia" w:eastAsia="黑体"/>
          <w:sz w:val="32"/>
          <w:szCs w:val="28"/>
        </w:rPr>
        <w:t>适用专业</w:t>
      </w:r>
      <w:r>
        <w:rPr>
          <w:rFonts w:hint="eastAsia" w:eastAsia="黑体"/>
          <w:sz w:val="32"/>
          <w:szCs w:val="28"/>
          <w:lang w:eastAsia="zh-CN"/>
        </w:rPr>
        <w:t>：</w:t>
      </w:r>
      <w:r>
        <w:rPr>
          <w:rFonts w:hint="eastAsia" w:eastAsia="黑体"/>
          <w:sz w:val="32"/>
          <w:szCs w:val="28"/>
          <w:u w:val="single"/>
          <w:lang w:val="en-US" w:eastAsia="zh-CN"/>
        </w:rPr>
        <w:t xml:space="preserve">                                 </w:t>
      </w:r>
    </w:p>
    <w:p w14:paraId="30FB2E45">
      <w:pPr>
        <w:spacing w:line="300" w:lineRule="auto"/>
        <w:jc w:val="center"/>
        <w:rPr>
          <w:rFonts w:eastAsia="黑体"/>
          <w:b/>
          <w:sz w:val="52"/>
          <w:szCs w:val="52"/>
        </w:rPr>
      </w:pPr>
    </w:p>
    <w:p w14:paraId="4A9CEC75">
      <w:pPr>
        <w:spacing w:line="480" w:lineRule="auto"/>
        <w:ind w:firstLine="640" w:firstLineChars="200"/>
        <w:rPr>
          <w:rFonts w:hint="default" w:eastAsia="宋体"/>
          <w:sz w:val="32"/>
          <w:szCs w:val="28"/>
          <w:u w:val="single"/>
          <w:lang w:val="en-US" w:eastAsia="zh-CN"/>
        </w:rPr>
      </w:pPr>
      <w:r>
        <w:rPr>
          <w:sz w:val="32"/>
          <w:szCs w:val="28"/>
        </w:rPr>
        <w:t>执  笔  人：</w:t>
      </w:r>
      <w:r>
        <w:rPr>
          <w:rFonts w:hint="eastAsia"/>
          <w:sz w:val="32"/>
          <w:szCs w:val="28"/>
          <w:u w:val="single"/>
          <w:lang w:val="en-US" w:eastAsia="zh-CN"/>
        </w:rPr>
        <w:t xml:space="preserve">                               </w:t>
      </w:r>
    </w:p>
    <w:p w14:paraId="2D2188E0">
      <w:pPr>
        <w:spacing w:line="480" w:lineRule="auto"/>
        <w:ind w:firstLine="640" w:firstLineChars="200"/>
        <w:rPr>
          <w:rFonts w:hint="default" w:eastAsia="宋体"/>
          <w:sz w:val="32"/>
          <w:szCs w:val="28"/>
          <w:u w:val="single"/>
          <w:lang w:val="en-US" w:eastAsia="zh-CN"/>
        </w:rPr>
      </w:pPr>
      <w:r>
        <w:rPr>
          <w:sz w:val="32"/>
          <w:szCs w:val="28"/>
        </w:rPr>
        <w:t>专业负责人：</w:t>
      </w:r>
      <w:r>
        <w:rPr>
          <w:rFonts w:hint="eastAsia"/>
          <w:sz w:val="32"/>
          <w:szCs w:val="28"/>
          <w:u w:val="single"/>
          <w:lang w:val="en-US" w:eastAsia="zh-CN"/>
        </w:rPr>
        <w:t xml:space="preserve">                               </w:t>
      </w:r>
    </w:p>
    <w:p w14:paraId="147755E2">
      <w:pPr>
        <w:spacing w:line="480" w:lineRule="auto"/>
        <w:ind w:firstLine="640" w:firstLineChars="200"/>
        <w:rPr>
          <w:sz w:val="32"/>
          <w:szCs w:val="28"/>
        </w:rPr>
      </w:pPr>
      <w:r>
        <w:rPr>
          <w:rFonts w:hint="eastAsia"/>
          <w:sz w:val="32"/>
          <w:szCs w:val="28"/>
          <w:lang w:val="en-US" w:eastAsia="zh-CN"/>
        </w:rPr>
        <w:t>院</w:t>
      </w:r>
      <w:r>
        <w:rPr>
          <w:sz w:val="32"/>
          <w:szCs w:val="28"/>
        </w:rPr>
        <w:t>部审核人：</w:t>
      </w:r>
      <w:r>
        <w:rPr>
          <w:rFonts w:hint="eastAsia"/>
          <w:sz w:val="32"/>
          <w:szCs w:val="28"/>
          <w:u w:val="single"/>
          <w:lang w:val="en-US" w:eastAsia="zh-CN"/>
        </w:rPr>
        <w:t xml:space="preserve">                               </w:t>
      </w:r>
      <w:r>
        <w:rPr>
          <w:rFonts w:hint="eastAsia"/>
          <w:sz w:val="32"/>
          <w:szCs w:val="28"/>
          <w:lang w:val="en-US" w:eastAsia="zh-CN"/>
        </w:rPr>
        <w:t xml:space="preserve"> </w:t>
      </w:r>
      <w:r>
        <w:rPr>
          <w:sz w:val="32"/>
          <w:szCs w:val="28"/>
        </w:rPr>
        <w:t xml:space="preserve"> </w:t>
      </w:r>
    </w:p>
    <w:p w14:paraId="34BD4A10">
      <w:pPr>
        <w:spacing w:line="480" w:lineRule="auto"/>
        <w:ind w:firstLine="640" w:firstLineChars="200"/>
        <w:rPr>
          <w:sz w:val="32"/>
          <w:szCs w:val="28"/>
        </w:rPr>
      </w:pPr>
      <w:r>
        <w:rPr>
          <w:sz w:val="32"/>
          <w:szCs w:val="28"/>
        </w:rPr>
        <w:t>教务审核人：</w:t>
      </w:r>
      <w:r>
        <w:rPr>
          <w:rFonts w:hint="eastAsia"/>
          <w:sz w:val="32"/>
          <w:szCs w:val="28"/>
          <w:u w:val="single"/>
          <w:lang w:val="en-US" w:eastAsia="zh-CN"/>
        </w:rPr>
        <w:t xml:space="preserve">                               </w:t>
      </w:r>
      <w:r>
        <w:rPr>
          <w:sz w:val="32"/>
          <w:szCs w:val="28"/>
        </w:rPr>
        <w:t xml:space="preserve"> </w:t>
      </w:r>
    </w:p>
    <w:p w14:paraId="442F0D76">
      <w:pPr>
        <w:ind w:firstLine="640" w:firstLineChars="200"/>
        <w:rPr>
          <w:sz w:val="32"/>
          <w:szCs w:val="28"/>
        </w:rPr>
      </w:pPr>
      <w:r>
        <w:rPr>
          <w:sz w:val="32"/>
          <w:szCs w:val="28"/>
        </w:rPr>
        <w:t>学</w:t>
      </w:r>
      <w:r>
        <w:rPr>
          <w:rFonts w:hint="eastAsia"/>
          <w:sz w:val="32"/>
          <w:szCs w:val="28"/>
          <w:lang w:val="en-US" w:eastAsia="zh-CN"/>
        </w:rPr>
        <w:t>校</w:t>
      </w:r>
      <w:r>
        <w:rPr>
          <w:sz w:val="32"/>
          <w:szCs w:val="28"/>
        </w:rPr>
        <w:t>审批人：</w:t>
      </w:r>
      <w:r>
        <w:rPr>
          <w:rFonts w:hint="eastAsia"/>
          <w:sz w:val="32"/>
          <w:szCs w:val="28"/>
          <w:u w:val="single"/>
          <w:lang w:val="en-US" w:eastAsia="zh-CN"/>
        </w:rPr>
        <w:t xml:space="preserve">                               </w:t>
      </w:r>
      <w:r>
        <w:rPr>
          <w:sz w:val="32"/>
          <w:szCs w:val="28"/>
        </w:rPr>
        <w:t xml:space="preserve">  </w:t>
      </w:r>
    </w:p>
    <w:p w14:paraId="7FAD7652">
      <w:pPr>
        <w:spacing w:line="480" w:lineRule="auto"/>
        <w:ind w:firstLine="2800" w:firstLineChars="1000"/>
        <w:jc w:val="both"/>
        <w:rPr>
          <w:rFonts w:eastAsia="黑体"/>
          <w:sz w:val="28"/>
          <w:szCs w:val="28"/>
        </w:rPr>
      </w:pPr>
    </w:p>
    <w:p w14:paraId="0F08F7D5">
      <w:pPr>
        <w:spacing w:line="480" w:lineRule="auto"/>
        <w:ind w:firstLine="2800" w:firstLineChars="1000"/>
        <w:jc w:val="both"/>
        <w:rPr>
          <w:rFonts w:eastAsia="黑体"/>
          <w:sz w:val="28"/>
          <w:szCs w:val="28"/>
        </w:rPr>
      </w:pPr>
    </w:p>
    <w:p w14:paraId="7A9664AD">
      <w:pPr>
        <w:spacing w:line="480" w:lineRule="auto"/>
        <w:ind w:firstLine="2800" w:firstLineChars="1000"/>
        <w:jc w:val="both"/>
        <w:rPr>
          <w:rFonts w:eastAsia="黑体"/>
          <w:sz w:val="28"/>
          <w:szCs w:val="28"/>
        </w:rPr>
      </w:pPr>
      <w:r>
        <w:rPr>
          <w:rFonts w:eastAsia="黑体"/>
          <w:sz w:val="28"/>
          <w:szCs w:val="28"/>
        </w:rPr>
        <w:t>制定时间： 202</w:t>
      </w:r>
      <w:r>
        <w:rPr>
          <w:rFonts w:hint="eastAsia" w:eastAsia="黑体"/>
          <w:sz w:val="28"/>
          <w:szCs w:val="28"/>
          <w:lang w:val="en-US" w:eastAsia="zh-CN"/>
        </w:rPr>
        <w:t>5</w:t>
      </w:r>
      <w:r>
        <w:rPr>
          <w:rFonts w:eastAsia="黑体"/>
          <w:sz w:val="28"/>
          <w:szCs w:val="28"/>
        </w:rPr>
        <w:t>年</w:t>
      </w:r>
      <w:r>
        <w:rPr>
          <w:rFonts w:hint="eastAsia" w:eastAsia="黑体"/>
          <w:sz w:val="28"/>
          <w:szCs w:val="28"/>
        </w:rPr>
        <w:t>9</w:t>
      </w:r>
      <w:r>
        <w:rPr>
          <w:rFonts w:eastAsia="黑体"/>
          <w:sz w:val="28"/>
          <w:szCs w:val="28"/>
        </w:rPr>
        <w:t>月</w:t>
      </w:r>
      <w:r>
        <w:rPr>
          <w:rFonts w:hint="eastAsia" w:eastAsia="黑体"/>
          <w:sz w:val="28"/>
          <w:szCs w:val="28"/>
        </w:rPr>
        <w:t>制定</w:t>
      </w:r>
    </w:p>
    <w:p w14:paraId="3F93269D">
      <w:pPr>
        <w:spacing w:line="480" w:lineRule="auto"/>
        <w:ind w:firstLine="2800" w:firstLineChars="1000"/>
        <w:jc w:val="both"/>
        <w:rPr>
          <w:rFonts w:eastAsia="黑体"/>
          <w:sz w:val="28"/>
          <w:szCs w:val="28"/>
        </w:rPr>
      </w:pPr>
      <w:r>
        <w:rPr>
          <w:rFonts w:hint="eastAsia" w:eastAsia="黑体"/>
          <w:sz w:val="28"/>
          <w:szCs w:val="28"/>
        </w:rPr>
        <w:t>修订</w:t>
      </w:r>
      <w:r>
        <w:rPr>
          <w:rFonts w:eastAsia="黑体"/>
          <w:sz w:val="28"/>
          <w:szCs w:val="28"/>
        </w:rPr>
        <w:t>时间： 202</w:t>
      </w:r>
      <w:r>
        <w:rPr>
          <w:rFonts w:hint="eastAsia" w:eastAsia="黑体"/>
          <w:sz w:val="28"/>
          <w:szCs w:val="28"/>
          <w:lang w:val="en-US" w:eastAsia="zh-CN"/>
        </w:rPr>
        <w:t>6</w:t>
      </w:r>
      <w:r>
        <w:rPr>
          <w:rFonts w:eastAsia="黑体"/>
          <w:sz w:val="28"/>
          <w:szCs w:val="28"/>
        </w:rPr>
        <w:t>年</w:t>
      </w:r>
      <w:r>
        <w:rPr>
          <w:rFonts w:hint="eastAsia" w:eastAsia="黑体"/>
          <w:sz w:val="28"/>
          <w:szCs w:val="28"/>
          <w:lang w:val="en-US" w:eastAsia="zh-CN"/>
        </w:rPr>
        <w:t>8</w:t>
      </w:r>
      <w:r>
        <w:rPr>
          <w:rFonts w:eastAsia="黑体"/>
          <w:sz w:val="28"/>
          <w:szCs w:val="28"/>
        </w:rPr>
        <w:t>月</w:t>
      </w:r>
      <w:r>
        <w:rPr>
          <w:rFonts w:hint="eastAsia" w:eastAsia="黑体"/>
          <w:sz w:val="28"/>
          <w:szCs w:val="28"/>
        </w:rPr>
        <w:t>修订</w:t>
      </w:r>
    </w:p>
    <w:p w14:paraId="1849E1E2">
      <w:pPr>
        <w:rPr>
          <w:rFonts w:hint="eastAsia" w:ascii="仿宋" w:hAnsi="仿宋" w:eastAsia="仿宋" w:cs="仿宋"/>
          <w:b/>
          <w:kern w:val="0"/>
          <w:sz w:val="36"/>
        </w:rPr>
      </w:pPr>
      <w:r>
        <w:rPr>
          <w:rFonts w:hint="eastAsia" w:ascii="仿宋" w:hAnsi="仿宋" w:eastAsia="仿宋" w:cs="仿宋"/>
          <w:b/>
          <w:kern w:val="0"/>
          <w:sz w:val="36"/>
        </w:rPr>
        <w:br w:type="page"/>
      </w:r>
    </w:p>
    <w:p w14:paraId="0A8B83FD">
      <w:pPr>
        <w:spacing w:beforeLines="50" w:afterLines="50" w:line="360" w:lineRule="auto"/>
        <w:ind w:firstLine="177" w:firstLineChars="49"/>
        <w:jc w:val="center"/>
        <w:rPr>
          <w:rFonts w:hint="eastAsia" w:ascii="仿宋" w:hAnsi="仿宋" w:eastAsia="仿宋" w:cs="仿宋"/>
          <w:b/>
          <w:kern w:val="0"/>
          <w:sz w:val="36"/>
        </w:rPr>
      </w:pPr>
      <w:r>
        <w:rPr>
          <w:rFonts w:hint="eastAsia" w:ascii="仿宋" w:hAnsi="仿宋" w:eastAsia="仿宋" w:cs="仿宋"/>
          <w:b/>
          <w:kern w:val="0"/>
          <w:sz w:val="36"/>
        </w:rPr>
        <w:t>《</w:t>
      </w:r>
      <w:r>
        <w:rPr>
          <w:rFonts w:hint="eastAsia" w:ascii="仿宋" w:hAnsi="仿宋" w:eastAsia="仿宋" w:cs="仿宋"/>
          <w:b/>
          <w:kern w:val="0"/>
          <w:sz w:val="36"/>
          <w:lang w:val="en-US" w:eastAsia="zh-CN"/>
        </w:rPr>
        <w:t>城市轨道交通列车运行控制</w:t>
      </w:r>
      <w:r>
        <w:rPr>
          <w:rFonts w:hint="eastAsia" w:ascii="仿宋" w:hAnsi="仿宋" w:eastAsia="仿宋" w:cs="仿宋"/>
          <w:b/>
          <w:kern w:val="0"/>
          <w:sz w:val="36"/>
        </w:rPr>
        <w:t>》课程标准</w:t>
      </w:r>
    </w:p>
    <w:p w14:paraId="0FD3308C">
      <w:pPr>
        <w:pStyle w:val="2"/>
        <w:bidi w:val="0"/>
        <w:rPr>
          <w:rFonts w:hint="eastAsia" w:ascii="仿宋" w:hAnsi="仿宋" w:eastAsia="仿宋" w:cs="仿宋"/>
        </w:rPr>
      </w:pPr>
      <w:r>
        <w:rPr>
          <w:rFonts w:hint="eastAsia" w:ascii="仿宋" w:hAnsi="仿宋" w:eastAsia="仿宋" w:cs="仿宋"/>
        </w:rPr>
        <w:t>一、课程基本信息</w:t>
      </w:r>
    </w:p>
    <w:tbl>
      <w:tblPr>
        <w:tblStyle w:val="12"/>
        <w:tblpPr w:leftFromText="180" w:rightFromText="180" w:vertAnchor="text" w:horzAnchor="page" w:tblpX="1818" w:tblpY="200"/>
        <w:tblOverlap w:val="never"/>
        <w:tblW w:w="8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2237"/>
        <w:gridCol w:w="1353"/>
        <w:gridCol w:w="607"/>
        <w:gridCol w:w="1574"/>
        <w:gridCol w:w="784"/>
      </w:tblGrid>
      <w:tr w14:paraId="7BC5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00" w:type="dxa"/>
            <w:vAlign w:val="center"/>
          </w:tcPr>
          <w:p w14:paraId="5493ED67">
            <w:pPr>
              <w:jc w:val="center"/>
              <w:rPr>
                <w:highlight w:val="none"/>
              </w:rPr>
            </w:pPr>
            <w:r>
              <w:rPr>
                <w:rFonts w:hint="eastAsia" w:ascii="仿宋_GB2312" w:hAnsi="华文仿宋" w:eastAsia="仿宋_GB2312"/>
                <w:kern w:val="0"/>
                <w:sz w:val="24"/>
                <w:highlight w:val="none"/>
              </w:rPr>
              <w:t>课程类别</w:t>
            </w:r>
          </w:p>
        </w:tc>
        <w:tc>
          <w:tcPr>
            <w:tcW w:w="2237" w:type="dxa"/>
            <w:vAlign w:val="center"/>
          </w:tcPr>
          <w:p w14:paraId="5B4C64C4">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专业基础课</w:t>
            </w:r>
          </w:p>
        </w:tc>
        <w:tc>
          <w:tcPr>
            <w:tcW w:w="1960" w:type="dxa"/>
            <w:gridSpan w:val="2"/>
            <w:vAlign w:val="center"/>
          </w:tcPr>
          <w:p w14:paraId="11992494">
            <w:pPr>
              <w:jc w:val="center"/>
              <w:rPr>
                <w:rFonts w:hint="eastAsia" w:ascii="仿宋_GB2312" w:hAnsi="华文仿宋" w:eastAsia="仿宋_GB2312"/>
                <w:kern w:val="0"/>
                <w:sz w:val="24"/>
                <w:highlight w:val="none"/>
              </w:rPr>
            </w:pPr>
            <w:r>
              <w:rPr>
                <w:rFonts w:hint="eastAsia" w:ascii="仿宋_GB2312" w:hAnsi="华文仿宋" w:eastAsia="仿宋_GB2312"/>
                <w:kern w:val="0"/>
                <w:sz w:val="24"/>
                <w:highlight w:val="none"/>
              </w:rPr>
              <w:t>课程代码</w:t>
            </w:r>
          </w:p>
        </w:tc>
        <w:tc>
          <w:tcPr>
            <w:tcW w:w="2358" w:type="dxa"/>
            <w:gridSpan w:val="2"/>
            <w:shd w:val="clear" w:color="auto" w:fill="auto"/>
            <w:vAlign w:val="center"/>
          </w:tcPr>
          <w:p w14:paraId="41656AC7">
            <w:pPr>
              <w:jc w:val="center"/>
              <w:rPr>
                <w:rFonts w:hint="eastAsia" w:ascii="仿宋_GB2312" w:hAnsi="华文仿宋" w:eastAsia="仿宋_GB2312"/>
                <w:kern w:val="0"/>
                <w:sz w:val="24"/>
                <w:highlight w:val="none"/>
                <w:lang w:val="en-US" w:eastAsia="zh-CN"/>
              </w:rPr>
            </w:pPr>
            <w:r>
              <w:rPr>
                <w:rFonts w:hint="default" w:ascii="仿宋_GB2312" w:hAnsi="华文仿宋" w:eastAsia="仿宋_GB2312"/>
                <w:kern w:val="0"/>
                <w:sz w:val="24"/>
                <w:highlight w:val="none"/>
                <w:lang w:val="en-US" w:eastAsia="zh-CN"/>
              </w:rPr>
              <w:t>2103131144</w:t>
            </w:r>
          </w:p>
        </w:tc>
      </w:tr>
      <w:tr w14:paraId="63C2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00" w:type="dxa"/>
            <w:vAlign w:val="center"/>
          </w:tcPr>
          <w:p w14:paraId="610428A4">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学</w:t>
            </w:r>
            <w:r>
              <w:rPr>
                <w:rFonts w:hint="eastAsia" w:ascii="仿宋_GB2312" w:hAnsi="华文仿宋" w:eastAsia="仿宋_GB2312"/>
                <w:kern w:val="0"/>
                <w:sz w:val="24"/>
                <w:highlight w:val="none"/>
                <w:lang w:val="en-US" w:eastAsia="zh-CN"/>
              </w:rPr>
              <w:t xml:space="preserve">    </w:t>
            </w:r>
            <w:r>
              <w:rPr>
                <w:rFonts w:hint="eastAsia" w:ascii="仿宋_GB2312" w:hAnsi="华文仿宋" w:eastAsia="仿宋_GB2312"/>
                <w:kern w:val="0"/>
                <w:sz w:val="24"/>
                <w:highlight w:val="none"/>
              </w:rPr>
              <w:t>分</w:t>
            </w:r>
          </w:p>
        </w:tc>
        <w:tc>
          <w:tcPr>
            <w:tcW w:w="2237" w:type="dxa"/>
            <w:vAlign w:val="center"/>
          </w:tcPr>
          <w:p w14:paraId="10D5F1E0">
            <w:pPr>
              <w:jc w:val="center"/>
              <w:rPr>
                <w:rFonts w:hint="default" w:ascii="仿宋_GB2312" w:hAnsi="华文仿宋" w:eastAsia="仿宋_GB2312"/>
                <w:kern w:val="0"/>
                <w:sz w:val="24"/>
                <w:highlight w:val="none"/>
                <w:lang w:val="en-US"/>
              </w:rPr>
            </w:pPr>
            <w:r>
              <w:rPr>
                <w:rFonts w:hint="eastAsia" w:ascii="仿宋" w:hAnsi="仿宋" w:eastAsia="仿宋" w:cs="仿宋"/>
                <w:kern w:val="0"/>
                <w:sz w:val="24"/>
                <w:lang w:val="en-US" w:eastAsia="zh-CN"/>
              </w:rPr>
              <w:t>3</w:t>
            </w:r>
          </w:p>
        </w:tc>
        <w:tc>
          <w:tcPr>
            <w:tcW w:w="1353" w:type="dxa"/>
            <w:vAlign w:val="center"/>
          </w:tcPr>
          <w:p w14:paraId="6D7F90DC">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理论学时</w:t>
            </w:r>
          </w:p>
        </w:tc>
        <w:tc>
          <w:tcPr>
            <w:tcW w:w="607" w:type="dxa"/>
            <w:vAlign w:val="center"/>
          </w:tcPr>
          <w:p w14:paraId="7A4C16A7">
            <w:pPr>
              <w:jc w:val="center"/>
              <w:rPr>
                <w:rFonts w:hint="default" w:ascii="仿宋_GB2312" w:hAnsi="华文仿宋" w:eastAsia="仿宋_GB2312"/>
                <w:kern w:val="0"/>
                <w:sz w:val="24"/>
                <w:highlight w:val="none"/>
                <w:lang w:val="en-US" w:eastAsia="zh-CN"/>
              </w:rPr>
            </w:pPr>
            <w:r>
              <w:rPr>
                <w:rFonts w:hint="default" w:ascii="仿宋_GB2312" w:hAnsi="华文仿宋" w:eastAsia="仿宋_GB2312"/>
                <w:kern w:val="0"/>
                <w:sz w:val="24"/>
                <w:highlight w:val="none"/>
                <w:lang w:val="en-US" w:eastAsia="zh-CN"/>
              </w:rPr>
              <w:t>32</w:t>
            </w:r>
          </w:p>
        </w:tc>
        <w:tc>
          <w:tcPr>
            <w:tcW w:w="1574" w:type="dxa"/>
            <w:vAlign w:val="center"/>
          </w:tcPr>
          <w:p w14:paraId="017352FA">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实训学时</w:t>
            </w:r>
          </w:p>
        </w:tc>
        <w:tc>
          <w:tcPr>
            <w:tcW w:w="784" w:type="dxa"/>
            <w:vAlign w:val="center"/>
          </w:tcPr>
          <w:p w14:paraId="4AB31E7B">
            <w:pPr>
              <w:jc w:val="center"/>
              <w:rPr>
                <w:rFonts w:hint="default" w:ascii="仿宋_GB2312" w:hAnsi="华文仿宋" w:eastAsia="仿宋_GB2312"/>
                <w:kern w:val="0"/>
                <w:sz w:val="24"/>
                <w:highlight w:val="none"/>
                <w:lang w:val="en-US" w:eastAsia="zh-CN"/>
              </w:rPr>
            </w:pPr>
            <w:r>
              <w:rPr>
                <w:rFonts w:hint="default" w:ascii="仿宋_GB2312" w:hAnsi="华文仿宋" w:eastAsia="仿宋_GB2312"/>
                <w:kern w:val="0"/>
                <w:sz w:val="24"/>
                <w:highlight w:val="none"/>
                <w:lang w:val="en-US" w:eastAsia="zh-CN"/>
              </w:rPr>
              <w:t>16</w:t>
            </w:r>
          </w:p>
        </w:tc>
      </w:tr>
      <w:tr w14:paraId="791B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00" w:type="dxa"/>
            <w:vAlign w:val="center"/>
          </w:tcPr>
          <w:p w14:paraId="3D7FA80D">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适用专业</w:t>
            </w:r>
          </w:p>
        </w:tc>
        <w:tc>
          <w:tcPr>
            <w:tcW w:w="2237" w:type="dxa"/>
            <w:vAlign w:val="center"/>
          </w:tcPr>
          <w:p w14:paraId="056B2FE4">
            <w:pPr>
              <w:jc w:val="center"/>
              <w:rPr>
                <w:rFonts w:hint="default" w:ascii="仿宋_GB2312" w:hAnsi="华文仿宋" w:eastAsia="仿宋_GB2312"/>
                <w:kern w:val="0"/>
                <w:sz w:val="24"/>
                <w:highlight w:val="none"/>
                <w:lang w:val="en-US" w:eastAsia="zh-CN"/>
              </w:rPr>
            </w:pPr>
            <w:r>
              <w:rPr>
                <w:rFonts w:hint="eastAsia" w:ascii="仿宋" w:hAnsi="仿宋" w:eastAsia="仿宋" w:cs="仿宋"/>
                <w:kern w:val="0"/>
                <w:sz w:val="24"/>
              </w:rPr>
              <w:t>城市轨道交通</w:t>
            </w:r>
            <w:r>
              <w:rPr>
                <w:rFonts w:hint="eastAsia" w:ascii="仿宋" w:hAnsi="仿宋" w:eastAsia="仿宋" w:cs="仿宋"/>
                <w:kern w:val="0"/>
                <w:sz w:val="24"/>
                <w:lang w:val="en-US" w:eastAsia="zh-CN"/>
              </w:rPr>
              <w:t>通信信号技术</w:t>
            </w:r>
          </w:p>
        </w:tc>
        <w:tc>
          <w:tcPr>
            <w:tcW w:w="1960" w:type="dxa"/>
            <w:gridSpan w:val="2"/>
            <w:vAlign w:val="center"/>
          </w:tcPr>
          <w:p w14:paraId="6E2F2FEA">
            <w:pPr>
              <w:jc w:val="center"/>
              <w:rPr>
                <w:rFonts w:hint="default" w:ascii="仿宋_GB2312" w:hAnsi="华文仿宋" w:eastAsia="仿宋_GB2312"/>
                <w:kern w:val="0"/>
                <w:sz w:val="24"/>
                <w:highlight w:val="none"/>
                <w:lang w:val="en-US" w:eastAsia="zh-CN"/>
              </w:rPr>
            </w:pPr>
            <w:r>
              <w:rPr>
                <w:rFonts w:hint="eastAsia" w:ascii="仿宋_GB2312" w:hAnsi="华文仿宋" w:eastAsia="仿宋_GB2312"/>
                <w:kern w:val="0"/>
                <w:sz w:val="24"/>
                <w:highlight w:val="none"/>
                <w:lang w:val="en-US" w:eastAsia="zh-CN"/>
              </w:rPr>
              <w:t>开设学期</w:t>
            </w:r>
          </w:p>
        </w:tc>
        <w:tc>
          <w:tcPr>
            <w:tcW w:w="2358" w:type="dxa"/>
            <w:gridSpan w:val="2"/>
            <w:vAlign w:val="center"/>
          </w:tcPr>
          <w:p w14:paraId="0DF3F2B3">
            <w:pPr>
              <w:jc w:val="center"/>
              <w:rPr>
                <w:rFonts w:hint="default" w:ascii="仿宋_GB2312" w:hAnsi="华文仿宋" w:eastAsia="仿宋_GB2312"/>
                <w:kern w:val="0"/>
                <w:sz w:val="24"/>
                <w:highlight w:val="none"/>
                <w:lang w:val="en-US" w:eastAsia="zh-CN"/>
              </w:rPr>
            </w:pPr>
            <w:r>
              <w:rPr>
                <w:rFonts w:hint="eastAsia" w:ascii="仿宋_GB2312" w:hAnsi="华文仿宋" w:eastAsia="仿宋_GB2312"/>
                <w:kern w:val="0"/>
                <w:sz w:val="24"/>
                <w:highlight w:val="none"/>
                <w:lang w:val="en-US" w:eastAsia="zh-CN"/>
              </w:rPr>
              <w:t>二年级第</w:t>
            </w:r>
            <w:bookmarkStart w:id="0" w:name="_GoBack"/>
            <w:bookmarkEnd w:id="0"/>
            <w:r>
              <w:rPr>
                <w:rFonts w:hint="eastAsia" w:ascii="仿宋_GB2312" w:hAnsi="华文仿宋" w:eastAsia="仿宋_GB2312"/>
                <w:kern w:val="0"/>
                <w:sz w:val="24"/>
                <w:highlight w:val="none"/>
                <w:lang w:val="en-US" w:eastAsia="zh-CN"/>
              </w:rPr>
              <w:t>二学期</w:t>
            </w:r>
          </w:p>
        </w:tc>
      </w:tr>
      <w:tr w14:paraId="5E03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00" w:type="dxa"/>
            <w:vAlign w:val="center"/>
          </w:tcPr>
          <w:p w14:paraId="730AA6A5">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预修课程</w:t>
            </w:r>
          </w:p>
        </w:tc>
        <w:tc>
          <w:tcPr>
            <w:tcW w:w="6555" w:type="dxa"/>
            <w:gridSpan w:val="5"/>
            <w:shd w:val="clear" w:color="auto" w:fill="auto"/>
            <w:vAlign w:val="center"/>
          </w:tcPr>
          <w:p w14:paraId="37A25202">
            <w:pPr>
              <w:jc w:val="center"/>
              <w:rPr>
                <w:rFonts w:hint="eastAsia" w:ascii="仿宋_GB2312" w:hAnsi="华文仿宋" w:eastAsia="仿宋_GB2312"/>
                <w:kern w:val="0"/>
                <w:sz w:val="24"/>
                <w:highlight w:val="none"/>
                <w:lang w:val="en-US" w:eastAsia="zh-CN"/>
              </w:rPr>
            </w:pPr>
            <w:r>
              <w:rPr>
                <w:rFonts w:hint="default" w:ascii="仿宋" w:hAnsi="仿宋" w:eastAsia="仿宋" w:cs="仿宋"/>
                <w:kern w:val="0"/>
                <w:sz w:val="24"/>
                <w:lang w:val="en-US" w:eastAsia="zh-CN"/>
              </w:rPr>
              <w:t>轨道交通信号基础设备维护</w:t>
            </w:r>
          </w:p>
        </w:tc>
      </w:tr>
      <w:tr w14:paraId="2C22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00" w:type="dxa"/>
            <w:vAlign w:val="center"/>
          </w:tcPr>
          <w:p w14:paraId="042DF92D">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后续课程</w:t>
            </w:r>
          </w:p>
        </w:tc>
        <w:tc>
          <w:tcPr>
            <w:tcW w:w="6555" w:type="dxa"/>
            <w:gridSpan w:val="5"/>
            <w:shd w:val="clear" w:color="auto" w:fill="auto"/>
            <w:vAlign w:val="center"/>
          </w:tcPr>
          <w:p w14:paraId="20427F2A">
            <w:pPr>
              <w:jc w:val="center"/>
              <w:rPr>
                <w:rFonts w:hint="eastAsia" w:ascii="仿宋_GB2312" w:hAnsi="华文仿宋" w:eastAsia="仿宋_GB2312"/>
                <w:kern w:val="0"/>
                <w:sz w:val="24"/>
                <w:highlight w:val="none"/>
                <w:lang w:val="en-US" w:eastAsia="zh-CN"/>
              </w:rPr>
            </w:pPr>
            <w:r>
              <w:rPr>
                <w:rFonts w:hint="eastAsia" w:ascii="仿宋" w:hAnsi="仿宋" w:eastAsia="仿宋" w:cs="仿宋"/>
                <w:kern w:val="0"/>
                <w:sz w:val="24"/>
                <w:lang w:val="en-US" w:eastAsia="zh-CN"/>
              </w:rPr>
              <w:t>毕业设计</w:t>
            </w:r>
          </w:p>
        </w:tc>
      </w:tr>
      <w:tr w14:paraId="3600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00" w:type="dxa"/>
            <w:vAlign w:val="center"/>
          </w:tcPr>
          <w:p w14:paraId="7DAA23C8">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开课部门</w:t>
            </w:r>
          </w:p>
        </w:tc>
        <w:tc>
          <w:tcPr>
            <w:tcW w:w="6555" w:type="dxa"/>
            <w:gridSpan w:val="5"/>
            <w:vAlign w:val="center"/>
          </w:tcPr>
          <w:p w14:paraId="7D661D40">
            <w:pPr>
              <w:jc w:val="center"/>
              <w:rPr>
                <w:rFonts w:ascii="仿宋_GB2312" w:hAnsi="华文仿宋" w:eastAsia="仿宋_GB2312"/>
                <w:kern w:val="0"/>
                <w:sz w:val="24"/>
                <w:highlight w:val="none"/>
              </w:rPr>
            </w:pPr>
            <w:r>
              <w:rPr>
                <w:rFonts w:hint="eastAsia" w:ascii="仿宋_GB2312" w:hAnsi="华文仿宋" w:eastAsia="仿宋_GB2312"/>
                <w:kern w:val="0"/>
                <w:sz w:val="24"/>
                <w:highlight w:val="none"/>
              </w:rPr>
              <w:t>轨道车辆学院</w:t>
            </w:r>
          </w:p>
        </w:tc>
      </w:tr>
    </w:tbl>
    <w:p w14:paraId="06D5CD79">
      <w:pPr>
        <w:pStyle w:val="2"/>
        <w:bidi w:val="0"/>
        <w:rPr>
          <w:rFonts w:hint="eastAsia"/>
        </w:rPr>
      </w:pPr>
      <w:r>
        <w:rPr>
          <w:rFonts w:hint="eastAsia" w:ascii="仿宋" w:hAnsi="仿宋" w:eastAsia="仿宋" w:cs="仿宋"/>
        </w:rPr>
        <w:t>二、课程简介</w:t>
      </w:r>
    </w:p>
    <w:p w14:paraId="7832CFD9">
      <w:pPr>
        <w:pStyle w:val="3"/>
        <w:bidi w:val="0"/>
        <w:rPr>
          <w:rFonts w:hint="eastAsia" w:ascii="仿宋" w:hAnsi="仿宋" w:eastAsia="仿宋" w:cs="仿宋"/>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一</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rPr>
        <w:t>课程性质与任务</w:t>
      </w:r>
    </w:p>
    <w:p w14:paraId="457D0BA0">
      <w:pPr>
        <w:spacing w:line="360" w:lineRule="auto"/>
        <w:ind w:firstLine="480" w:firstLineChars="200"/>
        <w:rPr>
          <w:rFonts w:hint="default" w:ascii="仿宋" w:hAnsi="仿宋" w:eastAsia="仿宋" w:cs="仿宋"/>
          <w:bCs/>
          <w:color w:val="000000"/>
          <w:kern w:val="0"/>
          <w:sz w:val="24"/>
          <w:szCs w:val="24"/>
          <w:lang w:val="en-US" w:eastAsia="zh-CN"/>
        </w:rPr>
      </w:pPr>
      <w:r>
        <w:rPr>
          <w:rFonts w:hint="eastAsia" w:ascii="仿宋" w:hAnsi="仿宋" w:eastAsia="仿宋" w:cs="仿宋"/>
          <w:bCs/>
          <w:color w:val="000000"/>
          <w:kern w:val="0"/>
          <w:sz w:val="24"/>
          <w:szCs w:val="24"/>
        </w:rPr>
        <w:t>本课程是城市轨道交通通信信号技术专业的核心专业基础课程，兼具理论性与实践性。课程以城市轨道交通列车运行控制系统为核心，系统讲解列控系统的组成、原理、关键设备、核心技术及维护方法，同时融入全自动运行等行业新技术。通过理论教学与实训操作结合，使学生掌握城轨列控系统的基础理论和实操技能，培养学生解决列控系统相关技术问题的能力，为学生从事城市轨道交通通信信号设备运维、技术支持等岗位工作奠定坚实的专业基础。</w:t>
      </w:r>
    </w:p>
    <w:p w14:paraId="1E985F9D">
      <w:pPr>
        <w:pStyle w:val="3"/>
        <w:bidi w:val="0"/>
        <w:rPr>
          <w:rFonts w:hint="eastAsia" w:ascii="仿宋" w:hAnsi="仿宋" w:eastAsia="仿宋" w:cs="仿宋"/>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二</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rPr>
        <w:t>课程地位</w:t>
      </w:r>
    </w:p>
    <w:p w14:paraId="4580BCBF">
      <w:pPr>
        <w:spacing w:line="360" w:lineRule="auto"/>
        <w:ind w:firstLine="480" w:firstLineChars="200"/>
        <w:rPr>
          <w:rFonts w:hint="eastAsia" w:ascii="仿宋" w:hAnsi="仿宋" w:eastAsia="仿宋" w:cs="仿宋"/>
          <w:bCs/>
          <w:color w:val="000000"/>
          <w:kern w:val="0"/>
          <w:sz w:val="24"/>
          <w:szCs w:val="24"/>
        </w:rPr>
      </w:pPr>
      <w:r>
        <w:rPr>
          <w:rFonts w:hint="eastAsia" w:ascii="仿宋" w:hAnsi="仿宋" w:eastAsia="仿宋" w:cs="仿宋"/>
          <w:bCs/>
          <w:color w:val="000000"/>
          <w:kern w:val="0"/>
          <w:sz w:val="24"/>
          <w:szCs w:val="24"/>
        </w:rPr>
        <w:t>本课程衔接轨道交通信号基础设备维护等预修课程，是后续毕业设计及城轨通信信号相关岗位实践的重要支撑，在专业人才培养中起到承上启下的关键作用。课程内容紧扣行业岗位需求，是培养城市轨道交通通信信号技术专业高素质技术技能人才的核心课程之一。</w:t>
      </w:r>
    </w:p>
    <w:p w14:paraId="6632FA4A">
      <w:pPr>
        <w:pStyle w:val="3"/>
        <w:bidi w:val="0"/>
        <w:rPr>
          <w:rFonts w:hint="eastAsia" w:ascii="仿宋" w:hAnsi="仿宋" w:eastAsia="仿宋" w:cs="仿宋"/>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三</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rPr>
        <w:t>与相关课程的联系与分工</w:t>
      </w:r>
    </w:p>
    <w:p w14:paraId="5693A89E">
      <w:pPr>
        <w:spacing w:line="360" w:lineRule="auto"/>
        <w:ind w:firstLine="480" w:firstLineChars="200"/>
        <w:rPr>
          <w:rFonts w:hint="eastAsia" w:ascii="仿宋" w:hAnsi="仿宋" w:eastAsia="仿宋" w:cs="仿宋"/>
          <w:bCs/>
          <w:color w:val="000000"/>
          <w:kern w:val="0"/>
          <w:sz w:val="24"/>
          <w:szCs w:val="24"/>
        </w:rPr>
      </w:pPr>
      <w:r>
        <w:rPr>
          <w:rFonts w:hint="eastAsia" w:ascii="仿宋" w:hAnsi="仿宋" w:eastAsia="仿宋" w:cs="仿宋"/>
          <w:bCs/>
          <w:color w:val="000000"/>
          <w:kern w:val="0"/>
          <w:sz w:val="24"/>
          <w:szCs w:val="24"/>
        </w:rPr>
        <w:t>与预修课程的联系：《轨道交通信号基础设备维护》为本课程提供信号基础设备、电路原理等基础知识，本课程在此基础上，聚焦城轨列车运行控制领域，实现从基础设备到系统应用的知识延伸。</w:t>
      </w:r>
    </w:p>
    <w:p w14:paraId="27FEFB8F">
      <w:pPr>
        <w:spacing w:line="360" w:lineRule="auto"/>
        <w:ind w:firstLine="480" w:firstLineChars="200"/>
        <w:rPr>
          <w:rFonts w:hint="eastAsia" w:ascii="仿宋" w:hAnsi="仿宋" w:eastAsia="仿宋" w:cs="仿宋"/>
          <w:bCs/>
          <w:color w:val="000000"/>
          <w:kern w:val="0"/>
          <w:sz w:val="24"/>
          <w:szCs w:val="24"/>
        </w:rPr>
      </w:pPr>
      <w:r>
        <w:rPr>
          <w:rFonts w:hint="eastAsia" w:ascii="仿宋" w:hAnsi="仿宋" w:eastAsia="仿宋" w:cs="仿宋"/>
          <w:bCs/>
          <w:color w:val="000000"/>
          <w:kern w:val="0"/>
          <w:sz w:val="24"/>
          <w:szCs w:val="24"/>
        </w:rPr>
        <w:t>与后续课程/实践的分工：本课程完成列控系统理论知识和基础实训教学，后续毕业设计将依托本课程知识，开展综合设计与应用研究；岗位实践则侧重本课程知识的现场落地与综合应用，实现“学用结合”。</w:t>
      </w:r>
    </w:p>
    <w:p w14:paraId="772C7881">
      <w:pPr>
        <w:pStyle w:val="2"/>
        <w:bidi w:val="0"/>
        <w:rPr>
          <w:rFonts w:hint="eastAsia" w:ascii="仿宋" w:hAnsi="仿宋" w:eastAsia="仿宋" w:cs="仿宋"/>
        </w:rPr>
      </w:pPr>
      <w:r>
        <w:rPr>
          <w:rFonts w:hint="eastAsia" w:ascii="仿宋" w:hAnsi="仿宋" w:eastAsia="仿宋" w:cs="仿宋"/>
          <w:lang w:val="en-US" w:eastAsia="zh-CN"/>
        </w:rPr>
        <w:t>三、</w:t>
      </w:r>
      <w:r>
        <w:rPr>
          <w:rFonts w:hint="eastAsia" w:ascii="仿宋" w:hAnsi="仿宋" w:eastAsia="仿宋" w:cs="仿宋"/>
        </w:rPr>
        <w:t>课程教学内容</w:t>
      </w:r>
    </w:p>
    <w:p w14:paraId="4061D999">
      <w:pPr>
        <w:spacing w:line="360" w:lineRule="auto"/>
        <w:ind w:firstLine="480" w:firstLineChars="200"/>
        <w:rPr>
          <w:rFonts w:hint="eastAsia" w:ascii="仿宋" w:hAnsi="仿宋" w:eastAsia="仿宋" w:cs="仿宋"/>
          <w:bCs/>
          <w:color w:val="000000"/>
          <w:kern w:val="0"/>
          <w:sz w:val="24"/>
          <w:szCs w:val="24"/>
        </w:rPr>
      </w:pPr>
      <w:r>
        <w:rPr>
          <w:rFonts w:hint="eastAsia" w:ascii="仿宋" w:hAnsi="仿宋" w:eastAsia="仿宋" w:cs="仿宋"/>
          <w:bCs/>
          <w:color w:val="000000"/>
          <w:kern w:val="0"/>
          <w:sz w:val="24"/>
          <w:szCs w:val="24"/>
        </w:rPr>
        <w:t>本课程涵盖城市轨道交通列控系统全模块核心知识，结合理论教学与实践实训，按项目化教学开展，各项目内容要求、重点难点、学习要求及课时安排如下表所示：</w:t>
      </w:r>
    </w:p>
    <w:p w14:paraId="0B102E6C">
      <w:pPr>
        <w:pStyle w:val="7"/>
        <w:keepNext w:val="0"/>
        <w:keepLines w:val="0"/>
        <w:pageBreakBefore w:val="0"/>
        <w:widowControl w:val="0"/>
        <w:kinsoku/>
        <w:wordWrap/>
        <w:overflowPunct/>
        <w:topLinePunct w:val="0"/>
        <w:autoSpaceDE/>
        <w:autoSpaceDN/>
        <w:bidi w:val="0"/>
        <w:adjustRightInd/>
        <w:snapToGrid/>
        <w:spacing w:before="0" w:line="300" w:lineRule="auto"/>
        <w:ind w:left="0" w:leftChars="0" w:firstLine="0" w:firstLineChars="0"/>
        <w:jc w:val="center"/>
        <w:textAlignment w:val="auto"/>
        <w:rPr>
          <w:rFonts w:hint="eastAsia" w:ascii="仿宋" w:hAnsi="仿宋" w:eastAsia="仿宋" w:cs="仿宋"/>
          <w:b/>
          <w:bCs w:val="0"/>
          <w:color w:val="000000"/>
          <w:kern w:val="0"/>
          <w:sz w:val="24"/>
          <w:szCs w:val="24"/>
        </w:rPr>
      </w:pPr>
      <w:r>
        <w:rPr>
          <w:rFonts w:hint="eastAsia" w:ascii="仿宋" w:hAnsi="仿宋" w:eastAsia="仿宋" w:cs="仿宋"/>
          <w:b/>
          <w:bCs w:val="0"/>
          <w:color w:val="000000"/>
          <w:kern w:val="0"/>
          <w:sz w:val="24"/>
          <w:szCs w:val="24"/>
        </w:rPr>
        <w:t>表1</w:t>
      </w:r>
      <w:r>
        <w:rPr>
          <w:rFonts w:hint="eastAsia" w:cs="仿宋"/>
          <w:b/>
          <w:bCs w:val="0"/>
          <w:color w:val="000000"/>
          <w:kern w:val="0"/>
          <w:sz w:val="24"/>
          <w:szCs w:val="24"/>
          <w:lang w:val="en-US" w:eastAsia="zh-CN"/>
        </w:rPr>
        <w:t xml:space="preserve">  </w:t>
      </w:r>
      <w:r>
        <w:rPr>
          <w:rFonts w:hint="eastAsia" w:ascii="仿宋" w:hAnsi="仿宋" w:eastAsia="仿宋" w:cs="仿宋"/>
          <w:b/>
          <w:bCs w:val="0"/>
          <w:color w:val="000000"/>
          <w:kern w:val="0"/>
          <w:sz w:val="24"/>
          <w:szCs w:val="24"/>
        </w:rPr>
        <w:t>课程的内容要求</w:t>
      </w:r>
      <w:r>
        <w:rPr>
          <w:rFonts w:hint="eastAsia" w:ascii="仿宋" w:hAnsi="仿宋" w:eastAsia="仿宋" w:cs="仿宋"/>
          <w:b/>
          <w:bCs w:val="0"/>
          <w:color w:val="000000"/>
          <w:kern w:val="0"/>
          <w:sz w:val="24"/>
          <w:szCs w:val="24"/>
          <w:lang w:val="en-US" w:eastAsia="zh-CN"/>
        </w:rPr>
        <w:t>与</w:t>
      </w:r>
      <w:r>
        <w:rPr>
          <w:rFonts w:hint="eastAsia" w:ascii="仿宋" w:hAnsi="仿宋" w:eastAsia="仿宋" w:cs="仿宋"/>
          <w:b/>
          <w:bCs w:val="0"/>
          <w:color w:val="000000"/>
          <w:kern w:val="0"/>
          <w:sz w:val="24"/>
          <w:szCs w:val="24"/>
        </w:rPr>
        <w:t>课时安排表</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5"/>
        <w:gridCol w:w="1257"/>
        <w:gridCol w:w="1813"/>
        <w:gridCol w:w="2331"/>
        <w:gridCol w:w="625"/>
        <w:gridCol w:w="1792"/>
      </w:tblGrid>
      <w:tr w14:paraId="630F0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shd w:val="clear" w:color="auto" w:fill="D9E2F3"/>
            <w:tcMar>
              <w:top w:w="40" w:type="dxa"/>
              <w:left w:w="60" w:type="dxa"/>
              <w:bottom w:w="40" w:type="dxa"/>
              <w:right w:w="60" w:type="dxa"/>
            </w:tcMar>
            <w:vAlign w:val="center"/>
          </w:tcPr>
          <w:p w14:paraId="0B40124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序号</w:t>
            </w:r>
          </w:p>
        </w:tc>
        <w:tc>
          <w:tcPr>
            <w:tcW w:w="746" w:type="pct"/>
            <w:tcBorders>
              <w:top w:val="single" w:color="000000" w:sz="4" w:space="0"/>
              <w:left w:val="single" w:color="000000" w:sz="4" w:space="0"/>
              <w:bottom w:val="single" w:color="000000" w:sz="4" w:space="0"/>
              <w:right w:val="single" w:color="000000" w:sz="4" w:space="0"/>
            </w:tcBorders>
            <w:shd w:val="clear" w:color="auto" w:fill="D9E2F3"/>
            <w:tcMar>
              <w:top w:w="40" w:type="dxa"/>
              <w:left w:w="60" w:type="dxa"/>
              <w:bottom w:w="40" w:type="dxa"/>
              <w:right w:w="60" w:type="dxa"/>
            </w:tcMar>
            <w:vAlign w:val="center"/>
          </w:tcPr>
          <w:p w14:paraId="49CC2B9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课程名称</w:t>
            </w:r>
          </w:p>
        </w:tc>
        <w:tc>
          <w:tcPr>
            <w:tcW w:w="1076" w:type="pct"/>
            <w:tcBorders>
              <w:top w:val="single" w:color="000000" w:sz="4" w:space="0"/>
              <w:left w:val="single" w:color="000000" w:sz="4" w:space="0"/>
              <w:bottom w:val="single" w:color="000000" w:sz="4" w:space="0"/>
              <w:right w:val="single" w:color="000000" w:sz="4" w:space="0"/>
            </w:tcBorders>
            <w:shd w:val="clear" w:color="auto" w:fill="D9E2F3"/>
            <w:tcMar>
              <w:top w:w="40" w:type="dxa"/>
              <w:left w:w="60" w:type="dxa"/>
              <w:bottom w:w="40" w:type="dxa"/>
              <w:right w:w="60" w:type="dxa"/>
            </w:tcMar>
            <w:vAlign w:val="center"/>
          </w:tcPr>
          <w:p w14:paraId="1DAC3D2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教学目标</w:t>
            </w:r>
          </w:p>
        </w:tc>
        <w:tc>
          <w:tcPr>
            <w:tcW w:w="1383" w:type="pct"/>
            <w:tcBorders>
              <w:top w:val="single" w:color="000000" w:sz="4" w:space="0"/>
              <w:left w:val="single" w:color="000000" w:sz="4" w:space="0"/>
              <w:bottom w:val="single" w:color="000000" w:sz="4" w:space="0"/>
              <w:right w:val="single" w:color="000000" w:sz="4" w:space="0"/>
            </w:tcBorders>
            <w:shd w:val="clear" w:color="auto" w:fill="D9E2F3"/>
            <w:tcMar>
              <w:top w:w="40" w:type="dxa"/>
              <w:left w:w="60" w:type="dxa"/>
              <w:bottom w:w="40" w:type="dxa"/>
              <w:right w:w="60" w:type="dxa"/>
            </w:tcMar>
            <w:vAlign w:val="center"/>
          </w:tcPr>
          <w:p w14:paraId="21F0D62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教学要求</w:t>
            </w:r>
          </w:p>
        </w:tc>
        <w:tc>
          <w:tcPr>
            <w:tcW w:w="371" w:type="pct"/>
            <w:tcBorders>
              <w:top w:val="single" w:color="000000" w:sz="4" w:space="0"/>
              <w:left w:val="single" w:color="000000" w:sz="4" w:space="0"/>
              <w:bottom w:val="single" w:color="000000" w:sz="4" w:space="0"/>
              <w:right w:val="single" w:color="000000" w:sz="4" w:space="0"/>
            </w:tcBorders>
            <w:shd w:val="clear" w:color="auto" w:fill="D9E2F3"/>
            <w:tcMar>
              <w:top w:w="40" w:type="dxa"/>
              <w:left w:w="60" w:type="dxa"/>
              <w:bottom w:w="40" w:type="dxa"/>
              <w:right w:w="60" w:type="dxa"/>
            </w:tcMar>
            <w:vAlign w:val="center"/>
          </w:tcPr>
          <w:p w14:paraId="24C816A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课时</w:t>
            </w:r>
          </w:p>
        </w:tc>
        <w:tc>
          <w:tcPr>
            <w:tcW w:w="1063" w:type="pct"/>
            <w:tcBorders>
              <w:top w:val="single" w:color="000000" w:sz="4" w:space="0"/>
              <w:left w:val="single" w:color="000000" w:sz="4" w:space="0"/>
              <w:bottom w:val="single" w:color="000000" w:sz="4" w:space="0"/>
              <w:right w:val="single" w:color="000000" w:sz="4" w:space="0"/>
            </w:tcBorders>
            <w:shd w:val="clear" w:color="auto" w:fill="D9E2F3"/>
            <w:tcMar>
              <w:top w:w="40" w:type="dxa"/>
              <w:left w:w="60" w:type="dxa"/>
              <w:bottom w:w="40" w:type="dxa"/>
              <w:right w:w="60" w:type="dxa"/>
            </w:tcMar>
            <w:vAlign w:val="center"/>
          </w:tcPr>
          <w:p w14:paraId="7322ED7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思政元素融入</w:t>
            </w:r>
          </w:p>
        </w:tc>
      </w:tr>
      <w:tr w14:paraId="2B8B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4B48EF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083C5F1">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城市轨道交通列车运行控制系统概述</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78B4600">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1.了解城轨发展历程、特点及体系构成</w:t>
            </w:r>
          </w:p>
          <w:p w14:paraId="5A9D00B1">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2.掌握城轨列控系统的组成、分类及选用原则</w:t>
            </w:r>
          </w:p>
          <w:p w14:paraId="0181DF0A">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3.熟悉国内外列控系统发展概况及发展趋势</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2D63113">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识记理解城轨列控系统组成与分类，能描述发展趋势</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9B586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42E4ECC">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安全第一、生命至上；家国情怀与科技报国；投身轨道交通行业的使命感</w:t>
            </w:r>
          </w:p>
        </w:tc>
      </w:tr>
      <w:tr w14:paraId="1334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90C151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E89E55D">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城市轨道交通列车运行控制系统关键设备认知</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6B01449">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1.掌握应答器、感应环线、漏泄电缆的组成及原理</w:t>
            </w:r>
          </w:p>
          <w:p w14:paraId="63B4B9D5">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2.熟悉FTGS/AF-904轨道电路、计轴系统的组成及工作原理</w:t>
            </w:r>
          </w:p>
          <w:p w14:paraId="5F48CF20">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3.掌握站台安全门的构成、功能及控制方式</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A2951CA">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能识别关键设备结构，描述工作原理，区分不同车-地通信与列车检测设备特点</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B42EA3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C2532AF">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隐患即事故；设备零缺陷、零容忍；严谨细致的职业习惯</w:t>
            </w:r>
          </w:p>
        </w:tc>
      </w:tr>
      <w:tr w14:paraId="213E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7467BB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98CBC03">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城市轨道交通列车运行控制系统关键技术认知</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182AB7A">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1.掌握测速、定位技术的原理及应用特点</w:t>
            </w:r>
          </w:p>
          <w:p w14:paraId="4253E3FE">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2.掌握速度控制、联锁技术的实现方法</w:t>
            </w:r>
          </w:p>
          <w:p w14:paraId="41019E56">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3.熟悉车-地通信技术的类型及适用场景</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AE400A">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能运用测速、定位、速度控制等核心技术分析应用逻辑，掌握联锁进路控制方法</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8D9C1B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4</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2193AF6">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实事求是、精益求精的工匠精神；依规操作的法治观念；技术探索与创新热情</w:t>
            </w:r>
          </w:p>
        </w:tc>
      </w:tr>
      <w:tr w14:paraId="4B1D4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3CBAC4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4</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0C9E0C9">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城市轨道交通列车运行自动控制系统工作原理认知</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F6841C">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1.掌握ATP/ATO/ATS子系统的组成、原理及功能</w:t>
            </w:r>
          </w:p>
          <w:p w14:paraId="1D17CF5C">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2.理解3A子系统的协同工作关系</w:t>
            </w:r>
          </w:p>
          <w:p w14:paraId="232CA7BF">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3.能绘制核心控制原理框图</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CA4D22">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能绘制车门/站台屏蔽门控制、ATO自动控制原理框图，分析3A子系统协同工作流程</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C496DC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B7546BB">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技术筑牢安全防线；系统思维与团队协作；规章面前无特例</w:t>
            </w:r>
          </w:p>
        </w:tc>
      </w:tr>
      <w:tr w14:paraId="68DC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C76009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5</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2B6097C">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基于轨道电路的列车运行控制系统维护</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0A832B3">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1.掌握TBTC系统的组成、控制方式及原理</w:t>
            </w:r>
          </w:p>
          <w:p w14:paraId="7BD00260">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2.熟悉西门子、US&amp;S系统的技术特点</w:t>
            </w:r>
          </w:p>
          <w:p w14:paraId="0B926E44">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3.掌握TBTC系统设备的日常维护及故障排查方法</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9537665">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能识读TBTC及主流品牌系统结构图，完成设备日常检查、基础维护及常见故障处理</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2D0A1B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8</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313B7F8">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精准维护、万无一失；按规操作、层层把关；洋为中用、自主创新</w:t>
            </w:r>
          </w:p>
        </w:tc>
      </w:tr>
      <w:tr w14:paraId="736E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BD6CC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6</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72C4FD">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基于通信的列车运行控制系统维护</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C711C6A">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1.掌握CBTC系统的组成、原理及核心优势</w:t>
            </w:r>
          </w:p>
          <w:p w14:paraId="4370705F">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2.熟悉卡斯柯Urbalis 888、FZL-300/LCF-300系统的结构及功能</w:t>
            </w:r>
          </w:p>
          <w:p w14:paraId="405640A5">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3.掌握CBTC系统软件操作及设备维护方法</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0E7DA6">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能识读CBTC系统结构图，完成软件操作、设备维护及常见故障处理</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1DE91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8</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34976B2">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国产核心技术突破与民族自信；精益求精、追求卓越；终身学习意识</w:t>
            </w:r>
          </w:p>
        </w:tc>
      </w:tr>
      <w:tr w14:paraId="70B9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72BBA2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7</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12C3F9B">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城市轨道交通列车运行自动控制系统新技术</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8EEC04B">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1.掌握车-车通信列控系统的组成及与车-地通信的差异</w:t>
            </w:r>
          </w:p>
          <w:p w14:paraId="35CE8D88">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2.掌握FAO系统的组成、运营等级及驾驶模式</w:t>
            </w:r>
          </w:p>
          <w:p w14:paraId="469604C2">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3.掌握FAO系统常见故障处理及运营管理方法</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CECA3C7">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能区分车-地与车-车通信差异，掌握FAO运营管理流程及常见故障处置</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EE50D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6</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ECE8B65">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前沿技术探索与创新思维；终身学习；快速响应、高效处置的应急处突能力</w:t>
            </w:r>
          </w:p>
        </w:tc>
      </w:tr>
      <w:tr w14:paraId="3398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9"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8FB3A4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8</w:t>
            </w:r>
          </w:p>
        </w:tc>
        <w:tc>
          <w:tcPr>
            <w:tcW w:w="74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6385B35">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综合实训</w:t>
            </w:r>
          </w:p>
        </w:tc>
        <w:tc>
          <w:tcPr>
            <w:tcW w:w="1076"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F4F586D">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1.巩固列控系统全模块理论知识，实现理论与实践深度融合</w:t>
            </w:r>
          </w:p>
          <w:p w14:paraId="4DA8158E">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2.掌握各模块核心设备、系统的实操规范及故障排查逻辑</w:t>
            </w:r>
          </w:p>
          <w:p w14:paraId="016A22C0">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3.能独立完成设备认知、操作、基础维护，协作完成系统调试与应急处置</w:t>
            </w:r>
          </w:p>
        </w:tc>
        <w:tc>
          <w:tcPr>
            <w:tcW w:w="138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40EFC7C">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能完成列控系统概述与架构认知、关键设备实操、核心技术应用、3A协同操作、TBTC/CBTC维护与故障排查、FAO认知与故障处置等实训任务</w:t>
            </w:r>
          </w:p>
        </w:tc>
        <w:tc>
          <w:tcPr>
            <w:tcW w:w="371"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4980EE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16</w:t>
            </w:r>
          </w:p>
        </w:tc>
        <w:tc>
          <w:tcPr>
            <w:tcW w:w="1063" w:type="pct"/>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7265710">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highlight w:val="none"/>
              </w:rPr>
            </w:pPr>
            <w:r>
              <w:rPr>
                <w:rFonts w:hint="eastAsia" w:ascii="仿宋" w:hAnsi="仿宋" w:eastAsia="仿宋" w:cs="仿宋"/>
                <w:sz w:val="21"/>
                <w:szCs w:val="21"/>
                <w:highlight w:val="none"/>
              </w:rPr>
              <w:t>团队协作与高效沟通；依规操作的职业习惯；反思总结、持续改进；服务意识</w:t>
            </w:r>
          </w:p>
        </w:tc>
      </w:tr>
      <w:tr w14:paraId="1768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pct"/>
            <w:gridSpan w:val="4"/>
            <w:tcBorders>
              <w:top w:val="single" w:color="000000" w:sz="4" w:space="0"/>
              <w:left w:val="single" w:color="000000" w:sz="4" w:space="0"/>
              <w:bottom w:val="single" w:color="000000" w:sz="4" w:space="0"/>
              <w:right w:val="single" w:color="000000" w:sz="4" w:space="0"/>
            </w:tcBorders>
            <w:shd w:val="clear" w:color="auto" w:fill="F2F2F2"/>
            <w:tcMar>
              <w:top w:w="40" w:type="dxa"/>
              <w:left w:w="60" w:type="dxa"/>
              <w:bottom w:w="40" w:type="dxa"/>
              <w:right w:w="60" w:type="dxa"/>
            </w:tcMar>
            <w:vAlign w:val="center"/>
          </w:tcPr>
          <w:p w14:paraId="3B8202C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合计</w:t>
            </w:r>
          </w:p>
        </w:tc>
        <w:tc>
          <w:tcPr>
            <w:tcW w:w="371" w:type="pct"/>
            <w:tcBorders>
              <w:top w:val="single" w:color="000000" w:sz="4" w:space="0"/>
              <w:left w:val="single" w:color="000000" w:sz="4" w:space="0"/>
              <w:bottom w:val="single" w:color="000000" w:sz="4" w:space="0"/>
              <w:right w:val="single" w:color="000000" w:sz="4" w:space="0"/>
            </w:tcBorders>
            <w:shd w:val="clear" w:color="auto" w:fill="F2F2F2"/>
            <w:tcMar>
              <w:top w:w="40" w:type="dxa"/>
              <w:left w:w="60" w:type="dxa"/>
              <w:bottom w:w="40" w:type="dxa"/>
              <w:right w:w="60" w:type="dxa"/>
            </w:tcMar>
            <w:vAlign w:val="center"/>
          </w:tcPr>
          <w:p w14:paraId="3E64292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48</w:t>
            </w:r>
          </w:p>
        </w:tc>
        <w:tc>
          <w:tcPr>
            <w:tcW w:w="1063" w:type="pct"/>
            <w:tcBorders>
              <w:top w:val="single" w:color="000000" w:sz="4" w:space="0"/>
              <w:left w:val="single" w:color="000000" w:sz="4" w:space="0"/>
              <w:bottom w:val="single" w:color="000000" w:sz="4" w:space="0"/>
              <w:right w:val="single" w:color="000000" w:sz="4" w:space="0"/>
            </w:tcBorders>
            <w:shd w:val="clear" w:color="auto" w:fill="F2F2F2"/>
            <w:tcMar>
              <w:top w:w="40" w:type="dxa"/>
              <w:left w:w="60" w:type="dxa"/>
              <w:bottom w:w="40" w:type="dxa"/>
              <w:right w:w="60" w:type="dxa"/>
            </w:tcMar>
            <w:vAlign w:val="center"/>
          </w:tcPr>
          <w:p w14:paraId="7A0D4F93">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bCs/>
                <w:sz w:val="21"/>
                <w:szCs w:val="21"/>
                <w:highlight w:val="none"/>
              </w:rPr>
            </w:pPr>
          </w:p>
        </w:tc>
      </w:tr>
    </w:tbl>
    <w:p w14:paraId="0E920CB5">
      <w:pPr>
        <w:pStyle w:val="2"/>
        <w:bidi w:val="0"/>
        <w:rPr>
          <w:rFonts w:hint="eastAsia" w:ascii="仿宋" w:hAnsi="仿宋" w:eastAsia="仿宋" w:cs="仿宋"/>
        </w:rPr>
      </w:pPr>
      <w:r>
        <w:rPr>
          <w:rFonts w:hint="eastAsia" w:ascii="仿宋" w:hAnsi="仿宋" w:eastAsia="仿宋" w:cs="仿宋"/>
          <w:lang w:val="en-US" w:eastAsia="zh-CN"/>
        </w:rPr>
        <w:t>四</w:t>
      </w:r>
      <w:r>
        <w:rPr>
          <w:rFonts w:hint="eastAsia" w:ascii="仿宋" w:hAnsi="仿宋" w:eastAsia="仿宋" w:cs="仿宋"/>
        </w:rPr>
        <w:t>、课程考核</w:t>
      </w:r>
    </w:p>
    <w:p w14:paraId="46F6814D">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本课程采用“过程考核+终结性考核”相结合的综合评价方式，注重对学生知识掌握、技能应用及职业素养的全面评估，具体建议考核方案如下：</w:t>
      </w:r>
    </w:p>
    <w:p w14:paraId="057DFFA1">
      <w:pPr>
        <w:jc w:val="center"/>
        <w:rPr>
          <w:rFonts w:hint="default" w:ascii="仿宋" w:hAnsi="仿宋" w:eastAsia="仿宋" w:cs="仿宋"/>
          <w:b/>
          <w:bCs w:val="0"/>
          <w:color w:val="000000"/>
          <w:kern w:val="0"/>
          <w:sz w:val="24"/>
          <w:szCs w:val="24"/>
          <w:lang w:val="en-US" w:eastAsia="zh-CN" w:bidi="zh-CN"/>
        </w:rPr>
      </w:pPr>
      <w:r>
        <w:rPr>
          <w:rFonts w:hint="eastAsia" w:ascii="仿宋" w:hAnsi="仿宋" w:eastAsia="仿宋" w:cs="仿宋"/>
          <w:b/>
          <w:bCs w:val="0"/>
          <w:color w:val="000000"/>
          <w:kern w:val="0"/>
          <w:sz w:val="24"/>
          <w:szCs w:val="24"/>
          <w:lang w:val="en-US" w:eastAsia="zh-CN" w:bidi="zh-CN"/>
        </w:rPr>
        <w:t>表2  课程考核方案</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133"/>
        <w:gridCol w:w="2467"/>
        <w:gridCol w:w="3456"/>
      </w:tblGrid>
      <w:tr w14:paraId="65F7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shd w:val="clear" w:color="auto" w:fill="D7D7D7" w:themeFill="background1" w:themeFillShade="D8"/>
            <w:vAlign w:val="center"/>
          </w:tcPr>
          <w:p w14:paraId="4C7D5350">
            <w:pPr>
              <w:pStyle w:val="20"/>
              <w:bidi w:val="0"/>
              <w:jc w:val="center"/>
              <w:rPr>
                <w:rFonts w:hint="eastAsia" w:ascii="仿宋" w:hAnsi="仿宋" w:eastAsia="仿宋" w:cs="仿宋"/>
                <w:vertAlign w:val="baseline"/>
                <w:lang w:val="en-US" w:eastAsia="zh-CN"/>
              </w:rPr>
            </w:pPr>
            <w:r>
              <w:rPr>
                <w:rFonts w:hint="eastAsia" w:ascii="仿宋" w:hAnsi="仿宋" w:eastAsia="仿宋" w:cs="仿宋"/>
                <w:b/>
                <w:bCs/>
                <w:vertAlign w:val="baseline"/>
                <w:lang w:val="en-US" w:eastAsia="zh-CN"/>
              </w:rPr>
              <w:t>考核类型</w:t>
            </w:r>
          </w:p>
        </w:tc>
        <w:tc>
          <w:tcPr>
            <w:tcW w:w="1133" w:type="dxa"/>
            <w:shd w:val="clear" w:color="auto" w:fill="D7D7D7" w:themeFill="background1" w:themeFillShade="D8"/>
            <w:vAlign w:val="center"/>
          </w:tcPr>
          <w:p w14:paraId="44B9EE68">
            <w:pPr>
              <w:pStyle w:val="20"/>
              <w:bidi w:val="0"/>
              <w:jc w:val="center"/>
              <w:rPr>
                <w:rFonts w:hint="default" w:ascii="仿宋" w:hAnsi="仿宋" w:eastAsia="仿宋" w:cs="仿宋"/>
                <w:vertAlign w:val="baseline"/>
                <w:lang w:val="en-US" w:eastAsia="zh-CN"/>
              </w:rPr>
            </w:pPr>
            <w:r>
              <w:rPr>
                <w:rFonts w:hint="eastAsia" w:ascii="仿宋" w:hAnsi="仿宋" w:eastAsia="仿宋" w:cs="仿宋"/>
                <w:b/>
                <w:bCs/>
                <w:vertAlign w:val="baseline"/>
                <w:lang w:val="en-US" w:eastAsia="zh-CN"/>
              </w:rPr>
              <w:t>成绩占比</w:t>
            </w:r>
          </w:p>
        </w:tc>
        <w:tc>
          <w:tcPr>
            <w:tcW w:w="2467" w:type="dxa"/>
            <w:shd w:val="clear" w:color="auto" w:fill="D7D7D7" w:themeFill="background1" w:themeFillShade="D8"/>
            <w:vAlign w:val="center"/>
          </w:tcPr>
          <w:p w14:paraId="42FD01E3">
            <w:pPr>
              <w:pStyle w:val="20"/>
              <w:bidi w:val="0"/>
              <w:jc w:val="center"/>
              <w:rPr>
                <w:rFonts w:hint="eastAsia" w:ascii="仿宋" w:hAnsi="仿宋" w:eastAsia="仿宋" w:cs="仿宋"/>
                <w:vertAlign w:val="baseline"/>
                <w:lang w:val="en-US" w:eastAsia="zh-CN"/>
              </w:rPr>
            </w:pPr>
            <w:r>
              <w:rPr>
                <w:rFonts w:hint="eastAsia" w:ascii="仿宋" w:hAnsi="仿宋" w:eastAsia="仿宋" w:cs="仿宋"/>
                <w:b/>
                <w:bCs/>
                <w:vertAlign w:val="baseline"/>
                <w:lang w:val="en-US" w:eastAsia="zh-CN"/>
              </w:rPr>
              <w:t>考核内容</w:t>
            </w:r>
          </w:p>
        </w:tc>
        <w:tc>
          <w:tcPr>
            <w:tcW w:w="3456" w:type="dxa"/>
            <w:shd w:val="clear" w:color="auto" w:fill="D7D7D7" w:themeFill="background1" w:themeFillShade="D8"/>
            <w:vAlign w:val="center"/>
          </w:tcPr>
          <w:p w14:paraId="741B7549">
            <w:pPr>
              <w:pStyle w:val="20"/>
              <w:bidi w:val="0"/>
              <w:jc w:val="center"/>
              <w:rPr>
                <w:rFonts w:hint="default" w:ascii="仿宋" w:hAnsi="仿宋" w:eastAsia="仿宋" w:cs="仿宋"/>
                <w:b/>
                <w:bCs/>
                <w:lang w:val="en-US" w:eastAsia="zh-CN"/>
              </w:rPr>
            </w:pPr>
            <w:r>
              <w:rPr>
                <w:rFonts w:hint="eastAsia" w:ascii="仿宋" w:hAnsi="仿宋" w:eastAsia="仿宋" w:cs="仿宋"/>
                <w:b/>
                <w:bCs/>
                <w:lang w:val="en-US" w:eastAsia="zh-CN"/>
              </w:rPr>
              <w:t>评分标准</w:t>
            </w:r>
          </w:p>
        </w:tc>
      </w:tr>
      <w:tr w14:paraId="61F9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vAlign w:val="center"/>
          </w:tcPr>
          <w:p w14:paraId="2EAB8ACE">
            <w:pPr>
              <w:pStyle w:val="20"/>
              <w:bidi w:val="0"/>
              <w:jc w:val="center"/>
              <w:rPr>
                <w:rFonts w:hint="eastAsia" w:ascii="仿宋" w:hAnsi="仿宋" w:eastAsia="仿宋" w:cs="仿宋"/>
                <w:b w:val="0"/>
                <w:color w:val="000000"/>
                <w:kern w:val="0"/>
                <w:sz w:val="21"/>
                <w:szCs w:val="21"/>
                <w:lang w:val="en-US" w:eastAsia="zh-CN" w:bidi="ar"/>
              </w:rPr>
            </w:pPr>
            <w:r>
              <w:rPr>
                <w:rFonts w:hint="eastAsia" w:ascii="仿宋" w:hAnsi="仿宋" w:eastAsia="仿宋" w:cs="仿宋"/>
                <w:b w:val="0"/>
                <w:color w:val="000000"/>
                <w:kern w:val="0"/>
                <w:sz w:val="21"/>
                <w:szCs w:val="21"/>
                <w:lang w:val="en-US" w:eastAsia="zh-CN" w:bidi="ar"/>
              </w:rPr>
              <w:t>过程考核</w:t>
            </w:r>
          </w:p>
          <w:p w14:paraId="7FEDF046">
            <w:pPr>
              <w:pStyle w:val="20"/>
              <w:bidi w:val="0"/>
              <w:jc w:val="center"/>
              <w:rPr>
                <w:rFonts w:hint="eastAsia" w:ascii="仿宋" w:hAnsi="仿宋" w:eastAsia="仿宋" w:cs="仿宋"/>
                <w:sz w:val="21"/>
                <w:szCs w:val="21"/>
                <w:lang w:val="en-US" w:eastAsia="zh-CN"/>
              </w:rPr>
            </w:pPr>
            <w:r>
              <w:rPr>
                <w:rFonts w:hint="eastAsia" w:ascii="仿宋" w:hAnsi="仿宋" w:eastAsia="仿宋" w:cs="仿宋"/>
                <w:b w:val="0"/>
                <w:color w:val="000000"/>
                <w:kern w:val="0"/>
                <w:sz w:val="21"/>
                <w:szCs w:val="21"/>
                <w:lang w:val="en-US" w:eastAsia="zh-CN" w:bidi="ar"/>
              </w:rPr>
              <w:t>（平时成绩）</w:t>
            </w:r>
          </w:p>
        </w:tc>
        <w:tc>
          <w:tcPr>
            <w:tcW w:w="1133" w:type="dxa"/>
            <w:vMerge w:val="restart"/>
            <w:vAlign w:val="center"/>
          </w:tcPr>
          <w:p w14:paraId="0F5FFFE1">
            <w:pPr>
              <w:pStyle w:val="20"/>
              <w:bidi w:val="0"/>
              <w:jc w:val="center"/>
              <w:rPr>
                <w:rFonts w:hint="eastAsia" w:ascii="仿宋" w:hAnsi="仿宋" w:eastAsia="仿宋" w:cs="仿宋"/>
                <w:b/>
                <w:bCs/>
                <w:sz w:val="21"/>
                <w:szCs w:val="21"/>
              </w:rPr>
            </w:pPr>
            <w:r>
              <w:rPr>
                <w:rFonts w:hint="eastAsia" w:ascii="仿宋" w:hAnsi="仿宋" w:eastAsia="仿宋" w:cs="仿宋"/>
                <w:b w:val="0"/>
                <w:color w:val="000000"/>
                <w:kern w:val="0"/>
                <w:sz w:val="21"/>
                <w:szCs w:val="21"/>
                <w:lang w:val="en-US" w:eastAsia="zh-CN" w:bidi="ar"/>
              </w:rPr>
              <w:t>40%</w:t>
            </w:r>
          </w:p>
        </w:tc>
        <w:tc>
          <w:tcPr>
            <w:tcW w:w="2467" w:type="dxa"/>
            <w:vAlign w:val="center"/>
          </w:tcPr>
          <w:p w14:paraId="0768BA5B">
            <w:pPr>
              <w:pStyle w:val="20"/>
              <w:bidi w:val="0"/>
              <w:jc w:val="center"/>
              <w:rPr>
                <w:rFonts w:hint="eastAsia" w:ascii="仿宋" w:hAnsi="仿宋" w:eastAsia="仿宋" w:cs="仿宋"/>
                <w:sz w:val="21"/>
                <w:szCs w:val="21"/>
              </w:rPr>
            </w:pPr>
            <w:r>
              <w:rPr>
                <w:rFonts w:hint="eastAsia" w:ascii="仿宋" w:hAnsi="仿宋" w:eastAsia="仿宋" w:cs="仿宋"/>
                <w:b w:val="0"/>
                <w:color w:val="000000"/>
                <w:kern w:val="0"/>
                <w:sz w:val="21"/>
                <w:szCs w:val="21"/>
                <w:lang w:val="en-US" w:eastAsia="zh-CN" w:bidi="ar"/>
              </w:rPr>
              <w:t>1.出勤情况（10%）</w:t>
            </w:r>
          </w:p>
        </w:tc>
        <w:tc>
          <w:tcPr>
            <w:tcW w:w="3456" w:type="dxa"/>
            <w:shd w:val="clear" w:color="auto" w:fill="FFFFFF"/>
            <w:vAlign w:val="center"/>
          </w:tcPr>
          <w:p w14:paraId="26F49CD1">
            <w:pPr>
              <w:keepNext w:val="0"/>
              <w:keepLines w:val="0"/>
              <w:widowControl/>
              <w:suppressLineNumbers w:val="0"/>
              <w:spacing w:before="0" w:beforeAutospacing="0" w:after="0" w:afterAutospacing="0" w:line="240" w:lineRule="atLeast"/>
              <w:ind w:left="0" w:leftChars="0" w:right="0" w:rightChars="0"/>
              <w:jc w:val="left"/>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迟到15分钟内每次扣1分，迟到15分钟以上或无故缺勤每次扣2分，累计最多扣10分，全勤得满分。</w:t>
            </w:r>
          </w:p>
        </w:tc>
      </w:tr>
      <w:tr w14:paraId="05A9E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Pr>
          <w:p w14:paraId="084151D0">
            <w:pPr>
              <w:pStyle w:val="20"/>
              <w:bidi w:val="0"/>
              <w:jc w:val="both"/>
              <w:rPr>
                <w:rFonts w:hint="eastAsia" w:ascii="仿宋" w:hAnsi="仿宋" w:eastAsia="仿宋" w:cs="仿宋"/>
                <w:sz w:val="21"/>
                <w:szCs w:val="21"/>
                <w:lang w:val="en-US" w:eastAsia="zh-CN"/>
              </w:rPr>
            </w:pPr>
          </w:p>
        </w:tc>
        <w:tc>
          <w:tcPr>
            <w:tcW w:w="1133" w:type="dxa"/>
            <w:vMerge w:val="continue"/>
            <w:vAlign w:val="center"/>
          </w:tcPr>
          <w:p w14:paraId="37E72566">
            <w:pPr>
              <w:pStyle w:val="20"/>
              <w:bidi w:val="0"/>
              <w:jc w:val="both"/>
              <w:rPr>
                <w:rFonts w:hint="eastAsia" w:ascii="仿宋" w:hAnsi="仿宋" w:eastAsia="仿宋" w:cs="仿宋"/>
                <w:b/>
                <w:bCs/>
                <w:sz w:val="21"/>
                <w:szCs w:val="21"/>
              </w:rPr>
            </w:pPr>
          </w:p>
        </w:tc>
        <w:tc>
          <w:tcPr>
            <w:tcW w:w="2467" w:type="dxa"/>
            <w:vAlign w:val="center"/>
          </w:tcPr>
          <w:p w14:paraId="43CC69C4">
            <w:pPr>
              <w:pStyle w:val="20"/>
              <w:bidi w:val="0"/>
              <w:jc w:val="center"/>
              <w:rPr>
                <w:rFonts w:hint="eastAsia" w:ascii="仿宋" w:hAnsi="仿宋" w:eastAsia="仿宋" w:cs="仿宋"/>
                <w:sz w:val="21"/>
                <w:szCs w:val="21"/>
              </w:rPr>
            </w:pPr>
            <w:r>
              <w:rPr>
                <w:rFonts w:hint="eastAsia" w:ascii="仿宋" w:hAnsi="仿宋" w:eastAsia="仿宋" w:cs="仿宋"/>
                <w:b w:val="0"/>
                <w:color w:val="000000"/>
                <w:kern w:val="0"/>
                <w:sz w:val="21"/>
                <w:szCs w:val="21"/>
                <w:lang w:val="en-US" w:eastAsia="zh-CN" w:bidi="ar"/>
              </w:rPr>
              <w:t>2.课堂参与（10%）</w:t>
            </w:r>
          </w:p>
        </w:tc>
        <w:tc>
          <w:tcPr>
            <w:tcW w:w="3456" w:type="dxa"/>
            <w:shd w:val="clear" w:color="auto" w:fill="FFFFFF"/>
            <w:vAlign w:val="center"/>
          </w:tcPr>
          <w:p w14:paraId="7E7BED9B">
            <w:pPr>
              <w:keepNext w:val="0"/>
              <w:keepLines w:val="0"/>
              <w:widowControl/>
              <w:suppressLineNumbers w:val="0"/>
              <w:spacing w:before="0" w:beforeAutospacing="0" w:after="0" w:afterAutospacing="0" w:line="240" w:lineRule="atLeast"/>
              <w:ind w:left="0" w:leftChars="0" w:right="0" w:rightChars="0"/>
              <w:jc w:val="left"/>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基本分5分（按时上课听讲），课堂发言、小组讨论积极每次加0.5分，满分10分。</w:t>
            </w:r>
          </w:p>
        </w:tc>
      </w:tr>
      <w:tr w14:paraId="625E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vAlign w:val="center"/>
          </w:tcPr>
          <w:p w14:paraId="331142D8">
            <w:pPr>
              <w:pStyle w:val="20"/>
              <w:bidi w:val="0"/>
              <w:jc w:val="both"/>
              <w:rPr>
                <w:rFonts w:hint="eastAsia" w:ascii="仿宋" w:hAnsi="仿宋" w:eastAsia="仿宋" w:cs="仿宋"/>
                <w:sz w:val="21"/>
                <w:szCs w:val="21"/>
                <w:lang w:val="en-US" w:eastAsia="zh-CN"/>
              </w:rPr>
            </w:pPr>
          </w:p>
        </w:tc>
        <w:tc>
          <w:tcPr>
            <w:tcW w:w="1133" w:type="dxa"/>
            <w:vMerge w:val="continue"/>
            <w:vAlign w:val="center"/>
          </w:tcPr>
          <w:p w14:paraId="3EC3802E">
            <w:pPr>
              <w:pStyle w:val="20"/>
              <w:bidi w:val="0"/>
              <w:jc w:val="both"/>
              <w:rPr>
                <w:rFonts w:hint="eastAsia" w:ascii="仿宋" w:hAnsi="仿宋" w:eastAsia="仿宋" w:cs="仿宋"/>
                <w:b/>
                <w:bCs/>
                <w:sz w:val="21"/>
                <w:szCs w:val="21"/>
              </w:rPr>
            </w:pPr>
          </w:p>
        </w:tc>
        <w:tc>
          <w:tcPr>
            <w:tcW w:w="2467" w:type="dxa"/>
            <w:shd w:val="clear" w:color="auto" w:fill="FFFFFF"/>
            <w:vAlign w:val="center"/>
          </w:tcPr>
          <w:p w14:paraId="6779BFA8">
            <w:pPr>
              <w:keepNext w:val="0"/>
              <w:keepLines w:val="0"/>
              <w:widowControl/>
              <w:suppressLineNumbers w:val="0"/>
              <w:spacing w:before="0" w:beforeAutospacing="0" w:after="0" w:afterAutospacing="0" w:line="240" w:lineRule="atLeast"/>
              <w:ind w:left="0" w:leftChars="0" w:right="0" w:rightChars="0"/>
              <w:jc w:val="center"/>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3.作业完成质量（20%）</w:t>
            </w:r>
          </w:p>
        </w:tc>
        <w:tc>
          <w:tcPr>
            <w:tcW w:w="3456" w:type="dxa"/>
            <w:shd w:val="clear" w:color="auto" w:fill="FFFFFF"/>
            <w:vAlign w:val="center"/>
          </w:tcPr>
          <w:p w14:paraId="65536456">
            <w:pPr>
              <w:keepNext w:val="0"/>
              <w:keepLines w:val="0"/>
              <w:widowControl/>
              <w:suppressLineNumbers w:val="0"/>
              <w:spacing w:before="0" w:beforeAutospacing="0" w:after="0" w:afterAutospacing="0" w:line="240" w:lineRule="atLeast"/>
              <w:ind w:left="0" w:leftChars="0" w:right="0" w:rightChars="0"/>
              <w:jc w:val="left"/>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作业按“优秀（10分）、良好（8分）、中等（7分）、及格（6分）、不及格（0分）”五档评分，取多次作业平均分。</w:t>
            </w:r>
          </w:p>
        </w:tc>
      </w:tr>
      <w:tr w14:paraId="0206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shd w:val="clear" w:color="auto" w:fill="FFFFFF"/>
            <w:vAlign w:val="center"/>
          </w:tcPr>
          <w:p w14:paraId="47625791">
            <w:pPr>
              <w:keepNext w:val="0"/>
              <w:keepLines w:val="0"/>
              <w:widowControl/>
              <w:suppressLineNumbers w:val="0"/>
              <w:spacing w:before="0" w:beforeAutospacing="0" w:after="0" w:afterAutospacing="0" w:line="240" w:lineRule="atLeast"/>
              <w:ind w:left="0" w:leftChars="0" w:right="0" w:rightChars="0"/>
              <w:jc w:val="center"/>
              <w:rPr>
                <w:rFonts w:hint="eastAsia" w:ascii="仿宋" w:hAnsi="仿宋" w:eastAsia="仿宋" w:cs="仿宋"/>
                <w:b w:val="0"/>
                <w:color w:val="000000"/>
                <w:kern w:val="0"/>
                <w:sz w:val="21"/>
                <w:szCs w:val="21"/>
                <w:lang w:val="en-US" w:eastAsia="zh-CN" w:bidi="ar"/>
              </w:rPr>
            </w:pPr>
            <w:r>
              <w:rPr>
                <w:rFonts w:hint="eastAsia" w:ascii="仿宋" w:hAnsi="仿宋" w:eastAsia="仿宋" w:cs="仿宋"/>
                <w:b w:val="0"/>
                <w:color w:val="000000"/>
                <w:kern w:val="0"/>
                <w:sz w:val="21"/>
                <w:szCs w:val="21"/>
                <w:lang w:val="en-US" w:eastAsia="zh-CN" w:bidi="ar"/>
              </w:rPr>
              <w:t>终结性考核</w:t>
            </w:r>
          </w:p>
          <w:p w14:paraId="5919F29E">
            <w:pPr>
              <w:keepNext w:val="0"/>
              <w:keepLines w:val="0"/>
              <w:widowControl/>
              <w:suppressLineNumbers w:val="0"/>
              <w:spacing w:before="0" w:beforeAutospacing="0" w:after="0" w:afterAutospacing="0" w:line="240" w:lineRule="atLeast"/>
              <w:ind w:left="0" w:leftChars="0" w:right="0" w:rightChars="0"/>
              <w:jc w:val="center"/>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（期末成绩）</w:t>
            </w:r>
          </w:p>
        </w:tc>
        <w:tc>
          <w:tcPr>
            <w:tcW w:w="1133" w:type="dxa"/>
            <w:shd w:val="clear" w:color="auto" w:fill="FFFFFF"/>
            <w:vAlign w:val="center"/>
          </w:tcPr>
          <w:p w14:paraId="27431D57">
            <w:pPr>
              <w:keepNext w:val="0"/>
              <w:keepLines w:val="0"/>
              <w:widowControl/>
              <w:suppressLineNumbers w:val="0"/>
              <w:spacing w:before="0" w:beforeAutospacing="0" w:after="0" w:afterAutospacing="0" w:line="240" w:lineRule="atLeast"/>
              <w:ind w:left="0" w:leftChars="0" w:right="0" w:rightChars="0"/>
              <w:jc w:val="center"/>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60%</w:t>
            </w:r>
          </w:p>
        </w:tc>
        <w:tc>
          <w:tcPr>
            <w:tcW w:w="2467" w:type="dxa"/>
            <w:shd w:val="clear" w:color="auto" w:fill="FFFFFF"/>
            <w:vAlign w:val="center"/>
          </w:tcPr>
          <w:p w14:paraId="3E5E30CB">
            <w:pPr>
              <w:keepNext w:val="0"/>
              <w:keepLines w:val="0"/>
              <w:widowControl/>
              <w:suppressLineNumbers w:val="0"/>
              <w:spacing w:before="0" w:beforeAutospacing="0" w:after="0" w:afterAutospacing="0" w:line="240" w:lineRule="atLeast"/>
              <w:ind w:left="0" w:leftChars="0" w:right="0" w:rightChars="0"/>
              <w:jc w:val="center"/>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课程核心知识、技能应用及综合分析能力</w:t>
            </w:r>
          </w:p>
        </w:tc>
        <w:tc>
          <w:tcPr>
            <w:tcW w:w="3456" w:type="dxa"/>
            <w:shd w:val="clear" w:color="auto" w:fill="FFFFFF"/>
            <w:vAlign w:val="center"/>
          </w:tcPr>
          <w:p w14:paraId="2A6AF416">
            <w:pPr>
              <w:keepNext w:val="0"/>
              <w:keepLines w:val="0"/>
              <w:widowControl/>
              <w:suppressLineNumbers w:val="0"/>
              <w:spacing w:before="0" w:beforeAutospacing="0" w:after="0" w:afterAutospacing="0" w:line="240" w:lineRule="atLeast"/>
              <w:ind w:left="0" w:leftChars="0" w:right="0" w:rightChars="0"/>
              <w:jc w:val="left"/>
              <w:rPr>
                <w:rFonts w:hint="eastAsia" w:ascii="仿宋" w:hAnsi="仿宋" w:eastAsia="仿宋" w:cs="仿宋"/>
                <w:b w:val="0"/>
                <w:color w:val="000000"/>
                <w:kern w:val="2"/>
                <w:sz w:val="21"/>
                <w:szCs w:val="21"/>
                <w:lang w:val="en-US" w:eastAsia="zh-CN" w:bidi="ar-SA"/>
              </w:rPr>
            </w:pPr>
            <w:r>
              <w:rPr>
                <w:rFonts w:hint="eastAsia" w:ascii="仿宋" w:hAnsi="仿宋" w:eastAsia="仿宋" w:cs="仿宋"/>
                <w:b w:val="0"/>
                <w:color w:val="000000"/>
                <w:kern w:val="0"/>
                <w:sz w:val="21"/>
                <w:szCs w:val="21"/>
                <w:lang w:val="en-US" w:eastAsia="zh-CN" w:bidi="ar"/>
              </w:rPr>
              <w:t>采用闭卷笔试形式，试卷涵盖选择题、填空题、名词解释题、判断题和简答题等题型，全面考查学生对课程知识的掌握程度与实际应用能力，满分100分。</w:t>
            </w:r>
          </w:p>
        </w:tc>
      </w:tr>
    </w:tbl>
    <w:p w14:paraId="252D207C">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总成绩计算与合格标准：</w:t>
      </w:r>
    </w:p>
    <w:p w14:paraId="01F5E40C">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1.总成绩=过程考核成绩×40% + 终结性考核成绩×60%；</w:t>
      </w:r>
    </w:p>
    <w:p w14:paraId="4B73BC07">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2.总成绩≥60分为合格，&lt;60分为不合格；</w:t>
      </w:r>
    </w:p>
    <w:p w14:paraId="048D9BA8">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3.综合实训表现单项得分＜12分（60分及格），课程总成绩直接按不合格处理。</w:t>
      </w:r>
    </w:p>
    <w:p w14:paraId="4154A2DF">
      <w:pPr>
        <w:pStyle w:val="2"/>
        <w:bidi w:val="0"/>
        <w:rPr>
          <w:rFonts w:hint="eastAsia" w:ascii="仿宋" w:hAnsi="仿宋" w:eastAsia="仿宋" w:cs="仿宋"/>
        </w:rPr>
      </w:pPr>
      <w:r>
        <w:rPr>
          <w:rFonts w:hint="eastAsia" w:ascii="仿宋" w:hAnsi="仿宋" w:eastAsia="仿宋" w:cs="仿宋"/>
          <w:lang w:val="en-US" w:eastAsia="zh-CN"/>
        </w:rPr>
        <w:t>五</w:t>
      </w:r>
      <w:r>
        <w:rPr>
          <w:rFonts w:hint="eastAsia" w:ascii="仿宋" w:hAnsi="仿宋" w:eastAsia="仿宋" w:cs="仿宋"/>
        </w:rPr>
        <w:t>、教学方式、设备和场地</w:t>
      </w:r>
    </w:p>
    <w:p w14:paraId="61F21E64">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本课程遵循“教师引导，学生为主”的原则，采用讲解、多媒体演示、启发式讨论教学、参与式教学等多种方法，努力为学生创设更多知识应用的机会。</w:t>
      </w:r>
    </w:p>
    <w:p w14:paraId="4890473F">
      <w:pPr>
        <w:pStyle w:val="3"/>
        <w:bidi w:val="0"/>
        <w:rPr>
          <w:rFonts w:hint="eastAsia" w:ascii="仿宋" w:hAnsi="仿宋" w:eastAsia="仿宋" w:cs="仿宋"/>
          <w:lang w:val="en-US" w:eastAsia="zh-CN"/>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一</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lang w:val="en-US" w:eastAsia="zh-CN"/>
        </w:rPr>
        <w:t>教学方式</w:t>
      </w:r>
    </w:p>
    <w:p w14:paraId="70C38C4C">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1.讲授法：用于基础理论知识讲解（如行业概述、设备构造等），结合行业案例、技术发展背景创设情境，增强学习兴趣。</w:t>
      </w:r>
    </w:p>
    <w:p w14:paraId="7BDA05FE">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2.启发式教学法：针对复杂知识点（如联锁原理、应急处置流程），通过提问、分析引导学生主动思考，深化理解。</w:t>
      </w:r>
    </w:p>
    <w:p w14:paraId="29D57ABE">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3.参与式教学法：适用于运营组织、案例分析等内容，通过小组讨论、专题汇报等形式，培养学生团队协作与表达能力。</w:t>
      </w:r>
    </w:p>
    <w:p w14:paraId="6E32BE56">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4.情景模拟教学法：用于实训环节（如应急处置、设备操作），模拟真实工作场景，提升学生实践能力与应变能力。</w:t>
      </w:r>
    </w:p>
    <w:p w14:paraId="4C5A8088">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5.操作示范法：针对实训操作（如联锁设备、运行图编制软件），通过教师现场示范，规范学生操作流程。</w:t>
      </w:r>
    </w:p>
    <w:p w14:paraId="6D87EBE7">
      <w:pPr>
        <w:pStyle w:val="3"/>
        <w:bidi w:val="0"/>
        <w:rPr>
          <w:rFonts w:hint="eastAsia" w:ascii="仿宋" w:hAnsi="仿宋" w:eastAsia="仿宋" w:cs="仿宋"/>
          <w:lang w:val="en-US" w:eastAsia="zh-CN"/>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二</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lang w:val="en-US" w:eastAsia="zh-CN"/>
        </w:rPr>
        <w:t>教学设备</w:t>
      </w:r>
    </w:p>
    <w:p w14:paraId="6F33AFCE">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1.多媒体教学系统：用于播放课件、视频、动画等教学资源。</w:t>
      </w:r>
    </w:p>
    <w:p w14:paraId="4EF677D1">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2.电子白板/智能黑板：支持实时书写、标注与互动教学。</w:t>
      </w:r>
    </w:p>
    <w:p w14:paraId="598CCB31">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3.行车调度仿真系统：模拟真实调度环境，支持运行图编制、调度命令发布等操作。</w:t>
      </w:r>
    </w:p>
    <w:p w14:paraId="74C73643">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4.联锁设备实训平台：用于联锁设备认知与基础操作实训。</w:t>
      </w:r>
    </w:p>
    <w:p w14:paraId="5A203E44">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5.列车运行图编制软件：支持学生实践操作与方案评估。</w:t>
      </w:r>
    </w:p>
    <w:p w14:paraId="1D3D3B5B">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7.教学案例库与数据库：收集行业案例、技术资料，支持案例教学。</w:t>
      </w:r>
    </w:p>
    <w:p w14:paraId="3FFF5FBB">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8.安全防护设备：绝缘手套、安全帽等，保障实训操作安全。</w:t>
      </w:r>
    </w:p>
    <w:p w14:paraId="514B31AB">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9.移动学习终端：支持学生在线学习、测试与资源查询。</w:t>
      </w:r>
    </w:p>
    <w:p w14:paraId="6858F31D">
      <w:pPr>
        <w:pStyle w:val="3"/>
        <w:bidi w:val="0"/>
        <w:rPr>
          <w:rFonts w:hint="eastAsia" w:ascii="仿宋" w:hAnsi="仿宋" w:eastAsia="仿宋" w:cs="仿宋"/>
          <w:lang w:val="en-US" w:eastAsia="zh-CN"/>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三</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lang w:val="en-US" w:eastAsia="zh-CN"/>
        </w:rPr>
        <w:t>教学场地</w:t>
      </w:r>
    </w:p>
    <w:p w14:paraId="54DBF51D">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1.多媒体教室：用于理论教学、案例分析、课堂讨论。</w:t>
      </w:r>
    </w:p>
    <w:p w14:paraId="31DB506F">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2.“三站两区间”实训中心：用于联锁设备操作、应急场景模拟等实训教学。</w:t>
      </w:r>
    </w:p>
    <w:p w14:paraId="24CE4F51">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3.校企合作实训基地：用于现场参观、实地教学，增强实践认知。</w:t>
      </w:r>
    </w:p>
    <w:p w14:paraId="1B1A95DD">
      <w:pPr>
        <w:pStyle w:val="2"/>
        <w:bidi w:val="0"/>
        <w:rPr>
          <w:rFonts w:hint="eastAsia" w:ascii="仿宋" w:hAnsi="仿宋" w:eastAsia="仿宋" w:cs="仿宋"/>
        </w:rPr>
      </w:pPr>
      <w:r>
        <w:rPr>
          <w:rFonts w:hint="eastAsia" w:ascii="仿宋" w:hAnsi="仿宋" w:eastAsia="仿宋" w:cs="仿宋"/>
          <w:lang w:val="en-US" w:eastAsia="zh-CN"/>
        </w:rPr>
        <w:t>六</w:t>
      </w:r>
      <w:r>
        <w:rPr>
          <w:rFonts w:hint="eastAsia" w:ascii="仿宋" w:hAnsi="仿宋" w:eastAsia="仿宋" w:cs="仿宋"/>
        </w:rPr>
        <w:t>、教材选用和编写建议</w:t>
      </w:r>
    </w:p>
    <w:p w14:paraId="35DC89D1">
      <w:pPr>
        <w:pStyle w:val="2"/>
        <w:bidi w:val="0"/>
        <w:rPr>
          <w:rFonts w:hint="eastAsia" w:ascii="仿宋" w:hAnsi="仿宋" w:eastAsia="仿宋" w:cs="仿宋"/>
          <w:b/>
          <w:kern w:val="2"/>
          <w:sz w:val="28"/>
          <w:lang w:val="en-US" w:eastAsia="zh-CN" w:bidi="ar-SA"/>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一</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kern w:val="2"/>
          <w:sz w:val="28"/>
          <w:lang w:val="en-US" w:eastAsia="zh-CN" w:bidi="ar-SA"/>
        </w:rPr>
        <w:t>教材选用</w:t>
      </w:r>
    </w:p>
    <w:p w14:paraId="5E501EBB">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选用贴合高职教育特点、对接城轨行业岗位需求、理实一体化的规划教材，要求教材内容系统全面，涵盖城轨列控系统的基础理论、关键设备、核心技术、系统维护及行业新技术，同时配套实训指导手册，明确各章节对应的实训操作流程、规范及考核标准。</w:t>
      </w:r>
    </w:p>
    <w:p w14:paraId="5EEA90EC">
      <w:pPr>
        <w:pStyle w:val="2"/>
        <w:bidi w:val="0"/>
        <w:rPr>
          <w:rFonts w:hint="eastAsia" w:ascii="仿宋" w:hAnsi="仿宋" w:eastAsia="仿宋" w:cs="仿宋"/>
          <w:lang w:val="en-US" w:eastAsia="zh-CN"/>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二</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kern w:val="2"/>
          <w:sz w:val="28"/>
          <w:lang w:val="en-US" w:eastAsia="zh-CN" w:bidi="ar-SA"/>
        </w:rPr>
        <w:t>教材编写建议</w:t>
      </w:r>
    </w:p>
    <w:p w14:paraId="2D4D230D">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若开展校本教材编写，应遵循“项目化、理实一体化、岗课融合”原则，结合长沙本地城市轨道交通发展实际，融入行业最新技术、规范和典型故障案例，将各章节综合实训内容纳入教材配套模块，突出实操技能培养，同时配套实训指导手册、习题集、故障排查案例集等辅助资料，形成完善的教材体系。</w:t>
      </w:r>
    </w:p>
    <w:p w14:paraId="29272215">
      <w:pPr>
        <w:pStyle w:val="2"/>
        <w:bidi w:val="0"/>
        <w:rPr>
          <w:rFonts w:hint="eastAsia" w:ascii="仿宋" w:hAnsi="仿宋" w:eastAsia="仿宋" w:cs="仿宋"/>
          <w:lang w:val="en-US" w:eastAsia="zh-CN"/>
        </w:rPr>
      </w:pP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bCs w:val="0"/>
          <w:color w:val="000000" w:themeColor="text1"/>
          <w:kern w:val="0"/>
          <w:sz w:val="24"/>
          <w:szCs w:val="24"/>
          <w:lang w:val="en-US" w:eastAsia="zh-CN"/>
          <w14:textFill>
            <w14:solidFill>
              <w14:schemeClr w14:val="tx1"/>
            </w14:solidFill>
          </w14:textFill>
        </w:rPr>
        <w:t>三</w:t>
      </w:r>
      <w:r>
        <w:rPr>
          <w:rFonts w:hint="eastAsia" w:ascii="仿宋" w:hAnsi="仿宋" w:eastAsia="仿宋" w:cs="仿宋"/>
          <w:b/>
          <w:bCs w:val="0"/>
          <w:color w:val="000000" w:themeColor="text1"/>
          <w:kern w:val="0"/>
          <w:sz w:val="24"/>
          <w:szCs w:val="24"/>
          <w:lang w:eastAsia="zh-CN"/>
          <w14:textFill>
            <w14:solidFill>
              <w14:schemeClr w14:val="tx1"/>
            </w14:solidFill>
          </w14:textFill>
        </w:rPr>
        <w:t>）</w:t>
      </w:r>
      <w:r>
        <w:rPr>
          <w:rFonts w:hint="eastAsia" w:ascii="仿宋" w:hAnsi="仿宋" w:eastAsia="仿宋" w:cs="仿宋"/>
          <w:b/>
          <w:kern w:val="2"/>
          <w:sz w:val="28"/>
          <w:lang w:val="en-US" w:eastAsia="zh-CN" w:bidi="ar-SA"/>
        </w:rPr>
        <w:t>教学资源拓展</w:t>
      </w:r>
    </w:p>
    <w:p w14:paraId="4D2B0D8D">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网络学习平台：利用“学习通”（</w:t>
      </w:r>
      <w:r>
        <w:rPr>
          <w:rFonts w:hint="default" w:ascii="仿宋" w:hAnsi="仿宋" w:eastAsia="仿宋" w:cs="仿宋"/>
          <w:bCs/>
          <w:color w:val="000000" w:themeColor="text1"/>
          <w:kern w:val="0"/>
          <w:sz w:val="24"/>
          <w:szCs w:val="24"/>
          <w:lang w:val="en-US" w:eastAsia="zh-CN"/>
          <w14:textFill>
            <w14:solidFill>
              <w14:schemeClr w14:val="tx1"/>
            </w14:solidFill>
          </w14:textFill>
        </w:rPr>
        <w:fldChar w:fldCharType="begin"/>
      </w:r>
      <w:r>
        <w:rPr>
          <w:rFonts w:hint="default" w:ascii="仿宋" w:hAnsi="仿宋" w:eastAsia="仿宋" w:cs="仿宋"/>
          <w:bCs/>
          <w:color w:val="000000" w:themeColor="text1"/>
          <w:kern w:val="0"/>
          <w:sz w:val="24"/>
          <w:szCs w:val="24"/>
          <w:lang w:val="en-US" w:eastAsia="zh-CN"/>
          <w14:textFill>
            <w14:solidFill>
              <w14:schemeClr w14:val="tx1"/>
            </w14:solidFill>
          </w14:textFill>
        </w:rPr>
        <w:instrText xml:space="preserve"> HYPERLINK "https://passport2.chaoxing.com/" \t "_blank" </w:instrText>
      </w:r>
      <w:r>
        <w:rPr>
          <w:rFonts w:hint="default" w:ascii="仿宋" w:hAnsi="仿宋" w:eastAsia="仿宋" w:cs="仿宋"/>
          <w:bCs/>
          <w:color w:val="000000" w:themeColor="text1"/>
          <w:kern w:val="0"/>
          <w:sz w:val="24"/>
          <w:szCs w:val="24"/>
          <w:lang w:val="en-US" w:eastAsia="zh-CN"/>
          <w14:textFill>
            <w14:solidFill>
              <w14:schemeClr w14:val="tx1"/>
            </w14:solidFill>
          </w14:textFill>
        </w:rPr>
        <w:fldChar w:fldCharType="separate"/>
      </w:r>
      <w:r>
        <w:rPr>
          <w:rFonts w:hint="default" w:ascii="仿宋" w:hAnsi="仿宋" w:eastAsia="仿宋" w:cs="仿宋"/>
          <w:bCs/>
          <w:color w:val="000000" w:themeColor="text1"/>
          <w:kern w:val="0"/>
          <w:sz w:val="24"/>
          <w:szCs w:val="24"/>
          <w:lang w:val="en-US" w:eastAsia="zh-CN"/>
          <w14:textFill>
            <w14:solidFill>
              <w14:schemeClr w14:val="tx1"/>
            </w14:solidFill>
          </w14:textFill>
        </w:rPr>
        <w:t>https://passport2.chaoxing.com/</w:t>
      </w:r>
      <w:r>
        <w:rPr>
          <w:rFonts w:hint="default" w:ascii="仿宋" w:hAnsi="仿宋" w:eastAsia="仿宋" w:cs="仿宋"/>
          <w:bCs/>
          <w:color w:val="000000" w:themeColor="text1"/>
          <w:kern w:val="0"/>
          <w:sz w:val="24"/>
          <w:szCs w:val="24"/>
          <w:lang w:val="en-US" w:eastAsia="zh-CN"/>
          <w14:textFill>
            <w14:solidFill>
              <w14:schemeClr w14:val="tx1"/>
            </w14:solidFill>
          </w14:textFill>
        </w:rPr>
        <w:fldChar w:fldCharType="end"/>
      </w:r>
      <w:r>
        <w:rPr>
          <w:rFonts w:hint="eastAsia" w:ascii="仿宋" w:hAnsi="仿宋" w:eastAsia="仿宋" w:cs="仿宋"/>
          <w:bCs/>
          <w:color w:val="000000" w:themeColor="text1"/>
          <w:kern w:val="0"/>
          <w:sz w:val="24"/>
          <w:szCs w:val="24"/>
          <w:lang w:val="en-US" w:eastAsia="zh-CN"/>
          <w14:textFill>
            <w14:solidFill>
              <w14:schemeClr w14:val="tx1"/>
            </w14:solidFill>
          </w14:textFill>
        </w:rPr>
        <w:t>）上传教学课件、教学视频、实训操作演示视频、习题资料，开展线上随堂测试、作业提交、互动交流，实现线上线下混合式教学；</w:t>
      </w:r>
    </w:p>
    <w:p w14:paraId="14ACE611">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补充资料：推荐《城市轨道交通技术规范》《城市轨道交通列车运行控制系统技术要求》等行业标准、城市轨道交通列控系统发展报告、主流设备操作手册、典型故障/事故案例集；</w:t>
      </w:r>
    </w:p>
    <w:p w14:paraId="3EB49B91">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行业资源：关注中国城市轨道交通协会、长沙地铁等官网，及时更新行业新技术、新规范、新案例，融入理论教学和综合实训内容。</w:t>
      </w:r>
    </w:p>
    <w:p w14:paraId="705BC6E9">
      <w:pPr>
        <w:pStyle w:val="2"/>
        <w:bidi w:val="0"/>
        <w:rPr>
          <w:rFonts w:hint="eastAsia" w:ascii="仿宋" w:hAnsi="仿宋" w:eastAsia="仿宋" w:cs="仿宋"/>
        </w:rPr>
      </w:pPr>
      <w:r>
        <w:rPr>
          <w:rFonts w:hint="eastAsia" w:ascii="仿宋" w:hAnsi="仿宋" w:eastAsia="仿宋" w:cs="仿宋"/>
          <w:lang w:val="en-US" w:eastAsia="zh-CN"/>
        </w:rPr>
        <w:t>七</w:t>
      </w:r>
      <w:r>
        <w:rPr>
          <w:rFonts w:hint="eastAsia" w:ascii="仿宋" w:hAnsi="仿宋" w:eastAsia="仿宋" w:cs="仿宋"/>
        </w:rPr>
        <w:t>、其它说明</w:t>
      </w:r>
    </w:p>
    <w:p w14:paraId="111BED37">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本课程标准适用于长沙轨道交通职业学院城市轨道交通通信信号技术专业。</w:t>
      </w:r>
    </w:p>
    <w:p w14:paraId="5F653342">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课程教学应动态对接行业发展，及时将城市轨道交通列控领域的新技术、新规范、新设备、新案例融入教学，确保教学内容的时效性和实用性。</w:t>
      </w:r>
    </w:p>
    <w:p w14:paraId="62C2229F">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综合实训教学应严格遵守安全操作规程，课前开展安全交底，强化学生的安全意识，配备完善的安全防护设备，杜绝安全事故的发生。</w:t>
      </w:r>
    </w:p>
    <w:p w14:paraId="347C92A5">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r>
        <w:rPr>
          <w:rFonts w:hint="eastAsia" w:ascii="仿宋" w:hAnsi="仿宋" w:eastAsia="仿宋" w:cs="仿宋"/>
          <w:bCs/>
          <w:color w:val="000000" w:themeColor="text1"/>
          <w:kern w:val="0"/>
          <w:sz w:val="24"/>
          <w:szCs w:val="24"/>
          <w:lang w:val="en-US" w:eastAsia="zh-CN"/>
          <w14:textFill>
            <w14:solidFill>
              <w14:schemeClr w14:val="tx1"/>
            </w14:solidFill>
          </w14:textFill>
        </w:rPr>
        <w:t>本课程标准由轨道车辆学院制定，根据专业人才培养方案调整和行业发展需求，可适时进行修订和完善。</w:t>
      </w:r>
    </w:p>
    <w:p w14:paraId="30FAD84F">
      <w:pPr>
        <w:spacing w:line="360" w:lineRule="auto"/>
        <w:ind w:firstLine="480" w:firstLineChars="200"/>
        <w:rPr>
          <w:rFonts w:hint="eastAsia" w:ascii="仿宋" w:hAnsi="仿宋" w:eastAsia="仿宋" w:cs="仿宋"/>
          <w:bCs/>
          <w:color w:val="000000" w:themeColor="text1"/>
          <w:kern w:val="0"/>
          <w:sz w:val="24"/>
          <w:szCs w:val="24"/>
          <w:lang w:val="en-US" w:eastAsia="zh-CN"/>
          <w14:textFill>
            <w14:solidFill>
              <w14:schemeClr w14:val="tx1"/>
            </w14:solidFill>
          </w14:textFill>
        </w:rPr>
      </w:pPr>
    </w:p>
    <w:p w14:paraId="77530AFB">
      <w:pPr>
        <w:pStyle w:val="26"/>
        <w:bidi w:val="0"/>
        <w:ind w:left="0" w:leftChars="0" w:firstLine="0" w:firstLineChars="0"/>
        <w:rPr>
          <w:rFonts w:hint="eastAsia" w:ascii="仿宋" w:hAnsi="仿宋" w:eastAsia="仿宋" w:cs="仿宋"/>
          <w:lang w:eastAsia="zh-CN"/>
        </w:rPr>
      </w:pPr>
    </w:p>
    <w:p w14:paraId="7A71DE0A">
      <w:pPr>
        <w:pStyle w:val="26"/>
        <w:bidi w:val="0"/>
        <w:ind w:left="0" w:leftChars="0" w:firstLine="0" w:firstLineChars="0"/>
        <w:rPr>
          <w:rFonts w:hint="eastAsia" w:ascii="仿宋" w:hAnsi="仿宋" w:eastAsia="仿宋" w:cs="仿宋"/>
          <w:lang w:eastAsia="zh-CN"/>
        </w:rPr>
      </w:pPr>
    </w:p>
    <w:p w14:paraId="246C8458">
      <w:pPr>
        <w:pStyle w:val="26"/>
        <w:bidi w:val="0"/>
        <w:ind w:left="0" w:leftChars="0" w:firstLine="0" w:firstLineChars="0"/>
        <w:rPr>
          <w:rFonts w:hint="eastAsia" w:ascii="仿宋" w:hAnsi="仿宋" w:eastAsia="仿宋" w:cs="仿宋"/>
          <w:lang w:eastAsia="zh-CN"/>
        </w:rPr>
      </w:pPr>
    </w:p>
    <w:p w14:paraId="68E4B103">
      <w:pPr>
        <w:spacing w:line="380" w:lineRule="exact"/>
        <w:ind w:left="6720" w:leftChars="3066" w:hanging="281" w:hangingChars="100"/>
        <w:jc w:val="right"/>
        <w:rPr>
          <w:rFonts w:hint="eastAsia" w:ascii="仿宋" w:hAnsi="仿宋" w:eastAsia="仿宋" w:cs="仿宋"/>
          <w:b/>
          <w:kern w:val="0"/>
          <w:sz w:val="28"/>
          <w:szCs w:val="28"/>
        </w:rPr>
      </w:pPr>
      <w:r>
        <w:rPr>
          <w:rFonts w:hint="eastAsia" w:ascii="仿宋" w:hAnsi="仿宋" w:eastAsia="仿宋" w:cs="仿宋"/>
          <w:b/>
          <w:kern w:val="0"/>
          <w:sz w:val="28"/>
          <w:szCs w:val="28"/>
        </w:rPr>
        <w:t>轨道车辆学院202</w:t>
      </w:r>
      <w:r>
        <w:rPr>
          <w:rFonts w:hint="eastAsia" w:ascii="仿宋" w:hAnsi="仿宋" w:eastAsia="仿宋" w:cs="仿宋"/>
          <w:b/>
          <w:kern w:val="0"/>
          <w:sz w:val="28"/>
          <w:szCs w:val="28"/>
          <w:lang w:val="en-US" w:eastAsia="zh-CN"/>
        </w:rPr>
        <w:t>6</w:t>
      </w:r>
      <w:r>
        <w:rPr>
          <w:rFonts w:hint="eastAsia" w:ascii="仿宋" w:hAnsi="仿宋" w:eastAsia="仿宋" w:cs="仿宋"/>
          <w:b/>
          <w:kern w:val="0"/>
          <w:sz w:val="28"/>
          <w:szCs w:val="28"/>
        </w:rPr>
        <w:t>年</w:t>
      </w:r>
      <w:r>
        <w:rPr>
          <w:rFonts w:hint="eastAsia" w:ascii="仿宋" w:hAnsi="仿宋" w:eastAsia="仿宋" w:cs="仿宋"/>
          <w:b/>
          <w:kern w:val="0"/>
          <w:sz w:val="28"/>
          <w:szCs w:val="28"/>
          <w:lang w:val="en-US" w:eastAsia="zh-CN"/>
        </w:rPr>
        <w:t>9</w:t>
      </w:r>
      <w:r>
        <w:rPr>
          <w:rFonts w:hint="eastAsia" w:ascii="仿宋" w:hAnsi="仿宋" w:eastAsia="仿宋" w:cs="仿宋"/>
          <w:b/>
          <w:kern w:val="0"/>
          <w:sz w:val="28"/>
          <w:szCs w:val="28"/>
        </w:rPr>
        <w:t>月</w:t>
      </w:r>
    </w:p>
    <w:sectPr>
      <w:headerReference r:id="rId3" w:type="default"/>
      <w:footerReference r:id="rId4"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69843">
    <w:pPr>
      <w:pStyle w:val="8"/>
      <w:ind w:right="360" w:firstLine="360"/>
    </w:pPr>
    <w:r>
      <w:rPr>
        <w:sz w:val="18"/>
      </w:rPr>
      <mc:AlternateContent>
        <mc:Choice Requires="wps">
          <w:drawing>
            <wp:anchor distT="0" distB="0" distL="114300" distR="114300" simplePos="0" relativeHeight="251661312" behindDoc="0" locked="0" layoutInCell="1" allowOverlap="1">
              <wp:simplePos x="0" y="0"/>
              <wp:positionH relativeFrom="margin">
                <wp:posOffset>2605405</wp:posOffset>
              </wp:positionH>
              <wp:positionV relativeFrom="paragraph">
                <wp:posOffset>118110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4FD5DF">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5.15pt;margin-top:9.3pt;height:144pt;width:144pt;mso-position-horizontal-relative:margin;mso-wrap-style:none;z-index:251661312;mso-width-relative:page;mso-height-relative:page;" filled="f" stroked="f" coordsize="21600,21600" o:gfxdata="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iG1cz1gAAAAoBAAAPAAAAAAAAAAEAIAAAACIAAABkcnMvZG93bnJldi54bWxQ&#10;SwECFAAUAAAACACHTuJAuow4KzICAABhBAAADgAAAAAAAAABACAAAAAlAQAAZHJzL2Uyb0RvYy54&#10;bWxQSwUGAAAAAAYABgBZAQAAyQUAAAAA&#10;">
              <v:fill on="f" focussize="0,0"/>
              <v:stroke on="f" weight="0.5pt"/>
              <v:imagedata o:title=""/>
              <o:lock v:ext="edit" aspectratio="f"/>
              <v:textbox inset="0mm,0mm,0mm,0mm" style="mso-fit-shape-to-text:t;">
                <w:txbxContent>
                  <w:p w14:paraId="5C4FD5DF">
                    <w:pPr>
                      <w:pStyle w:val="8"/>
                    </w:pPr>
                    <w:r>
                      <w:fldChar w:fldCharType="begin"/>
                    </w:r>
                    <w:r>
                      <w:instrText xml:space="preserve"> PAGE  \* MERGEFORMAT </w:instrText>
                    </w:r>
                    <w:r>
                      <w:fldChar w:fldCharType="separate"/>
                    </w:r>
                    <w:r>
                      <w:t>2</w:t>
                    </w:r>
                    <w:r>
                      <w:fldChar w:fldCharType="end"/>
                    </w:r>
                  </w:p>
                </w:txbxContent>
              </v:textbox>
            </v:shape>
          </w:pict>
        </mc:Fallback>
      </mc:AlternateContent>
    </w:r>
    <w:r>
      <w:drawing>
        <wp:anchor distT="0" distB="0" distL="114300" distR="114300" simplePos="0" relativeHeight="251660288" behindDoc="1" locked="0" layoutInCell="1" allowOverlap="1">
          <wp:simplePos x="0" y="0"/>
          <wp:positionH relativeFrom="page">
            <wp:posOffset>1080135</wp:posOffset>
          </wp:positionH>
          <wp:positionV relativeFrom="page">
            <wp:posOffset>9838055</wp:posOffset>
          </wp:positionV>
          <wp:extent cx="5400040" cy="130175"/>
          <wp:effectExtent l="0" t="0" r="10160" b="952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stretch>
                    <a:fillRect/>
                  </a:stretch>
                </pic:blipFill>
                <pic:spPr>
                  <a:xfrm>
                    <a:off x="0" y="0"/>
                    <a:ext cx="5400040" cy="13017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A7033">
    <w:pPr>
      <w:pStyle w:val="9"/>
      <w:pBdr>
        <w:bottom w:val="none" w:color="auto" w:sz="0" w:space="0"/>
      </w:pBdr>
      <w:ind w:firstLine="360"/>
    </w:pPr>
    <w:r>
      <w:drawing>
        <wp:anchor distT="0" distB="0" distL="114300" distR="114300" simplePos="0" relativeHeight="251659264" behindDoc="1" locked="0" layoutInCell="1" allowOverlap="1">
          <wp:simplePos x="0" y="0"/>
          <wp:positionH relativeFrom="page">
            <wp:posOffset>1076325</wp:posOffset>
          </wp:positionH>
          <wp:positionV relativeFrom="page">
            <wp:posOffset>467995</wp:posOffset>
          </wp:positionV>
          <wp:extent cx="5400040" cy="374650"/>
          <wp:effectExtent l="0" t="0" r="1016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wNjFmZjFkMmJmNGIzZGE4MzEzMGI4ZTRkMzMzNjEifQ=="/>
    <w:docVar w:name="KSO_WPS_MARK_KEY" w:val="151fa26a-0345-4f23-b463-f32ab740a135"/>
  </w:docVars>
  <w:rsids>
    <w:rsidRoot w:val="00620F46"/>
    <w:rsid w:val="0003425A"/>
    <w:rsid w:val="000B19E2"/>
    <w:rsid w:val="0022613F"/>
    <w:rsid w:val="00261034"/>
    <w:rsid w:val="00295C7B"/>
    <w:rsid w:val="0031574C"/>
    <w:rsid w:val="0036454F"/>
    <w:rsid w:val="00385822"/>
    <w:rsid w:val="003D05B0"/>
    <w:rsid w:val="0044584A"/>
    <w:rsid w:val="00483772"/>
    <w:rsid w:val="004907D9"/>
    <w:rsid w:val="0049102F"/>
    <w:rsid w:val="004A3509"/>
    <w:rsid w:val="004C2C91"/>
    <w:rsid w:val="004E1299"/>
    <w:rsid w:val="004F0691"/>
    <w:rsid w:val="00572B4F"/>
    <w:rsid w:val="00596DE9"/>
    <w:rsid w:val="005B366E"/>
    <w:rsid w:val="005D3DA6"/>
    <w:rsid w:val="006010C6"/>
    <w:rsid w:val="00620F46"/>
    <w:rsid w:val="00644BBF"/>
    <w:rsid w:val="00666BE1"/>
    <w:rsid w:val="006C2D8F"/>
    <w:rsid w:val="006E2BD2"/>
    <w:rsid w:val="007117DA"/>
    <w:rsid w:val="007642E0"/>
    <w:rsid w:val="00794373"/>
    <w:rsid w:val="007F1D92"/>
    <w:rsid w:val="007F5C0D"/>
    <w:rsid w:val="008201C5"/>
    <w:rsid w:val="00831703"/>
    <w:rsid w:val="00846185"/>
    <w:rsid w:val="00855093"/>
    <w:rsid w:val="00855400"/>
    <w:rsid w:val="0086585E"/>
    <w:rsid w:val="008B0C93"/>
    <w:rsid w:val="008D17BF"/>
    <w:rsid w:val="0090528F"/>
    <w:rsid w:val="00911468"/>
    <w:rsid w:val="00956102"/>
    <w:rsid w:val="00977D4C"/>
    <w:rsid w:val="009859EF"/>
    <w:rsid w:val="009A0DF6"/>
    <w:rsid w:val="009A3020"/>
    <w:rsid w:val="009D7F7E"/>
    <w:rsid w:val="00A05DD3"/>
    <w:rsid w:val="00B24FF0"/>
    <w:rsid w:val="00B30C1B"/>
    <w:rsid w:val="00B643FF"/>
    <w:rsid w:val="00BA78E2"/>
    <w:rsid w:val="00BC3F5D"/>
    <w:rsid w:val="00C21EDB"/>
    <w:rsid w:val="00C3499A"/>
    <w:rsid w:val="00C66F72"/>
    <w:rsid w:val="00C7143B"/>
    <w:rsid w:val="00C7231C"/>
    <w:rsid w:val="00C75E19"/>
    <w:rsid w:val="00CA7528"/>
    <w:rsid w:val="00CC1755"/>
    <w:rsid w:val="00D42B17"/>
    <w:rsid w:val="00D6647E"/>
    <w:rsid w:val="00D96E43"/>
    <w:rsid w:val="00E16429"/>
    <w:rsid w:val="00E86B01"/>
    <w:rsid w:val="00EC03FD"/>
    <w:rsid w:val="00EE7E98"/>
    <w:rsid w:val="00F81AF6"/>
    <w:rsid w:val="01606590"/>
    <w:rsid w:val="025E015D"/>
    <w:rsid w:val="026163BF"/>
    <w:rsid w:val="02D408A6"/>
    <w:rsid w:val="03191BE9"/>
    <w:rsid w:val="03457CFC"/>
    <w:rsid w:val="03E7743A"/>
    <w:rsid w:val="040D40AE"/>
    <w:rsid w:val="041871BE"/>
    <w:rsid w:val="047F4C93"/>
    <w:rsid w:val="04905800"/>
    <w:rsid w:val="05603D62"/>
    <w:rsid w:val="05B72A07"/>
    <w:rsid w:val="05C05481"/>
    <w:rsid w:val="05E52076"/>
    <w:rsid w:val="05EA2DDC"/>
    <w:rsid w:val="06864510"/>
    <w:rsid w:val="069935B9"/>
    <w:rsid w:val="07091040"/>
    <w:rsid w:val="071579E5"/>
    <w:rsid w:val="071F0F10"/>
    <w:rsid w:val="07CD0837"/>
    <w:rsid w:val="08311986"/>
    <w:rsid w:val="089B2EE9"/>
    <w:rsid w:val="08E616F2"/>
    <w:rsid w:val="090C3970"/>
    <w:rsid w:val="091F4B4B"/>
    <w:rsid w:val="0A220C0A"/>
    <w:rsid w:val="0A3B48B9"/>
    <w:rsid w:val="0AA51BC6"/>
    <w:rsid w:val="0ABB45D2"/>
    <w:rsid w:val="0ADE319B"/>
    <w:rsid w:val="0AE70B80"/>
    <w:rsid w:val="0B4A156F"/>
    <w:rsid w:val="0B8B2FC0"/>
    <w:rsid w:val="0B941820"/>
    <w:rsid w:val="0BA34472"/>
    <w:rsid w:val="0BDE2A9B"/>
    <w:rsid w:val="0C5D07E3"/>
    <w:rsid w:val="0C7A2250"/>
    <w:rsid w:val="0CAF005E"/>
    <w:rsid w:val="0CFF4D51"/>
    <w:rsid w:val="0D136196"/>
    <w:rsid w:val="0D441D5E"/>
    <w:rsid w:val="0D936022"/>
    <w:rsid w:val="0DD40C01"/>
    <w:rsid w:val="0E2B1B2F"/>
    <w:rsid w:val="0E970E91"/>
    <w:rsid w:val="0EC76517"/>
    <w:rsid w:val="0EDF7256"/>
    <w:rsid w:val="0F6117BC"/>
    <w:rsid w:val="0FEF1FD3"/>
    <w:rsid w:val="10031A91"/>
    <w:rsid w:val="10773B42"/>
    <w:rsid w:val="10F204E0"/>
    <w:rsid w:val="118905D1"/>
    <w:rsid w:val="119C17B8"/>
    <w:rsid w:val="122C2E05"/>
    <w:rsid w:val="123B2290"/>
    <w:rsid w:val="12E02B36"/>
    <w:rsid w:val="12FB58C4"/>
    <w:rsid w:val="130328E2"/>
    <w:rsid w:val="135D699C"/>
    <w:rsid w:val="135E2714"/>
    <w:rsid w:val="14872D4B"/>
    <w:rsid w:val="14891B03"/>
    <w:rsid w:val="148D0ACD"/>
    <w:rsid w:val="14F275B8"/>
    <w:rsid w:val="150E74E4"/>
    <w:rsid w:val="15244FBD"/>
    <w:rsid w:val="15323CBF"/>
    <w:rsid w:val="15352E44"/>
    <w:rsid w:val="15464C6D"/>
    <w:rsid w:val="168E5837"/>
    <w:rsid w:val="17655D76"/>
    <w:rsid w:val="176E5671"/>
    <w:rsid w:val="17AA66B6"/>
    <w:rsid w:val="1890336F"/>
    <w:rsid w:val="191014DB"/>
    <w:rsid w:val="19EA6AAF"/>
    <w:rsid w:val="1A9676DB"/>
    <w:rsid w:val="1AB85163"/>
    <w:rsid w:val="1AE9320B"/>
    <w:rsid w:val="1B20321C"/>
    <w:rsid w:val="1B943907"/>
    <w:rsid w:val="1B9A2BF2"/>
    <w:rsid w:val="1BA6591C"/>
    <w:rsid w:val="1BAC35EC"/>
    <w:rsid w:val="1BBE26CB"/>
    <w:rsid w:val="1C281B11"/>
    <w:rsid w:val="1C730FDE"/>
    <w:rsid w:val="1CDA656E"/>
    <w:rsid w:val="1D3B7B7D"/>
    <w:rsid w:val="1D590470"/>
    <w:rsid w:val="1D7A556B"/>
    <w:rsid w:val="1DE5784E"/>
    <w:rsid w:val="1E85324A"/>
    <w:rsid w:val="1EE605B8"/>
    <w:rsid w:val="1EEF304E"/>
    <w:rsid w:val="1FA57FA6"/>
    <w:rsid w:val="2008670A"/>
    <w:rsid w:val="201C7BDE"/>
    <w:rsid w:val="20605695"/>
    <w:rsid w:val="20AF2801"/>
    <w:rsid w:val="20DD736E"/>
    <w:rsid w:val="214543D8"/>
    <w:rsid w:val="217D46AD"/>
    <w:rsid w:val="22F46A22"/>
    <w:rsid w:val="22FB6B2F"/>
    <w:rsid w:val="230F596A"/>
    <w:rsid w:val="23E15A7C"/>
    <w:rsid w:val="23E427C1"/>
    <w:rsid w:val="23ED78C8"/>
    <w:rsid w:val="23EE345B"/>
    <w:rsid w:val="249871ED"/>
    <w:rsid w:val="24997693"/>
    <w:rsid w:val="24BC2959"/>
    <w:rsid w:val="257673CD"/>
    <w:rsid w:val="257946B0"/>
    <w:rsid w:val="26243AC9"/>
    <w:rsid w:val="26C77E96"/>
    <w:rsid w:val="26EB05BA"/>
    <w:rsid w:val="27173003"/>
    <w:rsid w:val="272918A9"/>
    <w:rsid w:val="27846795"/>
    <w:rsid w:val="278C14E2"/>
    <w:rsid w:val="27D708C8"/>
    <w:rsid w:val="280F1E3B"/>
    <w:rsid w:val="282A53D1"/>
    <w:rsid w:val="282B223C"/>
    <w:rsid w:val="284A4B47"/>
    <w:rsid w:val="299802D6"/>
    <w:rsid w:val="29C43F3E"/>
    <w:rsid w:val="2A1C330B"/>
    <w:rsid w:val="2B5312D1"/>
    <w:rsid w:val="2B78054E"/>
    <w:rsid w:val="2BBE24B8"/>
    <w:rsid w:val="2C183950"/>
    <w:rsid w:val="2C9C1E8B"/>
    <w:rsid w:val="2CD70461"/>
    <w:rsid w:val="2CF37669"/>
    <w:rsid w:val="2D87064A"/>
    <w:rsid w:val="2DE546DD"/>
    <w:rsid w:val="2E0A72C8"/>
    <w:rsid w:val="2E7A2096"/>
    <w:rsid w:val="2E8F3BD9"/>
    <w:rsid w:val="2F970F2F"/>
    <w:rsid w:val="2FBE036A"/>
    <w:rsid w:val="2FC31E25"/>
    <w:rsid w:val="2FCD67FF"/>
    <w:rsid w:val="30B4367E"/>
    <w:rsid w:val="30BC45E3"/>
    <w:rsid w:val="31454FD5"/>
    <w:rsid w:val="317B29B7"/>
    <w:rsid w:val="318522A4"/>
    <w:rsid w:val="31CC2444"/>
    <w:rsid w:val="322A05A2"/>
    <w:rsid w:val="323428A5"/>
    <w:rsid w:val="33187ED2"/>
    <w:rsid w:val="33210E34"/>
    <w:rsid w:val="33273069"/>
    <w:rsid w:val="33B848EF"/>
    <w:rsid w:val="34930BAF"/>
    <w:rsid w:val="34A86C19"/>
    <w:rsid w:val="34D92ABF"/>
    <w:rsid w:val="34FF0C80"/>
    <w:rsid w:val="360016CD"/>
    <w:rsid w:val="3664443C"/>
    <w:rsid w:val="366C2AC1"/>
    <w:rsid w:val="36A02BD9"/>
    <w:rsid w:val="36BA01D9"/>
    <w:rsid w:val="36BA42B7"/>
    <w:rsid w:val="375F74E7"/>
    <w:rsid w:val="37E360C2"/>
    <w:rsid w:val="3838181B"/>
    <w:rsid w:val="3842733D"/>
    <w:rsid w:val="38BC3B31"/>
    <w:rsid w:val="3A6A3D0D"/>
    <w:rsid w:val="3AA502EC"/>
    <w:rsid w:val="3AE25855"/>
    <w:rsid w:val="3B0F4898"/>
    <w:rsid w:val="3B11272D"/>
    <w:rsid w:val="3B802F39"/>
    <w:rsid w:val="3B8308D2"/>
    <w:rsid w:val="3BD7799C"/>
    <w:rsid w:val="3C4B742A"/>
    <w:rsid w:val="3C671D36"/>
    <w:rsid w:val="3CAC1965"/>
    <w:rsid w:val="3DED7BDD"/>
    <w:rsid w:val="3E1F46CA"/>
    <w:rsid w:val="3E5351F7"/>
    <w:rsid w:val="3E9970DE"/>
    <w:rsid w:val="3F28749A"/>
    <w:rsid w:val="3F9A6F6F"/>
    <w:rsid w:val="40707458"/>
    <w:rsid w:val="4093314D"/>
    <w:rsid w:val="40D53766"/>
    <w:rsid w:val="410B55CA"/>
    <w:rsid w:val="411D0A67"/>
    <w:rsid w:val="41285F8B"/>
    <w:rsid w:val="413A1D8C"/>
    <w:rsid w:val="414F3C59"/>
    <w:rsid w:val="415A437A"/>
    <w:rsid w:val="424D4B17"/>
    <w:rsid w:val="424E2DF4"/>
    <w:rsid w:val="43106CD7"/>
    <w:rsid w:val="43CF3197"/>
    <w:rsid w:val="43D25F9B"/>
    <w:rsid w:val="43EC14F2"/>
    <w:rsid w:val="44165CBD"/>
    <w:rsid w:val="457D5C9A"/>
    <w:rsid w:val="458A5AC1"/>
    <w:rsid w:val="45DB4A87"/>
    <w:rsid w:val="460C5F20"/>
    <w:rsid w:val="467B090B"/>
    <w:rsid w:val="475C240A"/>
    <w:rsid w:val="4784547E"/>
    <w:rsid w:val="47941C85"/>
    <w:rsid w:val="47CB6AF5"/>
    <w:rsid w:val="47D37224"/>
    <w:rsid w:val="484E2DE8"/>
    <w:rsid w:val="485A6F3E"/>
    <w:rsid w:val="48D406EA"/>
    <w:rsid w:val="496127C3"/>
    <w:rsid w:val="499623A8"/>
    <w:rsid w:val="4ADD23BE"/>
    <w:rsid w:val="4ADE69B0"/>
    <w:rsid w:val="4AE74F51"/>
    <w:rsid w:val="4AEB794E"/>
    <w:rsid w:val="4B9366F7"/>
    <w:rsid w:val="4C312071"/>
    <w:rsid w:val="4D5F0F87"/>
    <w:rsid w:val="4D686703"/>
    <w:rsid w:val="4D6B4D81"/>
    <w:rsid w:val="4D6D4124"/>
    <w:rsid w:val="4D807138"/>
    <w:rsid w:val="4DA82C18"/>
    <w:rsid w:val="4E0241F7"/>
    <w:rsid w:val="4E255D2C"/>
    <w:rsid w:val="4E5A1D7A"/>
    <w:rsid w:val="4E8F764A"/>
    <w:rsid w:val="4EAC1F93"/>
    <w:rsid w:val="4EC1017C"/>
    <w:rsid w:val="4EC16152"/>
    <w:rsid w:val="4F202A9F"/>
    <w:rsid w:val="4F9402D2"/>
    <w:rsid w:val="4FBA3F4C"/>
    <w:rsid w:val="500B32DF"/>
    <w:rsid w:val="501273C2"/>
    <w:rsid w:val="503F25C0"/>
    <w:rsid w:val="50E64646"/>
    <w:rsid w:val="51F65B08"/>
    <w:rsid w:val="52862B12"/>
    <w:rsid w:val="52CD211D"/>
    <w:rsid w:val="5369210C"/>
    <w:rsid w:val="53A6524B"/>
    <w:rsid w:val="541E2FCE"/>
    <w:rsid w:val="54B45F4B"/>
    <w:rsid w:val="55AA2B3F"/>
    <w:rsid w:val="560237FB"/>
    <w:rsid w:val="563546B0"/>
    <w:rsid w:val="563805C7"/>
    <w:rsid w:val="573A4029"/>
    <w:rsid w:val="576E169B"/>
    <w:rsid w:val="57CA0634"/>
    <w:rsid w:val="58137DF3"/>
    <w:rsid w:val="58547467"/>
    <w:rsid w:val="588534BD"/>
    <w:rsid w:val="588673C8"/>
    <w:rsid w:val="589C6BEB"/>
    <w:rsid w:val="58E42914"/>
    <w:rsid w:val="59103135"/>
    <w:rsid w:val="591B5778"/>
    <w:rsid w:val="59394B1F"/>
    <w:rsid w:val="5A07278A"/>
    <w:rsid w:val="5A706581"/>
    <w:rsid w:val="5AA30F9C"/>
    <w:rsid w:val="5B6B0A45"/>
    <w:rsid w:val="5BC96CDB"/>
    <w:rsid w:val="5BCB49DB"/>
    <w:rsid w:val="5BCD4DE3"/>
    <w:rsid w:val="5C1D44E7"/>
    <w:rsid w:val="5C76637A"/>
    <w:rsid w:val="5D0D5760"/>
    <w:rsid w:val="5D5E5942"/>
    <w:rsid w:val="5D816387"/>
    <w:rsid w:val="5D9404BF"/>
    <w:rsid w:val="5DA70A7F"/>
    <w:rsid w:val="5DB1232E"/>
    <w:rsid w:val="5DBD4D2A"/>
    <w:rsid w:val="5DCF7A63"/>
    <w:rsid w:val="5DFC012C"/>
    <w:rsid w:val="5E2C317C"/>
    <w:rsid w:val="5E3267E4"/>
    <w:rsid w:val="5E4D77E2"/>
    <w:rsid w:val="5E8F3317"/>
    <w:rsid w:val="5EB440E4"/>
    <w:rsid w:val="5FDD1CCC"/>
    <w:rsid w:val="5FF40044"/>
    <w:rsid w:val="60001C51"/>
    <w:rsid w:val="606B3630"/>
    <w:rsid w:val="612B1454"/>
    <w:rsid w:val="627B112C"/>
    <w:rsid w:val="62A839E8"/>
    <w:rsid w:val="62AC0373"/>
    <w:rsid w:val="62AE32EA"/>
    <w:rsid w:val="62C043E8"/>
    <w:rsid w:val="62E07B89"/>
    <w:rsid w:val="639049C4"/>
    <w:rsid w:val="64A21A2D"/>
    <w:rsid w:val="64EF09EB"/>
    <w:rsid w:val="657E210A"/>
    <w:rsid w:val="65904BD5"/>
    <w:rsid w:val="65DF45BB"/>
    <w:rsid w:val="66862EE2"/>
    <w:rsid w:val="67111921"/>
    <w:rsid w:val="67244EC7"/>
    <w:rsid w:val="67631CEC"/>
    <w:rsid w:val="67752E89"/>
    <w:rsid w:val="679B1599"/>
    <w:rsid w:val="67DF53C7"/>
    <w:rsid w:val="67ED1F29"/>
    <w:rsid w:val="68093B71"/>
    <w:rsid w:val="686D2352"/>
    <w:rsid w:val="69194516"/>
    <w:rsid w:val="694C1F68"/>
    <w:rsid w:val="69630391"/>
    <w:rsid w:val="6A0B2E29"/>
    <w:rsid w:val="6A242271"/>
    <w:rsid w:val="6ACD70D8"/>
    <w:rsid w:val="6BB6753B"/>
    <w:rsid w:val="6BC905D3"/>
    <w:rsid w:val="6C3A3C6E"/>
    <w:rsid w:val="6C831AF1"/>
    <w:rsid w:val="6D5B09CB"/>
    <w:rsid w:val="6E0D203D"/>
    <w:rsid w:val="6E1E4DD0"/>
    <w:rsid w:val="6E2D01AD"/>
    <w:rsid w:val="6E2F3C06"/>
    <w:rsid w:val="6E557B10"/>
    <w:rsid w:val="6E6E2980"/>
    <w:rsid w:val="6E766B34"/>
    <w:rsid w:val="6EAE74F5"/>
    <w:rsid w:val="6FDC440C"/>
    <w:rsid w:val="700C41FF"/>
    <w:rsid w:val="708A08BE"/>
    <w:rsid w:val="70B8148F"/>
    <w:rsid w:val="716A68F6"/>
    <w:rsid w:val="718B3849"/>
    <w:rsid w:val="71CA7035"/>
    <w:rsid w:val="72D00E96"/>
    <w:rsid w:val="732E4C52"/>
    <w:rsid w:val="73C3376E"/>
    <w:rsid w:val="73D453AD"/>
    <w:rsid w:val="73EC0EBF"/>
    <w:rsid w:val="741D60E7"/>
    <w:rsid w:val="75042BC1"/>
    <w:rsid w:val="75466405"/>
    <w:rsid w:val="75940B50"/>
    <w:rsid w:val="76112E80"/>
    <w:rsid w:val="762A3631"/>
    <w:rsid w:val="76375F40"/>
    <w:rsid w:val="76AE0E3B"/>
    <w:rsid w:val="772B5A29"/>
    <w:rsid w:val="778C46C4"/>
    <w:rsid w:val="778E4093"/>
    <w:rsid w:val="77B80C86"/>
    <w:rsid w:val="780305DD"/>
    <w:rsid w:val="784F5B45"/>
    <w:rsid w:val="79020A4B"/>
    <w:rsid w:val="796D454F"/>
    <w:rsid w:val="79845BEF"/>
    <w:rsid w:val="798B2638"/>
    <w:rsid w:val="79E24222"/>
    <w:rsid w:val="7A0E1C4E"/>
    <w:rsid w:val="7A4A41F6"/>
    <w:rsid w:val="7A8719DC"/>
    <w:rsid w:val="7AEF5A05"/>
    <w:rsid w:val="7B854EA3"/>
    <w:rsid w:val="7C480CB4"/>
    <w:rsid w:val="7CEE775A"/>
    <w:rsid w:val="7D6C452F"/>
    <w:rsid w:val="7DC26844"/>
    <w:rsid w:val="7DDC7906"/>
    <w:rsid w:val="7E2D0162"/>
    <w:rsid w:val="7E2E3EDA"/>
    <w:rsid w:val="7E815AB8"/>
    <w:rsid w:val="7F166654"/>
    <w:rsid w:val="7F6C7CF1"/>
    <w:rsid w:val="7FC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5"/>
    <w:qFormat/>
    <w:uiPriority w:val="0"/>
    <w:pPr>
      <w:keepNext/>
      <w:keepLines/>
      <w:spacing w:beforeLines="0" w:beforeAutospacing="0" w:afterLines="0" w:afterAutospacing="0" w:line="300" w:lineRule="auto"/>
      <w:outlineLvl w:val="0"/>
    </w:pPr>
    <w:rPr>
      <w:rFonts w:ascii="Times New Roman" w:hAnsi="Times New Roman" w:eastAsia="黑体"/>
      <w:b/>
      <w:kern w:val="44"/>
      <w:sz w:val="32"/>
    </w:rPr>
  </w:style>
  <w:style w:type="paragraph" w:styleId="3">
    <w:name w:val="heading 2"/>
    <w:basedOn w:val="1"/>
    <w:next w:val="1"/>
    <w:unhideWhenUsed/>
    <w:qFormat/>
    <w:uiPriority w:val="0"/>
    <w:pPr>
      <w:keepNext/>
      <w:keepLines/>
      <w:spacing w:beforeLines="0" w:beforeAutospacing="0" w:afterLines="0" w:afterAutospacing="0" w:line="300" w:lineRule="auto"/>
      <w:ind w:firstLine="1440" w:firstLineChars="200"/>
      <w:outlineLvl w:val="1"/>
    </w:pPr>
    <w:rPr>
      <w:rFonts w:eastAsia="黑体"/>
      <w:b/>
      <w:sz w:val="28"/>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unhideWhenUsed/>
    <w:qFormat/>
    <w:uiPriority w:val="9"/>
    <w:pPr>
      <w:keepNext/>
      <w:keepLines/>
      <w:spacing w:before="240" w:after="240" w:line="264" w:lineRule="auto"/>
      <w:ind w:firstLine="425"/>
      <w:outlineLvl w:val="3"/>
    </w:pPr>
    <w:rPr>
      <w:rFonts w:ascii="Times New Roman" w:hAnsi="Times New Roman" w:eastAsia="宋体" w:cstheme="majorBidi"/>
      <w:b/>
      <w:bCs/>
      <w:sz w:val="24"/>
      <w:szCs w:val="28"/>
    </w:rPr>
  </w:style>
  <w:style w:type="paragraph" w:styleId="6">
    <w:name w:val="heading 5"/>
    <w:basedOn w:val="1"/>
    <w:next w:val="1"/>
    <w:unhideWhenUsed/>
    <w:qFormat/>
    <w:uiPriority w:val="9"/>
    <w:pPr>
      <w:keepNext/>
      <w:keepLines/>
      <w:spacing w:beforeLines="100" w:afterLines="50" w:line="264" w:lineRule="auto"/>
      <w:ind w:firstLine="425"/>
      <w:outlineLvl w:val="4"/>
    </w:pPr>
    <w:rPr>
      <w:rFonts w:ascii="Times New Roman" w:hAnsi="Times New Roman" w:eastAsia="Times New Roman"/>
      <w:bCs/>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Body Text"/>
    <w:basedOn w:val="1"/>
    <w:next w:val="1"/>
    <w:link w:val="24"/>
    <w:qFormat/>
    <w:uiPriority w:val="1"/>
    <w:pPr>
      <w:spacing w:line="300" w:lineRule="auto"/>
      <w:ind w:left="0" w:firstLine="1440" w:firstLineChars="200"/>
    </w:pPr>
    <w:rPr>
      <w:rFonts w:ascii="仿宋" w:hAnsi="仿宋" w:eastAsia="仿宋" w:cs="仿宋"/>
      <w:sz w:val="24"/>
      <w:szCs w:val="28"/>
      <w:lang w:val="zh-CN" w:bidi="zh-CN"/>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0"/>
    <w:rPr>
      <w:b/>
    </w:rPr>
  </w:style>
  <w:style w:type="character" w:styleId="15">
    <w:name w:val="page number"/>
    <w:qFormat/>
    <w:uiPriority w:val="0"/>
    <w:rPr>
      <w:rFonts w:cs="Times New Roman"/>
    </w:rPr>
  </w:style>
  <w:style w:type="character" w:styleId="16">
    <w:name w:val="Hyperlink"/>
    <w:basedOn w:val="13"/>
    <w:qFormat/>
    <w:uiPriority w:val="0"/>
    <w:rPr>
      <w:color w:val="0000FF"/>
      <w:u w:val="single"/>
    </w:rPr>
  </w:style>
  <w:style w:type="table" w:customStyle="1" w:styleId="17">
    <w:name w:val="Table Normal"/>
    <w:semiHidden/>
    <w:unhideWhenUsed/>
    <w:qFormat/>
    <w:uiPriority w:val="0"/>
    <w:rPr>
      <w:rFonts w:ascii="Arial" w:hAnsi="Arial" w:cs="Arial" w:eastAsiaTheme="minorEastAsia"/>
      <w:snapToGrid w:val="0"/>
      <w:color w:val="000000"/>
      <w:sz w:val="21"/>
      <w:szCs w:val="21"/>
    </w:rPr>
    <w:tblPr>
      <w:tblCellMar>
        <w:top w:w="0" w:type="dxa"/>
        <w:left w:w="0" w:type="dxa"/>
        <w:bottom w:w="0" w:type="dxa"/>
        <w:right w:w="0" w:type="dxa"/>
      </w:tblCellMar>
    </w:tblPr>
  </w:style>
  <w:style w:type="paragraph" w:styleId="18">
    <w:name w:val="List Paragraph"/>
    <w:basedOn w:val="1"/>
    <w:unhideWhenUsed/>
    <w:qFormat/>
    <w:uiPriority w:val="99"/>
    <w:pPr>
      <w:ind w:firstLine="420" w:firstLineChars="200"/>
    </w:pPr>
    <w:rPr>
      <w:rFonts w:asciiTheme="minorHAnsi" w:hAnsiTheme="minorHAnsi" w:eastAsiaTheme="minorEastAsia" w:cstheme="minorBidi"/>
      <w:szCs w:val="24"/>
    </w:rPr>
  </w:style>
  <w:style w:type="paragraph" w:customStyle="1" w:styleId="19">
    <w:name w:val="Char"/>
    <w:basedOn w:val="1"/>
    <w:link w:val="21"/>
    <w:semiHidden/>
    <w:qFormat/>
    <w:uiPriority w:val="0"/>
    <w:pPr>
      <w:widowControl/>
      <w:spacing w:after="160" w:line="240" w:lineRule="exact"/>
      <w:jc w:val="left"/>
    </w:pPr>
    <w:rPr>
      <w:rFonts w:ascii="Verdana" w:hAnsi="Verdana"/>
      <w:kern w:val="0"/>
      <w:sz w:val="20"/>
      <w:lang w:eastAsia="en-US"/>
    </w:rPr>
  </w:style>
  <w:style w:type="paragraph" w:customStyle="1" w:styleId="20">
    <w:name w:val="内容要求"/>
    <w:basedOn w:val="1"/>
    <w:link w:val="22"/>
    <w:qFormat/>
    <w:uiPriority w:val="0"/>
    <w:rPr>
      <w:rFonts w:eastAsia="宋体" w:cs="仿宋"/>
      <w:szCs w:val="24"/>
    </w:rPr>
  </w:style>
  <w:style w:type="character" w:customStyle="1" w:styleId="21">
    <w:name w:val="Char Char"/>
    <w:link w:val="19"/>
    <w:qFormat/>
    <w:uiPriority w:val="0"/>
    <w:rPr>
      <w:rFonts w:ascii="Verdana" w:hAnsi="Verdana"/>
      <w:kern w:val="0"/>
      <w:sz w:val="20"/>
      <w:lang w:eastAsia="en-US"/>
    </w:rPr>
  </w:style>
  <w:style w:type="character" w:customStyle="1" w:styleId="22">
    <w:name w:val="内容要求 Char"/>
    <w:link w:val="20"/>
    <w:qFormat/>
    <w:uiPriority w:val="0"/>
    <w:rPr>
      <w:rFonts w:hint="default" w:ascii="Times New Roman" w:hAnsi="Times New Roman" w:eastAsia="宋体" w:cs="仿宋"/>
      <w:sz w:val="21"/>
      <w:szCs w:val="24"/>
    </w:rPr>
  </w:style>
  <w:style w:type="paragraph" w:customStyle="1" w:styleId="23">
    <w:name w:val="Char1"/>
    <w:basedOn w:val="1"/>
    <w:semiHidden/>
    <w:qFormat/>
    <w:uiPriority w:val="0"/>
    <w:pPr>
      <w:widowControl/>
      <w:spacing w:after="160" w:line="240" w:lineRule="exact"/>
      <w:jc w:val="left"/>
    </w:pPr>
    <w:rPr>
      <w:rFonts w:ascii="Verdana" w:hAnsi="Verdana"/>
      <w:kern w:val="0"/>
      <w:sz w:val="20"/>
      <w:lang w:eastAsia="en-US"/>
    </w:rPr>
  </w:style>
  <w:style w:type="character" w:customStyle="1" w:styleId="24">
    <w:name w:val="正文文本 Char"/>
    <w:basedOn w:val="13"/>
    <w:link w:val="7"/>
    <w:qFormat/>
    <w:uiPriority w:val="1"/>
    <w:rPr>
      <w:rFonts w:ascii="仿宋" w:hAnsi="仿宋" w:eastAsia="仿宋" w:cs="仿宋"/>
      <w:kern w:val="2"/>
      <w:sz w:val="24"/>
      <w:szCs w:val="28"/>
      <w:lang w:val="zh-CN" w:bidi="zh-CN"/>
    </w:rPr>
  </w:style>
  <w:style w:type="character" w:customStyle="1" w:styleId="25">
    <w:name w:val="标题 1 Char"/>
    <w:link w:val="2"/>
    <w:qFormat/>
    <w:uiPriority w:val="0"/>
    <w:rPr>
      <w:rFonts w:ascii="Times New Roman" w:hAnsi="Times New Roman" w:eastAsia="黑体"/>
      <w:b/>
      <w:kern w:val="44"/>
      <w:sz w:val="32"/>
    </w:rPr>
  </w:style>
  <w:style w:type="paragraph" w:customStyle="1" w:styleId="26">
    <w:name w:val="正文内容"/>
    <w:basedOn w:val="1"/>
    <w:qFormat/>
    <w:uiPriority w:val="0"/>
    <w:pPr>
      <w:spacing w:line="300" w:lineRule="auto"/>
      <w:ind w:firstLine="1440" w:firstLineChars="200"/>
    </w:pPr>
    <w:rPr>
      <w:rFonts w:eastAsia="宋体"/>
      <w:sz w:val="24"/>
    </w:rPr>
  </w:style>
  <w:style w:type="paragraph" w:customStyle="1" w:styleId="27">
    <w:name w:val="表文"/>
    <w:basedOn w:val="1"/>
    <w:qFormat/>
    <w:uiPriority w:val="0"/>
    <w:pPr>
      <w:widowControl/>
      <w:spacing w:before="20" w:after="20"/>
    </w:pPr>
    <w:rPr>
      <w:rFonts w:ascii="Times New Roman" w:hAnsi="Times New Roman" w:eastAsia="微软雅黑" w:cs="Times New Roman"/>
      <w:kern w:val="0"/>
      <w:sz w:val="18"/>
      <w:szCs w:val="20"/>
    </w:rPr>
  </w:style>
  <w:style w:type="paragraph" w:customStyle="1" w:styleId="28">
    <w:name w:val="表格字体"/>
    <w:basedOn w:val="1"/>
    <w:semiHidden/>
    <w:qFormat/>
    <w:uiPriority w:val="0"/>
    <w:rPr>
      <w:rFonts w:ascii="宋体" w:hAnsi="宋体"/>
      <w:sz w:val="18"/>
      <w:szCs w:val="18"/>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30A4BE-F67C-40D5-BE45-411BDA1E7CB5}">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7</Pages>
  <Words>3823</Words>
  <Characters>4033</Characters>
  <Lines>61</Lines>
  <Paragraphs>17</Paragraphs>
  <TotalTime>0</TotalTime>
  <ScaleCrop>false</ScaleCrop>
  <LinksUpToDate>false</LinksUpToDate>
  <CharactersWithSpaces>4266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2024-09-18T02:51:00Z</dcterms:created>
  <dc:creator>ᐛ</dc:creator>
  <cp:lastModifiedBy>柏鸿 雷</cp:lastModifiedBy>
  <cp:lastPrinted>2025-02-15T05:25:00Z</cp:lastPrinted>
  <dcterms:modified xsi:type="dcterms:W3CDTF">2026-07-31T06:53:09Z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48D2589BFBBE4606BA74009B2ADF53D3</vt:lpwstr>
  </property>
  <property fmtid="{D5CDD505-2E9C-101B-9397-08002B2CF9AE}" pid="4" name="KSOTemplateDocerSaveRecord">
    <vt:lpwstr>eyJoZGlkIjoiNTNlMmI2NTRhNWFiNDZmZDQ2YjU5ZWU5MWFjZjg0MGUiLCJ1c2VySWQiOiI1Nzc1MjkzNDgifQ==</vt:lpwstr>
  </property>
</Properties>
</file>