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272</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272</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164</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164</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164</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166</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172</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173</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176</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177</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179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181</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185</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186</w:t>
      </w:r>
    </w:p>
    <w:p>
      <w:pPr>
        <w:pStyle w:val="TOC1"/>
        <w:keepNext w:val="0"/>
        <w:keepLines/>
        <w:tabs>
          <w:tab w:pos="8496" w:val="right" w:leader="dot"/>
        </w:tabs>
        <w:spacing w:before="0" w:after="80" w:line="276" w:lineRule="auto"/>
        <w:ind w:right="374"/>
      </w:pPr>
      <w:r>
        <w:rPr>
          <w:rFonts w:ascii="Times New Roman" w:hAnsi="Times New Roman"/>
          <w:sz w:val="22"/>
        </w:rPr>
        <w:t>References</w:t>
        <w:tab/>
        <w:t>189</w:t>
      </w:r>
    </w:p>
    <w:p>
      <w:pPr>
        <w:pStyle w:val="TOC1"/>
        <w:keepNext w:val="0"/>
        <w:keepLines/>
        <w:tabs>
          <w:tab w:pos="8496" w:val="right" w:leader="dot"/>
        </w:tabs>
        <w:spacing w:before="0" w:after="80" w:line="276" w:lineRule="auto"/>
        <w:ind w:right="374"/>
      </w:pPr>
      <w:r>
        <w:rPr>
          <w:rFonts w:ascii="Times New Roman" w:hAnsi="Times New Roman"/>
          <w:sz w:val="22"/>
        </w:rPr>
        <w:t>Appendices</w:t>
        <w:tab/>
        <w:t>272</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198</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198</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199</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200</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201</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203</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203</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204</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205</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205</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206</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207</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209</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217</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221</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221</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223</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225</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228</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232</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240</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242</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184</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199</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228</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237</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238</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167</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173</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183</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222</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223</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225</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230</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234</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234</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235</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236</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237</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238</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239</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241</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'after' FRA index reported in §5.5 is the InBody FRA software's own measurement, not a value computed by the game: the footplate was connected by USB and drove the skiing game and the InBody FRA measurement at the same time, the two systems kept separate data sets, and the game did not read or interpret the FRA measurement (author's account, 3 October 2026).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on the pressure panel — both controls gameplay and, through the same footplate, feeds the InBody FRA software that measured the clinical FRA index in parallel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COP stream is polled by the game at 60 Hz, §5.2A, and the calibration function is treated as a black-box vendor component, §8.9).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recorded the balance-test indexes on the clinician-side terminal (§5.2A; not on the play screen)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ran in parallel from the same footplate and kept its own data set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mechanic in which one centre-of-pressure stream drives play and a silent assessment pipeline, so that measurement is carried inside play without clinical numbers on the play screen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running in parallel from the same footplate,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keyboard arrow or A/D keys;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on the InBody pressure panel)</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InBody FRA510S footplate connected by USB, driving the game and the InBody FRA software at the same time (separate data sets; the game did not read the FRA measurement); clinician-side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and the FRA system kept separate data sets,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On the author's account of 3 October 2026, the footplate was connected by USB and drove the skiing game and the InBody FRA measurement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