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[47],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[47]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(described under the qualitative record), this period consisted of record and analysis work only: it involved no participant follow-up and no further participant contact.</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The table below provides a data dictionary for the archived variables, stating each measure's source and the clarifications that govern its reading.</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6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9).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The table below assembles the qualitative record systematically, pairing each documented finding with its supporting record and the alternative interpretations consistent with the evidence.</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[47]: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pPr/>
      <w:r>
        <w:t>[47] T. Greenhalgh, J. Wherton, C. Papoutsi, J. Lynch, G. Hughes, C. A'Court, S. Hinder, N. Fahy, R. Procter, and S. Shaw, 'Beyond adoption: A new framework for theorizing and evaluating nonadoption, abandonment, and challenges to the scale-up, spread, and sustainability of health and care technologies,' J. Med. Internet Res., vol. 19, no. 11, e367,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