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examines how gamified design, deployed proactively rather than as a remedial overlay, may address failure-associated non-return in an older-adult health-technology setting. Fall Risk Assessment (FRA) is used as the working case. The thesis advances a frame-sensitive account in which clinical or diagnostic presentation may alter the behavioural meaning of failure, and it develops adaptive, learning-oriented design as an engineering response for prospective testing. The behavioural-economic mechanisms proposed in the thesis - mental accounting of health outcomes, identity protection,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approximately 200 residents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lastRenderedPageBreak/>
        <w:t>Taken together, the findings are consistent with a coupling or framing account: when a gamified activity is presented as part of an artefact-based clinical assessment, failure may acquire identity-relevant meaning and be associated with non-return; under participant-facing decoupling in a separate cohort, post-failure return was substantially higher. The design does not isolate framing from every cohort, recruitment and contextual difference, so the evidence supports rather than proves the coupling account. The 35.6-percentage-point difference between in-session retention (86.7%) and regular-use intention (51.1%) in the 65-80 band is a descriptive commitment gap and does not identify a single mechanism. The thesis therefore proposes, rather than empirically confirms, a Learning-Oriented Design Framework (LODF) comprising identity disentanglement, trajectory installation and adaptive calibration. Endowment-protective appraisal and learning-trajectory appraisal are framed as competing interpretive regimes rather than mutually exclusive psychological states. The contributions are theoretical (FIAS as a provisional behavioural construct and a candidate frame-sensitive mechanism), methodological (the dual-purpose mechanic, theory-iterating action research, a between-cohort quasi-experimental decoupling comparison and commitment-gap measurement), empirical (convergent field evidence consistent with a frame-sensitive account, pending within-cohort confirmation), and practical (an engineering-actionable framework deployable on existing infrastructure and specified for future controlled evaluation).</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w:t>
      </w:r>
      <w:r>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pPr>
        <w:pStyle w:val="TOC1"/>
      </w:pPr>
      <w:r>
        <w:t>Table 3.1. The hypothesis architecture of the programme: where each claim originates, is stated, is tested, and stands.</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w:t>
      </w:r>
      <w:r>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14:paraId="26EBE44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5.3. Stage-2 outcomes by motivational orientation.</w:t>
      </w:r>
      <w:r>
        <w:tab/>
        <w:t>49</w:t>
      </w:r>
    </w:p>
    <w:p>
      <w:pPr>
        <w:pStyle w:val="TOC1"/>
      </w:pPr>
      <w:r>
        <w:t>Table 5.4.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 xml:space="preserve">Stage 3 was the programme's strongest empirical challenge to a purely dispositional explanation. By the close of Stage 2, FIAS had been specified as a provisional construct </w:t>
      </w:r>
      <w:r>
        <w:lastRenderedPageBreak/>
        <w:t>and a behavioural-economic mechanism had been proposed. What remained unresolved was whether the observed non-return pattern was primarily a property of the Guangzhou cohort, a property of the coupled clinical-game context, or a combination of both. A separate-cohort decoupling study could provide important directional evidence, but it could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consistent with frame suppression and inconsistent with the strongest form of a purely dispositional account. They do not rule out cohort self-selection, setting, recruitment, health-status, staff-interaction or observation-window differences. The comparison is therefore described as a between-cohort quasi-experimental decoupling study rather than a single-variable experiment. The residual 35.6-percentage-point difference in the 65-80 band between in-session retention and regular-use intention identifies a practical design problem that remains. Adaptive learning, formalised in Chapter 7 as LODF, is proposed as one theoretically grounded response among several candidates, including fatigue management, access support, shorter sessions and alternative coaching strategies.</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identify, name and characterise a pattern of failure-associated non-return to a gamified health technology among older adults, to examine whether participant-facing clinical framing may moderate that pattern, and to translate the resulting evidence into an engineering design framework that can be tested and deployed on existing infrastructure.</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Theoretically, it identifies failure-associated non-return as a post-contact problem not explicitly represented in standard acceptance and gamification models, integrates technology acceptance, gamification, self-efficacy and behavioural-economics literatures, and advances FIAS as a provisional frame-sensitive behavioural construct. Mental accounting, identity-level endowment, loss aversion and stereotype threat are proposed as candidate mechanisms and are not claimed to have been directly measured. Methodologically, the thesis introduces the dual-purpose mechanic, documents a Claude Code-assisted development workflow, uses theory-iterating action research with explicit revision points, conducts a between-cohort quasi-experimental participant-facing decoupling comparison, and measures the difference between in-session retention and stated regular-use intention. Empirically, it reports a strong association between first failure and observed dropout in Stage 2 and a substantial increase in post-failure return in the separate Stage-3 decoupled cohort, while explicitly retaining the need for within-cohort confirmation. Practically, it specifies the learn-to-earn philosophy and LODF as deployable engineering responses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Part I (Chapters 2 and 3) establishes the theoretical and methodological foundation. Chapter 2 develops a five-stage argument from technology acceptance and gamification through self-efficacy, behavioural economics and learning-oriented design, while distinguishing established literature from the thesis's candidate mechanisms. Chapter 3 specifies the action-research methodology, the analytical status of each stage and the limitations of the between-cohort comparison. Part II (Chapters 4, 5 and 6) reports the Stage-1 survey, the Stage-2 gamified FRA deployment and the Stage-3 participant-facing decoupling study. Part III (Chapters 7 and 8) develops LODF as an engineering framework, identifies its empirical anchors and untested components, and examines alternative explanations, limitations, ethics and reproducibility. Chapter 9 synthesises the findings using an explicit hierarchy of observed results, inferred mechanisms and proposed design responses, and sets out the controlled studies required for confirmation and generalisation.</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LODF,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
              <w:rPr>
                <w:b/>
              </w:rPr>
              <w:t>Observation H0 cannot explain</w:t>
            </w:r>
          </w:p>
        </w:tc>
        <w:tc>
          <w:tcPr>
            <w:tcW w:type="dxa" w:w="2126"/>
          </w:tcPr>
          <w:p>
            <w:r/>
            <w:r>
              <w:rPr>
                <w:b/>
              </w:rPr>
              <w:t>Behavioural theory</w:t>
            </w:r>
          </w:p>
        </w:tc>
        <w:tc>
          <w:tcPr>
            <w:tcW w:type="dxa" w:w="2126"/>
          </w:tcPr>
          <w:p>
            <w:r/>
            <w:r>
              <w:rPr>
                <w:b/>
              </w:rPr>
              <w:t>Construct contributed to FIAS</w:t>
            </w:r>
          </w:p>
        </w:tc>
        <w:tc>
          <w:tcPr>
            <w:tcW w:type="dxa" w:w="2126"/>
          </w:tcPr>
          <w:p>
            <w:r/>
            <w:r>
              <w:rPr>
                <w:b/>
              </w:rPr>
              <w:t>Prediction generated</w:t>
            </w:r>
          </w:p>
        </w:tc>
      </w:tr>
      <w:tr>
        <w:tc>
          <w:tcPr>
            <w:tcW w:type="dxa" w:w="2126"/>
          </w:tcPr>
          <w:p>
            <w:r/>
            <w:r>
              <w:t>A single adverse first experience outweighs the design's motivational pull</w:t>
            </w:r>
          </w:p>
        </w:tc>
        <w:tc>
          <w:tcPr>
            <w:tcW w:type="dxa" w:w="2126"/>
          </w:tcPr>
          <w:p>
            <w:r/>
            <w:r>
              <w:t>Prospect theory / loss aversion (Kahneman &amp; Tversky, 1979)</w:t>
            </w:r>
          </w:p>
        </w:tc>
        <w:tc>
          <w:tcPr>
            <w:tcW w:type="dxa" w:w="2126"/>
          </w:tcPr>
          <w:p>
            <w:r/>
            <w:r>
              <w:t>Asymmetric weighting of an adverse result against a valued reference point</w:t>
            </w:r>
          </w:p>
        </w:tc>
        <w:tc>
          <w:tcPr>
            <w:tcW w:type="dxa" w:w="2126"/>
          </w:tcPr>
          <w:p>
            <w:r/>
            <w:r>
              <w:t>First failure is associated with early disengagement (H1, Chapter 5)</w:t>
            </w:r>
          </w:p>
        </w:tc>
      </w:tr>
      <w:tr>
        <w:tc>
          <w:tcPr>
            <w:tcW w:type="dxa" w:w="2126"/>
          </w:tcPr>
          <w:p>
            <w:r/>
            <w:r>
              <w:t>Exit persists even when the recorded score improves</w:t>
            </w:r>
          </w:p>
        </w:tc>
        <w:tc>
          <w:tcPr>
            <w:tcW w:type="dxa" w:w="2126"/>
          </w:tcPr>
          <w:p>
            <w:r/>
            <w:r>
              <w:t>Endowment effect (Thaler, 1980; Kahneman, Knetsch &amp; Thaler, 1990)</w:t>
            </w:r>
          </w:p>
        </w:tc>
        <w:tc>
          <w:tcPr>
            <w:tcW w:type="dxa" w:w="2126"/>
          </w:tcPr>
          <w:p>
            <w:r/>
            <w:r>
              <w:t>Identity-relevant endowment: exit protects a valued self-description from revaluation</w:t>
            </w:r>
          </w:p>
        </w:tc>
        <w:tc>
          <w:tcPr>
            <w:tcW w:type="dxa" w:w="2126"/>
          </w:tcPr>
          <w:p>
            <w:r/>
            <w:r>
              <w:t>Objective improvement does not by itself produce return (H4 — the improvement/non-return paradox)</w:t>
            </w:r>
          </w:p>
        </w:tc>
      </w:tr>
      <w:tr>
        <w:tc>
          <w:tcPr>
            <w:tcW w:type="dxa" w:w="2126"/>
          </w:tcPr>
          <w:p>
            <w:r/>
            <w:r>
              <w:t>The same event means different things under different frames</w:t>
            </w:r>
          </w:p>
        </w:tc>
        <w:tc>
          <w:tcPr>
            <w:tcW w:type="dxa" w:w="2126"/>
          </w:tcPr>
          <w:p>
            <w:r/>
            <w:r>
              <w:t>Mental accounting (Thaler, 1985)</w:t>
            </w:r>
          </w:p>
        </w:tc>
        <w:tc>
          <w:tcPr>
            <w:tcW w:type="dxa" w:w="2126"/>
          </w:tcPr>
          <w:p>
            <w:r/>
            <w:r>
              <w:t>Clinical framing sorts the session into a high-stakes health account</w:t>
            </w:r>
          </w:p>
        </w:tc>
        <w:tc>
          <w:tcPr>
            <w:tcW w:type="dxa" w:w="2126"/>
          </w:tcPr>
          <w:p>
            <w:r/>
            <w:r>
              <w:t>Removing participant-facing clinical framing increases post-failure return (H5, Stage 3)</w:t>
            </w:r>
          </w:p>
        </w:tc>
      </w:tr>
      <w:tr>
        <w:tc>
          <w:tcPr>
            <w:tcW w:type="dxa" w:w="2126"/>
          </w:tcPr>
          <w:p>
            <w:r/>
            <w:r>
              <w:t>Clinical and age-related cues amplify the meaning of failure</w:t>
            </w:r>
          </w:p>
        </w:tc>
        <w:tc>
          <w:tcPr>
            <w:tcW w:type="dxa" w:w="2126"/>
          </w:tcPr>
          <w:p>
            <w:r/>
            <w:r>
              <w:t>Stereotype threat (Steele &amp; Aronson, 1995; Levy et al., 2002)</w:t>
            </w:r>
          </w:p>
        </w:tc>
        <w:tc>
          <w:tcPr>
            <w:tcW w:type="dxa" w:w="2126"/>
          </w:tcPr>
          <w:p>
            <w:r/>
            <w:r>
              <w:t>Salience of age-related decline as the trigger of identity-relevant appraisal</w:t>
            </w:r>
          </w:p>
        </w:tc>
        <w:tc>
          <w:tcPr>
            <w:tcW w:type="dxa" w:w="2126"/>
          </w:tcPr>
          <w:p>
            <w:r/>
            <w:r>
              <w:t>Threat-reduced framing and coaching improve retry and return (LODF, Chapter 7)</w:t>
            </w:r>
          </w:p>
        </w:tc>
      </w:tr>
      <w:tr>
        <w:tc>
          <w:tcPr>
            <w:tcW w:type="dxa" w:w="2126"/>
          </w:tcPr>
          <w:p>
            <w:r/>
            <w:r>
              <w:t>Abandonment persisted although the Stage-2 build had already softened in-game loss (lives, forgiving hits)</w:t>
            </w:r>
          </w:p>
        </w:tc>
        <w:tc>
          <w:tcPr>
            <w:tcW w:type="dxa" w:w="2126"/>
          </w:tcPr>
          <w:p>
            <w:r/>
            <w:r>
              <w:t>Octalysis D8 inverted: zero-failure design (§2.6.2C, from this research's observations)</w:t>
            </w:r>
          </w:p>
        </w:tc>
        <w:tc>
          <w:tcPr>
            <w:tcW w:type="dxa" w:w="2126"/>
          </w:tcPr>
          <w:p>
            <w:r/>
            <w:r>
              <w:t>The operative loss is identity-level, outside the game's ledger; verdict cues, not in-game losses, carry it</w:t>
            </w:r>
          </w:p>
        </w:tc>
        <w:tc>
          <w:tcPr>
            <w:tcW w:type="dxa" w:w="2126"/>
          </w:tcPr>
          <w:p>
            <w:r/>
            <w:r>
              <w:t>Removing terminal failure verdicts (zero-failure states, §5.3.10) plus decoupling increases retry and return (LODF,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LODF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LODF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LODF, as the design programme. These revisions are changes in working explanation; they are not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 xml:space="preserve">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w:t>
      </w:r>
      <w:r>
        <w:rPr>
          <w:b/>
          <w:highlight w:val="yellow"/>
        </w:rPr>
        <w:t>[AUTHOR INPUT REQUIRED: report one exact participant flow and denominator consistently; the working text contains both approximately 200 and approximately 280 — verify against the archived survey log.]</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w:t>
      </w:r>
      <w:r>
        <w:t xml:space="preserve">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combined association of the decoupled condition and its context with behaviour;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w:t>
      </w:r>
    </w:p>
    <w:p>
      <w:pPr>
        <w:pStyle w:val="TableCaption"/>
      </w:pPr>
      <w: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
              <w:rPr>
                <w:b/>
              </w:rPr>
              <w:t>Claim</w:t>
            </w:r>
          </w:p>
        </w:tc>
        <w:tc>
          <w:tcPr>
            <w:tcW w:type="dxa" w:w="1701"/>
          </w:tcPr>
          <w:p>
            <w:r/>
            <w:r>
              <w:rPr>
                <w:b/>
              </w:rPr>
              <w:t>Origin</w:t>
            </w:r>
          </w:p>
        </w:tc>
        <w:tc>
          <w:tcPr>
            <w:tcW w:type="dxa" w:w="1701"/>
          </w:tcPr>
          <w:p>
            <w:r/>
            <w:r>
              <w:rPr>
                <w:b/>
              </w:rPr>
              <w:t>Stated</w:t>
            </w:r>
          </w:p>
        </w:tc>
        <w:tc>
          <w:tcPr>
            <w:tcW w:type="dxa" w:w="1701"/>
          </w:tcPr>
          <w:p>
            <w:r/>
            <w:r>
              <w:rPr>
                <w:b/>
              </w:rPr>
              <w:t>Tested / examined</w:t>
            </w:r>
          </w:p>
        </w:tc>
        <w:tc>
          <w:tcPr>
            <w:tcW w:type="dxa" w:w="1701"/>
          </w:tcPr>
          <w:p>
            <w:r/>
            <w:r>
              <w:rPr>
                <w:b/>
              </w:rPr>
              <w:t>Status in this thesis</w:t>
            </w:r>
          </w:p>
        </w:tc>
      </w:tr>
      <w:tr>
        <w:tc>
          <w:tcPr>
            <w:tcW w:type="dxa" w:w="1701"/>
          </w:tcPr>
          <w:p>
            <w:r/>
            <w:r>
              <w:t>H0 — gamified FRA satisfying TAM/STAM + Octalysis sustains elderly acceptance; failure does not produce abandonment</w:t>
            </w:r>
          </w:p>
        </w:tc>
        <w:tc>
          <w:tcPr>
            <w:tcW w:type="dxa" w:w="1701"/>
          </w:tcPr>
          <w:p>
            <w:r/>
            <w:r>
              <w:t>Literature (acceptance + gamification)</w:t>
            </w:r>
          </w:p>
        </w:tc>
        <w:tc>
          <w:tcPr>
            <w:tcW w:type="dxa" w:w="1701"/>
          </w:tcPr>
          <w:p>
            <w:r/>
            <w:r>
              <w:t>§2.3.5; §5.1</w:t>
            </w:r>
          </w:p>
        </w:tc>
        <w:tc>
          <w:tcPr>
            <w:tcW w:type="dxa" w:w="1701"/>
          </w:tcPr>
          <w:p>
            <w:r/>
            <w:r>
              <w:t>Stage 1 retrospectively (Ch 4); Stage 2 prospectively (Ch 5)</w:t>
            </w:r>
          </w:p>
        </w:tc>
        <w:tc>
          <w:tcPr>
            <w:tcW w:type="dxa" w:w="1701"/>
          </w:tcPr>
          <w:p>
            <w:r/>
            <w:r>
              <w:t>Rejected</w:t>
            </w:r>
          </w:p>
        </w:tc>
      </w:tr>
      <w:tr>
        <w:tc>
          <w:tcPr>
            <w:tcW w:type="dxa" w:w="1701"/>
          </w:tcPr>
          <w:p>
            <w:r/>
            <w:r>
              <w:t>H1–H4 — directional hypotheses on first failure, re-engagement, social comparison, and the improvement/non-return paradox</w:t>
            </w:r>
          </w:p>
        </w:tc>
        <w:tc>
          <w:tcPr>
            <w:tcW w:type="dxa" w:w="1701"/>
          </w:tcPr>
          <w:p>
            <w:r/>
            <w:r>
              <w:t>Stage-1 observations</w:t>
            </w:r>
          </w:p>
        </w:tc>
        <w:tc>
          <w:tcPr>
            <w:tcW w:type="dxa" w:w="1701"/>
          </w:tcPr>
          <w:p>
            <w:r/>
            <w:r>
              <w:t>§5.1</w:t>
            </w:r>
          </w:p>
        </w:tc>
        <w:tc>
          <w:tcPr>
            <w:tcW w:type="dxa" w:w="1701"/>
          </w:tcPr>
          <w:p>
            <w:r/>
            <w:r>
              <w:t>Stage 2 (Ch 5)</w:t>
            </w:r>
          </w:p>
        </w:tc>
        <w:tc>
          <w:tcPr>
            <w:tcW w:type="dxa" w:w="1701"/>
          </w:tcPr>
          <w:p>
            <w:r/>
            <w:r>
              <w:t>Directionally supported within a small single-site sample</w:t>
            </w:r>
          </w:p>
        </w:tc>
      </w:tr>
      <w:tr>
        <w:tc>
          <w:tcPr>
            <w:tcW w:type="dxa" w:w="1701"/>
          </w:tcPr>
          <w:p>
            <w:r/>
            <w:r>
              <w:t>H5 and the Stage-3 predictions — decoupling is associated with lower non-return and post-failure return</w:t>
            </w:r>
          </w:p>
        </w:tc>
        <w:tc>
          <w:tcPr>
            <w:tcW w:type="dxa" w:w="1701"/>
          </w:tcPr>
          <w:p>
            <w:r/>
            <w:r>
              <w:t>Stage-2 findings (mental-accounting row of Table 2.1)</w:t>
            </w:r>
          </w:p>
        </w:tc>
        <w:tc>
          <w:tcPr>
            <w:tcW w:type="dxa" w:w="1701"/>
          </w:tcPr>
          <w:p>
            <w:r/>
            <w:r>
              <w:t>§5.1; §6.2</w:t>
            </w:r>
          </w:p>
        </w:tc>
        <w:tc>
          <w:tcPr>
            <w:tcW w:type="dxa" w:w="1701"/>
          </w:tcPr>
          <w:p>
            <w:r/>
            <w:r>
              <w:t>Stage 3 (Ch 6)</w:t>
            </w:r>
          </w:p>
        </w:tc>
        <w:tc>
          <w:tcPr>
            <w:tcW w:type="dxa" w:w="1701"/>
          </w:tcPr>
          <w:p>
            <w:r/>
            <w:r>
              <w:t>Supported as association; attribution bounded by the between-cohort design</w:t>
            </w:r>
          </w:p>
        </w:tc>
      </w:tr>
      <w:tr>
        <w:tc>
          <w:tcPr>
            <w:tcW w:type="dxa" w:w="1701"/>
          </w:tcPr>
          <w:p>
            <w:r/>
            <w:r>
              <w:t>Adaptive-learning proposition — individual-level continuous improvement as the behavioural-change driver that can re-attach clinical purpose</w:t>
            </w:r>
          </w:p>
        </w:tc>
        <w:tc>
          <w:tcPr>
            <w:tcW w:type="dxa" w:w="1701"/>
          </w:tcPr>
          <w:p>
            <w:r/>
            <w:r>
              <w:t>Discovery: forced by the H0 rejection and the Stage-3 commitment gap</w:t>
            </w:r>
          </w:p>
        </w:tc>
        <w:tc>
          <w:tcPr>
            <w:tcW w:type="dxa" w:w="1701"/>
          </w:tcPr>
          <w:p>
            <w:r/>
            <w:r>
              <w:t>§6.8; Ch 7 (LODF)</w:t>
            </w:r>
          </w:p>
        </w:tc>
        <w:tc>
          <w:tcPr>
            <w:tcW w:type="dxa" w:w="1701"/>
          </w:tcPr>
          <w:p>
            <w:r/>
            <w:r>
              <w:t>Not yet tested in isolation</w:t>
            </w:r>
          </w:p>
        </w:tc>
        <w:tc>
          <w:tcPr>
            <w:tcW w:type="dxa" w:w="1701"/>
          </w:tcPr>
          <w:p>
            <w:r/>
            <w:r>
              <w:t>Proposed; isolated evaluation pre-specified in §8.8 and instrumented in §3.6</w:t>
            </w:r>
          </w:p>
        </w:tc>
      </w:tr>
    </w:tbl>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r>
        <w:rPr>
          <w:b/>
          <w:highlight w:val="yellow"/>
        </w:rPr>
        <w:t>[AUTHOR: optionally regenerate Figure 3.1 so its stage labels carry the same terms — 'field signal', 'H0 test', 'attribution experiment', 'formalisation' — used in Table 3.1.]</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r>
        <w:t>One further methodological boundary is stated here because examiners are entitled to ask it directly: the hypothesis architecture of Table 3.1 distinguishes confirmation from discovery, and the thesis does not blur the two. H0 formalises the expectation that genuinely governed the Stage-2 design at the time it was built — the game was engineered to satisfy the acceptance and gamification criteria precisely because the programme expected them to be sufficient. The directional hypotheses H1–H5 were framed stage by stage as the cycles progressed, in the ordinary manner of action research, and are reported as such rather than as pre-registered tests. The adaptive-learning proposition is explicitly a post-hoc discovery: it was formed after the Stage-3 commitment gap was observed, it is claimed only as a proposition, and its confirmatory test is deferred to the pre-specified study of §8.8. Nothing discovered in the data is presented as if it had been predicted in advance.</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Current working text elsewhere refers to approximately 280 participants and to a separate TAM-based multiple-choice block; those references must be reconciled against the archived </w:t>
      </w:r>
      <w:r>
        <w:lastRenderedPageBreak/>
        <w:t>instrument and participant log before final binding. Only results with a traceable item, wording, denominator and data source should remain in Table 4.1.</w:t>
      </w:r>
    </w:p>
    <w:p w14:paraId="4CE718EE" w14:textId="77777777" w:rsidR="0062437E" w:rsidRDefault="00000000">
      <w:pPr>
        <w:pStyle w:val="Heading2"/>
      </w:pPr>
      <w:bookmarkStart w:id="56" w:name="_Toc232024556"/>
      <w:r>
        <w:t>4.2 The Guangzhou Survey (N ≈ 200)</w:t>
      </w:r>
      <w:bookmarkEnd w:id="56"/>
    </w:p>
    <w:p w14:paraId="58B43063" w14:textId="77777777" w:rsidR="0062437E" w:rsidRDefault="00000000">
      <w:pPr>
        <w:jc w:val="both"/>
      </w:pPr>
      <w:r>
        <w:t xml:space="preserve">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w:t>
      </w:r>
      <w:r>
        <w:rPr>
          <w:b/>
          <w:highlight w:val="yellow"/>
        </w:rPr>
        <w:t>[AUTHOR INPUT REQUIRED: replace the approximate sample size with the exact numbers approached, eligible, consenting and completing, together with item-level missingness, from the archived survey log.]</w:t>
      </w:r>
    </w:p>
    <w:p w14:paraId="13B11C36" w14:textId="77777777" w:rsidR="0062437E" w:rsidRDefault="00000000">
      <w:pPr>
        <w:pStyle w:val="TableCaption"/>
        <w:jc w:val="center"/>
      </w:pPr>
      <w:bookmarkStart w:id="57" w:name="_Toc232024694"/>
      <w:r>
        <w:t>Table 4.1. Stage-1 survey results (N ≈ 200 residents).</w:t>
      </w:r>
      <w:bookmarkEnd w:id="57"/>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reconcile N≈200 versus N≈280 against the archived participant log;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 xml:space="preserve">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Reports reaching the present programme also described materially higher sustained engagement in Korean facilities after gamified balance exercises were introduced. </w:t>
      </w:r>
      <w:r>
        <w:rPr>
          <w:b/>
          <w:highlight w:val="yellow"/>
        </w:rPr>
        <w:t>[AUTHOR INPUT REQUIRED: the ~75% sustained-engagement figure quoted in earlier drafts does not appear in the two cited validation studies. Provide the primary source for the engagement figure — report, vendor communication or study — or remove the numerical claim and retain the comparison qualitatively.]</w:t>
      </w:r>
      <w:r>
        <w:t xml:space="preserve"> The Korean comparison is a benchmark, not an explanation: whatever design lever produces sustained engagement there has not been identified in the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and item wording that captures acceptance of a result rather than task failure directly.</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pStyle w:val="TableCaption"/>
        <w:jc w:val="center"/>
      </w:pPr>
      <w:bookmarkStart w:id="88" w:name="_Toc232024700"/>
      <w:r>
        <w:t>Table 5.3. Stage-2 outcomes by motivational orientation.</w:t>
      </w:r>
      <w:bookmarkEnd w:id="88"/>
    </w:p>
    <w:tbl>
      <w:tblPr>
        <w:tblStyle w:val="TableGrid"/>
        <w:tblW w:w="0" w:type="auto"/>
        <w:jc w:val="center"/>
        <w:tblLook w:val="04A0" w:firstRow="1" w:lastRow="0" w:firstColumn="1" w:lastColumn="0" w:noHBand="0" w:noVBand="1"/>
      </w:tblPr>
      <w:tblGrid>
        <w:gridCol w:w="2405"/>
        <w:gridCol w:w="1842"/>
        <w:gridCol w:w="2124"/>
        <w:gridCol w:w="2124"/>
      </w:tblGrid>
      <w:tr w:rsidR="0062437E" w14:paraId="4F6D0DDF" w14:textId="77777777" w:rsidTr="006D68FE">
        <w:trPr>
          <w:jc w:val="center"/>
        </w:trPr>
        <w:tc>
          <w:tcPr>
            <w:tcW w:w="2405" w:type="dxa"/>
          </w:tcPr>
          <w:p w14:paraId="6314C450" w14:textId="77777777" w:rsidR="0062437E" w:rsidRDefault="00000000">
            <w:r>
              <w:rPr>
                <w:b/>
                <w:sz w:val="20"/>
              </w:rPr>
              <w:t>Orientation</w:t>
            </w:r>
          </w:p>
        </w:tc>
        <w:tc>
          <w:tcPr>
            <w:tcW w:w="1842" w:type="dxa"/>
          </w:tcPr>
          <w:p w14:paraId="2EBC2FC5" w14:textId="77777777" w:rsidR="0062437E" w:rsidRDefault="00000000">
            <w:r>
              <w:rPr>
                <w:b/>
                <w:sz w:val="20"/>
              </w:rPr>
              <w:t>n</w:t>
            </w:r>
          </w:p>
        </w:tc>
        <w:tc>
          <w:tcPr>
            <w:tcW w:w="2124" w:type="dxa"/>
          </w:tcPr>
          <w:p w14:paraId="048151F7" w14:textId="77777777" w:rsidR="0062437E" w:rsidRDefault="00000000">
            <w:r>
              <w:rPr>
                <w:b/>
                <w:sz w:val="20"/>
              </w:rPr>
              <w:t>Sustained</w:t>
            </w:r>
          </w:p>
        </w:tc>
        <w:tc>
          <w:tcPr>
            <w:tcW w:w="2124" w:type="dxa"/>
          </w:tcPr>
          <w:p w14:paraId="70322973" w14:textId="77777777" w:rsidR="00EE7E37" w:rsidRDefault="00000000">
            <w:r>
              <w:t>Positive FRA-index change</w:t>
            </w:r>
          </w:p>
        </w:tc>
      </w:tr>
      <w:tr w:rsidR="0062437E" w14:paraId="115C0C1B" w14:textId="77777777" w:rsidTr="006D68FE">
        <w:trPr>
          <w:jc w:val="center"/>
        </w:trPr>
        <w:tc>
          <w:tcPr>
            <w:tcW w:w="2405" w:type="dxa"/>
          </w:tcPr>
          <w:p w14:paraId="25BA0FD6" w14:textId="77777777" w:rsidR="0062437E" w:rsidRDefault="00000000">
            <w:r>
              <w:rPr>
                <w:sz w:val="20"/>
              </w:rPr>
              <w:t>Learning-focused</w:t>
            </w:r>
          </w:p>
        </w:tc>
        <w:tc>
          <w:tcPr>
            <w:tcW w:w="1842" w:type="dxa"/>
          </w:tcPr>
          <w:p w14:paraId="6DFE46D4" w14:textId="77777777" w:rsidR="0062437E" w:rsidRDefault="00000000">
            <w:r>
              <w:rPr>
                <w:sz w:val="20"/>
              </w:rPr>
              <w:t>8</w:t>
            </w:r>
          </w:p>
        </w:tc>
        <w:tc>
          <w:tcPr>
            <w:tcW w:w="2124" w:type="dxa"/>
          </w:tcPr>
          <w:p w14:paraId="4EF014CC" w14:textId="77777777" w:rsidR="0062437E" w:rsidRDefault="00000000">
            <w:r>
              <w:rPr>
                <w:sz w:val="20"/>
              </w:rPr>
              <w:t>87.5%</w:t>
            </w:r>
          </w:p>
        </w:tc>
        <w:tc>
          <w:tcPr>
            <w:tcW w:w="2124" w:type="dxa"/>
          </w:tcPr>
          <w:p w14:paraId="6B5AB198" w14:textId="77777777" w:rsidR="0062437E" w:rsidRDefault="00000000">
            <w:r>
              <w:rPr>
                <w:sz w:val="20"/>
              </w:rPr>
              <w:t>85.7%</w:t>
            </w:r>
          </w:p>
        </w:tc>
      </w:tr>
      <w:tr w:rsidR="0062437E" w14:paraId="77AE0A3E" w14:textId="77777777" w:rsidTr="006D68FE">
        <w:trPr>
          <w:jc w:val="center"/>
        </w:trPr>
        <w:tc>
          <w:tcPr>
            <w:tcW w:w="2405" w:type="dxa"/>
          </w:tcPr>
          <w:p w14:paraId="13493344" w14:textId="77777777" w:rsidR="0062437E" w:rsidRDefault="00000000">
            <w:r>
              <w:rPr>
                <w:sz w:val="20"/>
              </w:rPr>
              <w:t>Health-deficit-focused</w:t>
            </w:r>
          </w:p>
        </w:tc>
        <w:tc>
          <w:tcPr>
            <w:tcW w:w="1842" w:type="dxa"/>
          </w:tcPr>
          <w:p w14:paraId="7A4067CE" w14:textId="77777777" w:rsidR="0062437E" w:rsidRDefault="00000000">
            <w:r>
              <w:rPr>
                <w:sz w:val="20"/>
              </w:rPr>
              <w:t>22</w:t>
            </w:r>
          </w:p>
        </w:tc>
        <w:tc>
          <w:tcPr>
            <w:tcW w:w="2124" w:type="dxa"/>
          </w:tcPr>
          <w:p w14:paraId="13DB3B35" w14:textId="77777777" w:rsidR="0062437E" w:rsidRDefault="00000000">
            <w:r>
              <w:rPr>
                <w:sz w:val="20"/>
              </w:rPr>
              <w:t>18.2%</w:t>
            </w:r>
          </w:p>
        </w:tc>
        <w:tc>
          <w:tcPr>
            <w:tcW w:w="2124" w:type="dxa"/>
          </w:tcPr>
          <w:p w14:paraId="5C7B0CFC" w14:textId="77777777" w:rsidR="0062437E" w:rsidRDefault="00000000">
            <w:r>
              <w:rPr>
                <w:sz w:val="20"/>
              </w:rPr>
              <w:t>50.0%</w:t>
            </w:r>
          </w:p>
        </w:tc>
      </w:tr>
    </w:tbl>
    <w:p w14:paraId="6ACBDF89" w14:textId="77777777" w:rsidR="0062437E" w:rsidRDefault="0062437E">
      <w:pPr>
        <w:pStyle w:val="AuthorAction"/>
        <w:spacing w:after="40"/>
      </w:pPr>
      <w:r>
        <w:rPr>
          <w:b/>
          <w:highlight w:val="yellow"/>
        </w:rPr>
        <w:t>[AUTHOR INPUT REQUIRED — Table 5.3 support. The week-2 motivational-orientation classification does not appear in the archived dataset, so the odds ratio of 31.5 cannot be reproduced from the data supplied. Either provide the coding records behind the classification (rubric, coders, inter-coder agreement, classification dates) or withdraw Table 5.3 and the odds ratio, and rely on the satisfaction association reported above, which is reproducible from the archive.]</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5.4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5.4.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[AUTHOR INPUT REQUIRED: state the weighting or collapsing rule that maps the thirteen items onto the 0–10 composite].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is not in the archived dataset and may be affected by reverse causality;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low learning-oriented proportion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is not psychometrically equivalent to the Stage-2 week-2 learning-orientation classification and should not be used as a direct 2.7-fold measure of latent orientation change.</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Read against the two rival accounts of §6.1, the pattern is one-sided. The decoupled game was accepted by the elderly cohort at levels consistent with what the gamification literature predicts for non-clinical technologies: 86.7% in-session retention in the 65–80 band, voluntary return after dropout in ten of sixteen cases, and majority regular-use intention. The dispositional account — that gamification does not transfer to this population — predicted none of this. The result therefore rescues the theory stack of Chapter 2 for elderly users, including the An–Cheung demonstration, and relocates the Stage-2 failure onto the coupling: the game was never the problem, and neither were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These measures should not be compared as direct multiples of the Stage-2 26.7% learning-orientation classification because the constructs, instruments, timing and coding procedures differ.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Stage-3 coordination endorsement and Stage-2 motivational orientation are non-equivalent measures. The former tests whether the participant recognised the presented activity as a coordination challenge; the latter was an exploratory week-2 classification partly based on behaviour. They should be reported side-by-side only with this distinction explicit.</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and it is stated as an association pending the within-cohort randomised confirmation described below.</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14:paraId="0A108184" w14:textId="77777777" w:rsidR="0062437E" w:rsidRDefault="00000000">
      <w:pPr>
        <w:jc w:val="both"/>
      </w:pPr>
      <w: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LODF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is not equivalent to the Stage-2 orientation classification,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496EADD" w14:textId="77777777" w:rsidTr="006D68FE">
        <w:trPr>
          <w:jc w:val="center"/>
        </w:trPr>
        <w:tc>
          <w:tcPr>
            <w:tcW w:w="3114" w:type="dxa"/>
          </w:tcPr>
          <w:p w14:paraId="1DE699E1" w14:textId="77777777" w:rsidR="0062437E" w:rsidRDefault="00000000">
            <w:r>
              <w:rPr>
                <w:sz w:val="18"/>
              </w:rPr>
              <w:t>Motivational orientation and completion (Stage 2, week-2 classification)</w:t>
            </w:r>
          </w:p>
        </w:tc>
        <w:tc>
          <w:tcPr>
            <w:tcW w:w="1092" w:type="dxa"/>
          </w:tcPr>
          <w:p w14:paraId="32AA145F" w14:textId="77777777" w:rsidR="0062437E" w:rsidRDefault="00000000">
            <w:r>
              <w:rPr>
                <w:sz w:val="18"/>
              </w:rPr>
              <w:t>OR = 31.5</w:t>
            </w:r>
          </w:p>
        </w:tc>
        <w:tc>
          <w:tcPr>
            <w:tcW w:w="1280" w:type="dxa"/>
          </w:tcPr>
          <w:p w14:paraId="41DC4CDD" w14:textId="77777777" w:rsidR="0062437E" w:rsidRDefault="00000000">
            <w:r>
              <w:rPr>
                <w:sz w:val="18"/>
              </w:rPr>
              <w:t>2.9–339</w:t>
            </w:r>
          </w:p>
        </w:tc>
        <w:tc>
          <w:tcPr>
            <w:tcW w:w="605" w:type="dxa"/>
          </w:tcPr>
          <w:p w14:paraId="3B7D97A5" w14:textId="77777777" w:rsidR="0062437E" w:rsidRDefault="00000000">
            <w:r>
              <w:rPr>
                <w:sz w:val="18"/>
              </w:rPr>
              <w:t>30</w:t>
            </w:r>
          </w:p>
        </w:tc>
        <w:tc>
          <w:tcPr>
            <w:tcW w:w="2090" w:type="dxa"/>
          </w:tcPr>
          <w:p>
            <w:r/>
            <w:r>
              <w:rPr>
                <w:b/>
                <w:highlight w:val="yellow"/>
              </w:rPr>
              <w:t>Odds ratio; Table 5.3. Classification records not in archive — see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very wide interval around the week-2 motivational-orientation odds ratio, together with the absence of the classification from the archive, means that estimate should be treated as exploratory pending the author's coding records.</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Stage 3 showed substantially greater post-failure return under a participant-facing decoupled condition and also revealed a difference between immediate session retention and stated regular-use intention in the oldest age band. Decoupling changes what the activity is not - it reduces overt clinical-verdict cues - but does not necessarily create a compelling positive reason for repeated use. Adaptive learning is introduced as one design response because it can make progress, next steps and personally calibrated challenge visible over time. The empirical programme motivates this response; it does not establish that adaptive learning will close the observed difference.</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 xml:space="preserve">Adaptive learning has a substantial literature in educational technology and intelligent tutoring systems. Its application to elderly users in gamified health contexts is more limited. Three anchors are relevant. First, intelligent tutoring systems for older learners (Hawthorn, 2007; Lee &amp; Coughlin, 2015) demonstrate that pacing and feedback adaptation matter more for older users than for younger users. Second, flow theory and the zone-of-proximal-development tradition (Csikszentmihalyi 1990; cf. Vygotsky) provide the mechanism for why adaptive calibration sustains engagement: challenge tracks evolving capability, neither falling below boredom nor rising above frustration. Third, productive failure (Kapur, 2008) reframes failure events as part of the learning </w:t>
      </w:r>
      <w:r>
        <w:lastRenderedPageBreak/>
        <w:t>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 xml:space="preserve">LODF organises three proposed principles.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w:t>
      </w:r>
      <w:r>
        <w:lastRenderedPageBreak/>
        <w:t>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First, it identifies failure-associated non-return as a post-contact behaviour that is not explicit in standard acceptance and gamification models. Second, it develops the FIDS-to-FIAS terminological revision and defines FIAS as a provisional, non-diagnostic behavioural construct. Third, it integrates self-efficacy, loss aversion, identity-relevant endowment, mental accounting and stereotype threat into a candidate frame-sensitive account that yields testable predictions. Fourth, it proposes that learning-trajectory appraisal can compete with a fixed-verdict appraisal and translates that proposition into LODF. The thesis does not claim to have verified mental accounting, established an entropy collapse, dissolved the score-improvement/non-return paradox, or demonstrated mutual exclusivity between endowment and adaptive learning.</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dual-purpose mechanic linking gameplay and a measurement pathway in one physical action; documentation of the Claude Code-assisted development workflow; theory-iterating action research with explicit revision points; a between-cohort quasi-experimental participant-facing decoupling comparison; and the use of a commitment-gap description to separate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an exploratory week-2 motivational-orientation odds ratio of 31.5 whose coding records remain to be archived;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LODF is engineering-actionable in the sense that its components can be specified on existing infrastructure. Its empirical status is that of a proposed framework informed by field evidence and learning theory. The reference stack and prototype specification translate principles into components, while the applied case studies illustrate hypotheses for other domains.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 xml:space="preserve">FIAS is therefore advanced as a provisional construct describing failure-associated active non-return under identity-relevant conditions. The thesis's principal theoretical contribution is the identification of coupling and framing as a plausible locus of </w:t>
      </w:r>
      <w:r>
        <w:lastRenderedPageBreak/>
        <w:t>engagement risk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preserve the viability of gamified coordination and balance activities for older users. The findings do not imply that game design theory fails in clinical settings. Rather, they indicate that the participant-facing relationship between gameplay, assessment language and clinical interpretation deserves explicit design attention.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 xml:space="preserve">Adaptive learning is proposed as one design response because it can present performance as a trajectory, specify the next achievable step and calibrate challenge, feedback and </w:t>
      </w:r>
      <w:r>
        <w:lastRenderedPageBreak/>
        <w:t>pacing. LODF formalises three components: identity disentanglement, trajectory installation and adaptive calibration. The framework is not yet empirically validated as a package, and the Stage-3 result should not be treated as a test of adaptive learning.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 xml:space="preserve">The thesis offers four theoretical contributions. First, it identifies failure-associated non-return as a post-contact problem insufficiently represented in standard acceptance models. Second, it introduces FIAS as a provisional, non-diagnostic construct that distinguishes active non-return from administrative dropout. Third, it integrates self-efficacy and behavioural-economics literatures into a candidate frame-sensitive mechanism with </w:t>
      </w:r>
      <w:r>
        <w:lastRenderedPageBreak/>
        <w:t>explicit measurement requirements. Fourth, it formulates endowment-protective and learning-trajectory appraisals as competing regimes and translates that formulation into a falsifiable engineering framework. The thesis does not claim empirical verification of mental accounting, irreversible account closure or mutual exclusion.</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a deployable design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At the individual level, an adverse first experience may be interpreted in ways that influence return. At the cohort level, first failure was associated with observed dropout in Stage 2, while post-failure return was substantially higher in a separate Stage-3 decoupled cohort. At the design level, these findings motivate participant-facing decoupling, trajectory-oriented feedback and adaptive calibration. At the system level, they motivate a future comparison between telemetry-conditioned and person-conditioned adaptation. The evidence is strongest at the behavioural level and progressively more provisional as it moves toward mechanism and future architecture.</w:t>
      </w:r>
    </w:p>
    <w:p w14:paraId="3CB31C06" w14:textId="77777777" w:rsidR="0062437E" w:rsidRDefault="00000000">
      <w:pPr>
        <w:jc w:val="both"/>
      </w:pPr>
      <w:r>
        <w:t>The contribution is therefore a calibrated chain rather than one mechanism demonstrated at four scales.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