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a five-point satisfaction rating, and self-reported symptom change at follow-up.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single-session participants the pair spans a single attendance,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