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permanent post-failure abandonment.</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without remuneration; the consent arrangement as conducted and approved (incomplete disclosure with gatekeeper consent, written consent obtained retrospectively from sustained participants) is described under Ethical Considerations.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disengaged at or before three game cycles, 26.7% (8/30; 95% CI 14.2-44.4) exited after a single session, and no disengaged participant re-engaged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becomes permanent.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not only lowers interest but can produce an identity-driven negative reaction.</w:t>
      </w:r>
    </w:p>
    <w:p>
      <w:pPr>
        <w:pStyle w:val="Heading3"/>
      </w:pPr>
      <w:r>
        <w:t>Behaviour-Change Lens: COM-B</w:t>
      </w:r>
    </w:p>
    <w:p>
      <w:r>
        <w:t>In COM-B terms [28],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3"/>
      </w:pPr>
      <w:r>
        <w:t>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August 2026).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2"/>
      </w:pPr>
      <w:r>
        <w:t>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a five-point satisfaction rating, and self-reported symptom change at follow-up.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single-session participants the pair spans a single attendance,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[7]. The 26.7% single-session exit rate marks the first session as the highest-risk point (Figure 3). No time-to-event model is reported: the archive preserves cycle counts, not timestamps. The evidential core of the pattern is carried by the three directly observed quantities in Table 4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disengaged at or before three cycles, 26.7% after one session. It is absolute within the window: none of 21 disengaged participants returned (95% CI 0.0-15.5%), unlike ordinary usage attrition [7].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exits clustered at or before three cycles, none of the 21 disengaged participants re-engaged,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2"/>
      </w:pPr>
      <w:r>
        <w:t>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