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Paper 3 editorial review and EngD status</w:t>
      </w:r>
    </w:p>
    <w:p>
      <w:pPr>
        <w:pStyle w:val="Subtitle"/>
      </w:pPr>
      <w:r>
        <w:rPr>
          <w:b w:val="0"/>
        </w:rPr>
        <w:t>Prepared for Sidney K. T. Tam</w:t>
        <w:br/>
        <w:t>Assessment date 27 September 2026</w:t>
      </w:r>
    </w:p>
    <w:p>
      <w:r>
        <w:rPr>
          <w:b w:val="0"/>
        </w:rPr>
        <w:t>Manuscript: 2026-09-26_Paper3_R5_Pivot.pdf. The manuscript evidence cut-off is 26 September 2026. This assessment also considers the September progress record, the available Stage-3 logbook and the separate Pro prototype review. [M1, R1, D1, R2]</w:t>
      </w:r>
    </w:p>
    <w:p>
      <w:pPr>
        <w:pStyle w:val="Heading2"/>
      </w:pPr>
      <w:r>
        <w:t>Editorial decision</w:t>
      </w:r>
    </w:p>
    <w:p>
      <w:r>
        <w:rPr>
          <w:b/>
        </w:rPr>
        <w:t>Major revision before submission. I would return R5 for clarification of its evidence and claims before sending it for external peer review. Its strongest potential contribution is an exploratory account of engagement with a redesigned coordination game, with implications for how clinical meaning may affect willingness to participate.</w:t>
      </w:r>
    </w:p>
    <w:p>
      <w:r>
        <w:rPr>
          <w:b w:val="0"/>
        </w:rPr>
        <w:t>The paper is more candid than many early studies about its limitations. It discloses a separate cohort, changed delivery conditions, a respondent-only denominator, unresolved event timing, rule-based adaptation and the absence of a demonstrated learning effect. These disclosures improve credibility. They do not make an untraceable primary endpoint reproducible.</w:t>
      </w:r>
    </w:p>
    <w:p>
      <w:pPr>
        <w:pStyle w:val="Heading2"/>
      </w:pPr>
      <w:r>
        <w:t>What is worth publishing</w:t>
      </w:r>
    </w:p>
    <w:p>
      <w:r>
        <w:rPr>
          <w:b w:val="0"/>
        </w:rPr>
        <w:t>The important engineering question is why an initially acceptable health technology fails to sustain voluntary use. The contrast between limited recorded use at a clinical station and reported re-engagement with a remote coordination game motivates a useful hypothesis about the meaning of performance feedback. The Stage-3A age pattern can also inform future interface and recruitment design, once its source records are verified.</w:t>
      </w:r>
    </w:p>
    <w:p>
      <w:r>
        <w:rPr>
          <w:b w:val="0"/>
        </w:rPr>
        <w:t>Persistence creates opportunities to practise. That makes engagement relevant to adaptive learning, but participation, immediate performance, durable learning and clinical balance outcomes need separate measures. Paper 3 currently addresses the first of these. The Pro prototype contributes a separate engineering example. [M1, R2]</w:t>
      </w:r>
    </w:p>
    <w:p>
      <w:pPr>
        <w:pStyle w:val="Heading2"/>
      </w:pPr>
      <w:r>
        <w:t>The claims the evidence can carry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776"/>
      </w:tblGrid>
      <w:tr>
        <w:trPr>
          <w:cantSplit/>
          <w:tblHeader/>
        </w:trPr>
        <w:tc>
          <w:tcPr>
            <w:tcW w:type="dxa" w:w="2304"/>
            <w:vAlign w:val="center"/>
            <w:tcMar>
              <w:top w:w="90" w:type="dxa"/>
              <w:left w:w="90" w:type="dxa"/>
              <w:bottom w:w="90" w:type="dxa"/>
              <w:right w:w="90" w:type="dxa"/>
            </w:tcMar>
            <w:shd w:fill="DFE8F0"/>
          </w:tcPr>
          <w:p>
            <w:pPr>
              <w:spacing w:after="40" w:line="240" w:lineRule="auto"/>
            </w:pPr>
            <w:r>
              <w:rPr>
                <w:b/>
                <w:sz w:val="20"/>
              </w:rPr>
              <w:t>Evidence</w:t>
            </w:r>
          </w:p>
        </w:tc>
        <w:tc>
          <w:tcPr>
            <w:tcW w:type="dxa" w:w="7776"/>
            <w:vAlign w:val="center"/>
            <w:tcMar>
              <w:top w:w="90" w:type="dxa"/>
              <w:left w:w="90" w:type="dxa"/>
              <w:bottom w:w="90" w:type="dxa"/>
              <w:right w:w="90" w:type="dxa"/>
            </w:tcMar>
            <w:shd w:fill="DFE8F0"/>
          </w:tcPr>
          <w:p>
            <w:pPr>
              <w:spacing w:after="40" w:line="240" w:lineRule="auto"/>
            </w:pPr>
            <w:r>
              <w:rPr>
                <w:b/>
                <w:sz w:val="20"/>
              </w:rPr>
              <w:t>Defensible interpretation</w:t>
            </w:r>
          </w:p>
        </w:tc>
      </w:tr>
      <w:tr>
        <w:trPr>
          <w:cantSplit/>
        </w:trPr>
        <w:tc>
          <w:tcPr>
            <w:tcW w:type="dxa" w:w="2304"/>
            <w:vAlign w:val="center"/>
            <w:tcMar>
              <w:top w:w="90" w:type="dxa"/>
              <w:left w:w="90" w:type="dxa"/>
              <w:bottom w:w="90" w:type="dxa"/>
              <w:right w:w="90" w:type="dxa"/>
            </w:tcMar>
            <w:shd w:fill="FFFFFF"/>
          </w:tcPr>
          <w:p>
            <w:pPr>
              <w:spacing w:after="40" w:line="240" w:lineRule="auto"/>
            </w:pPr>
            <w:r>
              <w:rPr>
                <w:b w:val="0"/>
                <w:sz w:val="20"/>
              </w:rPr>
              <w:t>Reported Stage-3A aggregates</w:t>
            </w:r>
          </w:p>
        </w:tc>
        <w:tc>
          <w:tcPr>
            <w:tcW w:type="dxa" w:w="7776"/>
            <w:vAlign w:val="center"/>
            <w:tcMar>
              <w:top w:w="90" w:type="dxa"/>
              <w:left w:w="90" w:type="dxa"/>
              <w:bottom w:w="90" w:type="dxa"/>
              <w:right w:w="90" w:type="dxa"/>
            </w:tcMar>
            <w:shd w:fill="FFFFFF"/>
          </w:tcPr>
          <w:p>
            <w:pPr>
              <w:spacing w:after="40" w:line="240" w:lineRule="auto"/>
            </w:pPr>
            <w:r>
              <w:rPr>
                <w:b w:val="0"/>
                <w:sz w:val="20"/>
              </w:rPr>
              <w:t>Among 120 people whose returned materials were compiled, 15 of 23 classified initial dropouts were classified as returning.</w:t>
            </w:r>
          </w:p>
        </w:tc>
      </w:tr>
      <w:tr>
        <w:trPr>
          <w:cantSplit/>
        </w:trPr>
        <w:tc>
          <w:tcPr>
            <w:tcW w:type="dxa" w:w="2304"/>
            <w:vAlign w:val="center"/>
            <w:tcMar>
              <w:top w:w="90" w:type="dxa"/>
              <w:left w:w="90" w:type="dxa"/>
              <w:bottom w:w="90" w:type="dxa"/>
              <w:right w:w="90" w:type="dxa"/>
            </w:tcMar>
            <w:shd w:fill="F7F9FB"/>
          </w:tcPr>
          <w:p>
            <w:pPr>
              <w:spacing w:after="40" w:line="240" w:lineRule="auto"/>
            </w:pPr>
            <w:r>
              <w:rPr>
                <w:b w:val="0"/>
                <w:sz w:val="20"/>
              </w:rPr>
              <w:t>Older subgroup</w:t>
            </w:r>
          </w:p>
        </w:tc>
        <w:tc>
          <w:tcPr>
            <w:tcW w:type="dxa" w:w="7776"/>
            <w:vAlign w:val="center"/>
            <w:tcMar>
              <w:top w:w="90" w:type="dxa"/>
              <w:left w:w="90" w:type="dxa"/>
              <w:bottom w:w="90" w:type="dxa"/>
              <w:right w:w="90" w:type="dxa"/>
            </w:tcMar>
            <w:shd w:fill="F7F9FB"/>
          </w:tcPr>
          <w:p>
            <w:pPr>
              <w:spacing w:after="40" w:line="240" w:lineRule="auto"/>
            </w:pPr>
            <w:r>
              <w:rPr>
                <w:b w:val="0"/>
                <w:sz w:val="20"/>
              </w:rPr>
              <w:t>10 of 16 classified initial dropouts returned; uncertainty is substantial, with a Wilson 95% interval of 38.6% to 81.5%.</w:t>
            </w:r>
          </w:p>
        </w:tc>
      </w:tr>
      <w:tr>
        <w:trPr>
          <w:cantSplit/>
        </w:trPr>
        <w:tc>
          <w:tcPr>
            <w:tcW w:type="dxa" w:w="2304"/>
            <w:vAlign w:val="center"/>
            <w:tcMar>
              <w:top w:w="90" w:type="dxa"/>
              <w:left w:w="90" w:type="dxa"/>
              <w:bottom w:w="90" w:type="dxa"/>
              <w:right w:w="90" w:type="dxa"/>
            </w:tcMar>
            <w:shd w:fill="FFFFFF"/>
          </w:tcPr>
          <w:p>
            <w:pPr>
              <w:spacing w:after="40" w:line="240" w:lineRule="auto"/>
            </w:pPr>
            <w:r>
              <w:rPr>
                <w:b w:val="0"/>
                <w:sz w:val="20"/>
              </w:rPr>
              <w:t>Cross-stage comparison</w:t>
            </w:r>
          </w:p>
        </w:tc>
        <w:tc>
          <w:tcPr>
            <w:tcW w:type="dxa" w:w="7776"/>
            <w:vAlign w:val="center"/>
            <w:tcMar>
              <w:top w:w="90" w:type="dxa"/>
              <w:left w:w="90" w:type="dxa"/>
              <w:bottom w:w="90" w:type="dxa"/>
              <w:right w:w="90" w:type="dxa"/>
            </w:tcMar>
            <w:shd w:fill="FFFFFF"/>
          </w:tcPr>
          <w:p>
            <w:pPr>
              <w:spacing w:after="40" w:line="240" w:lineRule="auto"/>
            </w:pPr>
            <w:r>
              <w:rPr>
                <w:b w:val="0"/>
                <w:sz w:val="20"/>
              </w:rPr>
              <w:t>A contextual difference between distinct deployments; it cannot isolate clinical framing or refute a general age-related explanation.</w:t>
            </w:r>
          </w:p>
        </w:tc>
      </w:tr>
      <w:tr>
        <w:trPr>
          <w:cantSplit/>
        </w:trPr>
        <w:tc>
          <w:tcPr>
            <w:tcW w:type="dxa" w:w="2304"/>
            <w:vAlign w:val="center"/>
            <w:tcMar>
              <w:top w:w="90" w:type="dxa"/>
              <w:left w:w="90" w:type="dxa"/>
              <w:bottom w:w="90" w:type="dxa"/>
              <w:right w:w="90" w:type="dxa"/>
            </w:tcMar>
            <w:shd w:fill="F7F9FB"/>
          </w:tcPr>
          <w:p>
            <w:pPr>
              <w:spacing w:after="40" w:line="240" w:lineRule="auto"/>
            </w:pPr>
            <w:r>
              <w:rPr>
                <w:b w:val="0"/>
                <w:sz w:val="20"/>
              </w:rPr>
              <w:t>AI and learning</w:t>
            </w:r>
          </w:p>
        </w:tc>
        <w:tc>
          <w:tcPr>
            <w:tcW w:type="dxa" w:w="7776"/>
            <w:vAlign w:val="center"/>
            <w:tcMar>
              <w:top w:w="90" w:type="dxa"/>
              <w:left w:w="90" w:type="dxa"/>
              <w:bottom w:w="90" w:type="dxa"/>
              <w:right w:w="90" w:type="dxa"/>
            </w:tcMar>
            <w:shd w:fill="F7F9FB"/>
          </w:tcPr>
          <w:p>
            <w:pPr>
              <w:spacing w:after="40" w:line="240" w:lineRule="auto"/>
            </w:pPr>
            <w:r>
              <w:rPr>
                <w:b w:val="0"/>
                <w:sz w:val="20"/>
              </w:rPr>
              <w:t>Stage-3A used a rule agent. GPT/LLM effectiveness, durable learning, fall-risk reduction and the proposed FIAS mechanism were not tested.</w:t>
            </w:r>
          </w:p>
        </w:tc>
      </w:tr>
    </w:tbl>
    <w:p>
      <w:pPr>
        <w:spacing w:after="20"/>
      </w:pPr>
      <w:r>
        <w:rPr>
          <w:b w:val="0"/>
        </w:rPr>
      </w:r>
    </w:p>
    <w:p>
      <w:r>
        <w:rPr>
          <w:b w:val="0"/>
        </w:rPr>
        <w:t>Recommended positioning: an exploratory formative study of a remote coordination-game deployment, with the clinical-framing explanation presented as one candidate interpretation. No new Pro participant trial is needed to complete this revision within the agreed thesis closing scope.</w:t>
      </w:r>
    </w:p>
    <w:p>
      <w:pPr>
        <w:pStyle w:val="Heading1"/>
        <w:pageBreakBefore/>
      </w:pPr>
      <w:r>
        <w:t>Evidence audit and statistical checks</w:t>
      </w:r>
    </w:p>
    <w:p>
      <w:r>
        <w:rPr>
          <w:b w:val="0"/>
        </w:rPr>
        <w:t>The available Stage-3 logbook is an older working record, not a verified participant dataset. It cannot close the participant-record item without the underlying returned files. A newer reconciled dataset, if available, should supersede this assessment through a dated source check. [D1]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632"/>
      </w:tblGrid>
      <w:tr>
        <w:trPr>
          <w:cantSplit/>
          <w:tblHeader/>
        </w:trPr>
        <w:tc>
          <w:tcPr>
            <w:tcW w:type="dxa" w:w="2448"/>
            <w:vAlign w:val="center"/>
            <w:tcMar>
              <w:top w:w="90" w:type="dxa"/>
              <w:left w:w="90" w:type="dxa"/>
              <w:bottom w:w="90" w:type="dxa"/>
              <w:right w:w="90" w:type="dxa"/>
            </w:tcMar>
            <w:shd w:fill="DFE8F0"/>
          </w:tcPr>
          <w:p>
            <w:pPr>
              <w:spacing w:after="40" w:line="240" w:lineRule="auto"/>
            </w:pPr>
            <w:r>
              <w:rPr>
                <w:b/>
                <w:sz w:val="20"/>
              </w:rPr>
              <w:t>Logbook component</w:t>
            </w:r>
          </w:p>
        </w:tc>
        <w:tc>
          <w:tcPr>
            <w:tcW w:type="dxa" w:w="7632"/>
            <w:vAlign w:val="center"/>
            <w:tcMar>
              <w:top w:w="90" w:type="dxa"/>
              <w:left w:w="90" w:type="dxa"/>
              <w:bottom w:w="90" w:type="dxa"/>
              <w:right w:w="90" w:type="dxa"/>
            </w:tcMar>
            <w:shd w:fill="DFE8F0"/>
          </w:tcPr>
          <w:p>
            <w:pPr>
              <w:spacing w:after="40" w:line="240" w:lineRule="auto"/>
            </w:pPr>
            <w:r>
              <w:rPr>
                <w:b/>
                <w:sz w:val="20"/>
              </w:rPr>
              <w:t>Finding</w:t>
            </w:r>
          </w:p>
        </w:tc>
      </w:tr>
      <w:tr>
        <w:trPr>
          <w:cantSplit/>
        </w:trPr>
        <w:tc>
          <w:tcPr>
            <w:tcW w:type="dxa" w:w="2448"/>
            <w:vAlign w:val="center"/>
            <w:tcMar>
              <w:top w:w="90" w:type="dxa"/>
              <w:left w:w="90" w:type="dxa"/>
              <w:bottom w:w="90" w:type="dxa"/>
              <w:right w:w="90" w:type="dxa"/>
            </w:tcMar>
            <w:shd w:fill="FFFFFF"/>
          </w:tcPr>
          <w:p>
            <w:pPr>
              <w:spacing w:after="40" w:line="240" w:lineRule="auto"/>
            </w:pPr>
            <w:r>
              <w:rPr>
                <w:b w:val="0"/>
                <w:sz w:val="20"/>
              </w:rPr>
              <w:t>Participants, Game Telemetry, Q4 Responses and Outcomes</w:t>
            </w:r>
          </w:p>
        </w:tc>
        <w:tc>
          <w:tcPr>
            <w:tcW w:type="dxa" w:w="7632"/>
            <w:vAlign w:val="center"/>
            <w:tcMar>
              <w:top w:w="90" w:type="dxa"/>
              <w:left w:w="90" w:type="dxa"/>
              <w:bottom w:w="90" w:type="dxa"/>
              <w:right w:w="90" w:type="dxa"/>
            </w:tcMar>
            <w:shd w:fill="FFFFFF"/>
          </w:tcPr>
          <w:p>
            <w:pPr>
              <w:spacing w:after="40" w:line="240" w:lineRule="auto"/>
            </w:pPr>
            <w:r>
              <w:rPr>
                <w:b w:val="0"/>
                <w:sz w:val="20"/>
              </w:rPr>
              <w:t>No populated observed-data cells were found in the relevant input columns. The sheets contain allocated IDs, session labels and formulas.</w:t>
            </w:r>
          </w:p>
        </w:tc>
      </w:tr>
      <w:tr>
        <w:trPr>
          <w:cantSplit/>
        </w:trPr>
        <w:tc>
          <w:tcPr>
            <w:tcW w:type="dxa" w:w="2448"/>
            <w:vAlign w:val="center"/>
            <w:tcMar>
              <w:top w:w="90" w:type="dxa"/>
              <w:left w:w="90" w:type="dxa"/>
              <w:bottom w:w="90" w:type="dxa"/>
              <w:right w:w="90" w:type="dxa"/>
            </w:tcMar>
            <w:shd w:fill="F7F9FB"/>
          </w:tcPr>
          <w:p>
            <w:pPr>
              <w:spacing w:after="40" w:line="240" w:lineRule="auto"/>
            </w:pPr>
            <w:r>
              <w:rPr>
                <w:b w:val="0"/>
                <w:sz w:val="20"/>
              </w:rPr>
              <w:t>Preliminary_Summary</w:t>
            </w:r>
          </w:p>
        </w:tc>
        <w:tc>
          <w:tcPr>
            <w:tcW w:type="dxa" w:w="7632"/>
            <w:vAlign w:val="center"/>
            <w:tcMar>
              <w:top w:w="90" w:type="dxa"/>
              <w:left w:w="90" w:type="dxa"/>
              <w:bottom w:w="90" w:type="dxa"/>
              <w:right w:w="90" w:type="dxa"/>
            </w:tcMar>
            <w:shd w:fill="F7F9FB"/>
          </w:tcPr>
          <w:p>
            <w:pPr>
              <w:spacing w:after="40" w:line="240" w:lineRule="auto"/>
            </w:pPr>
            <w:r>
              <w:rPr>
                <w:b w:val="0"/>
                <w:sz w:val="20"/>
              </w:rPr>
              <w:t>Contains the headline and age-band aggregate counts used in R5. Repeating these totals does not independently validate them.</w:t>
            </w:r>
          </w:p>
        </w:tc>
      </w:tr>
      <w:tr>
        <w:trPr>
          <w:cantSplit/>
        </w:trPr>
        <w:tc>
          <w:tcPr>
            <w:tcW w:type="dxa" w:w="2448"/>
            <w:vAlign w:val="center"/>
            <w:tcMar>
              <w:top w:w="90" w:type="dxa"/>
              <w:left w:w="90" w:type="dxa"/>
              <w:bottom w:w="90" w:type="dxa"/>
              <w:right w:w="90" w:type="dxa"/>
            </w:tcMar>
            <w:shd w:fill="FFFFFF"/>
          </w:tcPr>
          <w:p>
            <w:pPr>
              <w:spacing w:after="40" w:line="240" w:lineRule="auto"/>
            </w:pPr>
            <w:r>
              <w:rPr>
                <w:b w:val="0"/>
                <w:sz w:val="20"/>
              </w:rPr>
              <w:t>RAW_Import_UNVERIFIED</w:t>
            </w:r>
          </w:p>
        </w:tc>
        <w:tc>
          <w:tcPr>
            <w:tcW w:type="dxa" w:w="7632"/>
            <w:vAlign w:val="center"/>
            <w:tcMar>
              <w:top w:w="90" w:type="dxa"/>
              <w:left w:w="90" w:type="dxa"/>
              <w:bottom w:w="90" w:type="dxa"/>
              <w:right w:w="90" w:type="dxa"/>
            </w:tcMar>
            <w:shd w:fill="FFFFFF"/>
          </w:tcPr>
          <w:p>
            <w:pPr>
              <w:spacing w:after="40" w:line="240" w:lineRule="auto"/>
            </w:pPr>
            <w:r>
              <w:rPr>
                <w:b w:val="0"/>
                <w:sz w:val="20"/>
              </w:rPr>
              <w:t>Explicitly quarantined by its own provenance warning. It has not been merged into the main analysis sheets.</w:t>
            </w:r>
          </w:p>
        </w:tc>
      </w:tr>
      <w:tr>
        <w:trPr>
          <w:cantSplit/>
        </w:trPr>
        <w:tc>
          <w:tcPr>
            <w:tcW w:type="dxa" w:w="2448"/>
            <w:vAlign w:val="center"/>
            <w:tcMar>
              <w:top w:w="90" w:type="dxa"/>
              <w:left w:w="90" w:type="dxa"/>
              <w:bottom w:w="90" w:type="dxa"/>
              <w:right w:w="90" w:type="dxa"/>
            </w:tcMar>
            <w:shd w:fill="F7F9FB"/>
          </w:tcPr>
          <w:p>
            <w:pPr>
              <w:spacing w:after="40" w:line="240" w:lineRule="auto"/>
            </w:pPr>
            <w:r>
              <w:rPr>
                <w:b w:val="0"/>
                <w:sz w:val="20"/>
              </w:rPr>
              <w:t>Reconciliation_RawImport</w:t>
            </w:r>
          </w:p>
        </w:tc>
        <w:tc>
          <w:tcPr>
            <w:tcW w:type="dxa" w:w="7632"/>
            <w:vAlign w:val="center"/>
            <w:tcMar>
              <w:top w:w="90" w:type="dxa"/>
              <w:left w:w="90" w:type="dxa"/>
              <w:bottom w:w="90" w:type="dxa"/>
              <w:right w:w="90" w:type="dxa"/>
            </w:tcMar>
            <w:shd w:fill="F7F9FB"/>
          </w:tcPr>
          <w:p>
            <w:pPr>
              <w:spacing w:after="40" w:line="240" w:lineRule="auto"/>
            </w:pPr>
            <w:r>
              <w:rPr>
                <w:b w:val="0"/>
                <w:sz w:val="20"/>
              </w:rPr>
              <w:t>Flags 10 discrepancies. Examples: 7 versus 6 middle-band dropouts; 16 versus 17 older-band dropouts; older regular-use intention 23 versus 14.</w:t>
            </w:r>
          </w:p>
        </w:tc>
      </w:tr>
      <w:tr>
        <w:trPr>
          <w:cantSplit/>
        </w:trPr>
        <w:tc>
          <w:tcPr>
            <w:tcW w:type="dxa" w:w="2448"/>
            <w:vAlign w:val="center"/>
            <w:tcMar>
              <w:top w:w="90" w:type="dxa"/>
              <w:left w:w="90" w:type="dxa"/>
              <w:bottom w:w="90" w:type="dxa"/>
              <w:right w:w="90" w:type="dxa"/>
            </w:tcMar>
            <w:shd w:fill="FFFFFF"/>
          </w:tcPr>
          <w:p>
            <w:pPr>
              <w:spacing w:after="40" w:line="240" w:lineRule="auto"/>
            </w:pPr>
            <w:r>
              <w:rPr>
                <w:b w:val="0"/>
                <w:sz w:val="20"/>
              </w:rPr>
              <w:t>Codebook and questionnaire descriptions</w:t>
            </w:r>
          </w:p>
        </w:tc>
        <w:tc>
          <w:tcPr>
            <w:tcW w:type="dxa" w:w="7632"/>
            <w:vAlign w:val="center"/>
            <w:tcMar>
              <w:top w:w="90" w:type="dxa"/>
              <w:left w:w="90" w:type="dxa"/>
              <w:bottom w:w="90" w:type="dxa"/>
              <w:right w:w="90" w:type="dxa"/>
            </w:tcMar>
            <w:shd w:fill="FFFFFF"/>
          </w:tcPr>
          <w:p>
            <w:pPr>
              <w:spacing w:after="40" w:line="240" w:lineRule="auto"/>
            </w:pPr>
            <w:r>
              <w:rPr>
                <w:b w:val="0"/>
                <w:sz w:val="20"/>
              </w:rPr>
              <w:t>The codebook still describes an InBody footplate and silent clinical FRA readings, contrary to R5. The summary intention item mentions regular health training, which needs reconciliation with the nonclinical-instructions claim.</w:t>
            </w:r>
          </w:p>
        </w:tc>
      </w:tr>
    </w:tbl>
    <w:p>
      <w:pPr>
        <w:spacing w:after="20"/>
      </w:pPr>
      <w:r>
        <w:rPr>
          <w:b w:val="0"/>
        </w:rPr>
      </w:r>
    </w:p>
    <w:p>
      <w:r>
        <w:rPr>
          <w:b w:val="0"/>
        </w:rPr>
        <w:t>Treat the unverified import as excluded pending source authentication. Its warning is not proof that the actual study observations are invalid; it does mean that this file cannot establish them. Do not populate missing rows to reproduce target totals or alter the historical file without preserving its provenance.</w:t>
      </w:r>
    </w:p>
    <w:p>
      <w:pPr>
        <w:pStyle w:val="Heading2"/>
      </w:pPr>
      <w:r>
        <w:t>Arithmetic that can be verified now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32"/>
        <w:gridCol w:w="6048"/>
      </w:tblGrid>
      <w:tr>
        <w:trPr>
          <w:cantSplit/>
          <w:tblHeader/>
        </w:trPr>
        <w:tc>
          <w:tcPr>
            <w:tcW w:type="dxa" w:w="4032"/>
            <w:vAlign w:val="center"/>
            <w:tcMar>
              <w:top w:w="90" w:type="dxa"/>
              <w:left w:w="90" w:type="dxa"/>
              <w:bottom w:w="90" w:type="dxa"/>
              <w:right w:w="90" w:type="dxa"/>
            </w:tcMar>
            <w:shd w:fill="DFE8F0"/>
          </w:tcPr>
          <w:p>
            <w:pPr>
              <w:spacing w:after="40" w:line="240" w:lineRule="auto"/>
            </w:pPr>
            <w:r>
              <w:rPr>
                <w:b/>
                <w:sz w:val="20"/>
              </w:rPr>
              <w:t>Quantity</w:t>
            </w:r>
          </w:p>
        </w:tc>
        <w:tc>
          <w:tcPr>
            <w:tcW w:type="dxa" w:w="6048"/>
            <w:vAlign w:val="center"/>
            <w:tcMar>
              <w:top w:w="90" w:type="dxa"/>
              <w:left w:w="90" w:type="dxa"/>
              <w:bottom w:w="90" w:type="dxa"/>
              <w:right w:w="90" w:type="dxa"/>
            </w:tcMar>
            <w:shd w:fill="DFE8F0"/>
          </w:tcPr>
          <w:p>
            <w:pPr>
              <w:spacing w:after="40" w:line="240" w:lineRule="auto"/>
            </w:pPr>
            <w:r>
              <w:rPr>
                <w:b/>
                <w:sz w:val="20"/>
              </w:rPr>
              <w:t>Recalculated result</w:t>
            </w:r>
          </w:p>
        </w:tc>
      </w:tr>
      <w:tr>
        <w:trPr>
          <w:cantSplit/>
        </w:trPr>
        <w:tc>
          <w:tcPr>
            <w:tcW w:type="dxa" w:w="4032"/>
            <w:vAlign w:val="center"/>
            <w:tcMar>
              <w:top w:w="90" w:type="dxa"/>
              <w:left w:w="90" w:type="dxa"/>
              <w:bottom w:w="90" w:type="dxa"/>
              <w:right w:w="90" w:type="dxa"/>
            </w:tcMar>
            <w:shd w:fill="FFFFFF"/>
          </w:tcPr>
          <w:p>
            <w:pPr>
              <w:spacing w:after="40" w:line="240" w:lineRule="auto"/>
            </w:pPr>
            <w:r>
              <w:rPr>
                <w:b w:val="0"/>
                <w:sz w:val="20"/>
              </w:rPr>
              <w:t>Return among classified initial dropouts</w:t>
            </w:r>
          </w:p>
        </w:tc>
        <w:tc>
          <w:tcPr>
            <w:tcW w:type="dxa" w:w="6048"/>
            <w:vAlign w:val="center"/>
            <w:tcMar>
              <w:top w:w="90" w:type="dxa"/>
              <w:left w:w="90" w:type="dxa"/>
              <w:bottom w:w="90" w:type="dxa"/>
              <w:right w:w="90" w:type="dxa"/>
            </w:tcMar>
            <w:shd w:fill="FFFFFF"/>
          </w:tcPr>
          <w:p>
            <w:pPr>
              <w:spacing w:after="40" w:line="240" w:lineRule="auto"/>
            </w:pPr>
            <w:r>
              <w:rPr>
                <w:b w:val="0"/>
                <w:sz w:val="20"/>
              </w:rPr>
              <w:t>15/23 = 65.2%; Wilson 95% CI 44.9% to 81.2%</w:t>
            </w:r>
          </w:p>
        </w:tc>
      </w:tr>
      <w:tr>
        <w:trPr>
          <w:cantSplit/>
        </w:trPr>
        <w:tc>
          <w:tcPr>
            <w:tcW w:type="dxa" w:w="4032"/>
            <w:vAlign w:val="center"/>
            <w:tcMar>
              <w:top w:w="90" w:type="dxa"/>
              <w:left w:w="90" w:type="dxa"/>
              <w:bottom w:w="90" w:type="dxa"/>
              <w:right w:w="90" w:type="dxa"/>
            </w:tcMar>
            <w:shd w:fill="F7F9FB"/>
          </w:tcPr>
          <w:p>
            <w:pPr>
              <w:spacing w:after="40" w:line="240" w:lineRule="auto"/>
            </w:pPr>
            <w:r>
              <w:rPr>
                <w:b w:val="0"/>
                <w:sz w:val="20"/>
              </w:rPr>
              <w:t>Older subgroup return</w:t>
            </w:r>
          </w:p>
        </w:tc>
        <w:tc>
          <w:tcPr>
            <w:tcW w:type="dxa" w:w="6048"/>
            <w:vAlign w:val="center"/>
            <w:tcMar>
              <w:top w:w="90" w:type="dxa"/>
              <w:left w:w="90" w:type="dxa"/>
              <w:bottom w:w="90" w:type="dxa"/>
              <w:right w:w="90" w:type="dxa"/>
            </w:tcMar>
            <w:shd w:fill="F7F9FB"/>
          </w:tcPr>
          <w:p>
            <w:pPr>
              <w:spacing w:after="40" w:line="240" w:lineRule="auto"/>
            </w:pPr>
            <w:r>
              <w:rPr>
                <w:b w:val="0"/>
                <w:sz w:val="20"/>
              </w:rPr>
              <w:t>10/16 = 62.5%; Wilson 95% CI 38.6% to 81.5%</w:t>
            </w:r>
          </w:p>
        </w:tc>
      </w:tr>
      <w:tr>
        <w:trPr>
          <w:cantSplit/>
        </w:trPr>
        <w:tc>
          <w:tcPr>
            <w:tcW w:type="dxa" w:w="4032"/>
            <w:vAlign w:val="center"/>
            <w:tcMar>
              <w:top w:w="90" w:type="dxa"/>
              <w:left w:w="90" w:type="dxa"/>
              <w:bottom w:w="90" w:type="dxa"/>
              <w:right w:w="90" w:type="dxa"/>
            </w:tcMar>
            <w:shd w:fill="FFFFFF"/>
          </w:tcPr>
          <w:p>
            <w:pPr>
              <w:spacing w:after="40" w:line="240" w:lineRule="auto"/>
            </w:pPr>
            <w:r>
              <w:rPr>
                <w:b w:val="0"/>
                <w:sz w:val="20"/>
              </w:rPr>
              <w:t>Reported retained proportion</w:t>
            </w:r>
          </w:p>
        </w:tc>
        <w:tc>
          <w:tcPr>
            <w:tcW w:type="dxa" w:w="6048"/>
            <w:vAlign w:val="center"/>
            <w:tcMar>
              <w:top w:w="90" w:type="dxa"/>
              <w:left w:w="90" w:type="dxa"/>
              <w:bottom w:w="90" w:type="dxa"/>
              <w:right w:w="90" w:type="dxa"/>
            </w:tcMar>
            <w:shd w:fill="FFFFFF"/>
          </w:tcPr>
          <w:p>
            <w:pPr>
              <w:spacing w:after="40" w:line="240" w:lineRule="auto"/>
            </w:pPr>
            <w:r>
              <w:rPr>
                <w:b w:val="0"/>
                <w:sz w:val="20"/>
              </w:rPr>
              <w:t>112/120 = 93.3%; older subgroup 35/41 = 85.4%</w:t>
            </w:r>
          </w:p>
        </w:tc>
      </w:tr>
      <w:tr>
        <w:trPr>
          <w:cantSplit/>
        </w:trPr>
        <w:tc>
          <w:tcPr>
            <w:tcW w:type="dxa" w:w="4032"/>
            <w:vAlign w:val="center"/>
            <w:tcMar>
              <w:top w:w="90" w:type="dxa"/>
              <w:left w:w="90" w:type="dxa"/>
              <w:bottom w:w="90" w:type="dxa"/>
              <w:right w:w="90" w:type="dxa"/>
            </w:tcMar>
            <w:shd w:fill="F7F9FB"/>
          </w:tcPr>
          <w:p>
            <w:pPr>
              <w:spacing w:after="40" w:line="240" w:lineRule="auto"/>
            </w:pPr>
            <w:r>
              <w:rPr>
                <w:b w:val="0"/>
                <w:sz w:val="20"/>
              </w:rPr>
              <w:t>Older subgroup intention</w:t>
            </w:r>
          </w:p>
        </w:tc>
        <w:tc>
          <w:tcPr>
            <w:tcW w:type="dxa" w:w="6048"/>
            <w:vAlign w:val="center"/>
            <w:tcMar>
              <w:top w:w="90" w:type="dxa"/>
              <w:left w:w="90" w:type="dxa"/>
              <w:bottom w:w="90" w:type="dxa"/>
              <w:right w:w="90" w:type="dxa"/>
            </w:tcMar>
            <w:shd w:fill="F7F9FB"/>
          </w:tcPr>
          <w:p>
            <w:pPr>
              <w:spacing w:after="40" w:line="240" w:lineRule="auto"/>
            </w:pPr>
            <w:r>
              <w:rPr>
                <w:b w:val="0"/>
                <w:sz w:val="20"/>
              </w:rPr>
              <w:t>23/41 = 56.1%; 35/41 minus 23/41 = 29.3 percentage points</w:t>
            </w:r>
          </w:p>
        </w:tc>
      </w:tr>
      <w:tr>
        <w:trPr>
          <w:cantSplit/>
        </w:trPr>
        <w:tc>
          <w:tcPr>
            <w:tcW w:type="dxa" w:w="4032"/>
            <w:vAlign w:val="center"/>
            <w:tcMar>
              <w:top w:w="90" w:type="dxa"/>
              <w:left w:w="90" w:type="dxa"/>
              <w:bottom w:w="90" w:type="dxa"/>
              <w:right w:w="90" w:type="dxa"/>
            </w:tcMar>
            <w:shd w:fill="FFFFFF"/>
          </w:tcPr>
          <w:p>
            <w:pPr>
              <w:spacing w:after="40" w:line="240" w:lineRule="auto"/>
            </w:pPr>
            <w:r>
              <w:rPr>
                <w:b w:val="0"/>
                <w:sz w:val="20"/>
              </w:rPr>
              <w:t>Initial-dropout age comparison</w:t>
            </w:r>
          </w:p>
        </w:tc>
        <w:tc>
          <w:tcPr>
            <w:tcW w:type="dxa" w:w="6048"/>
            <w:vAlign w:val="center"/>
            <w:tcMar>
              <w:top w:w="90" w:type="dxa"/>
              <w:left w:w="90" w:type="dxa"/>
              <w:bottom w:w="90" w:type="dxa"/>
              <w:right w:w="90" w:type="dxa"/>
            </w:tcMar>
            <w:shd w:fill="FFFFFF"/>
          </w:tcPr>
          <w:p>
            <w:pPr>
              <w:spacing w:after="40" w:line="240" w:lineRule="auto"/>
            </w:pPr>
            <w:r>
              <w:rPr>
                <w:b w:val="0"/>
                <w:sz w:val="20"/>
              </w:rPr>
              <w:t>Three-band chi-square p = 0.0000565; youngest versus oldest Fisher p = 0.00000581</w:t>
            </w:r>
          </w:p>
        </w:tc>
      </w:tr>
    </w:tbl>
    <w:p>
      <w:pPr>
        <w:spacing w:after="20"/>
      </w:pPr>
      <w:r>
        <w:rPr>
          <w:b w:val="0"/>
        </w:rPr>
      </w:r>
    </w:p>
    <w:p>
      <w:r>
        <w:rPr>
          <w:b w:val="0"/>
        </w:rPr>
        <w:t>The headline arithmetic and cited confidence intervals are consistent with the reported counts. This checks calculation, not observation validity. The exploratory age p-values do not estimate the effect of removing clinical framing.</w:t>
      </w:r>
    </w:p>
    <w:p>
      <w:r>
        <w:rPr>
          <w:b w:val="0"/>
        </w:rPr>
        <w:t>The 29.3-point difference compares marginal proportions for distinct constructs. Without the paired retention-by-intention table, the statement that half of completers saw no place for the game cannot be established. Nor does the paper's retention definition establish five-attempt completion or active use at the window end. [M1, pp. 6-11]</w:t>
      </w:r>
    </w:p>
    <w:p>
      <w:pPr>
        <w:pStyle w:val="Heading1"/>
        <w:pageBreakBefore/>
      </w:pPr>
      <w:r>
        <w:t>Required editorial revisions</w:t>
      </w:r>
    </w:p>
    <w:p>
      <w:pPr>
        <w:pStyle w:val="Heading2"/>
      </w:pPr>
      <w:r>
        <w:t>1 Define and reconstruct the primary endpoint</w:t>
      </w:r>
    </w:p>
    <w:p>
      <w:r>
        <w:rPr>
          <w:b w:val="0"/>
        </w:rPr>
        <w:t>Specify what constitutes an attempt, a run, a session, initial disengagement, failure, return and follow-up. Recover first-play, disengagement and later-play dates, distinguish immediate replay from later re-engagement, and record reminders or assistance. An email submission date alone does not establish when gameplay occurred. If the event sequence cannot be recovered, withdraw the behavioural retention/return inference and report only supported descriptive classifications. [M1, pp. 6-8]</w:t>
      </w:r>
    </w:p>
    <w:p>
      <w:pPr>
        <w:pStyle w:val="Heading2"/>
      </w:pPr>
      <w:r>
        <w:t>2 Resolve the ethics chronology and consent basis</w:t>
      </w:r>
    </w:p>
    <w:p>
      <w:r>
        <w:rPr>
          <w:b w:val="0"/>
        </w:rPr>
        <w:t>R5 reports approval HSEARS20260805008 dated 6 August 2026 after Stages 1-3 had been conducted, with a stated period beginning in 2024. A period covering fieldwork does not demonstrate prior approval. Obtain the actual decision letter, approved protocol and institutional explanation of the earlier data and implied-consent procedure. For the thesis, separately verify the basis for analysing all 30 Stage-2 records. Journal eligibility remains unresolved until this documentary issue is assessed. JMIR adopts Helsinki guidance, which calls for ethics review before research begins. [M1, p. 6; W6-W7]</w:t>
      </w:r>
    </w:p>
    <w:p>
      <w:pPr>
        <w:pStyle w:val="Heading2"/>
      </w:pPr>
      <w:r>
        <w:t>3 Narrow the comparative interpretation</w:t>
      </w:r>
    </w:p>
    <w:p>
      <w:r>
        <w:rPr>
          <w:b w:val="0"/>
        </w:rPr>
        <w:t>Remove statements that the evaluation separates two rival explanations or establishes that the problem resides in the clinical attachment. Cohort health, residential status, digital familiarity, input demands, supervision, recruitment and observation structures can explain the contrast. The older subgroups are not demonstrated to be age matched. Replace a binary dispositional-versus-framing argument with explicit competing explanations. [M1, pp. 1-4, 10-15]</w:t>
      </w:r>
    </w:p>
    <w:p>
      <w:pPr>
        <w:pStyle w:val="Heading2"/>
      </w:pPr>
      <w:r>
        <w:t>4 Make the intervention and instruments reproducible</w:t>
      </w:r>
    </w:p>
    <w:p>
      <w:r>
        <w:rPr>
          <w:b w:val="0"/>
        </w:rPr>
        <w:t>Archive the exact distributed Stage-3A HTML version, rule logic, task settings, export schema, instructions, original invitation and administered questionnaire with language, response anchors and scoring thresholds. Map each figure and result to its actual source version. Figure 1 describes lateral weight-shift control while the method permits keyboard/trackpad input; reconcile that mismatch. Substantiate the no-LLM statement with build and runtime evidence. [M1, pp. 4-6; D1]</w:t>
      </w:r>
    </w:p>
    <w:p>
      <w:pPr>
        <w:pStyle w:val="Heading2"/>
      </w:pPr>
      <w:r>
        <w:t>5 Reduce the theoretical and publication claims</w:t>
      </w:r>
    </w:p>
    <w:p>
      <w:r>
        <w:rPr>
          <w:b w:val="0"/>
        </w:rPr>
        <w:t>Keep FIAS provisional and non-diagnostic. WTA/WTP, identity threat and mutually exclusive appraisal regimes were not measured. Do not treat ordinary attrition as frame-indifferent by definition. Eysenbach distinguishes nonusage from follow-up loss and discusses contextual predictors. Compare the proposed contribution with gerontoludic design and appraisal-based game design; an adjacent published framework already links appraisal, meaningful play and older-adult game design. [M1, pp. 3, 10-13; W8-W9]</w:t>
      </w:r>
    </w:p>
    <w:p>
      <w:pPr>
        <w:pStyle w:val="Heading2"/>
      </w:pPr>
      <w:r>
        <w:t>6 Focus the paper and correct presentation</w:t>
      </w:r>
    </w:p>
    <w:p>
      <w:r>
        <w:rPr>
          <w:b w:val="0"/>
        </w:rPr>
        <w:t>Shorten the approximately 457-word abstract, remove repeated causal rhetoric, and reduce the original Stage-3B narrative to a brief limitation/future-work passage or supplement. Keep the Pro self-test report distinct. Put table captions directly above their tables; Table 1 and Table 2 currently have intervening figures. Replace elderly with older adults where appropriate. A single expert consultation can generate interpretations, but does not validate the mechanism. [M1, pp. 5, 7-8, 11-14]</w:t>
      </w:r>
    </w:p>
    <w:p>
      <w:pPr>
        <w:pStyle w:val="Heading1"/>
        <w:pageBreakBefore/>
      </w:pPr>
      <w:r>
        <w:t>Journal selection and submission strategy</w:t>
      </w:r>
    </w:p>
    <w:p>
      <w:r>
        <w:rPr>
          <w:b w:val="0"/>
        </w:rPr>
        <w:t>The ranking below is an editorial judgment based on the verified journal scopes and this manuscript's evidence. None of these journals removes the need to resolve ethics, provenance and endpoint definitions. [W1-W7]</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960"/>
        <w:gridCol w:w="3888"/>
      </w:tblGrid>
      <w:tr>
        <w:trPr>
          <w:cantSplit/>
          <w:tblHeader/>
        </w:trPr>
        <w:tc>
          <w:tcPr>
            <w:tcW w:type="dxa" w:w="2232"/>
            <w:vAlign w:val="center"/>
            <w:tcMar>
              <w:top w:w="90" w:type="dxa"/>
              <w:left w:w="90" w:type="dxa"/>
              <w:bottom w:w="90" w:type="dxa"/>
              <w:right w:w="90" w:type="dxa"/>
            </w:tcMar>
            <w:shd w:fill="DFE8F0"/>
          </w:tcPr>
          <w:p>
            <w:pPr>
              <w:spacing w:after="40" w:line="240" w:lineRule="auto"/>
            </w:pPr>
            <w:r>
              <w:rPr>
                <w:b/>
                <w:sz w:val="20"/>
              </w:rPr>
              <w:t>Journal</w:t>
            </w:r>
          </w:p>
        </w:tc>
        <w:tc>
          <w:tcPr>
            <w:tcW w:type="dxa" w:w="3960"/>
            <w:vAlign w:val="center"/>
            <w:tcMar>
              <w:top w:w="90" w:type="dxa"/>
              <w:left w:w="90" w:type="dxa"/>
              <w:bottom w:w="90" w:type="dxa"/>
              <w:right w:w="90" w:type="dxa"/>
            </w:tcMar>
            <w:shd w:fill="DFE8F0"/>
          </w:tcPr>
          <w:p>
            <w:pPr>
              <w:spacing w:after="40" w:line="240" w:lineRule="auto"/>
            </w:pPr>
            <w:r>
              <w:rPr>
                <w:b/>
                <w:sz w:val="20"/>
              </w:rPr>
              <w:t>Fit and recommended use</w:t>
            </w:r>
          </w:p>
        </w:tc>
        <w:tc>
          <w:tcPr>
            <w:tcW w:type="dxa" w:w="3888"/>
            <w:vAlign w:val="center"/>
            <w:tcMar>
              <w:top w:w="90" w:type="dxa"/>
              <w:left w:w="90" w:type="dxa"/>
              <w:bottom w:w="90" w:type="dxa"/>
              <w:right w:w="90" w:type="dxa"/>
            </w:tcMar>
            <w:shd w:fill="DFE8F0"/>
          </w:tcPr>
          <w:p>
            <w:pPr>
              <w:spacing w:after="40" w:line="240" w:lineRule="auto"/>
            </w:pPr>
            <w:r>
              <w:rPr>
                <w:b/>
                <w:sz w:val="20"/>
              </w:rPr>
              <w:t>Main revision needed</w:t>
            </w:r>
          </w:p>
        </w:tc>
      </w:tr>
      <w:tr>
        <w:trPr>
          <w:cantSplit/>
        </w:trPr>
        <w:tc>
          <w:tcPr>
            <w:tcW w:type="dxa" w:w="2232"/>
            <w:vAlign w:val="center"/>
            <w:tcMar>
              <w:top w:w="90" w:type="dxa"/>
              <w:left w:w="90" w:type="dxa"/>
              <w:bottom w:w="90" w:type="dxa"/>
              <w:right w:w="90" w:type="dxa"/>
            </w:tcMar>
            <w:shd w:fill="FFFFFF"/>
          </w:tcPr>
          <w:p>
            <w:pPr>
              <w:spacing w:after="40" w:line="240" w:lineRule="auto"/>
            </w:pPr>
            <w:r>
              <w:rPr>
                <w:b w:val="0"/>
                <w:sz w:val="20"/>
              </w:rPr>
              <w:t>1  JMIR Formative Research</w:t>
            </w:r>
          </w:p>
        </w:tc>
        <w:tc>
          <w:tcPr>
            <w:tcW w:type="dxa" w:w="3960"/>
            <w:vAlign w:val="center"/>
            <w:tcMar>
              <w:top w:w="90" w:type="dxa"/>
              <w:left w:w="90" w:type="dxa"/>
              <w:bottom w:w="90" w:type="dxa"/>
              <w:right w:w="90" w:type="dxa"/>
            </w:tcMar>
            <w:shd w:fill="FFFFFF"/>
          </w:tcPr>
          <w:p>
            <w:pPr>
              <w:spacing w:after="40" w:line="240" w:lineRule="auto"/>
            </w:pPr>
            <w:r>
              <w:rPr>
                <w:b w:val="0"/>
                <w:sz w:val="20"/>
              </w:rPr>
              <w:t>Best match to the current evidence level. Its scope includes formative evaluations and preliminary findings.</w:t>
            </w:r>
          </w:p>
        </w:tc>
        <w:tc>
          <w:tcPr>
            <w:tcW w:type="dxa" w:w="3888"/>
            <w:vAlign w:val="center"/>
            <w:tcMar>
              <w:top w:w="90" w:type="dxa"/>
              <w:left w:w="90" w:type="dxa"/>
              <w:bottom w:w="90" w:type="dxa"/>
              <w:right w:w="90" w:type="dxa"/>
            </w:tcMar>
            <w:shd w:fill="FFFFFF"/>
          </w:tcPr>
          <w:p>
            <w:pPr>
              <w:spacing w:after="40" w:line="240" w:lineRule="auto"/>
            </w:pPr>
            <w:r>
              <w:rPr>
                <w:b w:val="0"/>
                <w:sz w:val="20"/>
              </w:rPr>
              <w:t>Present a sound exploratory evaluation with verifiable observations and bounded claims.</w:t>
            </w:r>
          </w:p>
        </w:tc>
      </w:tr>
      <w:tr>
        <w:trPr>
          <w:cantSplit/>
        </w:trPr>
        <w:tc>
          <w:tcPr>
            <w:tcW w:type="dxa" w:w="2232"/>
            <w:vAlign w:val="center"/>
            <w:tcMar>
              <w:top w:w="90" w:type="dxa"/>
              <w:left w:w="90" w:type="dxa"/>
              <w:bottom w:w="90" w:type="dxa"/>
              <w:right w:w="90" w:type="dxa"/>
            </w:tcMar>
            <w:shd w:fill="F7F9FB"/>
          </w:tcPr>
          <w:p>
            <w:pPr>
              <w:spacing w:after="40" w:line="240" w:lineRule="auto"/>
            </w:pPr>
            <w:r>
              <w:rPr>
                <w:b w:val="0"/>
                <w:sz w:val="20"/>
              </w:rPr>
              <w:t>2  JMIR Serious Games</w:t>
            </w:r>
          </w:p>
        </w:tc>
        <w:tc>
          <w:tcPr>
            <w:tcW w:type="dxa" w:w="3960"/>
            <w:vAlign w:val="center"/>
            <w:tcMar>
              <w:top w:w="90" w:type="dxa"/>
              <w:left w:w="90" w:type="dxa"/>
              <w:bottom w:w="90" w:type="dxa"/>
              <w:right w:w="90" w:type="dxa"/>
            </w:tcMar>
            <w:shd w:fill="F7F9FB"/>
          </w:tcPr>
          <w:p>
            <w:pPr>
              <w:spacing w:after="40" w:line="240" w:lineRule="auto"/>
            </w:pPr>
            <w:r>
              <w:rPr>
                <w:b w:val="0"/>
                <w:sz w:val="20"/>
              </w:rPr>
              <w:t>Strongest specialist topic match for gaming, engagement and health-related design. Preferred if the evidential reconstruction is successful.</w:t>
            </w:r>
          </w:p>
        </w:tc>
        <w:tc>
          <w:tcPr>
            <w:tcW w:type="dxa" w:w="3888"/>
            <w:vAlign w:val="center"/>
            <w:tcMar>
              <w:top w:w="90" w:type="dxa"/>
              <w:left w:w="90" w:type="dxa"/>
              <w:bottom w:w="90" w:type="dxa"/>
              <w:right w:w="90" w:type="dxa"/>
            </w:tcMar>
            <w:shd w:fill="F7F9FB"/>
          </w:tcPr>
          <w:p>
            <w:pPr>
              <w:spacing w:after="40" w:line="240" w:lineRule="auto"/>
            </w:pPr>
            <w:r>
              <w:rPr>
                <w:b w:val="0"/>
                <w:sz w:val="20"/>
              </w:rPr>
              <w:t>Demonstrate a clear game-design contribution beyond the existing appraisal literature and document the actual intervention.</w:t>
            </w:r>
          </w:p>
        </w:tc>
      </w:tr>
      <w:tr>
        <w:trPr>
          <w:cantSplit/>
        </w:trPr>
        <w:tc>
          <w:tcPr>
            <w:tcW w:type="dxa" w:w="2232"/>
            <w:vAlign w:val="center"/>
            <w:tcMar>
              <w:top w:w="90" w:type="dxa"/>
              <w:left w:w="90" w:type="dxa"/>
              <w:bottom w:w="90" w:type="dxa"/>
              <w:right w:w="90" w:type="dxa"/>
            </w:tcMar>
            <w:shd w:fill="FFFFFF"/>
          </w:tcPr>
          <w:p>
            <w:pPr>
              <w:spacing w:after="40" w:line="240" w:lineRule="auto"/>
            </w:pPr>
            <w:r>
              <w:rPr>
                <w:b w:val="0"/>
                <w:sz w:val="20"/>
              </w:rPr>
              <w:t>3  JMIR Human Factors</w:t>
            </w:r>
          </w:p>
        </w:tc>
        <w:tc>
          <w:tcPr>
            <w:tcW w:type="dxa" w:w="3960"/>
            <w:vAlign w:val="center"/>
            <w:tcMar>
              <w:top w:w="90" w:type="dxa"/>
              <w:left w:w="90" w:type="dxa"/>
              <w:bottom w:w="90" w:type="dxa"/>
              <w:right w:w="90" w:type="dxa"/>
            </w:tcMar>
            <w:shd w:fill="FFFFFF"/>
          </w:tcPr>
          <w:p>
            <w:pPr>
              <w:spacing w:after="40" w:line="240" w:lineRule="auto"/>
            </w:pPr>
            <w:r>
              <w:rPr>
                <w:b w:val="0"/>
                <w:sz w:val="20"/>
              </w:rPr>
              <w:t>Good alternative for an interface, interpretation and participation-focused paper.</w:t>
            </w:r>
          </w:p>
        </w:tc>
        <w:tc>
          <w:tcPr>
            <w:tcW w:type="dxa" w:w="3888"/>
            <w:vAlign w:val="center"/>
            <w:tcMar>
              <w:top w:w="90" w:type="dxa"/>
              <w:left w:w="90" w:type="dxa"/>
              <w:bottom w:w="90" w:type="dxa"/>
              <w:right w:w="90" w:type="dxa"/>
            </w:tcMar>
            <w:shd w:fill="FFFFFF"/>
          </w:tcPr>
          <w:p>
            <w:pPr>
              <w:spacing w:after="40" w:line="240" w:lineRule="auto"/>
            </w:pPr>
            <w:r>
              <w:rPr>
                <w:b w:val="0"/>
                <w:sz w:val="20"/>
              </w:rPr>
              <w:t>Explain how observed human responses inform specific health-technology design requirements; provide the instruments and design record.</w:t>
            </w:r>
          </w:p>
        </w:tc>
      </w:tr>
      <w:tr>
        <w:trPr>
          <w:cantSplit/>
        </w:trPr>
        <w:tc>
          <w:tcPr>
            <w:tcW w:type="dxa" w:w="2232"/>
            <w:vAlign w:val="center"/>
            <w:tcMar>
              <w:top w:w="90" w:type="dxa"/>
              <w:left w:w="90" w:type="dxa"/>
              <w:bottom w:w="90" w:type="dxa"/>
              <w:right w:w="90" w:type="dxa"/>
            </w:tcMar>
            <w:shd w:fill="F7F9FB"/>
          </w:tcPr>
          <w:p>
            <w:pPr>
              <w:spacing w:after="40" w:line="240" w:lineRule="auto"/>
            </w:pPr>
            <w:r>
              <w:rPr>
                <w:b w:val="0"/>
                <w:sz w:val="20"/>
              </w:rPr>
              <w:t>4  Games for Health Journal</w:t>
            </w:r>
          </w:p>
        </w:tc>
        <w:tc>
          <w:tcPr>
            <w:tcW w:type="dxa" w:w="3960"/>
            <w:vAlign w:val="center"/>
            <w:tcMar>
              <w:top w:w="90" w:type="dxa"/>
              <w:left w:w="90" w:type="dxa"/>
              <w:bottom w:w="90" w:type="dxa"/>
              <w:right w:w="90" w:type="dxa"/>
            </w:tcMar>
            <w:shd w:fill="F7F9FB"/>
          </w:tcPr>
          <w:p>
            <w:pPr>
              <w:spacing w:after="40" w:line="240" w:lineRule="auto"/>
            </w:pPr>
            <w:r>
              <w:rPr>
                <w:b w:val="0"/>
                <w:sz w:val="20"/>
              </w:rPr>
              <w:t>Relevant specialist alternative for game research and health-related use.</w:t>
            </w:r>
          </w:p>
        </w:tc>
        <w:tc>
          <w:tcPr>
            <w:tcW w:type="dxa" w:w="3888"/>
            <w:vAlign w:val="center"/>
            <w:tcMar>
              <w:top w:w="90" w:type="dxa"/>
              <w:left w:w="90" w:type="dxa"/>
              <w:bottom w:w="90" w:type="dxa"/>
              <w:right w:w="90" w:type="dxa"/>
            </w:tcMar>
            <w:shd w:fill="F7F9FB"/>
          </w:tcPr>
          <w:p>
            <w:pPr>
              <w:spacing w:after="40" w:line="240" w:lineRule="auto"/>
            </w:pPr>
            <w:r>
              <w:rPr>
                <w:b w:val="0"/>
                <w:sz w:val="20"/>
              </w:rPr>
              <w:t>Make a concise paper. Current original-article guidance limits the main text to 3,000 words, the abstract to 250 words, and figures plus tables to six.</w:t>
            </w:r>
          </w:p>
        </w:tc>
      </w:tr>
      <w:tr>
        <w:trPr>
          <w:cantSplit/>
        </w:trPr>
        <w:tc>
          <w:tcPr>
            <w:tcW w:type="dxa" w:w="2232"/>
            <w:vAlign w:val="center"/>
            <w:tcMar>
              <w:top w:w="90" w:type="dxa"/>
              <w:left w:w="90" w:type="dxa"/>
              <w:bottom w:w="90" w:type="dxa"/>
              <w:right w:w="90" w:type="dxa"/>
            </w:tcMar>
            <w:shd w:fill="FFFFFF"/>
          </w:tcPr>
          <w:p>
            <w:pPr>
              <w:spacing w:after="40" w:line="240" w:lineRule="auto"/>
            </w:pPr>
            <w:r>
              <w:rPr>
                <w:b w:val="0"/>
                <w:sz w:val="20"/>
              </w:rPr>
              <w:t>5  IEEE Access</w:t>
            </w:r>
          </w:p>
        </w:tc>
        <w:tc>
          <w:tcPr>
            <w:tcW w:type="dxa" w:w="3960"/>
            <w:vAlign w:val="center"/>
            <w:tcMar>
              <w:top w:w="90" w:type="dxa"/>
              <w:left w:w="90" w:type="dxa"/>
              <w:bottom w:w="90" w:type="dxa"/>
              <w:right w:w="90" w:type="dxa"/>
            </w:tcMar>
            <w:shd w:fill="FFFFFF"/>
          </w:tcPr>
          <w:p>
            <w:pPr>
              <w:spacing w:after="40" w:line="240" w:lineRule="auto"/>
            </w:pPr>
            <w:r>
              <w:rPr>
                <w:b w:val="0"/>
                <w:sz w:val="20"/>
              </w:rPr>
              <w:t>Possible engineering route, but a weaker fit for the present predominantly behavioural argument.</w:t>
            </w:r>
          </w:p>
        </w:tc>
        <w:tc>
          <w:tcPr>
            <w:tcW w:type="dxa" w:w="3888"/>
            <w:vAlign w:val="center"/>
            <w:tcMar>
              <w:top w:w="90" w:type="dxa"/>
              <w:left w:w="90" w:type="dxa"/>
              <w:bottom w:w="90" w:type="dxa"/>
              <w:right w:w="90" w:type="dxa"/>
            </w:tcMar>
            <w:shd w:fill="FFFFFF"/>
          </w:tcPr>
          <w:p>
            <w:pPr>
              <w:spacing w:after="40" w:line="240" w:lineRule="auto"/>
            </w:pPr>
            <w:r>
              <w:rPr>
                <w:b w:val="0"/>
                <w:sz w:val="20"/>
              </w:rPr>
              <w:t>Requires a stronger reproducible technical contribution and evaluation. Existing package preparation is not evidence that this route is easier.</w:t>
            </w:r>
          </w:p>
        </w:tc>
      </w:tr>
    </w:tbl>
    <w:p>
      <w:pPr>
        <w:spacing w:after="20"/>
      </w:pPr>
      <w:r>
        <w:rPr>
          <w:b w:val="0"/>
        </w:rPr>
      </w:r>
    </w:p>
    <w:p>
      <w:pPr>
        <w:pStyle w:val="Heading2"/>
      </w:pPr>
      <w:r>
        <w:t>How I would choose</w:t>
      </w:r>
    </w:p>
    <w:p>
      <w:r>
        <w:rPr>
          <w:b w:val="0"/>
        </w:rPr>
        <w:t>First resolve the source and ethics questions. If the record supports a reproducible formative analysis, JMIR Formative Research is my present first choice. If the return sequence can be reconstructed and the game-design contribution is sharpened, JMIR Serious Games becomes the preferred specialist submission. Choose one venue with Prof. Cheung; the prior progress record already notes prepared Serious Games and IEEE Access packages. [R1]</w:t>
      </w:r>
    </w:p>
    <w:p>
      <w:r>
        <w:rPr>
          <w:b w:val="0"/>
        </w:rPr>
        <w:t>If an SCIE-indexed journal is a formal requirement, this changes the choice: the publisher lists JMIR Serious Games in SCIE, while JMIR Formative Research is listed in ESCI. An impact factor alone does not establish SCIE inclusion. Confirm the programme's requirement before committing to the formative route. [W1, W10]</w:t>
      </w:r>
    </w:p>
    <w:p>
      <w:pPr>
        <w:pStyle w:val="Heading2"/>
      </w:pPr>
      <w:r>
        <w:t>Suggested working title</w:t>
      </w:r>
    </w:p>
    <w:p>
      <w:r>
        <w:rPr>
          <w:b/>
        </w:rPr>
        <w:t>Engagement With a Remotely Delivered Coordination Game Across Age Groups: An Exploratory Observational Study</w:t>
      </w:r>
    </w:p>
    <w:p>
      <w:r>
        <w:rPr>
          <w:b w:val="0"/>
        </w:rPr>
        <w:t>This title fits the evidence presently described. Introduce the fall-risk origin in the abstract and background. Avoid framing the article as an evaluation of GPT-enabled adaptation or validated fall-risk assessment when neither was evaluated in this deployment.</w:t>
      </w:r>
    </w:p>
    <w:p>
      <w:r>
        <w:rPr>
          <w:b w:val="0"/>
        </w:rPr>
        <w:t>If the central records cannot be substantiated, consider a transparent conceptual/design article. Changing journals does not resolve an evidence gap.</w:t>
      </w:r>
    </w:p>
    <w:p>
      <w:pPr>
        <w:pStyle w:val="Heading1"/>
        <w:pageBreakBefore/>
      </w:pPr>
      <w:r>
        <w:t>Weekly thesis status baseline</w:t>
      </w:r>
    </w:p>
    <w:p>
      <w:r>
        <w:rPr>
          <w:b w:val="0"/>
        </w:rPr>
        <w:t>Baseline date: 27 September 2026. Completed means the specified work is documented or checked, not that all underlying study evidence has been independently validated. Pending items can proceed; blocked items need a missing source or decision. Newly raised means identified or newly elevated in this review, not necessarily newly occurring.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2448"/>
        <w:gridCol w:w="6192"/>
      </w:tblGrid>
      <w:tr>
        <w:trPr>
          <w:cantSplit/>
          <w:tblHeader/>
        </w:trPr>
        <w:tc>
          <w:tcPr>
            <w:tcW w:type="dxa" w:w="1440"/>
            <w:vAlign w:val="center"/>
            <w:tcMar>
              <w:top w:w="90" w:type="dxa"/>
              <w:left w:w="90" w:type="dxa"/>
              <w:bottom w:w="90" w:type="dxa"/>
              <w:right w:w="90" w:type="dxa"/>
            </w:tcMar>
            <w:shd w:fill="DFE8F0"/>
          </w:tcPr>
          <w:p>
            <w:pPr>
              <w:spacing w:after="40" w:line="240" w:lineRule="auto"/>
            </w:pPr>
            <w:r>
              <w:rPr>
                <w:b/>
                <w:sz w:val="19"/>
              </w:rPr>
              <w:t>Status</w:t>
            </w:r>
          </w:p>
        </w:tc>
        <w:tc>
          <w:tcPr>
            <w:tcW w:type="dxa" w:w="2448"/>
            <w:vAlign w:val="center"/>
            <w:tcMar>
              <w:top w:w="90" w:type="dxa"/>
              <w:left w:w="90" w:type="dxa"/>
              <w:bottom w:w="90" w:type="dxa"/>
              <w:right w:w="90" w:type="dxa"/>
            </w:tcMar>
            <w:shd w:fill="DFE8F0"/>
          </w:tcPr>
          <w:p>
            <w:pPr>
              <w:spacing w:after="40" w:line="240" w:lineRule="auto"/>
            </w:pPr>
            <w:r>
              <w:rPr>
                <w:b/>
                <w:sz w:val="19"/>
              </w:rPr>
              <w:t>Item</w:t>
            </w:r>
          </w:p>
        </w:tc>
        <w:tc>
          <w:tcPr>
            <w:tcW w:type="dxa" w:w="6192"/>
            <w:vAlign w:val="center"/>
            <w:tcMar>
              <w:top w:w="90" w:type="dxa"/>
              <w:left w:w="90" w:type="dxa"/>
              <w:bottom w:w="90" w:type="dxa"/>
              <w:right w:w="90" w:type="dxa"/>
            </w:tcMar>
            <w:shd w:fill="DFE8F0"/>
          </w:tcPr>
          <w:p>
            <w:pPr>
              <w:spacing w:after="40" w:line="240" w:lineRule="auto"/>
            </w:pPr>
            <w:r>
              <w:rPr>
                <w:b/>
                <w:sz w:val="19"/>
              </w:rPr>
              <w:t>Evidence or next action</w:t>
            </w:r>
          </w:p>
        </w:tc>
      </w:tr>
      <w:tr>
        <w:trPr>
          <w:cantSplit/>
        </w:trPr>
        <w:tc>
          <w:tcPr>
            <w:tcW w:type="dxa" w:w="1440"/>
            <w:vAlign w:val="center"/>
            <w:tcMar>
              <w:top w:w="90" w:type="dxa"/>
              <w:left w:w="90" w:type="dxa"/>
              <w:bottom w:w="90" w:type="dxa"/>
              <w:right w:w="90" w:type="dxa"/>
            </w:tcMar>
            <w:shd w:fill="FFFFFF"/>
          </w:tcPr>
          <w:p>
            <w:pPr>
              <w:spacing w:after="40" w:line="240" w:lineRule="auto"/>
            </w:pPr>
            <w:r>
              <w:rPr>
                <w:b w:val="0"/>
                <w:sz w:val="19"/>
              </w:rPr>
              <w:t>Completed</w:t>
            </w:r>
          </w:p>
        </w:tc>
        <w:tc>
          <w:tcPr>
            <w:tcW w:type="dxa" w:w="2448"/>
            <w:vAlign w:val="center"/>
            <w:tcMar>
              <w:top w:w="90" w:type="dxa"/>
              <w:left w:w="90" w:type="dxa"/>
              <w:bottom w:w="90" w:type="dxa"/>
              <w:right w:w="90" w:type="dxa"/>
            </w:tcMar>
            <w:shd w:fill="FFFFFF"/>
          </w:tcPr>
          <w:p>
            <w:pPr>
              <w:spacing w:after="40" w:line="240" w:lineRule="auto"/>
            </w:pPr>
            <w:r>
              <w:rPr>
                <w:b w:val="0"/>
                <w:sz w:val="19"/>
              </w:rPr>
              <w:t>C1  Paper-3 disclosures</w:t>
            </w:r>
          </w:p>
        </w:tc>
        <w:tc>
          <w:tcPr>
            <w:tcW w:type="dxa" w:w="6192"/>
            <w:vAlign w:val="center"/>
            <w:tcMar>
              <w:top w:w="90" w:type="dxa"/>
              <w:left w:w="90" w:type="dxa"/>
              <w:bottom w:w="90" w:type="dxa"/>
              <w:right w:w="90" w:type="dxa"/>
            </w:tcMar>
            <w:shd w:fill="FFFFFF"/>
          </w:tcPr>
          <w:p>
            <w:pPr>
              <w:spacing w:after="40" w:line="240" w:lineRule="auto"/>
            </w:pPr>
            <w:r>
              <w:rPr>
                <w:b w:val="0"/>
                <w:sz w:val="19"/>
              </w:rPr>
              <w:t>R5 identifies the returned-file denominator, package confounds, no live LLM adaptation and unresolved event timing. [M1]</w:t>
            </w:r>
          </w:p>
        </w:tc>
      </w:tr>
      <w:tr>
        <w:trPr>
          <w:cantSplit/>
        </w:trPr>
        <w:tc>
          <w:tcPr>
            <w:tcW w:type="dxa" w:w="1440"/>
            <w:vAlign w:val="center"/>
            <w:tcMar>
              <w:top w:w="90" w:type="dxa"/>
              <w:left w:w="90" w:type="dxa"/>
              <w:bottom w:w="90" w:type="dxa"/>
              <w:right w:w="90" w:type="dxa"/>
            </w:tcMar>
            <w:shd w:fill="F7F9FB"/>
          </w:tcPr>
          <w:p>
            <w:pPr>
              <w:spacing w:after="40" w:line="240" w:lineRule="auto"/>
            </w:pPr>
            <w:r>
              <w:rPr>
                <w:b w:val="0"/>
                <w:sz w:val="19"/>
              </w:rPr>
              <w:t>Completed</w:t>
            </w:r>
          </w:p>
        </w:tc>
        <w:tc>
          <w:tcPr>
            <w:tcW w:type="dxa" w:w="2448"/>
            <w:vAlign w:val="center"/>
            <w:tcMar>
              <w:top w:w="90" w:type="dxa"/>
              <w:left w:w="90" w:type="dxa"/>
              <w:bottom w:w="90" w:type="dxa"/>
              <w:right w:w="90" w:type="dxa"/>
            </w:tcMar>
            <w:shd w:fill="F7F9FB"/>
          </w:tcPr>
          <w:p>
            <w:pPr>
              <w:spacing w:after="40" w:line="240" w:lineRule="auto"/>
            </w:pPr>
            <w:r>
              <w:rPr>
                <w:b w:val="0"/>
                <w:sz w:val="19"/>
              </w:rPr>
              <w:t>C2  Arithmetic check</w:t>
            </w:r>
          </w:p>
        </w:tc>
        <w:tc>
          <w:tcPr>
            <w:tcW w:type="dxa" w:w="6192"/>
            <w:vAlign w:val="center"/>
            <w:tcMar>
              <w:top w:w="90" w:type="dxa"/>
              <w:left w:w="90" w:type="dxa"/>
              <w:bottom w:w="90" w:type="dxa"/>
              <w:right w:w="90" w:type="dxa"/>
            </w:tcMar>
            <w:shd w:fill="F7F9FB"/>
          </w:tcPr>
          <w:p>
            <w:pPr>
              <w:spacing w:after="40" w:line="240" w:lineRule="auto"/>
            </w:pPr>
            <w:r>
              <w:rPr>
                <w:b w:val="0"/>
                <w:sz w:val="19"/>
              </w:rPr>
              <w:t>Reported headline proportions, Wilson intervals and age-comparison thresholds recalculate from the aggregates.</w:t>
            </w:r>
          </w:p>
        </w:tc>
      </w:tr>
      <w:tr>
        <w:trPr>
          <w:cantSplit/>
        </w:trPr>
        <w:tc>
          <w:tcPr>
            <w:tcW w:type="dxa" w:w="1440"/>
            <w:vAlign w:val="center"/>
            <w:tcMar>
              <w:top w:w="90" w:type="dxa"/>
              <w:left w:w="90" w:type="dxa"/>
              <w:bottom w:w="90" w:type="dxa"/>
              <w:right w:w="90" w:type="dxa"/>
            </w:tcMar>
            <w:shd w:fill="FFFFFF"/>
          </w:tcPr>
          <w:p>
            <w:pPr>
              <w:spacing w:after="40" w:line="240" w:lineRule="auto"/>
            </w:pPr>
            <w:r>
              <w:rPr>
                <w:b w:val="0"/>
                <w:sz w:val="19"/>
              </w:rPr>
              <w:t>Completed</w:t>
            </w:r>
          </w:p>
        </w:tc>
        <w:tc>
          <w:tcPr>
            <w:tcW w:type="dxa" w:w="2448"/>
            <w:vAlign w:val="center"/>
            <w:tcMar>
              <w:top w:w="90" w:type="dxa"/>
              <w:left w:w="90" w:type="dxa"/>
              <w:bottom w:w="90" w:type="dxa"/>
              <w:right w:w="90" w:type="dxa"/>
            </w:tcMar>
            <w:shd w:fill="FFFFFF"/>
          </w:tcPr>
          <w:p>
            <w:pPr>
              <w:spacing w:after="40" w:line="240" w:lineRule="auto"/>
            </w:pPr>
            <w:r>
              <w:rPr>
                <w:b w:val="0"/>
                <w:sz w:val="19"/>
              </w:rPr>
              <w:t>C3  Separate Pro review</w:t>
            </w:r>
          </w:p>
        </w:tc>
        <w:tc>
          <w:tcPr>
            <w:tcW w:type="dxa" w:w="6192"/>
            <w:vAlign w:val="center"/>
            <w:tcMar>
              <w:top w:w="90" w:type="dxa"/>
              <w:left w:w="90" w:type="dxa"/>
              <w:bottom w:w="90" w:type="dxa"/>
              <w:right w:w="90" w:type="dxa"/>
            </w:tcMar>
            <w:shd w:fill="FFFFFF"/>
          </w:tcPr>
          <w:p>
            <w:pPr>
              <w:spacing w:after="40" w:line="240" w:lineRule="auto"/>
            </w:pPr>
            <w:r>
              <w:rPr>
                <w:b w:val="0"/>
                <w:sz w:val="19"/>
              </w:rPr>
              <w:t>20 September report documents 42 deduplicated runs and 10 applied decisions; self-test provenance remains explicit. [R2]</w:t>
            </w:r>
          </w:p>
        </w:tc>
      </w:tr>
      <w:tr>
        <w:trPr>
          <w:cantSplit/>
        </w:trPr>
        <w:tc>
          <w:tcPr>
            <w:tcW w:type="dxa" w:w="1440"/>
            <w:vAlign w:val="center"/>
            <w:tcMar>
              <w:top w:w="90" w:type="dxa"/>
              <w:left w:w="90" w:type="dxa"/>
              <w:bottom w:w="90" w:type="dxa"/>
              <w:right w:w="90" w:type="dxa"/>
            </w:tcMar>
            <w:shd w:fill="F7F9FB"/>
          </w:tcPr>
          <w:p>
            <w:pPr>
              <w:spacing w:after="40" w:line="240" w:lineRule="auto"/>
            </w:pPr>
            <w:r>
              <w:rPr>
                <w:b w:val="0"/>
                <w:sz w:val="19"/>
              </w:rPr>
              <w:t>Pending</w:t>
            </w:r>
          </w:p>
        </w:tc>
        <w:tc>
          <w:tcPr>
            <w:tcW w:type="dxa" w:w="2448"/>
            <w:vAlign w:val="center"/>
            <w:tcMar>
              <w:top w:w="90" w:type="dxa"/>
              <w:left w:w="90" w:type="dxa"/>
              <w:bottom w:w="90" w:type="dxa"/>
              <w:right w:w="90" w:type="dxa"/>
            </w:tcMar>
            <w:shd w:fill="F7F9FB"/>
          </w:tcPr>
          <w:p>
            <w:pPr>
              <w:spacing w:after="40" w:line="240" w:lineRule="auto"/>
            </w:pPr>
            <w:r>
              <w:rPr>
                <w:b w:val="0"/>
                <w:sz w:val="19"/>
              </w:rPr>
              <w:t>P1  Instrument archive</w:t>
            </w:r>
          </w:p>
        </w:tc>
        <w:tc>
          <w:tcPr>
            <w:tcW w:type="dxa" w:w="6192"/>
            <w:vAlign w:val="center"/>
            <w:tcMar>
              <w:top w:w="90" w:type="dxa"/>
              <w:left w:w="90" w:type="dxa"/>
              <w:bottom w:w="90" w:type="dxa"/>
              <w:right w:w="90" w:type="dxa"/>
            </w:tcMar>
            <w:shd w:fill="F7F9FB"/>
          </w:tcPr>
          <w:p>
            <w:pPr>
              <w:spacing w:after="40" w:line="240" w:lineRule="auto"/>
            </w:pPr>
            <w:r>
              <w:rPr>
                <w:b w:val="0"/>
                <w:sz w:val="19"/>
              </w:rPr>
              <w:t>Obtain administered Stage-1/2 forms and Stage-3A invitation/questionnaire; confirm bilingual wording, response scale and thresholds. [R1, D1]</w:t>
            </w:r>
          </w:p>
        </w:tc>
      </w:tr>
      <w:tr>
        <w:trPr>
          <w:cantSplit/>
        </w:trPr>
        <w:tc>
          <w:tcPr>
            <w:tcW w:type="dxa" w:w="1440"/>
            <w:vAlign w:val="center"/>
            <w:tcMar>
              <w:top w:w="90" w:type="dxa"/>
              <w:left w:w="90" w:type="dxa"/>
              <w:bottom w:w="90" w:type="dxa"/>
              <w:right w:w="90" w:type="dxa"/>
            </w:tcMar>
            <w:shd w:fill="FFFFFF"/>
          </w:tcPr>
          <w:p>
            <w:pPr>
              <w:spacing w:after="40" w:line="240" w:lineRule="auto"/>
            </w:pPr>
            <w:r>
              <w:rPr>
                <w:b w:val="0"/>
                <w:sz w:val="19"/>
              </w:rPr>
              <w:t>Pending</w:t>
            </w:r>
          </w:p>
        </w:tc>
        <w:tc>
          <w:tcPr>
            <w:tcW w:type="dxa" w:w="2448"/>
            <w:vAlign w:val="center"/>
            <w:tcMar>
              <w:top w:w="90" w:type="dxa"/>
              <w:left w:w="90" w:type="dxa"/>
              <w:bottom w:w="90" w:type="dxa"/>
              <w:right w:w="90" w:type="dxa"/>
            </w:tcMar>
            <w:shd w:fill="FFFFFF"/>
          </w:tcPr>
          <w:p>
            <w:pPr>
              <w:spacing w:after="40" w:line="240" w:lineRule="auto"/>
            </w:pPr>
            <w:r>
              <w:rPr>
                <w:b w:val="0"/>
                <w:sz w:val="19"/>
              </w:rPr>
              <w:t>P2  Reproducibility record</w:t>
            </w:r>
          </w:p>
        </w:tc>
        <w:tc>
          <w:tcPr>
            <w:tcW w:type="dxa" w:w="6192"/>
            <w:vAlign w:val="center"/>
            <w:tcMar>
              <w:top w:w="90" w:type="dxa"/>
              <w:left w:w="90" w:type="dxa"/>
              <w:bottom w:w="90" w:type="dxa"/>
              <w:right w:w="90" w:type="dxa"/>
            </w:tcMar>
            <w:shd w:fill="FFFFFF"/>
          </w:tcPr>
          <w:p>
            <w:pPr>
              <w:spacing w:after="40" w:line="240" w:lineRule="auto"/>
            </w:pPr>
            <w:r>
              <w:rPr>
                <w:b w:val="0"/>
                <w:sz w:val="19"/>
              </w:rPr>
              <w:t>Finish source-to-result manifest, build lineage, telemetry-retention statement and source-linked participant compilation. [R1, M1]</w:t>
            </w:r>
          </w:p>
        </w:tc>
      </w:tr>
      <w:tr>
        <w:trPr>
          <w:cantSplit/>
        </w:trPr>
        <w:tc>
          <w:tcPr>
            <w:tcW w:type="dxa" w:w="1440"/>
            <w:vAlign w:val="center"/>
            <w:tcMar>
              <w:top w:w="90" w:type="dxa"/>
              <w:left w:w="90" w:type="dxa"/>
              <w:bottom w:w="90" w:type="dxa"/>
              <w:right w:w="90" w:type="dxa"/>
            </w:tcMar>
            <w:shd w:fill="F7F9FB"/>
          </w:tcPr>
          <w:p>
            <w:pPr>
              <w:spacing w:after="40" w:line="240" w:lineRule="auto"/>
            </w:pPr>
            <w:r>
              <w:rPr>
                <w:b w:val="0"/>
                <w:sz w:val="19"/>
              </w:rPr>
              <w:t>Pending</w:t>
            </w:r>
          </w:p>
        </w:tc>
        <w:tc>
          <w:tcPr>
            <w:tcW w:type="dxa" w:w="2448"/>
            <w:vAlign w:val="center"/>
            <w:tcMar>
              <w:top w:w="90" w:type="dxa"/>
              <w:left w:w="90" w:type="dxa"/>
              <w:bottom w:w="90" w:type="dxa"/>
              <w:right w:w="90" w:type="dxa"/>
            </w:tcMar>
            <w:shd w:fill="F7F9FB"/>
          </w:tcPr>
          <w:p>
            <w:pPr>
              <w:spacing w:after="40" w:line="240" w:lineRule="auto"/>
            </w:pPr>
            <w:r>
              <w:rPr>
                <w:b w:val="0"/>
                <w:sz w:val="19"/>
              </w:rPr>
              <w:t>P3  Reviewer responses</w:t>
            </w:r>
          </w:p>
        </w:tc>
        <w:tc>
          <w:tcPr>
            <w:tcW w:type="dxa" w:w="6192"/>
            <w:vAlign w:val="center"/>
            <w:tcMar>
              <w:top w:w="90" w:type="dxa"/>
              <w:left w:w="90" w:type="dxa"/>
              <w:bottom w:w="90" w:type="dxa"/>
              <w:right w:w="90" w:type="dxa"/>
            </w:tcMar>
            <w:shd w:fill="F7F9FB"/>
          </w:tcPr>
          <w:p>
            <w:pPr>
              <w:spacing w:after="40" w:line="240" w:lineRule="auto"/>
            </w:pPr>
            <w:r>
              <w:rPr>
                <w:b w:val="0"/>
                <w:sz w:val="19"/>
              </w:rPr>
              <w:t>Map each examiner/editor comment to a change and evidence. Paper 2 was submitted and at editorial assessment in the dated record; no new decision is verified. [R1]</w:t>
            </w:r>
          </w:p>
        </w:tc>
      </w:tr>
      <w:tr>
        <w:trPr>
          <w:cantSplit/>
        </w:trPr>
        <w:tc>
          <w:tcPr>
            <w:tcW w:type="dxa" w:w="1440"/>
            <w:vAlign w:val="center"/>
            <w:tcMar>
              <w:top w:w="90" w:type="dxa"/>
              <w:left w:w="90" w:type="dxa"/>
              <w:bottom w:w="90" w:type="dxa"/>
              <w:right w:w="90" w:type="dxa"/>
            </w:tcMar>
            <w:shd w:fill="FFFFFF"/>
          </w:tcPr>
          <w:p>
            <w:pPr>
              <w:spacing w:after="40" w:line="240" w:lineRule="auto"/>
            </w:pPr>
            <w:r>
              <w:rPr>
                <w:b w:val="0"/>
                <w:sz w:val="19"/>
              </w:rPr>
              <w:t>Blocked</w:t>
            </w:r>
          </w:p>
        </w:tc>
        <w:tc>
          <w:tcPr>
            <w:tcW w:type="dxa" w:w="2448"/>
            <w:vAlign w:val="center"/>
            <w:tcMar>
              <w:top w:w="90" w:type="dxa"/>
              <w:left w:w="90" w:type="dxa"/>
              <w:bottom w:w="90" w:type="dxa"/>
              <w:right w:w="90" w:type="dxa"/>
            </w:tcMar>
            <w:shd w:fill="FFFFFF"/>
          </w:tcPr>
          <w:p>
            <w:pPr>
              <w:spacing w:after="40" w:line="240" w:lineRule="auto"/>
            </w:pPr>
            <w:r>
              <w:rPr>
                <w:b w:val="0"/>
                <w:sz w:val="19"/>
              </w:rPr>
              <w:t>B1  Ethics and consent verification</w:t>
            </w:r>
          </w:p>
        </w:tc>
        <w:tc>
          <w:tcPr>
            <w:tcW w:type="dxa" w:w="6192"/>
            <w:vAlign w:val="center"/>
            <w:tcMar>
              <w:top w:w="90" w:type="dxa"/>
              <w:left w:w="90" w:type="dxa"/>
              <w:bottom w:w="90" w:type="dxa"/>
              <w:right w:w="90" w:type="dxa"/>
            </w:tcMar>
            <w:shd w:fill="FFFFFF"/>
          </w:tcPr>
          <w:p>
            <w:pPr>
              <w:spacing w:after="40" w:line="240" w:lineRule="auto"/>
            </w:pPr>
            <w:r>
              <w:rPr>
                <w:b w:val="0"/>
                <w:sz w:val="19"/>
              </w:rPr>
              <w:t>Approval is reported. Decision letter, authorised scope and consent/data-use basis for each stage are not verified in this review. [M1, R1]</w:t>
            </w:r>
          </w:p>
        </w:tc>
      </w:tr>
      <w:tr>
        <w:trPr>
          <w:cantSplit/>
        </w:trPr>
        <w:tc>
          <w:tcPr>
            <w:tcW w:type="dxa" w:w="1440"/>
            <w:vAlign w:val="center"/>
            <w:tcMar>
              <w:top w:w="90" w:type="dxa"/>
              <w:left w:w="90" w:type="dxa"/>
              <w:bottom w:w="90" w:type="dxa"/>
              <w:right w:w="90" w:type="dxa"/>
            </w:tcMar>
            <w:shd w:fill="F7F9FB"/>
          </w:tcPr>
          <w:p>
            <w:pPr>
              <w:spacing w:after="40" w:line="240" w:lineRule="auto"/>
            </w:pPr>
            <w:r>
              <w:rPr>
                <w:b w:val="0"/>
                <w:sz w:val="19"/>
              </w:rPr>
              <w:t>Blocked</w:t>
            </w:r>
          </w:p>
        </w:tc>
        <w:tc>
          <w:tcPr>
            <w:tcW w:type="dxa" w:w="2448"/>
            <w:vAlign w:val="center"/>
            <w:tcMar>
              <w:top w:w="90" w:type="dxa"/>
              <w:left w:w="90" w:type="dxa"/>
              <w:bottom w:w="90" w:type="dxa"/>
              <w:right w:w="90" w:type="dxa"/>
            </w:tcMar>
            <w:shd w:fill="F7F9FB"/>
          </w:tcPr>
          <w:p>
            <w:pPr>
              <w:spacing w:after="40" w:line="240" w:lineRule="auto"/>
            </w:pPr>
            <w:r>
              <w:rPr>
                <w:b w:val="0"/>
                <w:sz w:val="19"/>
              </w:rPr>
              <w:t>B2  Behavioural endpoints</w:t>
            </w:r>
          </w:p>
        </w:tc>
        <w:tc>
          <w:tcPr>
            <w:tcW w:type="dxa" w:w="6192"/>
            <w:vAlign w:val="center"/>
            <w:tcMar>
              <w:top w:w="90" w:type="dxa"/>
              <w:left w:w="90" w:type="dxa"/>
              <w:bottom w:w="90" w:type="dxa"/>
              <w:right w:w="90" w:type="dxa"/>
            </w:tcMar>
            <w:shd w:fill="F7F9FB"/>
          </w:tcPr>
          <w:p>
            <w:pPr>
              <w:spacing w:after="40" w:line="240" w:lineRule="auto"/>
            </w:pPr>
            <w:r>
              <w:rPr>
                <w:b w:val="0"/>
                <w:sz w:val="19"/>
              </w:rPr>
              <w:t>Dropout checkpoint, attempt/session distinction, dated return sequence and observation opportunity remain unresolved. [M1]</w:t>
            </w:r>
          </w:p>
        </w:tc>
      </w:tr>
      <w:tr>
        <w:trPr>
          <w:cantSplit/>
        </w:trPr>
        <w:tc>
          <w:tcPr>
            <w:tcW w:type="dxa" w:w="1440"/>
            <w:vAlign w:val="center"/>
            <w:tcMar>
              <w:top w:w="90" w:type="dxa"/>
              <w:left w:w="90" w:type="dxa"/>
              <w:bottom w:w="90" w:type="dxa"/>
              <w:right w:w="90" w:type="dxa"/>
            </w:tcMar>
            <w:shd w:fill="FFFFFF"/>
          </w:tcPr>
          <w:p>
            <w:pPr>
              <w:spacing w:after="40" w:line="240" w:lineRule="auto"/>
            </w:pPr>
            <w:r>
              <w:rPr>
                <w:b w:val="0"/>
                <w:sz w:val="19"/>
              </w:rPr>
              <w:t>Blocked</w:t>
            </w:r>
          </w:p>
        </w:tc>
        <w:tc>
          <w:tcPr>
            <w:tcW w:type="dxa" w:w="2448"/>
            <w:vAlign w:val="center"/>
            <w:tcMar>
              <w:top w:w="90" w:type="dxa"/>
              <w:left w:w="90" w:type="dxa"/>
              <w:bottom w:w="90" w:type="dxa"/>
              <w:right w:w="90" w:type="dxa"/>
            </w:tcMar>
            <w:shd w:fill="FFFFFF"/>
          </w:tcPr>
          <w:p>
            <w:pPr>
              <w:spacing w:after="40" w:line="240" w:lineRule="auto"/>
            </w:pPr>
            <w:r>
              <w:rPr>
                <w:b w:val="0"/>
                <w:sz w:val="19"/>
              </w:rPr>
              <w:t>B3  Final venue</w:t>
            </w:r>
          </w:p>
        </w:tc>
        <w:tc>
          <w:tcPr>
            <w:tcW w:type="dxa" w:w="6192"/>
            <w:vAlign w:val="center"/>
            <w:tcMar>
              <w:top w:w="90" w:type="dxa"/>
              <w:left w:w="90" w:type="dxa"/>
              <w:bottom w:w="90" w:type="dxa"/>
              <w:right w:w="90" w:type="dxa"/>
            </w:tcMar>
            <w:shd w:fill="FFFFFF"/>
          </w:tcPr>
          <w:p>
            <w:pPr>
              <w:spacing w:after="40" w:line="240" w:lineRule="auto"/>
            </w:pPr>
            <w:r>
              <w:rPr>
                <w:b w:val="0"/>
                <w:sz w:val="19"/>
              </w:rPr>
              <w:t>Supervisor choice remains open. Confirm whether SCIE is required before choosing Formative Research. [R1, W10]</w:t>
            </w:r>
          </w:p>
        </w:tc>
      </w:tr>
      <w:tr>
        <w:trPr>
          <w:cantSplit/>
        </w:trPr>
        <w:tc>
          <w:tcPr>
            <w:tcW w:type="dxa" w:w="1440"/>
            <w:vAlign w:val="center"/>
            <w:tcMar>
              <w:top w:w="90" w:type="dxa"/>
              <w:left w:w="90" w:type="dxa"/>
              <w:bottom w:w="90" w:type="dxa"/>
              <w:right w:w="90" w:type="dxa"/>
            </w:tcMar>
            <w:shd w:fill="F7F9FB"/>
          </w:tcPr>
          <w:p>
            <w:pPr>
              <w:spacing w:after="40" w:line="240" w:lineRule="auto"/>
            </w:pPr>
            <w:r>
              <w:rPr>
                <w:b w:val="0"/>
                <w:sz w:val="19"/>
              </w:rPr>
              <w:t>Newly raised</w:t>
            </w:r>
          </w:p>
        </w:tc>
        <w:tc>
          <w:tcPr>
            <w:tcW w:type="dxa" w:w="2448"/>
            <w:vAlign w:val="center"/>
            <w:tcMar>
              <w:top w:w="90" w:type="dxa"/>
              <w:left w:w="90" w:type="dxa"/>
              <w:bottom w:w="90" w:type="dxa"/>
              <w:right w:w="90" w:type="dxa"/>
            </w:tcMar>
            <w:shd w:fill="F7F9FB"/>
          </w:tcPr>
          <w:p>
            <w:pPr>
              <w:spacing w:after="40" w:line="240" w:lineRule="auto"/>
            </w:pPr>
            <w:r>
              <w:rPr>
                <w:b w:val="0"/>
                <w:sz w:val="19"/>
              </w:rPr>
              <w:t>N1  Data provenance conflict</w:t>
            </w:r>
          </w:p>
        </w:tc>
        <w:tc>
          <w:tcPr>
            <w:tcW w:type="dxa" w:w="6192"/>
            <w:vAlign w:val="center"/>
            <w:tcMar>
              <w:top w:w="90" w:type="dxa"/>
              <w:left w:w="90" w:type="dxa"/>
              <w:bottom w:w="90" w:type="dxa"/>
              <w:right w:w="90" w:type="dxa"/>
            </w:tcMar>
            <w:shd w:fill="F7F9FB"/>
          </w:tcPr>
          <w:p>
            <w:pPr>
              <w:spacing w:after="40" w:line="240" w:lineRule="auto"/>
            </w:pPr>
            <w:r>
              <w:rPr>
                <w:b w:val="0"/>
                <w:sz w:val="19"/>
              </w:rPr>
              <w:t>Available logbook has empty canonical data sheets and a quarantined import with conflicting subgroup values. [D1]</w:t>
            </w:r>
          </w:p>
        </w:tc>
      </w:tr>
      <w:tr>
        <w:trPr>
          <w:cantSplit/>
        </w:trPr>
        <w:tc>
          <w:tcPr>
            <w:tcW w:type="dxa" w:w="1440"/>
            <w:vAlign w:val="center"/>
            <w:tcMar>
              <w:top w:w="90" w:type="dxa"/>
              <w:left w:w="90" w:type="dxa"/>
              <w:bottom w:w="90" w:type="dxa"/>
              <w:right w:w="90" w:type="dxa"/>
            </w:tcMar>
            <w:shd w:fill="FFFFFF"/>
          </w:tcPr>
          <w:p>
            <w:pPr>
              <w:spacing w:after="40" w:line="240" w:lineRule="auto"/>
            </w:pPr>
            <w:r>
              <w:rPr>
                <w:b w:val="0"/>
                <w:sz w:val="19"/>
              </w:rPr>
              <w:t>Newly raised</w:t>
            </w:r>
          </w:p>
        </w:tc>
        <w:tc>
          <w:tcPr>
            <w:tcW w:type="dxa" w:w="2448"/>
            <w:vAlign w:val="center"/>
            <w:tcMar>
              <w:top w:w="90" w:type="dxa"/>
              <w:left w:w="90" w:type="dxa"/>
              <w:bottom w:w="90" w:type="dxa"/>
              <w:right w:w="90" w:type="dxa"/>
            </w:tcMar>
            <w:shd w:fill="FFFFFF"/>
          </w:tcPr>
          <w:p>
            <w:pPr>
              <w:spacing w:after="40" w:line="240" w:lineRule="auto"/>
            </w:pPr>
            <w:r>
              <w:rPr>
                <w:b w:val="0"/>
                <w:sz w:val="19"/>
              </w:rPr>
              <w:t>N2  Instrument inconsistency</w:t>
            </w:r>
          </w:p>
        </w:tc>
        <w:tc>
          <w:tcPr>
            <w:tcW w:type="dxa" w:w="6192"/>
            <w:vAlign w:val="center"/>
            <w:tcMar>
              <w:top w:w="90" w:type="dxa"/>
              <w:left w:w="90" w:type="dxa"/>
              <w:bottom w:w="90" w:type="dxa"/>
              <w:right w:w="90" w:type="dxa"/>
            </w:tcMar>
            <w:shd w:fill="FFFFFF"/>
          </w:tcPr>
          <w:p>
            <w:pPr>
              <w:spacing w:after="40" w:line="240" w:lineRule="auto"/>
            </w:pPr>
            <w:r>
              <w:rPr>
                <w:b w:val="0"/>
                <w:sz w:val="19"/>
              </w:rPr>
              <w:t>Older logbook describes silent clinical telemetry and a health-training intention item; reconcile with actual remote materials. [D1, M1]</w:t>
            </w:r>
          </w:p>
        </w:tc>
      </w:tr>
      <w:tr>
        <w:trPr>
          <w:cantSplit/>
        </w:trPr>
        <w:tc>
          <w:tcPr>
            <w:tcW w:type="dxa" w:w="1440"/>
            <w:vAlign w:val="center"/>
            <w:tcMar>
              <w:top w:w="90" w:type="dxa"/>
              <w:left w:w="90" w:type="dxa"/>
              <w:bottom w:w="90" w:type="dxa"/>
              <w:right w:w="90" w:type="dxa"/>
            </w:tcMar>
            <w:shd w:fill="F7F9FB"/>
          </w:tcPr>
          <w:p>
            <w:pPr>
              <w:spacing w:after="40" w:line="240" w:lineRule="auto"/>
            </w:pPr>
            <w:r>
              <w:rPr>
                <w:b w:val="0"/>
                <w:sz w:val="19"/>
              </w:rPr>
              <w:t>Newly raised</w:t>
            </w:r>
          </w:p>
        </w:tc>
        <w:tc>
          <w:tcPr>
            <w:tcW w:type="dxa" w:w="2448"/>
            <w:vAlign w:val="center"/>
            <w:tcMar>
              <w:top w:w="90" w:type="dxa"/>
              <w:left w:w="90" w:type="dxa"/>
              <w:bottom w:w="90" w:type="dxa"/>
              <w:right w:w="90" w:type="dxa"/>
            </w:tcMar>
            <w:shd w:fill="F7F9FB"/>
          </w:tcPr>
          <w:p>
            <w:pPr>
              <w:spacing w:after="40" w:line="240" w:lineRule="auto"/>
            </w:pPr>
            <w:r>
              <w:rPr>
                <w:b w:val="0"/>
                <w:sz w:val="19"/>
              </w:rPr>
              <w:t>N3  Residual overclaims</w:t>
            </w:r>
          </w:p>
        </w:tc>
        <w:tc>
          <w:tcPr>
            <w:tcW w:type="dxa" w:w="6192"/>
            <w:vAlign w:val="center"/>
            <w:tcMar>
              <w:top w:w="90" w:type="dxa"/>
              <w:left w:w="90" w:type="dxa"/>
              <w:bottom w:w="90" w:type="dxa"/>
              <w:right w:w="90" w:type="dxa"/>
            </w:tcMar>
            <w:shd w:fill="F7F9FB"/>
          </w:tcPr>
          <w:p>
            <w:pPr>
              <w:spacing w:after="40" w:line="240" w:lineRule="auto"/>
            </w:pPr>
            <w:r>
              <w:rPr>
                <w:b w:val="0"/>
                <w:sz w:val="19"/>
              </w:rPr>
              <w:t>Causal-sounding conclusion, half-of-completers claim and age-matched description exceed the current evidence. [M1]</w:t>
            </w:r>
          </w:p>
        </w:tc>
      </w:tr>
    </w:tbl>
    <w:p>
      <w:pPr>
        <w:spacing w:after="20"/>
      </w:pPr>
      <w:r>
        <w:rPr>
          <w:b w:val="0"/>
        </w:rPr>
      </w:r>
    </w:p>
    <w:p>
      <w:r>
        <w:rPr>
          <w:b w:val="0"/>
        </w:rPr>
        <w:t>Carry forward: Stage-2 archive assembly and nine-interview record are reported completed, while original forms remain pending. Original Stage 3B commenced in August; R5 reports one verified August return and no clean-run return at its 26 September cut-off. Do not substitute Pro exports. [R1, M1]</w:t>
      </w:r>
    </w:p>
    <w:p>
      <w:r>
        <w:rPr>
          <w:b w:val="0"/>
        </w:rPr>
        <w:t>Timing: the dated closing plan separates the 30 October 2026 research-period end from a November thesis-submission target. These are not the same deadline. The accepted closing scope excludes a required new Pro participant trial. [R1]</w:t>
      </w:r>
    </w:p>
    <w:p>
      <w:pPr>
        <w:pStyle w:val="Heading1"/>
        <w:pageBreakBefore/>
      </w:pPr>
      <w:r>
        <w:t>Decisions and evidence needed next</w:t>
      </w:r>
    </w:p>
    <w:p>
      <w:pPr>
        <w:pStyle w:val="Heading2"/>
      </w:pPr>
      <w:r>
        <w:t>First obtain the two submission-critical evidence sets</w:t>
      </w:r>
    </w:p>
    <w:p>
      <w:r>
        <w:rPr>
          <w:b w:val="0"/>
        </w:rPr>
        <w:t>Ethics set: the original approval decision, submitted and approved protocol versions, any amendments, and the institution's written clarification of earlier-stage data and consent. Reproduce the actual invitation and consent information. Facility permission or a stated approval period alone cannot settle participant-level consent and timing questions.</w:t>
      </w:r>
    </w:p>
    <w:p>
      <w:r>
        <w:rPr>
          <w:b w:val="0"/>
        </w:rPr>
        <w:t>Participant set: the original Stage-3A returned exports and questionnaire responses, securely linked by de-identified codes. Retain original filenames, build/version, relevant event dates, email receipt dates and any reminders. Keep identity keys outside the analysis file. Resolve conflicting records against source evidence, never against desired totals.</w:t>
      </w:r>
    </w:p>
    <w:p>
      <w:pPr>
        <w:pStyle w:val="Heading2"/>
      </w:pPr>
      <w:r>
        <w:t>Minimum participant record for the primary analysis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920"/>
      </w:tblGrid>
      <w:tr>
        <w:trPr>
          <w:cantSplit/>
          <w:tblHeader/>
        </w:trPr>
        <w:tc>
          <w:tcPr>
            <w:tcW w:type="dxa" w:w="2160"/>
            <w:vAlign w:val="center"/>
            <w:tcMar>
              <w:top w:w="90" w:type="dxa"/>
              <w:left w:w="90" w:type="dxa"/>
              <w:bottom w:w="90" w:type="dxa"/>
              <w:right w:w="90" w:type="dxa"/>
            </w:tcMar>
            <w:shd w:fill="DFE8F0"/>
          </w:tcPr>
          <w:p>
            <w:pPr>
              <w:spacing w:after="40" w:line="240" w:lineRule="auto"/>
            </w:pPr>
            <w:r>
              <w:rPr>
                <w:b/>
                <w:sz w:val="20"/>
              </w:rPr>
              <w:t>Domain</w:t>
            </w:r>
          </w:p>
        </w:tc>
        <w:tc>
          <w:tcPr>
            <w:tcW w:type="dxa" w:w="7920"/>
            <w:vAlign w:val="center"/>
            <w:tcMar>
              <w:top w:w="90" w:type="dxa"/>
              <w:left w:w="90" w:type="dxa"/>
              <w:bottom w:w="90" w:type="dxa"/>
              <w:right w:w="90" w:type="dxa"/>
            </w:tcMar>
            <w:shd w:fill="DFE8F0"/>
          </w:tcPr>
          <w:p>
            <w:pPr>
              <w:spacing w:after="40" w:line="240" w:lineRule="auto"/>
            </w:pPr>
            <w:r>
              <w:rPr>
                <w:b/>
                <w:sz w:val="20"/>
              </w:rPr>
              <w:t>Required fields or linked evidence</w:t>
            </w:r>
          </w:p>
        </w:tc>
      </w:tr>
      <w:tr>
        <w:trPr>
          <w:cantSplit/>
        </w:trPr>
        <w:tc>
          <w:tcPr>
            <w:tcW w:type="dxa" w:w="2160"/>
            <w:vAlign w:val="center"/>
            <w:tcMar>
              <w:top w:w="90" w:type="dxa"/>
              <w:left w:w="90" w:type="dxa"/>
              <w:bottom w:w="90" w:type="dxa"/>
              <w:right w:w="90" w:type="dxa"/>
            </w:tcMar>
            <w:shd w:fill="FFFFFF"/>
          </w:tcPr>
          <w:p>
            <w:pPr>
              <w:spacing w:after="40" w:line="240" w:lineRule="auto"/>
            </w:pPr>
            <w:r>
              <w:rPr>
                <w:b w:val="0"/>
                <w:sz w:val="20"/>
              </w:rPr>
              <w:t>Eligibility and recruitment</w:t>
            </w:r>
          </w:p>
        </w:tc>
        <w:tc>
          <w:tcPr>
            <w:tcW w:type="dxa" w:w="7920"/>
            <w:vAlign w:val="center"/>
            <w:tcMar>
              <w:top w:w="90" w:type="dxa"/>
              <w:left w:w="90" w:type="dxa"/>
              <w:bottom w:w="90" w:type="dxa"/>
              <w:right w:w="90" w:type="dxa"/>
            </w:tcMar>
            <w:shd w:fill="FFFFFF"/>
          </w:tcPr>
          <w:p>
            <w:pPr>
              <w:spacing w:after="40" w:line="240" w:lineRule="auto"/>
            </w:pPr>
            <w:r>
              <w:rPr>
                <w:b w:val="0"/>
                <w:sz w:val="20"/>
              </w:rPr>
              <w:t>Participant code, age band, recruitment route, first contact and consent basis; invited/started/returned denominators where genuinely recoverable.</w:t>
            </w:r>
          </w:p>
        </w:tc>
      </w:tr>
      <w:tr>
        <w:trPr>
          <w:cantSplit/>
        </w:trPr>
        <w:tc>
          <w:tcPr>
            <w:tcW w:type="dxa" w:w="2160"/>
            <w:vAlign w:val="center"/>
            <w:tcMar>
              <w:top w:w="90" w:type="dxa"/>
              <w:left w:w="90" w:type="dxa"/>
              <w:bottom w:w="90" w:type="dxa"/>
              <w:right w:w="90" w:type="dxa"/>
            </w:tcMar>
            <w:shd w:fill="F7F9FB"/>
          </w:tcPr>
          <w:p>
            <w:pPr>
              <w:spacing w:after="40" w:line="240" w:lineRule="auto"/>
            </w:pPr>
            <w:r>
              <w:rPr>
                <w:b w:val="0"/>
                <w:sz w:val="20"/>
              </w:rPr>
              <w:t>Exposure</w:t>
            </w:r>
          </w:p>
        </w:tc>
        <w:tc>
          <w:tcPr>
            <w:tcW w:type="dxa" w:w="7920"/>
            <w:vAlign w:val="center"/>
            <w:tcMar>
              <w:top w:w="90" w:type="dxa"/>
              <w:left w:w="90" w:type="dxa"/>
              <w:bottom w:w="90" w:type="dxa"/>
              <w:right w:w="90" w:type="dxa"/>
            </w:tcMar>
            <w:shd w:fill="F7F9FB"/>
          </w:tcPr>
          <w:p>
            <w:pPr>
              <w:spacing w:after="40" w:line="240" w:lineRule="auto"/>
            </w:pPr>
            <w:r>
              <w:rPr>
                <w:b w:val="0"/>
                <w:sz w:val="20"/>
              </w:rPr>
              <w:t>Exact build, input device, task conditions, supervision/support and first-exposure date.</w:t>
            </w:r>
          </w:p>
        </w:tc>
      </w:tr>
      <w:tr>
        <w:trPr>
          <w:cantSplit/>
        </w:trPr>
        <w:tc>
          <w:tcPr>
            <w:tcW w:type="dxa" w:w="2160"/>
            <w:vAlign w:val="center"/>
            <w:tcMar>
              <w:top w:w="90" w:type="dxa"/>
              <w:left w:w="90" w:type="dxa"/>
              <w:bottom w:w="90" w:type="dxa"/>
              <w:right w:w="90" w:type="dxa"/>
            </w:tcMar>
            <w:shd w:fill="FFFFFF"/>
          </w:tcPr>
          <w:p>
            <w:pPr>
              <w:spacing w:after="40" w:line="240" w:lineRule="auto"/>
            </w:pPr>
            <w:r>
              <w:rPr>
                <w:b w:val="0"/>
                <w:sz w:val="20"/>
              </w:rPr>
              <w:t>Event sequence</w:t>
            </w:r>
          </w:p>
        </w:tc>
        <w:tc>
          <w:tcPr>
            <w:tcW w:type="dxa" w:w="7920"/>
            <w:vAlign w:val="center"/>
            <w:tcMar>
              <w:top w:w="90" w:type="dxa"/>
              <w:left w:w="90" w:type="dxa"/>
              <w:bottom w:w="90" w:type="dxa"/>
              <w:right w:w="90" w:type="dxa"/>
            </w:tcMar>
            <w:shd w:fill="FFFFFF"/>
          </w:tcPr>
          <w:p>
            <w:pPr>
              <w:spacing w:after="40" w:line="240" w:lineRule="auto"/>
            </w:pPr>
            <w:r>
              <w:rPr>
                <w:b w:val="0"/>
                <w:sz w:val="20"/>
              </w:rPr>
              <w:t>Attempt/run/session identifiers and dates; operational failure; initial disengagement criterion; later return; prompting; last opportunity for follow-up.</w:t>
            </w:r>
          </w:p>
        </w:tc>
      </w:tr>
      <w:tr>
        <w:trPr>
          <w:cantSplit/>
        </w:trPr>
        <w:tc>
          <w:tcPr>
            <w:tcW w:type="dxa" w:w="2160"/>
            <w:vAlign w:val="center"/>
            <w:tcMar>
              <w:top w:w="90" w:type="dxa"/>
              <w:left w:w="90" w:type="dxa"/>
              <w:bottom w:w="90" w:type="dxa"/>
              <w:right w:w="90" w:type="dxa"/>
            </w:tcMar>
            <w:shd w:fill="F7F9FB"/>
          </w:tcPr>
          <w:p>
            <w:pPr>
              <w:spacing w:after="40" w:line="240" w:lineRule="auto"/>
            </w:pPr>
            <w:r>
              <w:rPr>
                <w:b w:val="0"/>
                <w:sz w:val="20"/>
              </w:rPr>
              <w:t>Questionnaire</w:t>
            </w:r>
          </w:p>
        </w:tc>
        <w:tc>
          <w:tcPr>
            <w:tcW w:type="dxa" w:w="7920"/>
            <w:vAlign w:val="center"/>
            <w:tcMar>
              <w:top w:w="90" w:type="dxa"/>
              <w:left w:w="90" w:type="dxa"/>
              <w:bottom w:w="90" w:type="dxa"/>
              <w:right w:w="90" w:type="dxa"/>
            </w:tcMar>
            <w:shd w:fill="F7F9FB"/>
          </w:tcPr>
          <w:p>
            <w:pPr>
              <w:spacing w:after="40" w:line="240" w:lineRule="auto"/>
            </w:pPr>
            <w:r>
              <w:rPr>
                <w:b w:val="0"/>
                <w:sz w:val="20"/>
              </w:rPr>
              <w:t>Exact administered wording and language, scale anchors, raw responses, missingness and the rule producing endorsement/intention counts.</w:t>
            </w:r>
          </w:p>
        </w:tc>
      </w:tr>
      <w:tr>
        <w:trPr>
          <w:cantSplit/>
        </w:trPr>
        <w:tc>
          <w:tcPr>
            <w:tcW w:type="dxa" w:w="2160"/>
            <w:vAlign w:val="center"/>
            <w:tcMar>
              <w:top w:w="90" w:type="dxa"/>
              <w:left w:w="90" w:type="dxa"/>
              <w:bottom w:w="90" w:type="dxa"/>
              <w:right w:w="90" w:type="dxa"/>
            </w:tcMar>
            <w:shd w:fill="FFFFFF"/>
          </w:tcPr>
          <w:p>
            <w:pPr>
              <w:spacing w:after="40" w:line="240" w:lineRule="auto"/>
            </w:pPr>
            <w:r>
              <w:rPr>
                <w:b w:val="0"/>
                <w:sz w:val="20"/>
              </w:rPr>
              <w:t>Provenance</w:t>
            </w:r>
          </w:p>
        </w:tc>
        <w:tc>
          <w:tcPr>
            <w:tcW w:type="dxa" w:w="7920"/>
            <w:vAlign w:val="center"/>
            <w:tcMar>
              <w:top w:w="90" w:type="dxa"/>
              <w:left w:w="90" w:type="dxa"/>
              <w:bottom w:w="90" w:type="dxa"/>
              <w:right w:w="90" w:type="dxa"/>
            </w:tcMar>
            <w:shd w:fill="FFFFFF"/>
          </w:tcPr>
          <w:p>
            <w:pPr>
              <w:spacing w:after="40" w:line="240" w:lineRule="auto"/>
            </w:pPr>
            <w:r>
              <w:rPr>
                <w:b w:val="0"/>
                <w:sz w:val="20"/>
              </w:rPr>
              <w:t>Source-file pointer for every analysed field, exclusion reason, derivation rule and reconciliation result.</w:t>
            </w:r>
          </w:p>
        </w:tc>
      </w:tr>
    </w:tbl>
    <w:p>
      <w:pPr>
        <w:spacing w:after="20"/>
      </w:pPr>
      <w:r>
        <w:rPr>
          <w:b w:val="0"/>
        </w:rPr>
      </w:r>
    </w:p>
    <w:p>
      <w:pPr>
        <w:pStyle w:val="Heading2"/>
      </w:pPr>
      <w:r>
        <w:t>Then make three decisions</w:t>
      </w:r>
    </w:p>
    <w:p>
      <w:r>
        <w:rPr>
          <w:b w:val="0"/>
        </w:rPr>
        <w:t>1. Evidence cut-off and claim level: with Prof. Cheung, decide which authenticated observations enter the final Paper 3 analysis. If timing cannot be reconstructed, remove the temporal endpoint or recast the paper around the remaining supported observations.</w:t>
      </w:r>
    </w:p>
    <w:p>
      <w:r>
        <w:rPr>
          <w:b w:val="0"/>
        </w:rPr>
        <w:t>2. Publication route: decide whether SCIE is necessary. Select the journal after the evidence audit; use the existing submission packages as formatting assets, not as a reason to retain unsupported framing.</w:t>
      </w:r>
    </w:p>
    <w:p>
      <w:r>
        <w:rPr>
          <w:b w:val="0"/>
        </w:rPr>
        <w:t>3. Thesis closure: keep adaptive learning as a design proposition and original Stage 3B as an accurately dated descriptive record. Preserve the Pro engineering appendix without adding an unrequired efficacy study.</w:t>
      </w:r>
    </w:p>
    <w:p>
      <w:pPr>
        <w:pStyle w:val="Heading2"/>
      </w:pPr>
      <w:r>
        <w:t>Reviewer response discipline</w:t>
      </w:r>
    </w:p>
    <w:p>
      <w:r>
        <w:rPr>
          <w:b w:val="0"/>
        </w:rPr>
        <w:t>Maintain one row per real comment: source/date, exact concern, manuscript location changed, supporting source, and open dependency. Do not label a comment resolved because a limitation sentence was added when the requested evidence remains absent. The newly raised issues in this report are editorial assessment items, not comments from an actual journal reviewer.</w:t>
      </w:r>
    </w:p>
    <w:p>
      <w:r>
        <w:rPr>
          <w:b w:val="0"/>
        </w:rPr>
        <w:t>For the next weekly summary, report changes in C/P/B/N items, the dated evidence behind each change, the three most important next actions and any decision needed from Sidney or the supervisor. If no new record is available, state no verified change. Do not infer progress from a newer filename.</w:t>
      </w:r>
    </w:p>
    <w:p>
      <w:pPr>
        <w:pStyle w:val="Heading1"/>
        <w:pageBreakBefore/>
      </w:pPr>
      <w:r>
        <w:t>Sources and record boundaries</w:t>
      </w:r>
    </w:p>
    <w:p>
      <w:pPr>
        <w:pStyle w:val="Heading2"/>
      </w:pPr>
      <w:r>
        <w:t>Research records</w:t>
      </w:r>
    </w:p>
    <w:p>
      <w:r>
        <w:rPr>
          <w:b w:val="0"/>
        </w:rPr>
        <w:t>[M1] Tam SKT and Cheung CF. 2026-09-26_Paper3_R5_Pivot.pdf. 17 pages. Main review source; manuscript cut-off 26 September 2026. Methods pp. 3-7; results pp. 7-10; discussion and limitations pp. 10-13; Stage 3B and future work pp. 13-14; declarations pp. 15-16.</w:t>
      </w:r>
    </w:p>
    <w:p>
      <w:r>
        <w:rPr>
          <w:b w:val="0"/>
        </w:rPr>
        <w:t>[R1] EngD_Update_8_Final_Review_September2026_revG.pdf. 18 September 2026. Slides 7-14: progress, publication status, original Stage 3B, remaining evidence and closing timetable. The earlier revB(3) deck was consulted only for historical detail; Rev G governs the closing scope.</w:t>
      </w:r>
    </w:p>
    <w:p>
      <w:r>
        <w:rPr>
          <w:b w:val="0"/>
        </w:rPr>
        <w:t>[D1] Stage3_Data_Logbook_120cases_with_Reconciliation.xlsx. Available working copy. Inspected Codebook, Participants, Game Telemetry, Q4 Responses, Outcomes, Preliminary_Summary, RAW_Import_UNVERIFIED and Reconciliation_RawImport. This is not a verified replacement for the primary exports.</w:t>
      </w:r>
    </w:p>
    <w:p>
      <w:r>
        <w:rPr>
          <w:b w:val="0"/>
        </w:rPr>
        <w:t>[R2] Stage3B_Pro_Batch01_Research_Review.pdf. Prepared 20 September 2026; seven pages. Reports self-test metadata, deduplication, feedback-to-decision linkage, mixed within-visit changes and unresolved participant identity/consent. Source exports were not independently re-audited in this assessment.</w:t>
      </w:r>
    </w:p>
    <w:p>
      <w:pPr>
        <w:pStyle w:val="Heading2"/>
      </w:pPr>
      <w:r>
        <w:t>Journal and methodological sources</w:t>
      </w:r>
    </w:p>
    <w:p>
      <w:pPr>
        <w:spacing w:after="100"/>
      </w:pPr>
      <w:r>
        <w:rPr>
          <w:b w:val="0"/>
          <w:sz w:val="18"/>
        </w:rPr>
        <w:t>[W1] JMIR Serious Games. Focus and Scope.</w:t>
        <w:br/>
        <w:t>https://games.jmir.org/about-journal/focus-and-scope</w:t>
      </w:r>
    </w:p>
    <w:p>
      <w:pPr>
        <w:spacing w:after="100"/>
      </w:pPr>
      <w:r>
        <w:rPr>
          <w:b w:val="0"/>
          <w:sz w:val="18"/>
        </w:rPr>
        <w:t>[W2] JMIR Formative Research. Focus and Scope.</w:t>
        <w:br/>
        <w:t>https://formative.jmir.org/about-journal/focus-and-scope</w:t>
      </w:r>
    </w:p>
    <w:p>
      <w:pPr>
        <w:spacing w:after="100"/>
      </w:pPr>
      <w:r>
        <w:rPr>
          <w:b w:val="0"/>
          <w:sz w:val="18"/>
        </w:rPr>
        <w:t>[W3] JMIR Human Factors. Focus and Scope.</w:t>
        <w:br/>
        <w:t>https://humanfactors.jmir.org/about-journal/focus-and-scope</w:t>
      </w:r>
    </w:p>
    <w:p>
      <w:pPr>
        <w:spacing w:after="100"/>
      </w:pPr>
      <w:r>
        <w:rPr>
          <w:b w:val="0"/>
          <w:sz w:val="18"/>
        </w:rPr>
        <w:t>[W4] Games for Health Journal. Journal home and submission guidance.</w:t>
        <w:br/>
        <w:t>https://journals.sagepub.com/home/GFH</w:t>
        <w:br/>
        <w:t>https://journals.sagepub.com/author-instructions/GFH</w:t>
      </w:r>
    </w:p>
    <w:p>
      <w:pPr>
        <w:spacing w:after="100"/>
      </w:pPr>
      <w:r>
        <w:rPr>
          <w:b w:val="0"/>
          <w:sz w:val="18"/>
        </w:rPr>
        <w:t>[W5] IEEE Access. About the journal.</w:t>
        <w:br/>
        <w:t>https://ieeeaccess.ieee.org/about/</w:t>
      </w:r>
    </w:p>
    <w:p>
      <w:pPr>
        <w:spacing w:after="100"/>
      </w:pPr>
      <w:r>
        <w:rPr>
          <w:b w:val="0"/>
          <w:sz w:val="18"/>
        </w:rPr>
        <w:t>[W6] JMIR Serious Games. Ethical Issues and Considerations.</w:t>
        <w:br/>
        <w:t>https://games.jmir.org/publishing-policies/ethical-issues-and-considerations</w:t>
      </w:r>
    </w:p>
    <w:p>
      <w:pPr>
        <w:spacing w:after="100"/>
      </w:pPr>
      <w:r>
        <w:rPr>
          <w:b w:val="0"/>
          <w:sz w:val="18"/>
        </w:rPr>
        <w:t>[W7] World Medical Association. Declaration of Helsinki, 2024 revision, paragraph 23.</w:t>
        <w:br/>
        <w:t>https://www.wma.net/policies-post/wma-declaration-of-helsinki/</w:t>
      </w:r>
    </w:p>
    <w:p>
      <w:pPr>
        <w:spacing w:after="100"/>
      </w:pPr>
      <w:r>
        <w:rPr>
          <w:b w:val="0"/>
          <w:sz w:val="18"/>
        </w:rPr>
        <w:t>[W8] Eysenbach G. The Law of Attrition. J Med Internet Res. 2005;7(1):e11. doi:10.2196/jmir.7.1.e11.</w:t>
        <w:br/>
        <w:t>https://www.jmir.org/2005/1/e11</w:t>
      </w:r>
    </w:p>
    <w:p>
      <w:pPr>
        <w:spacing w:after="100"/>
      </w:pPr>
      <w:r>
        <w:rPr>
          <w:b w:val="0"/>
          <w:sz w:val="18"/>
        </w:rPr>
        <w:t>[W9] Khalili-Mahani N, De Schutter B. Affective Game Planning for Health Applications. JMIR Serious Games. 2019;7(2):e13303. doi:10.2196/13303.</w:t>
        <w:br/>
        <w:t>https://games.jmir.org/2019/2/e13303</w:t>
      </w:r>
    </w:p>
    <w:p>
      <w:pPr>
        <w:spacing w:after="100"/>
      </w:pPr>
      <w:r>
        <w:rPr>
          <w:b w:val="0"/>
          <w:sz w:val="18"/>
        </w:rPr>
        <w:t>[W10] JMIR Formative Research. Indexing and Impact Factor.</w:t>
        <w:br/>
        <w:t>https://formative.jmir.org/about-journal/indexing-and-impact-factor</w:t>
      </w:r>
    </w:p>
    <w:p>
      <w:r>
        <w:rPr>
          <w:b w:val="0"/>
        </w:rPr>
        <w:t>Journal scopes, indexing statements and author guidance checked 27 September 2026. Rankings are editorial judgments, not acceptance probabilities or confirmed journal decisions. No submission, external correspondence or research-data alteration was made.</w:t>
      </w:r>
    </w:p>
    <w:sectPr w:rsidR="00FC693F" w:rsidRPr="0006063C" w:rsidSect="00034616">
      <w:footerReference w:type="default" r:id="rId9"/>
      <w:pgSz w:w="12240" w:h="15840"/>
      <w:pgMar w:top="936" w:right="1080" w:bottom="936"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Paper 3 editorial review  |  27 September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3 editorial review and EngD status</dc:title>
  <dc:subject>Editorial readiness, journal selection and dated research issue baseline</dc:subject>
  <dc:creator>Prepared for Sidney K. T. Tam</dc:creator>
  <cp:keywords/>
  <dc:description>generated by python-docx</dc:description>
  <cp:lastModifiedBy/>
  <cp:revision>1</cp:revision>
  <dcterms:created xsi:type="dcterms:W3CDTF">2013-12-23T23:15:00Z</dcterms:created>
  <dcterms:modified xsi:type="dcterms:W3CDTF">2013-12-23T23:15:00Z</dcterms:modified>
  <cp:category/>
</cp:coreProperties>
</file>