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Reported retention was 93.3%,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The coexistence of a recorded score increase and non-return motivates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Stage 2 prospectively documents substantial early disengagement and non-return,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FIAS,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jc w:val="both"/>
      </w:pPr>
      <w:r>
        <w:t xml:space="preserve">A measurement-provenance statement governs how the recorded index values are read. The index was not collected in separate assessment sessions: because the dual-purpose mechanic routes the pressure-panel signal into the FRA measurement pathway (§5.2A), play itself produced assessment output, and the system displayed the balance-test indexes whenever a participant's play concluded - whether the participant completed the full assessment sequence or stopped earlier, by choice or at the end of a run. The 'after' value for each participant is therefore the index from that participant's final play, at whatever week it occurred; every one of the thirty participants has a recorded value even though some did not complete the whole sequence. The indexes were interpreted against the manufacturer's evaluation guidelines by the facility's physicians. </w:t>
      </w:r>
      <w:r>
        <w:rPr>
          <w:highlight w:val="yellow"/>
        </w:rPr>
        <w:t>[AUTHOR CHECK: confirm the 'before' value's source - the facility's standard FRA assessment preceding the gamified deployment?]</w:t>
      </w:r>
      <w:r>
        <w:t xml:space="preserve"> Two consequences follow and are stated plainly: the post-measurement time varies across participants - it is each participant's last play, not a fixed end-of-window date - so pre/post changes span different exposure durations; and for single-session participants the recorded change derives from that single session.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demonstrate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to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commentReference w:id="5"/>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demonstrates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