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60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4"/>
        </w:rPr>
        <w:t>Comprehensive Investor Report</w:t>
      </w:r>
    </w:p>
    <w:p>
      <w:pPr>
        <w:spacing w:after="400"/>
        <w:jc w:val="center"/>
      </w:pPr>
      <w:r>
        <w:rPr>
          <w:b w:val="0"/>
          <w:i/>
          <w:color w:val="555555"/>
          <w:sz w:val="24"/>
        </w:rPr>
        <w:t>AI-Personalised Aesthetic Medical Devices — Korea-anchored, export-led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Prepared as an independent operator/investor read (chemical-engineering + aesthetic-medicine lens). Illustrative planning document — not investment, legal or tax advice. Financials are scenario estimates consistent with the v0.4 model.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GenApep Labs is a physician co-development lab for regenerative aesthetic medicine. Elite Korean aesthetic doctors co-design purpose-built products (personalised to the physician's clinical case, not the patient): an applicator device plus recurring CodeLife-configured peptide/exosome kits. Each doctor request becomes a registered SKU via a fast/cheap regulatory 'modification engine'; the inventing physician then champions it to peers under a compliance-first benefit-sharing royalty. The company is defensible on two co-equal moats — an AI/data flywheel and a physician-network + regulatory-process engine — and registered in Korea (MFDS), then exported across Asia and the Gulf on reliance pathways.</w:t>
      </w:r>
    </w:p>
    <w:p>
      <w:pPr>
        <w:pStyle w:val="Heading2"/>
      </w:pPr>
      <w:r>
        <w:t>The numbers (multi-market, same product)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2030 outcome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(China excl.)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Clinics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2,626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$112.2M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Gross profit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$74.5M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$10.3M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$33.0M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The ask</w:t>
      </w:r>
    </w:p>
    <w:p>
      <w:pPr>
        <w:pStyle w:val="ListBullet"/>
      </w:pPr>
      <w:r>
        <w:rPr>
          <w:b/>
        </w:rPr>
        <w:t>Round —</w:t>
      </w:r>
      <w:r>
        <w:t xml:space="preserve"> US$1.0M kickoff on a milestone-gated post-money SAFE, $6M cap / 20% discount, in two tranches ($400k close, $600k on milestones).</w:t>
      </w:r>
    </w:p>
    <w:p>
      <w:pPr>
        <w:pStyle w:val="ListBullet"/>
      </w:pPr>
      <w:r>
        <w:rPr>
          <w:b/>
        </w:rPr>
        <w:t>Valuation —</w:t>
      </w:r>
      <w:r>
        <w:t xml:space="preserve"> priced today on the device/consumables floor ($5–6M pre); the AI/data-company upside is the Series A thesis, not the seed price.</w:t>
      </w:r>
    </w:p>
    <w:p>
      <w:pPr>
        <w:pStyle w:val="ListBullet"/>
      </w:pPr>
      <w:r>
        <w:rPr>
          <w:b/>
        </w:rPr>
        <w:t>What $1M buys —</w:t>
      </w:r>
      <w:r>
        <w:t xml:space="preserve"> produce the validation pack plus the stability dossier + COGS BOM; stand up Korea + Wave-1 export (HK, Vietnam, Singapore); ship CodeLife v1 + the data-rights clause.</w:t>
      </w:r>
    </w:p>
    <w:p>
      <w:pPr>
        <w:pStyle w:val="Heading1"/>
      </w:pPr>
      <w:r>
        <w:t>2. Company &amp; market opportunity</w:t>
      </w:r>
    </w:p>
    <w:p>
      <w:pPr>
        <w:pStyle w:val="ListBullet"/>
      </w:pPr>
      <w:r>
        <w:rPr>
          <w:b/>
        </w:rPr>
        <w:t>Market —</w:t>
      </w:r>
      <w:r>
        <w:t xml:space="preserve"> medical aesthetics ≈ $17–18.5B (2024), ~10–13% CAGR, → ~$56B by 2033; injectables &gt;40% of revenue. Korea is a global aesthetics hub; Hong Kong a gateway.</w:t>
      </w:r>
    </w:p>
    <w:p>
      <w:pPr>
        <w:pStyle w:val="ListBullet"/>
      </w:pPr>
      <w:r>
        <w:rPr>
          <w:b/>
        </w:rPr>
        <w:t>Positioning —</w:t>
      </w:r>
      <w:r>
        <w:t xml:space="preserve"> commodity injectables (HA, botox) are not displaced (~$5–6.5B, still growing). GenApep is a new adjacent regenerative category, AI-personalised by physician purpose.</w:t>
      </w:r>
    </w:p>
    <w:p>
      <w:pPr>
        <w:pStyle w:val="ListBullet"/>
      </w:pPr>
      <w:r>
        <w:rPr>
          <w:b/>
        </w:rPr>
        <w:t>Structure —</w:t>
      </w:r>
      <w:r>
        <w:t xml:space="preserve"> JV — WBI 70% (IP: CodeLife.AI, IT-EXO®/SynExo, R&amp;D) / Eyesel 30% (manufacturing); valued standalone at ex-factory; distributors arm's-length / non-consolidated.</w:t>
      </w:r>
    </w:p>
    <w:p>
      <w:pPr>
        <w:pStyle w:val="Heading1"/>
      </w:pPr>
      <w:r>
        <w:t>3. Independent evaluation — strengths and corrections</w:t>
      </w:r>
    </w:p>
    <w:p>
      <w:pPr>
        <w:pStyle w:val="Heading2"/>
      </w:pPr>
      <w:r>
        <w:t>Validated strengths</w:t>
      </w:r>
    </w:p>
    <w:p>
      <w:pPr>
        <w:pStyle w:val="ListBullet"/>
      </w:pPr>
      <w:r>
        <w:rPr>
          <w:b/>
        </w:rPr>
        <w:t>Regulatory arbitrage —</w:t>
      </w:r>
      <w:r>
        <w:t xml:space="preserve"> Korea MFDS 'modified device' route + Hong Kong MDACS voluntary listing enable a fast, low-cost first registration and an export springboard.</w:t>
      </w:r>
    </w:p>
    <w:p>
      <w:pPr>
        <w:pStyle w:val="ListBullet"/>
      </w:pPr>
      <w:r>
        <w:rPr>
          <w:b/>
        </w:rPr>
        <w:t>Razor-and-blades —</w:t>
      </w:r>
      <w:r>
        <w:t xml:space="preserve"> device placement + recurring kits is stickier and higher-value than commodity OEM vials.</w:t>
      </w:r>
    </w:p>
    <w:p>
      <w:pPr>
        <w:pStyle w:val="ListBullet"/>
      </w:pPr>
      <w:r>
        <w:rPr>
          <w:b/>
        </w:rPr>
        <w:t>AI efficacy + flywheel —</w:t>
      </w:r>
      <w:r>
        <w:t xml:space="preserve"> designing peptides that outperform generalised products, plus an AI-QA/analytics loop, creates a compounding data advantage.</w:t>
      </w:r>
    </w:p>
    <w:p>
      <w:pPr>
        <w:pStyle w:val="Heading2"/>
      </w:pPr>
      <w:r>
        <w:t>Corrections carried into the plan</w:t>
      </w:r>
    </w:p>
    <w:p>
      <w:pPr>
        <w:pStyle w:val="ListNumber"/>
      </w:pPr>
      <w:r>
        <w:t>Device-vs-drug: an IM injectable is likely a drug/biologic — lead the device fast-path with the microneedling/topical line; run IM separately.</w:t>
      </w:r>
    </w:p>
    <w:p>
      <w:pPr>
        <w:pStyle w:val="ListNumber"/>
      </w:pPr>
      <w:r>
        <w:t>'Same raw materials': personalise via device parameters within a pre-cleared envelope, not new actives.</w:t>
      </w:r>
    </w:p>
    <w:p>
      <w:pPr>
        <w:pStyle w:val="ListNumber"/>
      </w:pPr>
      <w:r>
        <w:t>Exosomes: lead with non-human (salmon/synthetic) origin and claim discipline (Korea ad ban; EU human-exosome ban; US FDA warnings).</w:t>
      </w:r>
    </w:p>
    <w:p>
      <w:pPr>
        <w:pStyle w:val="ListNumber"/>
      </w:pPr>
      <w:r>
        <w:t>Cold chain: stabilisation tech removes the −80 °C dependency (a distribution/export advantage) — substantiate with a stability/shelf-life dossier; publish a bottom-up COGS BOM.</w:t>
      </w:r>
    </w:p>
    <w:p>
      <w:pPr>
        <w:pStyle w:val="ListNumber"/>
      </w:pPr>
      <w:r>
        <w:t>'$25M exposure': re-present at entity/product/channel level; treat as market signal, not company revenue.</w:t>
      </w:r>
    </w:p>
    <w:p>
      <w:pPr>
        <w:pStyle w:val="Heading1"/>
      </w:pPr>
      <w:r>
        <w:t>4. Business model — two co-equal moats</w:t>
      </w:r>
    </w:p>
    <w:p>
      <w:pPr>
        <w:spacing w:after="120"/>
      </w:pPr>
      <w:r>
        <w:rPr>
          <w:b w:val="0"/>
          <w:i w:val="0"/>
          <w:sz w:val="21"/>
        </w:rPr>
        <w:t>GenApep Labs is a physician co-development lab, defensible on two fronts at once. Either moat alone is copyable; together they compound. Devices/kits are the revenue wedge and the data-capture layer.</w:t>
      </w:r>
    </w:p>
    <w:p>
      <w:pPr>
        <w:pStyle w:val="ListBullet"/>
      </w:pPr>
      <w:r>
        <w:rPr>
          <w:b/>
        </w:rPr>
        <w:t>Moat A — AI engine &amp; data flywheel —</w:t>
      </w:r>
      <w:r>
        <w:t xml:space="preserve"> CodeLife.AI designs personalised peptides engineered to outperform generalised products; an AI-QA suite validates every batch and feeds a compounding outcomes dataset (the durable asset). Physician decision-support within a cleared envelope (SaMD-aware).</w:t>
      </w:r>
    </w:p>
    <w:p>
      <w:pPr>
        <w:pStyle w:val="ListBullet"/>
      </w:pPr>
      <w:r>
        <w:rPr>
          <w:b/>
        </w:rPr>
        <w:t>Moat B — Physician co-development engine —</w:t>
      </w:r>
      <w:r>
        <w:t xml:space="preserve"> elite Korean KOLs co-develop purpose-built SKUs (doctor-personalised, not patient), registered fast/cheap via a regulatory 'modification engine', and spread through a compliance-first benefit-shared KOL flywheel. A relationship + process asset, hard to copy.</w:t>
      </w:r>
    </w:p>
    <w:p>
      <w:pPr>
        <w:pStyle w:val="Heading2"/>
      </w:pPr>
      <w:r>
        <w:t>Moat B — the three engines</w:t>
      </w:r>
    </w:p>
    <w:p>
      <w:pPr>
        <w:pStyle w:val="ListNumber"/>
      </w:pPr>
      <w:r>
        <w:t>KOL co-development lab — Korea's world-class physicians co-design products from the doctor's clinical perspective; CodeLife accelerates each design.</w:t>
      </w:r>
    </w:p>
    <w:p>
      <w:pPr>
        <w:pStyle w:val="ListNumber"/>
      </w:pPr>
      <w:r>
        <w:t>Modification engine — each variant is a minor change under Korea's improved-device / negative-list regime and functional-cosmetic/quasi-drug routes (company target &lt;3% change, ~3-month cycle, &lt;$30K/SKU → ~20 SKUs in ~6 months; &lt;$600K total — to be validated).</w:t>
      </w:r>
    </w:p>
    <w:p>
      <w:pPr>
        <w:pStyle w:val="ListNumber"/>
      </w:pPr>
      <w:r>
        <w:t>Benefit-shared KOL flywheel (compliance-first) — the inventing physician champions the SKU to peers and shares economics as an FMV royalty for genuine IP co-invention, DECOUPLED from their own usage; K-Sunshine / anti-rebate compliant. The 'double-edged' risk is managed by design.</w:t>
      </w:r>
    </w:p>
    <w:p>
      <w:pPr>
        <w:spacing w:after="120"/>
      </w:pPr>
      <w:r>
        <w:rPr>
          <w:b w:val="0"/>
          <w:i/>
          <w:color w:val="555555"/>
          <w:sz w:val="19"/>
        </w:rPr>
        <w:t>See the Model Clarification annex for how this maps to the exosome / synthetic-biotech aesthetics landscape (ExoCoBio, Brexogen, designer exosomes) and its regulatory reality.</w:t>
      </w:r>
    </w:p>
    <w:p>
      <w:pPr>
        <w:pStyle w:val="Heading1"/>
      </w:pPr>
      <w:r>
        <w:t>5. Technology &amp; the AI moat</w:t>
      </w:r>
    </w:p>
    <w:p>
      <w:pPr>
        <w:spacing w:after="120"/>
      </w:pPr>
      <w:r>
        <w:rPr>
          <w:b w:val="0"/>
          <w:i w:val="0"/>
          <w:sz w:val="21"/>
        </w:rPr>
        <w:t>The differentiator is performance, not merely personalisation. The moat compounds as the same product, used across many markets, returns structured, consented outcome data that improves the model — which improves the peptides — which deepens clinic lock-in.</w:t>
      </w:r>
    </w:p>
    <w:p>
      <w:pPr>
        <w:pStyle w:val="ListBullet"/>
      </w:pPr>
      <w:r>
        <w:rPr>
          <w:b/>
        </w:rPr>
        <w:t>Components —</w:t>
      </w:r>
      <w:r>
        <w:t xml:space="preserve"> AI peptide design (CodeLife), AI-QA/batch analytics, consented outcomes capture at the device, and a closed-loop retraining cadence.</w:t>
      </w:r>
    </w:p>
    <w:p>
      <w:pPr>
        <w:pStyle w:val="ListBullet"/>
      </w:pPr>
      <w:r>
        <w:rPr>
          <w:b/>
        </w:rPr>
        <w:t>Honest framing —</w:t>
      </w:r>
      <w:r>
        <w:t xml:space="preserve"> 'own large model' is a direction, not a day-one claim for a small team; the defensible asset now is the dataset + data-rights + analytics, not a foundation model.</w:t>
      </w:r>
    </w:p>
    <w:p>
      <w:pPr>
        <w:pStyle w:val="Heading1"/>
      </w:pPr>
      <w:r>
        <w:t>6. Regulatory strategy + the modification engine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>
              <w:rPr>
                <w:b/>
                <w:sz w:val="19"/>
              </w:rPr>
              <w:t>Regulated object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Class / pathway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Speed / note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Applicator (microneedling/ion)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Medical device — improved-device / negative-list change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Fast; KR 10-2654857 anchors the family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Doctor-personalised topical/exosome kit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Functional cosmetic / quasi-drug (mostly outside device class)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Same-active notification; &lt;3% deltas; the SKU engine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IM / injectable peptide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Drug / biologic (separate track)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Slower; must not gate launch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CodeLife software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Config/decision-support in a cleared envelope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Manages SaMD exposure</w:t>
            </w:r>
          </w:p>
        </w:tc>
      </w:tr>
    </w:tbl>
    <w:p>
      <w:pPr>
        <w:spacing w:after="40"/>
      </w:pPr>
    </w:p>
    <w:p>
      <w:pPr>
        <w:pStyle w:val="Heading1"/>
      </w:pPr>
      <w:r>
        <w:t>7. International expansion — KFDA as an export springboard</w:t>
      </w:r>
    </w:p>
    <w:p>
      <w:pPr>
        <w:spacing w:after="120"/>
      </w:pPr>
      <w:r>
        <w:rPr>
          <w:b w:val="0"/>
          <w:i w:val="0"/>
          <w:sz w:val="21"/>
        </w:rPr>
        <w:t>Two-speed: the device travels on the Korean technical file via reliance/recognition; the kit is wrapped per market (cosmetic vs device vs drug), leaning on salmon/synthetic origin. Precedent: Korean salmon-PDRN boosters (e.g., Rejuran) exported across SEA/Middle East/Europe off a Korean approval.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Tier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Markets &amp; KFDA leverage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Tier 1 — ASEAN + Hong Kong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HK MDACS recognises Korea MFDS as a reference (pair Korea + Singapore for the ≥2-reference expedited route); Vietnam accepts MFDS; Singapore HSA gateway; ASEAN AMDD/CSDT cascade to Thailand, Malaysia, Indonesia, Philippines.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Tier 2 — GCC + Greater China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Saudi SFDA (GCC regional reference) + UAE MOHAP; Taiwan TFDA accepts Korean data; China NMPA via Hainan/cross-border first.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Sequence: Korea anchor (2027) → HK/Vietnam/Singapore (2027–28) → ASEAN + GCC (2028–29) → Taiwan/China (2029–30). Each market needs a local responsible person/distributor.</w:t>
      </w:r>
    </w:p>
    <w:p>
      <w:pPr>
        <w:pStyle w:val="Heading1"/>
      </w:pPr>
      <w:r>
        <w:t>8. Multi-market financial model (3 scenarios)</w:t>
      </w:r>
    </w:p>
    <w:p>
      <w:pPr>
        <w:spacing w:after="120"/>
      </w:pPr>
      <w:r>
        <w:rPr>
          <w:b w:val="0"/>
          <w:i w:val="0"/>
          <w:sz w:val="21"/>
        </w:rPr>
        <w:t>Same Korean-developed product across all markets — scenarios flex only the clinic ramp, price and utilisation, never the product, so margins are stable and R&amp;D is not duplicated.</w:t>
      </w:r>
    </w:p>
    <w:p>
      <w:pPr>
        <w:pStyle w:val="Heading2"/>
      </w:pPr>
      <w:r>
        <w:t>Total revenue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EBITDA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9"/>
        </w:rPr>
        <w:t>Unit economics (identical everywhere): kit EXW $30–35, kit GM ~64–67%%; device ASP $3,000, GM 35–42%%. Distributors arm's-length / non-consolidated; revenue booked at ex-factory. Full per-market clinic build in the Multi-Market Model document.</w:t>
      </w:r>
    </w:p>
    <w:p>
      <w:pPr>
        <w:pStyle w:val="Heading1"/>
      </w:pPr>
      <w:r>
        <w:t>9. Valuation — two lenses</w:t>
      </w:r>
    </w:p>
    <w:p>
      <w:pPr>
        <w:pStyle w:val="ListBullet"/>
      </w:pPr>
      <w:r>
        <w:rPr>
          <w:b/>
        </w:rPr>
        <w:t>Lens A (floor, priced today) —</w:t>
      </w:r>
      <w:r>
        <w:t xml:space="preserve"> device/consumables business — $5–7M pre / $6–8M post; recommend $6M midpoint for the $1M kickoff.</w:t>
      </w:r>
    </w:p>
    <w:p>
      <w:pPr>
        <w:pStyle w:val="ListBullet"/>
      </w:pPr>
      <w:r>
        <w:rPr>
          <w:b/>
        </w:rPr>
        <w:t>Lens B (upside) —</w:t>
      </w:r>
      <w:r>
        <w:t xml:space="preserve"> AI/data-science company — shifts comps from medtech to AI/data multiples; reframes the 2028 Series A as a premium, institutional AI round. The prize, not the seed price.</w:t>
      </w:r>
    </w:p>
    <w:p>
      <w:pPr>
        <w:pStyle w:val="Heading2"/>
      </w:pPr>
      <w:r>
        <w:t>Cap table — $6.0M pre / $1.0M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Pre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Post-raise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Investor (SAFE-converted)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</w:tbl>
    <w:p>
      <w:pPr>
        <w:spacing w:after="40"/>
      </w:pPr>
    </w:p>
    <w:p>
      <w:pPr>
        <w:pStyle w:val="Heading1"/>
      </w:pPr>
      <w:r>
        <w:t>10. Diligence scorecard (technical-investor RAG)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RAG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Gating question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Commercial validation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$25M by entity/product/channel + reorder data?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Chemistry / formulation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Is the personalisation envelope clean AND differentiating?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Manufacturing &amp; supply chain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Stability dossier (cold-chain-free) + bottom-up BOM?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Does the device path survive the envelope; claims controlled?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/ data moat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Data-rights in the clinic contract; CodeLife v1 demo?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Rebuild base off anchor-clinic actuals?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Valuation / deal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What price holds before the validation pack exists?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 &amp; JV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WBI IP assignment/licence schedule into the JV?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/ capital adequacy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Which milestones can $1M actually hit?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reach &amp; export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Per-market kit class; salmon/synthetic clears bans?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Physician benefit-sharing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FMV co-invention royalty, decoupled from usage; K-Sunshine?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Verdict: conditional interest — diligence yes, their price no. Price $5–6M, milestone-gated. No red flags once the validation pack and the stability dossier + COGS BOM land; amber→green.</w:t>
      </w:r>
    </w:p>
    <w:p>
      <w:pPr>
        <w:pStyle w:val="Heading1"/>
      </w:pPr>
      <w:r>
        <w:t>11. Proposed deal — milestone-gated SAFE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Instrument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Post-money SAFE (milestone tranches)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US$1.0M — $400k close / $600k milestone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Cap / discount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$6.0M / 20% / MFN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Conditions precedent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IP into JV; $25M sample verification; clinic data-rights clause; physician co-development/IP-royalty framework + K-Sunshine compliance opinion; clean cap table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Milestones (Tranche 2)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Stability dossier + COGS BOM; 5–10 anchor clinics w/ reorders; one prospective readout; classification memo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Board observer; pro-rata; information rights</w:t>
            </w:r>
          </w:p>
        </w:tc>
      </w:tr>
    </w:tbl>
    <w:p>
      <w:pPr>
        <w:spacing w:after="40"/>
      </w:pPr>
    </w:p>
    <w:p>
      <w:pPr>
        <w:pStyle w:val="Heading1"/>
      </w:pPr>
      <w:r>
        <w:t>12. Key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Risk</w:t>
            </w:r>
          </w:p>
        </w:tc>
        <w:tc>
          <w:tcPr>
            <w:tcW w:type="dxa" w:w="6048"/>
          </w:tcPr>
          <w:p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Device-vs-drug reclassification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Lead device fast-path; IM on separate track; system registration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COGS needs a bottom-up BOM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Stability dossier (cold-chain-free); bottom-up BOM; QC release costing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Exosome claims restricted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Non-human origin; function-based claims; per-market claims map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Aggressive clinic ramp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Rebuild base off anchor-clinic reorder cohorts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Kit class varies by market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Per-market regulatory wrapper; reliance where available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Capital adequacy / Series A risk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Milestone gating; lean export via distributors</w:t>
            </w:r>
          </w:p>
        </w:tc>
      </w:tr>
    </w:tbl>
    <w:p>
      <w:pPr>
        <w:spacing w:after="40"/>
      </w:pPr>
    </w:p>
    <w:p>
      <w:pPr>
        <w:pStyle w:val="Heading1"/>
      </w:pPr>
      <w:r>
        <w:t>13. Roadmap, use of funds &amp; asks</w:t>
      </w:r>
    </w:p>
    <w:p>
      <w:pPr>
        <w:pStyle w:val="ListBullet"/>
      </w:pPr>
      <w:r>
        <w:rPr>
          <w:b/>
        </w:rPr>
        <w:t>0–12 months ($1M) —</w:t>
      </w:r>
      <w:r>
        <w:t xml:space="preserve"> Korea registration + anchor clinics; stability dossier + COGS BOM; CodeLife v1 + data-rights; Wave-1 export prep (HK, Vietnam, Singapore).</w:t>
      </w:r>
    </w:p>
    <w:p>
      <w:pPr>
        <w:pStyle w:val="ListBullet"/>
      </w:pPr>
      <w:r>
        <w:rPr>
          <w:b/>
        </w:rPr>
        <w:t>12–30 months —</w:t>
      </w:r>
      <w:r>
        <w:t xml:space="preserve"> ASEAN cascade + GCC; prospective beachhead readout; Series A (AI round) to fund multi-market registration + clinical salesforce.</w:t>
      </w:r>
    </w:p>
    <w:p>
      <w:pPr>
        <w:pStyle w:val="Heading2"/>
      </w:pPr>
      <w:r>
        <w:t>Open items to confirm</w:t>
      </w:r>
    </w:p>
    <w:p>
      <w:pPr>
        <w:pStyle w:val="ListBullet"/>
      </w:pPr>
      <w:r>
        <w:t xml:space="preserve"> Verify the $25M at entity/product/channel level (validation pack).</w:t>
      </w:r>
    </w:p>
    <w:p>
      <w:pPr>
        <w:pStyle w:val="ListBullet"/>
      </w:pPr>
      <w:r>
        <w:t xml:space="preserve"> Confirm device ASP/GM and per-market clinic ramps vs clinic counts.</w:t>
      </w:r>
    </w:p>
    <w:p>
      <w:pPr>
        <w:pStyle w:val="ListBullet"/>
      </w:pPr>
      <w:r>
        <w:t xml:space="preserve"> Head-to-head efficacy evidence that AI peptides outperform generalised products.</w:t>
      </w:r>
    </w:p>
    <w:p>
      <w:pPr>
        <w:pStyle w:val="ListBullet"/>
      </w:pPr>
      <w:r>
        <w:t xml:space="preserve"> Current ML capability/data assets vs the 'own large model' build plan.</w:t>
      </w:r>
    </w:p>
    <w:p>
      <w:pPr>
        <w:pStyle w:val="ListBullet"/>
      </w:pPr>
      <w:r>
        <w:t xml:space="preserve"> Round strategy: lean $1M seed (Lens A) vs a larger institutional-AI round (Lens 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