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3355"/>
          <w:sz w:val="52"/>
        </w:rPr>
        <w:t>GENAPEP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28"/>
        </w:rPr>
        <w:t>Comments on the FirstVitals DD Questionnaires (Part 1) — for Theresa Jang &amp; Brian Kim</w:t>
      </w:r>
    </w:p>
    <w:p>
      <w:pPr>
        <w:spacing w:after="40"/>
        <w:jc w:val="center"/>
      </w:pPr>
      <w:r>
        <w:rPr>
          <w:b/>
          <w:i w:val="0"/>
          <w:color w:val="C0392B"/>
          <w:sz w:val="18"/>
        </w:rPr>
        <w:t>PRIVATE &amp; CONFIDENTIAL — for Theresa Jang (WBI) and Brian Kim (EyeSel). Not for release to FirstVitals or any third party. Read with GenApep IPO Plan v2.</w:t>
      </w:r>
    </w:p>
    <w:p>
      <w:pPr>
        <w:spacing w:after="200"/>
        <w:jc w:val="center"/>
      </w:pPr>
      <w:r>
        <w:rPr>
          <w:b w:val="0"/>
          <w:i/>
          <w:color w:val="555555"/>
          <w:sz w:val="17"/>
        </w:rPr>
        <w:t>Prepared 17 September 2026. Commercial comments for board discussion — not legal advice; response drafting and every 'None' answer should be settled with counsel.</w:t>
      </w:r>
    </w:p>
    <w:p>
      <w:pPr>
        <w:pStyle w:val="Heading2"/>
      </w:pPr>
      <w:r>
        <w:t>1. What FirstVitals sent — and what it signals</w:t>
      </w:r>
    </w:p>
    <w:p>
      <w:pPr>
        <w:pStyle w:val="ListBullet"/>
        <w:spacing w:after="60"/>
      </w:pPr>
      <w:r>
        <w:t>FirstVitals has sent WBI and EyeSel two Part-1 'preliminary screening' DD questionnaires (v1.5, sections A–H: corporate, ownership, management, financials, valuation, products, regulatory, litigation). Part 2 — full documentary diligence — follows if the parties decide to proceed, 'toward the exchange ratio and definitive documentation.'</w:t>
      </w:r>
    </w:p>
    <w:p>
      <w:pPr>
        <w:pStyle w:val="ListBullet"/>
        <w:spacing w:after="60"/>
      </w:pPr>
      <w:r>
        <w:t>The two documents are WORD-FOR-WORD IDENTICAL except the company name. That tells you three things: (a) it is boilerplate, not tailored diligence; (b) FV intends to DIFF your two responses against each other — treat drafting as one joint exercise, not two; (c) the level of tailoring is consistent with Plan v2's read of FV's sophistication.</w:t>
      </w:r>
    </w:p>
    <w:p>
      <w:pPr>
        <w:pStyle w:val="ListBullet"/>
        <w:spacing w:after="60"/>
      </w:pPr>
      <w:r>
        <w:t>The questionnaire's own defined premise is the structure our documents rejected: 'FV would acquire the outstanding equity interests of the Company in exchange for shares of FV' — each Korean company rolled up SEPARATELY into FirstVitals as parent. Answering inside that defined term, without reservation, is soft acceptance of the frame.</w:t>
      </w:r>
    </w:p>
    <w:p>
      <w:pPr>
        <w:pStyle w:val="ListBullet"/>
        <w:spacing w:after="60"/>
      </w:pPr>
      <w:r>
        <w:t>It is one-directional: FV asks you for three years of financials while our gate-zero questions to FV (1-A amounts actually sold, Form 1-K/1-SA runway, the $500K note's holder and terms, the FirstVitals/First Vital/ProteusDx entity-name chain, the 7.5M-share pool) remain unanswered — and NO NDA IS ON RECORD between the parties.</w:t>
      </w:r>
    </w:p>
    <w:p>
      <w:pPr>
        <w:pStyle w:val="Heading2"/>
      </w:pPr>
      <w:r>
        <w:t>2. The response position (answer without accepting the frame)</w:t>
      </w:r>
    </w:p>
    <w:p>
      <w:pPr>
        <w:pStyle w:val="ListBullet"/>
        <w:spacing w:after="60"/>
      </w:pPr>
      <w:r>
        <w:rPr>
          <w:b/>
        </w:rPr>
        <w:t xml:space="preserve">Reserve the structure in the cover letter — </w:t>
      </w:r>
      <w:r>
        <w:t>Respond jointly as one block. Re-define their term: 'the Proposed Transaction as described by FV, which the boards have not accepted or endorsed in structure, direction of acquisition, or valuation' — and use that term throughout, including H.3. Restate that any combination proceeds only through the JV holdco (block entry, pro rata, Addendum A machinery) and, per Plan v2, on the Management-Partnership basis: entity at verified value, Ernie's role and equity as disclosed KPI-gated management compensation.</w:t>
      </w:r>
    </w:p>
    <w:p>
      <w:pPr>
        <w:pStyle w:val="ListBullet"/>
        <w:spacing w:after="60"/>
      </w:pPr>
      <w:r>
        <w:rPr>
          <w:b/>
        </w:rPr>
        <w:t xml:space="preserve">NDA before anything sensitive moves — </w:t>
      </w:r>
      <w:r>
        <w:t>Part 1's own instruction says formal supporting documentation is not required at this stage — use that: deliver concise figures-only answers now, defer every document (registry copies, statements, bank records, registers) to Part 2 under an executed mutual NDA and data-room protocol. Base the NDA condition on the boards' position, not on the third-party-consent instruction (reserve that for genuine third-party items: customer contracts, the counterparty MOU).</w:t>
      </w:r>
    </w:p>
    <w:p>
      <w:pPr>
        <w:pStyle w:val="ListBullet"/>
        <w:spacing w:after="60"/>
      </w:pPr>
      <w:r>
        <w:rPr>
          <w:b/>
        </w:rPr>
        <w:t xml:space="preserve">Reciprocity as a condition of Part 2 — </w:t>
      </w:r>
      <w:r>
        <w:t>In a share-for-share exchange your shareholders become investors in FV stock — diligence is inherently mutual. Condition Part 2 on FV completing the IDENTICAL Part 1 about itself (gate-zero list above, plus management references for Mr. Lee including the 2024 shareholder dispute). No exchange-ratio discussion until both Part 1s are complete.</w:t>
      </w:r>
    </w:p>
    <w:p>
      <w:pPr>
        <w:pStyle w:val="ListBullet"/>
        <w:spacing w:after="60"/>
      </w:pPr>
      <w:r>
        <w:rPr>
          <w:b/>
        </w:rPr>
        <w:t xml:space="preserve">Cap the update duty — </w:t>
      </w:r>
      <w:r>
        <w:t>Their instructions create a continuing-update expectation ('identify material changes after the date of the documents'). Signing Amendment No. 1, appointing the auditor, or closing the $2M bridge after delivery would all arguably qualify. State in the cover letter that responses speak as of a single stated date with no continuing duty outside an agreed Part-2 process — and sequence corporate actions versus delivery deliberately.</w:t>
      </w:r>
    </w:p>
    <w:p>
      <w:pPr>
        <w:pStyle w:val="Heading2"/>
      </w:pPr>
      <w:r>
        <w:t>3. Six rules before anything leaves the building</w:t>
      </w:r>
    </w:p>
    <w:p>
      <w:pPr>
        <w:pStyle w:val="ListNumber"/>
        <w:spacing w:after="60"/>
      </w:pPr>
      <w:r>
        <w:t>One joint drafting protocol. Identical questionnaires get coordinated answers: same glossary, same as-of date, identical MOU-disclosure wording in the same places (E.3 with an A.3 cross-reference: 'a confidential non-binding MOU with a strategic partner regarding a potential business combination; terms subject to third-party consent'), and each company's written consent to the other's mention. Divergent wording reads as concealment and is exactly what the identical templates are designed to catch.</w:t>
      </w:r>
    </w:p>
    <w:p>
      <w:pPr>
        <w:pStyle w:val="ListNumber"/>
        <w:spacing w:after="60"/>
      </w:pPr>
      <w:r>
        <w:t>Every 'None' gets a verification file. B.3, B.4, D.4, F.3, G.2, H.1, H.2: a dated internal memo naming who certified and what was searched (registry, court records, QA/CS, treasury, shareholder confirmations) BEFORE the answer is written. Use one uniform qualifier everywhere: 'None known to the Company after reasonable inquiry, as of [date].' These answers become the rep-and-warranty disclosure baseline of any later deal — and the defence file if there is none.</w:t>
      </w:r>
    </w:p>
    <w:p>
      <w:pPr>
        <w:pStyle w:val="ListNumber"/>
        <w:spacing w:after="60"/>
      </w:pPr>
      <w:r>
        <w:t>Numbers: KRW primary, one FX rate, character-identical to the record. Answer in Korean (their instructions allow it) with Korean originals controlling; state figures in KRW with one disclosed rate consistent with the Amendment No. 1 FX-convention lock. Every figure must match the statutory/NTS record used for the 51:49 equalisation basis — a number given to FV that differs from the JV record is discoverable and weaponisable on both fronts.</w:t>
      </w:r>
    </w:p>
    <w:p>
      <w:pPr>
        <w:pStyle w:val="ListNumber"/>
        <w:spacing w:after="60"/>
      </w:pPr>
      <w:r>
        <w:t>The $11.7M figure never appears. The DD report's '$11.7M 2026 WBI exosome revenue' is 3.4x the NTS-certified FY2025 actual and does not reconcile. If FV cites it — in Part 2, a term sheet, or a significance test — correct it in writing immediately (correct combined FY2025A is ~₩15,262.9M ≈ $10.9M @₩1,400).</w:t>
      </w:r>
    </w:p>
    <w:p>
      <w:pPr>
        <w:pStyle w:val="ListNumber"/>
        <w:spacing w:after="60"/>
      </w:pPr>
      <w:r>
        <w:t>No internal documents, ever. Plan v2, the FirstVitals DD report, valuation scenarios ($15–20M band, $8.0M peg, '~$50M combined'), route analysis, sponsor talks and dilution math stay out of every answer. Harmonised audit answer for both companies, verbatim: 'Financial statements are unaudited, prepared under Korean SME accounting standards (중소기업회계기준); a PCAOB-registered audit engagement is being scoped for the Company's own purposes.' Nothing more.</w:t>
      </w:r>
    </w:p>
    <w:p>
      <w:pPr>
        <w:pStyle w:val="ListNumber"/>
        <w:spacing w:after="60"/>
      </w:pPr>
      <w:r>
        <w:t>One response coordinator — not the conflicted channel. Route drafting through counsel or a neutral coordinator; the FA's documented conflicts (meeting advocacy, sweat-pool interest, FA mandate) make him the wrong sole channel for responses to the counterparty he introduced.</w:t>
      </w:r>
    </w:p>
    <w:p>
      <w:pPr>
        <w:pStyle w:val="Heading2"/>
      </w:pPr>
      <w:r>
        <w:t>4. WBI answer-readiness (for Theresa)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6192"/>
          </w:tcPr>
          <w:p>
            <w:r>
              <w:rPr>
                <w:b/>
                <w:sz w:val="18"/>
              </w:rPr>
              <w:t>Key actions &amp; traps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A. Corporate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 / 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Registry answers verbatim from a same-day 등기부 pull (all six A.2 documents still to be collected — defer copies to Part 2). A.3 perimeter: describe any excluded affiliate only from the registry, and verify the holdco/GenApep-Korea incorporation status as of the answer date; disclose the 12-Aug MOU as NON-BINDING and UNSIGNED-amendment status accurately (Amendment No. 1 is drafted, not signed).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B. Ownership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Reconcile 111,448 shares / 5,572 placement / $89.75 against the 등기부 and 주주명부 BEFORE answering — these are user-supplied figures not yet verified against the registry. B.4: 'None' at WBI level is accurate (the sweat pool is a holdco-level, unissued concept) — minute the reasoning.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C.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NEEDS WORK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Names and titles only, from the registry; no bios, no US-CEO/relocation discussion.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D. Financials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Only FY2025 figures are verified (rev ₩4,802.7M ≈ $3.43M; NI ₩243.2M). FY2023/FY2024 filings and H1-2026 YTD must be assembled — this is the same 'WBI evidence pack' Plan v2 already requires; build once, use for FV, Eyesel symmetry and the auditor. The implied ₩172.3M operating profit stays OUT until read off the actual filing. D.5: frame the $2M bridge as growth/US-preparation funding by a modestly profitable company — neither distress nor full self-sufficiency.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E. Valuation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CAUTION — the anchoring question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E.1/E.2 answer: the 5% placement (5,572 sh at $89.75, ~$0.5M raised) — with an express non-reliance rider ('historic private placement; no valuation implication accepted for any exchange ratio'). Never the $15–20M band or the '$50M combined' remark. PRE-CONDITION: issue the one-pager corrective supplement to shareholders and complete the reliance check before the placement or the 주주명부 goes on paper.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F. Products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Stage precisely: exosome hair-loss line = commercialised, revenue-generating; MM Studio = in development, pre-revenue (the $2.90M 2026 figure is plan). Overstating MM Studio creates the same claims-vs-papers gap we condemned at FirstVitals. F.2: anonymised concentration bands now, names in Part 2 under NDA.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G. Regulatory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License register (MFDS registrations, GMP/quality, export certificates) with expiries; state the exosome products' regulatory CLASSIFICATION accurately (cosmetic vs functional/medical claims boundary). 5-year sweep incl. advertising-claims enforcement before any 'None'.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H. Litigation / catch-all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Court and internal checks covering officers/directors personally (first scope who counts as officer/director). H.3: flag narrowly — perimeter exclusion, JV framework and structure reservation; volunteer nothing about routes, valuations or FV's own condition.</w:t>
            </w:r>
          </w:p>
        </w:tc>
      </w:tr>
    </w:tbl>
    <w:p>
      <w:pPr>
        <w:spacing w:after="40"/>
      </w:pPr>
    </w:p>
    <w:p>
      <w:pPr>
        <w:pStyle w:val="Heading2"/>
      </w:pPr>
      <w:r>
        <w:t>5. EyeSel answer-readiness (for Brian Kim)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6192"/>
          </w:tcPr>
          <w:p>
            <w:r>
              <w:rPr>
                <w:b/>
                <w:sz w:val="18"/>
              </w:rPr>
              <w:t>Key actions &amp; traps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A. Corporate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READY / NEEDS WORK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Solvency answer is strong (profitable, dividend-paying, ₩10.36B retained earnings). All six A.2 documents still to be collected. A.3: K-SME standalone accounts suggest no consolidated entities — confirm before 'None'; the JV MOU has no incorporated entity yet.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B. Ownership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Build the cap table from the 주주명부 and explain the ₩478,000 share-premium transfer consistently with the registry. B.2/C.1 are THE authority items: the registry states the representative director of record; obtain the written board confirmation of the principal (Park vs Kim) BEFORE any answer or signature leaves — the whole response is tainted if signed by the wrong person. B.4 'None' (after 정관/minutes check) sharpens the demand that FV's 54.18%-FD pool be cancelled.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C.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Same authority point; headcount from HR with a stated date (SG&amp;A salaries ₩669.8M give the sanity anchor; manufacturing labour sits in COGS).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D. Financials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STRONGEST HAND / GAPS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FY2025/FY2024 income statement and retained-earnings statement are verified and strong. Missing: balance sheet, FY2023, 2026 YTD, cash-flow statement (may legitimately not exist under K-SME — say so, don't fabricate one), CIT return, AR/AP aging, debt schedule, bank statements. Staple the OP-decline bridge to D.2 — INCLUDING the gross-margin compression (-6.1pp, ≈₩642M at FY2025 volume), not just SG&amp;A growth — and pre-normalise NI for the ₩301.2M one-off disposal gain before FV does it adversarially. ₩10.36B retained earnings is NOT cash (interest income halved; depreciation tripled) — no cash figure until bank statements are in hand.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E. Valuation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E.1: 'no independent third-party valuation of the Company exists' — exactly that, minuted with the reasoning (internal planning bands are negotiating positions, not valuations). E.2: base 'no financings' on the 등기부 issuance history 2023–2026, not on the income statement's silence. E.3: the joint MOU-disclosure wording, mirrored with WBI.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F. Products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NEEDS WORK / 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Everything is launched and revenue-generating — a strength against a pre-revenue counterparty; draft the one-paragraph description aligned to the licence register. Verify actual GMP certifications (scope, number, expiry) before the narrative uses 'GMP'. F.2 top-10 customers: anonymised bands now, names in Part 2 under NDA; check whether the ₩435.0M commission counterparty appears in or near that list.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G. Regulatory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NEEDS WORK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Licence register incl. export registrations covering the ₩5,294.0M export book; check change-of-control transferability of each licence (a Part-2 question to know first); grant-clawback conditions on the ₩62.7M government subsidies; the 4.1% ETR explanation (SME/R&amp;D credits) ready before the CIT return is delivered.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H. Litigation / catch-all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CAUTION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H.2 CANNOT be answered until the ₩435.0M FY2025 sales-commission counterparty (10.5x YoY) is understood internally — related-party, undocumented intermediary or rebate arrangement would land exactly here, and matters in any future US-listing context. Resolve before the response is sent. H.3: narrow, accurate, with the structure reservation.</w:t>
            </w:r>
          </w:p>
        </w:tc>
      </w:tr>
    </w:tbl>
    <w:p>
      <w:pPr>
        <w:spacing w:after="40"/>
      </w:pPr>
    </w:p>
    <w:p>
      <w:pPr>
        <w:pStyle w:val="Heading2"/>
      </w:pPr>
      <w:r>
        <w:t>6. Traps inside the questionnaire's own instructions</w:t>
      </w:r>
    </w:p>
    <w:p>
      <w:pPr>
        <w:pStyle w:val="ListBullet"/>
        <w:spacing w:after="60"/>
      </w:pPr>
      <w:r>
        <w:t>'Three most recent fiscal years' = FY2023–FY2025 plus YTD: neither company has FY2023 material assembled. Inventory what exists NOW and pre-draft the unavailability explanations their instructions require, rather than promising three years and failing.</w:t>
      </w:r>
    </w:p>
    <w:p>
      <w:pPr>
        <w:pStyle w:val="ListBullet"/>
        <w:spacing w:after="60"/>
      </w:pPr>
      <w:r>
        <w:t>The consolidation sweep: 'Company' includes subsidiaries, controlled affiliates and consolidated entities — so every 'None' is deemed given for affiliates too. Preface: each company answers on a standalone K-SME basis, no consolidated entities as of the answer date. Note that a later-incorporated holdco/GenApep Korea would fall INSIDE their definition — another reason to cap the update duty.</w:t>
      </w:r>
    </w:p>
    <w:p>
      <w:pPr>
        <w:pStyle w:val="ListBullet"/>
        <w:spacing w:after="60"/>
      </w:pPr>
      <w:r>
        <w:t>Part 1 says documents are not required, yet A.2/D.1 request copies 'for FV's CFO'. Invoke the conflict explicitly: figures-only Part 1, documents in Part 2 under NDA.</w:t>
      </w:r>
    </w:p>
    <w:p>
      <w:pPr>
        <w:pStyle w:val="ListBullet"/>
        <w:spacing w:after="60"/>
      </w:pPr>
      <w:r>
        <w:t>B.2 (ultimate beneficial owner): state the standard applied (e.g., Korean AML 25% ownership/control test) inside the answer, so it cannot be re-read later against a different definition.</w:t>
      </w:r>
    </w:p>
    <w:p>
      <w:pPr>
        <w:pStyle w:val="ListBullet"/>
        <w:spacing w:after="60"/>
      </w:pPr>
      <w:r>
        <w:t>Estimates: Part 1 invites 'good-faith estimates' — a trap for D.3/D.5-type items that later become rep baselines. Estimate only what is safe to estimate (headcount), never balance-sheet or debt figures.</w:t>
      </w:r>
    </w:p>
    <w:p>
      <w:pPr>
        <w:pStyle w:val="Heading2"/>
      </w:pPr>
      <w:r>
        <w:t>7. What Part 2 will bring — prepare now</w:t>
      </w:r>
    </w:p>
    <w:p>
      <w:pPr>
        <w:pStyle w:val="ListBullet"/>
        <w:spacing w:after="60"/>
      </w:pPr>
      <w:r>
        <w:t>Their Part 1 omits what a competent Part 2 will demand — prepare now: IP/chain-of-title (our own Amendment No. 1 condition precedent anyway: AI.pep, CodeLife.AI, IT-EXO, SynExo assignments), related-party transactions (both companies — and note their questionnaire's own silence on related parties), employment/labor, data privacy, insurance schedules.</w:t>
      </w:r>
    </w:p>
    <w:p>
      <w:pPr>
        <w:pStyle w:val="ListBullet"/>
        <w:spacing w:after="60"/>
      </w:pPr>
      <w:r>
        <w:t>EyeSel: resolve the ₩435.0M commission counterparty and the severance-liability position (the missing balance sheet's classic K-SME item) before Part 2 exposes them.</w:t>
      </w:r>
    </w:p>
    <w:p>
      <w:pPr>
        <w:pStyle w:val="ListBullet"/>
        <w:spacing w:after="60"/>
      </w:pPr>
      <w:r>
        <w:t>WBI: MM Studio contract evidence and H1-2026 actuals — the same pack the 49% defence and the auditor need.</w:t>
      </w:r>
    </w:p>
    <w:p>
      <w:pPr>
        <w:pStyle w:val="ListBullet"/>
        <w:spacing w:after="60"/>
      </w:pPr>
      <w:r>
        <w:t>Both: the PCAOB audit workstream (Q4-2026 appointment) produces most Part-2 financial artefacts as a by-product — sequence the data room off the audit file, not as a separate scramble.</w:t>
      </w:r>
    </w:p>
    <w:p>
      <w:pPr>
        <w:pStyle w:val="Heading2"/>
      </w:pPr>
      <w:r>
        <w:t>8. Suggested sequence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7776"/>
          </w:tcPr>
          <w:p>
            <w:r>
              <w:rPr>
                <w:b/>
                <w:sz w:val="18"/>
              </w:rPr>
              <w:t>Actions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sz w:val="18"/>
              </w:rPr>
              <w:t>Week 1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Joint board minute adopting the response position (structure reservation, NDA-first, reciprocity, update-duty cap); mutual NDA executed; written confirmation of the EyeSel principal; WBI corrective supplement to shareholders issued.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sz w:val="18"/>
              </w:rPr>
              <w:t>Weeks 1–2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Assemble: registry extracts, cap-table reconciliations, FY2023 inventory, WBI evidence pack, EyeSel balance sheet + bank statements; verification files for every intended 'None'; resolve the commission counterparty internally.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sz w:val="18"/>
              </w:rPr>
              <w:t>Weeks 2–3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Deliver coordinated figures-only Part-1 responses under the joint cover letter; simultaneously deliver our reciprocal Part-1 to FV (gate-zero list); documents deferred to Part 2 under NDA/data-room protocol.</w:t>
            </w:r>
          </w:p>
        </w:tc>
      </w:tr>
      <w:tr>
        <w:tc>
          <w:tcPr>
            <w:tcW w:type="dxa" w:w="1584"/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No exchange-ratio or valuation discussion until FV's reciprocal Part 1 is complete and gate-zero closes; any Part-2 process runs off the audit file.</w:t>
            </w:r>
          </w:p>
        </w:tc>
      </w:tr>
    </w:tbl>
    <w:p>
      <w:pPr>
        <w:spacing w:after="40"/>
      </w:pPr>
    </w:p>
    <w:p>
      <w:pPr>
        <w:spacing w:after="120"/>
        <w:jc w:val="center"/>
      </w:pPr>
      <w:r>
        <w:rPr>
          <w:b w:val="0"/>
          <w:i/>
          <w:color w:val="555555"/>
          <w:sz w:val="17"/>
        </w:rPr>
        <w:t>Basis: 3-agent readiness analysis with adversarial red-team over the questionnaires and the verified record (17 September 2026). Answering Part 1 on these terms commits the companies to nothing and runs in parallel with Stage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3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3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3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