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F3A5F"/>
          <w:sz w:val="52"/>
        </w:rPr>
        <w:t>GENAPEP</w:t>
      </w:r>
    </w:p>
    <w:p>
      <w:pPr>
        <w:spacing w:after="40"/>
        <w:jc w:val="center"/>
      </w:pPr>
      <w:r>
        <w:rPr>
          <w:b w:val="0"/>
          <w:i w:val="0"/>
          <w:color w:val="555555"/>
          <w:sz w:val="30"/>
        </w:rPr>
        <w:t>Investor DD Scorecard (technical-investor lens)</w:t>
      </w:r>
    </w:p>
    <w:p>
      <w:pPr>
        <w:spacing w:after="280"/>
        <w:jc w:val="center"/>
      </w:pPr>
      <w:r>
        <w:rPr>
          <w:b w:val="0"/>
          <w:i/>
          <w:color w:val="555555"/>
          <w:sz w:val="18"/>
        </w:rPr>
        <w:t>Chemical-engineer / aesthetic-medicine investor read. Illustrative diligence aid, not investment advice.</w:t>
      </w:r>
    </w:p>
    <w:p>
      <w:pPr>
        <w:spacing w:after="120"/>
      </w:pPr>
      <w:r>
        <w:rPr>
          <w:b w:val="0"/>
          <w:i/>
          <w:sz w:val="19"/>
        </w:rPr>
        <w:t>Legend: GREEN = credible/de-risked · AMBER = plausible but unproven, needs evidence · RED = material gap to resolve before scaling/closing.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2016"/>
          </w:tcPr>
          <w:p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864"/>
          </w:tcPr>
          <w:p>
            <w:r>
              <w:rPr>
                <w:b/>
                <w:sz w:val="19"/>
              </w:rPr>
              <w:t>RAG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Rationale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Gating DD question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Commercial validation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AMBER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"$25M+ exposure" unverified &amp; aggregates affiliates; testimony = usability not efficacy.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Show the $25M by entity/product/channel + reorder data — how much is THIS product's demand?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Chemistry / formulation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AMBER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SynExo/IT-EXO treated as settled; the personalisation-vs-'same raw materials' envelope is asserted.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Define the pre-cleared envelope — is variation clean AND clinically differentiating?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Manufacturing &amp; supply chain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AMBER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Stabilisation tech removes the −80 °C cold-chain dependency (a distribution/export advantage); COGS still top-down, no BOM.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Show the stability/shelf-life dossier + BOM + per-batch QC release cost.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Regulatory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AMBER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Strong topical-vs-IM segmentation (green-leaning); exosome scrutiny + SaMD pull to amber.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Classification memo: does the device path survive the envelope; how are exosome claims controlled?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AI / data moat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AMBER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"Own large model" overreaches for 2→12 FTE; real asset is consented outcomes data, gated on clinic rights.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Are data-rights in the clinic contract, and what does CodeLife v1 do today (demo)?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Financials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AMBER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Ramp 0→150 yr1 aggressive (plan calls 150 'upside'); early margins likely overstated.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Rebuild base off anchor-clinic actuals: kits/clinic/month + reorder cohorts.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Valuation / deal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AMBER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$7M ask leans on validation 'still to be packaged'; floor supports ~$5–6M today.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What price holds before the validation pack exists; what re-rates it at Series A?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IP &amp; JV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AMBER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Most patents are applications; microneedling device granted (good); JV IP contribution undocumented.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Show the WBI IP assignment/exclusive-license schedule into the JV.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Team / capital adequacy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AMBER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$1M must cover reg + study + mfg/QC + AI v1 + launch — thin; high Series A dependency.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Which milestones can $1M actually hit before a financing gap?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Market reach &amp; export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AMBER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KFDA is a real export springboard, but the kit's class varies per market and exosome claims are restricted.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Per market: cosmetic, device or drug — does salmon/synthetic origin clear EU/cosmetic bans?</w:t>
            </w:r>
          </w:p>
        </w:tc>
      </w:tr>
    </w:tbl>
    <w:p>
      <w:pPr>
        <w:spacing w:after="40"/>
      </w:pPr>
    </w:p>
    <w:p>
      <w:pPr>
        <w:pStyle w:val="Heading2"/>
      </w:pPr>
      <w:r>
        <w:t>Overall verdict</w:t>
      </w:r>
    </w:p>
    <w:p>
      <w:pPr>
        <w:spacing w:after="120"/>
      </w:pPr>
      <w:r>
        <w:rPr>
          <w:b w:val="0"/>
          <w:i w:val="0"/>
          <w:sz w:val="21"/>
        </w:rPr>
        <w:t>Conditional interest — diligence yes, their price no. The narrative is fundable and unusually disciplined (claim control, regulatory segmentation, validation-pack thinking). But incremental value rests on unverified commercial claims, and the parts a chemical engineer judges best — COGS BOM, formulation/personalisation, exosome status, royalty compliance — are least evidenced.</w:t>
      </w:r>
    </w:p>
    <w:p>
      <w:pPr>
        <w:pStyle w:val="ListBullet"/>
      </w:pPr>
      <w:r>
        <w:rPr>
          <w:b/>
        </w:rPr>
        <w:t>What I'd underwrite today —</w:t>
      </w:r>
      <w:r>
        <w:t xml:space="preserve"> a validated-ecosystem, regulatory-segmented consumables business with a credible data-upside option.</w:t>
      </w:r>
    </w:p>
    <w:p>
      <w:pPr>
        <w:pStyle w:val="ListBullet"/>
      </w:pPr>
      <w:r>
        <w:rPr>
          <w:b/>
        </w:rPr>
        <w:t>Price —</w:t>
      </w:r>
      <w:r>
        <w:t xml:space="preserve"> $5–6M pre, milestone-gated (not $7M, not the AI/data-company multiple yet).</w:t>
      </w:r>
    </w:p>
    <w:p>
      <w:pPr>
        <w:pStyle w:val="ListBullet"/>
      </w:pPr>
      <w:r>
        <w:rPr>
          <w:b/>
        </w:rPr>
        <w:t>Single biggest unlock —</w:t>
      </w:r>
      <w:r>
        <w:t xml:space="preserve"> produce the validation pack (items 1, 2, 8) plus the stability dossier + COGS BOM (item 3). Do that and amber→green across the 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