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1F3A5F"/>
          <w:sz w:val="52"/>
        </w:rPr>
        <w:t>GENAPEP</w:t>
      </w:r>
    </w:p>
    <w:p>
      <w:pPr>
        <w:spacing w:after="40"/>
        <w:jc w:val="center"/>
      </w:pPr>
      <w:r>
        <w:rPr>
          <w:b w:val="0"/>
          <w:i w:val="0"/>
          <w:color w:val="555555"/>
          <w:sz w:val="30"/>
        </w:rPr>
        <w:t>International Expansion / Export Strategy</w:t>
      </w:r>
    </w:p>
    <w:p>
      <w:pPr>
        <w:spacing w:after="280"/>
        <w:jc w:val="center"/>
      </w:pPr>
      <w:r>
        <w:rPr>
          <w:b w:val="0"/>
          <w:i/>
          <w:color w:val="555555"/>
          <w:sz w:val="18"/>
        </w:rPr>
        <w:t>KFDA/MFDS registration as an export springboard. Illustrative; verify each pathway with local counsel.</w:t>
      </w:r>
    </w:p>
    <w:p>
      <w:pPr>
        <w:pStyle w:val="Heading2"/>
      </w:pPr>
      <w:r>
        <w:t>1. Thesis — two-speed export</w:t>
      </w:r>
    </w:p>
    <w:p>
      <w:pPr>
        <w:pStyle w:val="ListBullet"/>
      </w:pPr>
      <w:r>
        <w:rPr>
          <w:b/>
        </w:rPr>
        <w:t>The device travels widely —</w:t>
      </w:r>
      <w:r>
        <w:t xml:space="preserve"> built on the Korean technical file, the microneedling/topical device rides reliance/recognition into reference-friendly markets.</w:t>
      </w:r>
    </w:p>
    <w:p>
      <w:pPr>
        <w:pStyle w:val="ListBullet"/>
      </w:pPr>
      <w:r>
        <w:rPr>
          <w:b/>
        </w:rPr>
        <w:t>The kit is wrapped per market —</w:t>
      </w:r>
      <w:r>
        <w:t xml:space="preserve"> the peptide/exosome kit's legal class (cosmetic vs device vs drug) varies by country; salmon/synthetic (non-human) origin sidesteps EU/UK human-exosome cosmetic bans.</w:t>
      </w:r>
    </w:p>
    <w:p>
      <w:pPr>
        <w:pStyle w:val="ListBullet"/>
      </w:pPr>
      <w:r>
        <w:rPr>
          <w:b/>
        </w:rPr>
        <w:t>Claims are the recurring risk —</w:t>
      </w:r>
      <w:r>
        <w:t xml:space="preserve"> Korea banned the word "exosome" in cosmetic ads (Jan 2025); US FDA = 12 warning letters, none approved. Market on function/observed benefit.</w:t>
      </w:r>
    </w:p>
    <w:p>
      <w:pPr>
        <w:spacing w:after="120"/>
      </w:pPr>
      <w:r>
        <w:rPr>
          <w:b w:val="0"/>
          <w:i w:val="0"/>
          <w:sz w:val="21"/>
        </w:rPr>
        <w:t>Precedent: Korean salmon-PDRN skin boosters (e.g., Rejuran, MFDS-approved 2014) exported across SEA/Middle East/Europe off a Korean approval — a near-exact analog.</w:t>
      </w:r>
    </w:p>
    <w:p>
      <w:pPr>
        <w:pStyle w:val="Heading2"/>
      </w:pPr>
      <w:r>
        <w:t>2. Tier 1 — ASEAN + Hong Kong (reliance-led, fastest)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</w:tcPr>
          <w:p>
            <w:r>
              <w:rPr>
                <w:b/>
                <w:sz w:val="19"/>
              </w:rPr>
              <w:t>Market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How KFDA helps</w:t>
            </w:r>
          </w:p>
        </w:tc>
        <w:tc>
          <w:tcPr>
            <w:tcW w:type="dxa" w:w="2448"/>
          </w:tcPr>
          <w:p>
            <w:r>
              <w:rPr>
                <w:b/>
                <w:sz w:val="19"/>
              </w:rPr>
              <w:t>Kit approach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Hong Kong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MDACS recognises Korea MFDS as reference; Expedited favours ≥2 references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MDACS device listing / cosmetic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Pair Korea + Singapore for the expedited route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Vietnam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Explicitly accepts MFDS certifications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Device via MFDS reliance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Among the most direct routes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Singapore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HSA approval is a regional gateway (onward-recognised TH/PH/HK)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HSA device / cosmetic notification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Strategic 2nd reference approval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Thailand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Reliance via Singapore HSA; Korean data supports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Aesthetic devices ARE medical devices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Large market; K-beauty halo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Malaysia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ASEAN AMDD/CSDT dossier on Korean file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Aesthetic devices designated medical devices (Jun 2026)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MDA registration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Indonesia / Philippines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ASEAN AMDD/CSDT cascade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Device or cosmetic per claim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One CSDT dossier → multiple filings</w:t>
            </w:r>
          </w:p>
        </w:tc>
      </w:tr>
    </w:tbl>
    <w:p>
      <w:pPr>
        <w:spacing w:after="40"/>
      </w:pPr>
    </w:p>
    <w:p>
      <w:pPr>
        <w:pStyle w:val="Heading2"/>
      </w:pPr>
      <w:r>
        <w:t>3. Tier 2 — GCC + Greater China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</w:tcPr>
          <w:p>
            <w:r>
              <w:rPr>
                <w:b/>
                <w:sz w:val="19"/>
              </w:rPr>
              <w:t>Market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How KFDA helps</w:t>
            </w:r>
          </w:p>
        </w:tc>
        <w:tc>
          <w:tcPr>
            <w:tcW w:type="dxa" w:w="2592"/>
          </w:tcPr>
          <w:p>
            <w:r>
              <w:rPr>
                <w:b/>
                <w:sz w:val="19"/>
              </w:rPr>
              <w:t>Kit approach</w:t>
            </w:r>
          </w:p>
        </w:tc>
        <w:tc>
          <w:tcPr>
            <w:tcW w:type="dxa" w:w="1872"/>
          </w:tcPr>
          <w:p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Saudi Arabia (SFDA)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GCC regional reference; KFDA+CE accelerate the TFA route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Medical device (MDMA)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SFDA approval references onward across GCC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UAE (MOHAP)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Reliance weights recognised approvals (CE strongest)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Medical device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High-spend market; Gulf gateway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Taiwan (TFDA)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Accepts Korean clinical data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Medical device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Mature aesthetics market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China (NMPA)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Large but slow; use faster on-ramps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Hainan cross-border / topical cosmetic first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Biggest prize, longest timeline</w:t>
            </w:r>
          </w:p>
        </w:tc>
      </w:tr>
    </w:tbl>
    <w:p>
      <w:pPr>
        <w:spacing w:after="40"/>
      </w:pPr>
    </w:p>
    <w:p>
      <w:pPr>
        <w:pStyle w:val="Heading2"/>
      </w:pPr>
      <w:r>
        <w:t>4. Sequence &amp; operating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r>
              <w:rPr>
                <w:b/>
                <w:sz w:val="19"/>
              </w:rPr>
              <w:t>Phase</w:t>
            </w:r>
          </w:p>
        </w:tc>
        <w:tc>
          <w:tcPr>
            <w:tcW w:type="dxa" w:w="4032"/>
          </w:tcPr>
          <w:p>
            <w:r>
              <w:rPr>
                <w:b/>
                <w:sz w:val="19"/>
              </w:rPr>
              <w:t>Markets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Trigger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Anchor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Korea (MFDS)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Device-family + first kit registered; anchor clinics live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Wave 1 (2027–28)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Hong Kong, Vietnam, Singapore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Korean approval + Singapore reference secured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Wave 2 (2028–29)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Thailand, Malaysia, Indonesia, Philippines; Saudi, UAE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ASEAN CSDT dossier; SFDA TFA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Wave 3 (2029–30)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Taiwan, China (Hainan → NMPA)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Regional revenue base + Series A capital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1"/>
        </w:rPr>
        <w:t>Each market needs a local responsible person / authorised distributor, a per-market claims map, and label/registration localisation. Cold-chain-free advantage: stabilisation gives an ambient/2–8 °C format, so cross-border distribution is far simpler than for typical before Wave 1.</w:t>
      </w:r>
    </w:p>
    <w:p>
      <w:pPr>
        <w:pStyle w:val="Heading2"/>
      </w:pPr>
      <w:r>
        <w:t>5. Why this strengthens the investment case</w:t>
      </w:r>
    </w:p>
    <w:p>
      <w:pPr>
        <w:pStyle w:val="ListBullet"/>
      </w:pPr>
      <w:r>
        <w:t xml:space="preserve"> converts a single-country plan into a multi-market clinic TAM (the 150→1,000 ramp is spread across geographies).</w:t>
      </w:r>
    </w:p>
    <w:p>
      <w:pPr>
        <w:pStyle w:val="ListBullet"/>
      </w:pPr>
      <w:r>
        <w:t xml:space="preserve"> strengthens Lens A market size and the Series A narrative (regional platform, not a Korea SKU).</w:t>
      </w:r>
    </w:p>
    <w:p>
      <w:pPr>
        <w:pStyle w:val="ListBullet"/>
      </w:pPr>
      <w:r>
        <w:t xml:space="preserve"> keeps the company honest: device scales on reliance; kit scales on disciplined per-market classification.</w:t>
      </w:r>
    </w:p>
    <w:p>
      <w:pPr>
        <w:pStyle w:val="Heading2"/>
      </w:pPr>
      <w:r>
        <w:t>6. Key risks</w:t>
      </w:r>
    </w:p>
    <w:p>
      <w:pPr>
        <w:pStyle w:val="ListBullet"/>
      </w:pPr>
      <w:r>
        <w:rPr>
          <w:b/>
        </w:rPr>
        <w:t>Kit classification drift —</w:t>
      </w:r>
      <w:r>
        <w:t xml:space="preserve"> a market may treat the kit as a drug/biologic (slower/heavier).</w:t>
      </w:r>
    </w:p>
    <w:p>
      <w:pPr>
        <w:pStyle w:val="ListBullet"/>
      </w:pPr>
      <w:r>
        <w:rPr>
          <w:b/>
        </w:rPr>
        <w:t>Exosome scrutiny / ad limits —</w:t>
      </w:r>
      <w:r>
        <w:t xml:space="preserve"> manage with non-human origin + claim discipline.</w:t>
      </w:r>
    </w:p>
    <w:p>
      <w:pPr>
        <w:pStyle w:val="ListBullet"/>
      </w:pPr>
      <w:r>
        <w:rPr>
          <w:b/>
        </w:rPr>
        <w:t>Reliance ≠ automatic —</w:t>
      </w:r>
      <w:r>
        <w:t xml:space="preserve"> recognition speeds review but local registration, fees, RP and post-market duties still apply.</w:t>
      </w:r>
    </w:p>
    <w:p>
      <w:pPr>
        <w:pStyle w:val="ListBullet"/>
      </w:pPr>
      <w:r>
        <w:rPr>
          <w:b/>
        </w:rPr>
        <w:t>Stability substantiation —</w:t>
      </w:r>
      <w:r>
        <w:t xml:space="preserve"> provide the shelf-life dossier confirming the cold-chain-free (ambient/2–8 °C) format.</w:t>
      </w:r>
    </w:p>
    <w:p>
      <w:pPr>
        <w:spacing w:after="120"/>
      </w:pPr>
      <w:r>
        <w:rPr>
          <w:b w:val="0"/>
          <w:i/>
          <w:color w:val="555555"/>
          <w:sz w:val="18"/>
        </w:rPr>
        <w:t>Sources: HK MDACS reference recognition (Asia Actual, MedDeviceGuide); Vietnam MFDS reliance &amp; ASEAN AMDD/CSDT (Cisema, Pacific Bridge); Thailand/Singapore reliance (Asia Actual); SFDA/UAE reliance (Emergo by UL, GSL); exosome regulation (FDA; EU Annex II; Korea MFDS); PDRN/Rejuran precedent (industry press).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