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B3355"/>
          <w:sz w:val="52"/>
        </w:rPr>
        <w:t>GENAPEP</w:t>
      </w:r>
    </w:p>
    <w:p>
      <w:pPr>
        <w:spacing w:after="40"/>
        <w:jc w:val="center"/>
      </w:pPr>
      <w:r>
        <w:rPr>
          <w:b w:val="0"/>
          <w:i w:val="0"/>
          <w:color w:val="555555"/>
          <w:sz w:val="28"/>
        </w:rPr>
        <w:t>Operating Financial Model (5-year, bottom-up)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From July 2026 (prep) · first production Feb 2027 · vial consumable model. Illustrative — not investment advice.</w:t>
      </w:r>
    </w:p>
    <w:p>
      <w:pPr>
        <w:pStyle w:val="Heading2"/>
      </w:pPr>
      <w:r>
        <w:t>1. Assumptions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6048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Ex-factory price / vial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$30–35 (base $32.50) — same Korea-direct &amp; overseas distributor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Cost / vial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$7 = Eyesel bottoming $4 + exosome/peptide incl. raw material $3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Gross profit / vial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$25.50 (78.5% margin)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Vials / clinic / month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100 (MOQ 300 per order)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Production capacity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60,000 vials/month (≈ 600 clinics) — 4 lab + 2 shared staff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End-user price / vial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$60–70 (clinic ~50% margin)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Team &amp; facilities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4 Exosome Lab + 2 support (shared by Eyesel); testing &amp; facilities shared by Eyesel</w:t>
            </w:r>
          </w:p>
        </w:tc>
      </w:tr>
    </w:tbl>
    <w:p>
      <w:pPr>
        <w:spacing w:after="40"/>
      </w:pPr>
    </w:p>
    <w:p>
      <w:pPr>
        <w:pStyle w:val="Heading2"/>
      </w:pPr>
      <w:r>
        <w:t>2. 2027 monthly ramp (production from February)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1152"/>
          </w:tcPr>
          <w:p>
            <w:r>
              <w:rPr>
                <w:b/>
                <w:sz w:val="16"/>
              </w:rPr>
              <w:t>Month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Jan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Feb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Mar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Apr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May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Jun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Jul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Aug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Sep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Oct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Nov</w:t>
            </w:r>
          </w:p>
        </w:tc>
        <w:tc>
          <w:tcPr>
            <w:tcW w:type="dxa" w:w="605"/>
          </w:tcPr>
          <w:p>
            <w:r>
              <w:rPr>
                <w:b/>
                <w:sz w:val="16"/>
              </w:rPr>
              <w:t>Dec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FY27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6"/>
              </w:rPr>
              <w:t>Clinics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~110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16"/>
              </w:rPr>
              <w:t>Vials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2000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3000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4000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5000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7000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8500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10500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10800</w:t>
            </w:r>
          </w:p>
        </w:tc>
        <w:tc>
          <w:tcPr>
            <w:tcW w:type="dxa" w:w="605"/>
          </w:tcPr>
          <w:p>
            <w:r>
              <w:rPr>
                <w:sz w:val="16"/>
              </w:rPr>
              <w:t>11000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72,800</w:t>
            </w:r>
          </w:p>
        </w:tc>
      </w:tr>
    </w:tbl>
    <w:p>
      <w:pPr>
        <w:spacing w:after="40"/>
      </w:pPr>
    </w:p>
    <w:p>
      <w:pPr>
        <w:pStyle w:val="Heading2"/>
      </w:pPr>
      <w:r>
        <w:t>3. Annual P&amp;L ($000s)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Line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Avg active clinics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165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285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415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Vials (000s)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72.8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198.0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342.0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498.0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Revenue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2,366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6,435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11,115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16,185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COGS ($7/vial)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1,386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2,394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3,486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Gross profit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1,856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5,049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8,721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12,699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Gross margin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78.5%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78.5%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78.5%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78.5%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OpEx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460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1,300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1,600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1,900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EBITDA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-460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956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3,749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7,121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10,799</w:t>
            </w:r>
          </w:p>
        </w:tc>
      </w:tr>
    </w:tbl>
    <w:p>
      <w:pPr>
        <w:spacing w:after="40"/>
      </w:pPr>
    </w:p>
    <w:p>
      <w:pPr>
        <w:pStyle w:val="Heading2"/>
      </w:pPr>
      <w:r>
        <w:t>4. OpEx detail ($000s)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744"/>
          </w:tcPr>
          <w:p>
            <w:r>
              <w:rPr>
                <w:b/>
                <w:sz w:val="19"/>
              </w:rPr>
              <w:t>OpEx line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2026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Personnel (4 lab + 2 shared)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108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215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240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260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280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Regulatory / cGMP / ISO / registration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150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110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Shared testing &amp; facilities (Eyesel)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140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Sales, marketing &amp; KOL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255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540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710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880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G&amp;A / management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92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500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Total OpEx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460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900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1300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1600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1900</w:t>
            </w:r>
          </w:p>
        </w:tc>
      </w:tr>
    </w:tbl>
    <w:p>
      <w:pPr>
        <w:spacing w:after="40"/>
      </w:pPr>
    </w:p>
    <w:p>
      <w:pPr>
        <w:pStyle w:val="Heading2"/>
      </w:pPr>
      <w:r>
        <w:t>5. Unit economics</w:t>
      </w:r>
    </w:p>
    <w:p>
      <w:pPr>
        <w:pStyle w:val="ListBullet"/>
        <w:spacing w:after="60"/>
      </w:pPr>
      <w:r>
        <w:rPr>
          <w:b/>
        </w:rPr>
        <w:t xml:space="preserve">Per vial — </w:t>
      </w:r>
      <w:r>
        <w:t>price $32.50 − cost $7 = $25.50 GP (78.5%).</w:t>
      </w:r>
    </w:p>
    <w:p>
      <w:pPr>
        <w:pStyle w:val="ListBullet"/>
        <w:spacing w:after="60"/>
      </w:pPr>
      <w:r>
        <w:rPr>
          <w:b/>
        </w:rPr>
        <w:t xml:space="preserve">Per clinic — </w:t>
      </w:r>
      <w:r>
        <w:t>1200 vials × $32.50 = $39,000 revenue / $30,600 GP per year.</w:t>
      </w:r>
    </w:p>
    <w:p>
      <w:pPr>
        <w:pStyle w:val="ListBullet"/>
        <w:spacing w:after="60"/>
      </w:pPr>
      <w:r>
        <w:rPr>
          <w:b/>
        </w:rPr>
        <w:t xml:space="preserve">Channel — </w:t>
      </w:r>
      <w:r>
        <w:t>buys $30–35, sells end-user $60–70 → ~50% margin (~$3,250/month gross per clinic).</w:t>
      </w:r>
    </w:p>
    <w:p>
      <w:pPr>
        <w:pStyle w:val="Heading2"/>
      </w:pPr>
      <w:r>
        <w:t>6. Price sensitivity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$30.00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$32.50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$35.00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2030 revenue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$14.9M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$16.2M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$17.4M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2030 EBITDA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$9.6M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$10.8M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$12.0M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5-yr cum. revenue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$33.3M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$36.1M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$38.9M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5-yr cum. EBITDA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$19.4M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$22.2M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$24.9M</w:t>
            </w:r>
          </w:p>
        </w:tc>
      </w:tr>
    </w:tbl>
    <w:p>
      <w:pPr>
        <w:spacing w:after="40"/>
      </w:pPr>
    </w:p>
    <w:p>
      <w:pPr>
        <w:pStyle w:val="Heading2"/>
      </w:pPr>
      <w:r>
        <w:t>7. Capacity, funding &amp; notes</w:t>
      </w:r>
    </w:p>
    <w:p>
      <w:pPr>
        <w:pStyle w:val="ListBullet"/>
        <w:spacing w:after="60"/>
      </w:pPr>
      <w:r>
        <w:rPr>
          <w:b/>
        </w:rPr>
        <w:t xml:space="preserve">Capacity — </w:t>
      </w:r>
      <w:r>
        <w:t>2030 runs at ~69% of the 60K/month line; beyond ~600 clinics needs a second line.</w:t>
      </w:r>
    </w:p>
    <w:p>
      <w:pPr>
        <w:pStyle w:val="ListBullet"/>
        <w:spacing w:after="60"/>
      </w:pPr>
      <w:r>
        <w:rPr>
          <w:b/>
        </w:rPr>
        <w:t xml:space="preserve">Capital efficiency — </w:t>
      </w:r>
      <w:r>
        <w:t>EBITDA-positive from 2027; cumulative cash turns positive during 2027, so the $1.0M kickoff funds prep + working capital to self-sustaining — no large survival round required.</w:t>
      </w:r>
    </w:p>
    <w:p>
      <w:pPr>
        <w:pStyle w:val="ListBullet"/>
        <w:spacing w:after="60"/>
      </w:pPr>
      <w:r>
        <w:rPr>
          <w:b/>
        </w:rPr>
        <w:t xml:space="preserve">Operating leverage — </w:t>
      </w:r>
      <w:r>
        <w:t>the 4-lab + 2-shared team is fixed to 60K/month; margin expands as clinics grow (production headcount flat).</w:t>
      </w:r>
    </w:p>
    <w:p>
      <w:pPr>
        <w:pStyle w:val="ListBullet"/>
        <w:spacing w:after="60"/>
      </w:pPr>
      <w:r>
        <w:rPr>
          <w:b/>
        </w:rPr>
        <w:t xml:space="preserve">Working capital — </w:t>
      </w:r>
      <w:r>
        <w:t>MOQ 300/order + distributor terms imply inventory + receivables; size a working-capital buffer.</w:t>
      </w:r>
    </w:p>
    <w:p>
      <w:pPr>
        <w:pStyle w:val="ListBullet"/>
        <w:spacing w:after="60"/>
      </w:pPr>
      <w:r>
        <w:rPr>
          <w:b/>
        </w:rPr>
        <w:t xml:space="preserve">Scope — </w:t>
      </w:r>
      <w:r>
        <w:t>vial (consumable) revenue only — applicator device placement excluded (confirm).</w:t>
      </w:r>
    </w:p>
    <w:p>
      <w:pPr>
        <w:pStyle w:val="ListBullet"/>
        <w:spacing w:after="60"/>
      </w:pPr>
      <w:r>
        <w:rPr>
          <w:b/>
        </w:rPr>
        <w:t xml:space="preserve">To confirm — </w:t>
      </w:r>
      <w:r>
        <w:t>2028–2030 clinic counts (220/350/480), base price, and Korea-loaded OpEx are assumptions to confirm.</w:t>
      </w:r>
    </w:p>
    <w:p>
      <w:pPr>
        <w:spacing w:after="120"/>
      </w:pPr>
      <w:r>
        <w:rPr>
          <w:b w:val="0"/>
          <w:i/>
          <w:color w:val="555555"/>
          <w:sz w:val="18"/>
        </w:rPr>
        <w:t>Founder inputs: Jul-2026 start (prep/training/regulatory/cGMP/ISO); first production Feb-2027; 4 lab + 2 shared staff; Eyesel bottoming $4 + production $3 = $7/vial; 60K/month capacity; 100 vials/clinic/month; MOQ 300; price $30–35; end-user $60–70; first wave 20–40 Korea + 20 (HK/VN/MY); second wave Q3-2027 → 100 clinics.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3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3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