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color w:val="1B3355"/>
          <w:sz w:val="52"/>
        </w:rPr>
        <w:t>GENAPEP</w:t>
      </w:r>
    </w:p>
    <w:p>
      <w:pPr>
        <w:spacing w:after="40"/>
        <w:jc w:val="center"/>
      </w:pPr>
      <w:r>
        <w:rPr>
          <w:b w:val="0"/>
          <w:i w:val="0"/>
          <w:color w:val="555555"/>
          <w:sz w:val="28"/>
        </w:rPr>
        <w:t>Memorandum of Understanding — IPO Framework (Draft for Discussion)</w:t>
      </w:r>
    </w:p>
    <w:p>
      <w:pPr>
        <w:spacing w:after="80"/>
        <w:jc w:val="center"/>
      </w:pPr>
      <w:r>
        <w:rPr>
          <w:b/>
          <w:i w:val="0"/>
          <w:color w:val="C0392B"/>
          <w:sz w:val="19"/>
        </w:rPr>
        <w:t>SUPERSEDED (16 SEP 2026) — retained for record only. Due diligence on FirstVitals (DD report 2026-09-03; counterparty cap table 2026-09-02) contradicted this draft's FirstVitals premises: no SEC reporting status (Reg A+ Form 1-A only), no operating GLP-1 program (RPM services abandoned in the 2024 pivot; the proforma is an unvalidated plan), and no supportable basis for the implied $10-13M value. Do not sign, extend or rely on this document. The governing document is GenApep IPO Plan v2.</w:t>
      </w:r>
    </w:p>
    <w:p>
      <w:pPr>
        <w:spacing w:after="240"/>
        <w:jc w:val="center"/>
      </w:pPr>
      <w:r>
        <w:rPr>
          <w:b w:val="0"/>
          <w:i/>
          <w:color w:val="555555"/>
          <w:sz w:val="17"/>
        </w:rPr>
        <w:t>DRAFT — NON-BINDING. This memorandum outlines a proposed framework to kick-start discussion among the parties and to brief IPO sponsors, potential investors and the current shareholders of WBI. It is not an offer or solicitation of securities, creates no legal obligation except as expressly stated, and all figures are illustrative and subject to due diligence, audit and definitive agreements.</w:t>
      </w:r>
    </w:p>
    <w:p>
      <w:pPr>
        <w:pStyle w:val="Heading2"/>
      </w:pPr>
      <w:r>
        <w:t>1. Parties</w:t>
      </w:r>
    </w:p>
    <w:tbl>
      <w:tblPr>
        <w:tblStyle w:val="LightGrid-Accent1"/>
        <w:tblW w:type="auto" w:w="0"/>
        <w:jc w:val="center"/>
        <w:tblLook w:firstColumn="1" w:firstRow="1" w:lastColumn="0" w:lastRow="0" w:noHBand="0" w:noVBand="1" w:val="04A0"/>
      </w:tblPr>
      <w:tblGrid>
        <w:gridCol w:w="4320"/>
        <w:gridCol w:w="4320"/>
      </w:tblGrid>
      <w:tr>
        <w:tc>
          <w:tcPr>
            <w:tcW w:type="dxa" w:w="3024"/>
          </w:tcPr>
          <w:p>
            <w:r>
              <w:rPr>
                <w:b/>
                <w:sz w:val="19"/>
              </w:rPr>
              <w:t>Party</w:t>
            </w:r>
          </w:p>
        </w:tc>
        <w:tc>
          <w:tcPr>
            <w:tcW w:type="dxa" w:w="6336"/>
          </w:tcPr>
          <w:p>
            <w:r>
              <w:rPr>
                <w:b/>
                <w:sz w:val="19"/>
              </w:rPr>
              <w:t>Description</w:t>
            </w:r>
          </w:p>
        </w:tc>
      </w:tr>
      <w:tr>
        <w:tc>
          <w:tcPr>
            <w:tcW w:type="dxa" w:w="3024"/>
          </w:tcPr>
          <w:p>
            <w:r>
              <w:rPr>
                <w:b/>
                <w:sz w:val="19"/>
              </w:rPr>
              <w:t>First Vital Health and Wellness Inc (“FVH”)</w:t>
            </w:r>
          </w:p>
        </w:tc>
        <w:tc>
          <w:tcPr>
            <w:tcW w:type="dxa" w:w="6336"/>
          </w:tcPr>
          <w:p>
            <w:r>
              <w:rPr>
                <w:sz w:val="19"/>
              </w:rPr>
              <w:t>U.S. digital-health and clinical-services company — remote patient monitoring (RPM) and chronic-care management — and operator of the GLP-1 Bridge patient-management program (Section 5). Made its SEC filing in December 2024 (filing history to be confirmed against FVH's EDGAR records). Proposed listed holding vehicle. Referenced existing shareholder: Mr. Ernie Lee.</w:t>
            </w:r>
          </w:p>
        </w:tc>
      </w:tr>
      <w:tr>
        <w:tc>
          <w:tcPr>
            <w:tcW w:type="dxa" w:w="3024"/>
          </w:tcPr>
          <w:p>
            <w:r>
              <w:rPr>
                <w:b/>
                <w:sz w:val="19"/>
              </w:rPr>
              <w:t>WBI</w:t>
            </w:r>
          </w:p>
        </w:tc>
        <w:tc>
          <w:tcPr>
            <w:tcW w:type="dxa" w:w="6336"/>
          </w:tcPr>
          <w:p>
            <w:r>
              <w:rPr>
                <w:sz w:val="19"/>
              </w:rPr>
              <w:t>Technology and IP owner — CodeLife.AI peptide-design engine, IT-EXO/SynExo exosome and peptide science. Its current shareholders are an intended audience of this MOU.</w:t>
            </w:r>
          </w:p>
        </w:tc>
      </w:tr>
      <w:tr>
        <w:tc>
          <w:tcPr>
            <w:tcW w:type="dxa" w:w="3024"/>
          </w:tcPr>
          <w:p>
            <w:r>
              <w:rPr>
                <w:b/>
                <w:sz w:val="19"/>
              </w:rPr>
              <w:t>Eyesel</w:t>
            </w:r>
          </w:p>
        </w:tc>
        <w:tc>
          <w:tcPr>
            <w:tcW w:type="dxa" w:w="6336"/>
          </w:tcPr>
          <w:p>
            <w:r>
              <w:rPr>
                <w:sz w:val="19"/>
              </w:rPr>
              <w:t>GMP manufacturer contributing certified production capacity, AI-peptide manufacturing capability and approximately US$15M of existing annual revenue. Principal: Mr. Kim.</w:t>
            </w:r>
          </w:p>
        </w:tc>
      </w:tr>
      <w:tr>
        <w:tc>
          <w:tcPr>
            <w:tcW w:type="dxa" w:w="3024"/>
          </w:tcPr>
          <w:p>
            <w:r>
              <w:rPr>
                <w:b/>
                <w:sz w:val="19"/>
              </w:rPr>
              <w:t>GenApep principals</w:t>
            </w:r>
          </w:p>
        </w:tc>
        <w:tc>
          <w:tcPr>
            <w:tcW w:type="dxa" w:w="6336"/>
          </w:tcPr>
          <w:p>
            <w:r>
              <w:rPr>
                <w:sz w:val="19"/>
              </w:rPr>
              <w:t>Ms. Theresa Jang (CEO) and Mr. Kim (Eyesel principal), the proposed controlling shareholders of FVH after the share issuance.</w:t>
            </w:r>
          </w:p>
        </w:tc>
      </w:tr>
    </w:tbl>
    <w:p>
      <w:pPr>
        <w:spacing w:after="40"/>
      </w:pPr>
    </w:p>
    <w:p>
      <w:pPr>
        <w:pStyle w:val="Heading2"/>
      </w:pPr>
      <w:r>
        <w:t>2. Purpose</w:t>
      </w:r>
    </w:p>
    <w:p>
      <w:pPr>
        <w:spacing w:after="120"/>
      </w:pPr>
      <w:r>
        <w:rPr>
          <w:b w:val="0"/>
          <w:i w:val="0"/>
          <w:sz w:val="21"/>
        </w:rPr>
        <w:t>Outline the proposed structure and roadmap for taking the GenApep business to the US public market via FVH; kick-start discussion among the three parties; and provide a framework document for IPO sponsors, potential investors and the current shareholders of WBI.</w:t>
      </w:r>
    </w:p>
    <w:p>
      <w:pPr>
        <w:pStyle w:val="Heading2"/>
      </w:pPr>
      <w:r>
        <w:t>3. Proposed structure &amp; steps</w:t>
      </w:r>
    </w:p>
    <w:tbl>
      <w:tblPr>
        <w:tblStyle w:val="LightGrid-Accent1"/>
        <w:tblW w:type="auto" w:w="0"/>
        <w:jc w:val="center"/>
        <w:tblLook w:firstColumn="1" w:firstRow="1" w:lastColumn="0" w:lastRow="0" w:noHBand="0" w:noVBand="1" w:val="04A0"/>
      </w:tblPr>
      <w:tblGrid>
        <w:gridCol w:w="2880"/>
        <w:gridCol w:w="2880"/>
        <w:gridCol w:w="2880"/>
      </w:tblGrid>
      <w:tr>
        <w:tc>
          <w:tcPr>
            <w:tcW w:type="dxa" w:w="2448"/>
          </w:tcPr>
          <w:p>
            <w:r>
              <w:rPr>
                <w:b/>
                <w:sz w:val="19"/>
              </w:rPr>
              <w:t>Step</w:t>
            </w:r>
          </w:p>
        </w:tc>
        <w:tc>
          <w:tcPr>
            <w:tcW w:type="dxa" w:w="1440"/>
          </w:tcPr>
          <w:p>
            <w:r>
              <w:rPr>
                <w:b/>
                <w:sz w:val="19"/>
              </w:rPr>
              <w:t>Window</w:t>
            </w:r>
          </w:p>
        </w:tc>
        <w:tc>
          <w:tcPr>
            <w:tcW w:type="dxa" w:w="5472"/>
          </w:tcPr>
          <w:p>
            <w:r>
              <w:rPr>
                <w:b/>
                <w:sz w:val="19"/>
              </w:rPr>
              <w:t>Description</w:t>
            </w:r>
          </w:p>
        </w:tc>
      </w:tr>
      <w:tr>
        <w:tc>
          <w:tcPr>
            <w:tcW w:type="dxa" w:w="2448"/>
          </w:tcPr>
          <w:p>
            <w:r>
              <w:rPr>
                <w:b/>
                <w:sz w:val="19"/>
              </w:rPr>
              <w:t>Step 1 — SEC status (condition precedent)</w:t>
            </w:r>
          </w:p>
        </w:tc>
        <w:tc>
          <w:tcPr>
            <w:tcW w:type="dxa" w:w="1440"/>
          </w:tcPr>
          <w:p>
            <w:r>
              <w:rPr>
                <w:sz w:val="19"/>
              </w:rPr>
              <w:t>Now → 2027</w:t>
            </w:r>
          </w:p>
        </w:tc>
        <w:tc>
          <w:tcPr>
            <w:tcW w:type="dxa" w:w="5472"/>
          </w:tcPr>
          <w:p>
            <w:r>
              <w:rPr>
                <w:sz w:val="19"/>
              </w:rPr>
              <w:t>FVH maintains its SEC filing/reporting status and extends it into 2027. The framework in this MOU carries forward ONLY if this status is extended; otherwise the MOU lapses with no obligation on any party.</w:t>
            </w:r>
          </w:p>
        </w:tc>
      </w:tr>
      <w:tr>
        <w:tc>
          <w:tcPr>
            <w:tcW w:type="dxa" w:w="2448"/>
          </w:tcPr>
          <w:p>
            <w:r>
              <w:rPr>
                <w:b/>
                <w:sz w:val="19"/>
              </w:rPr>
              <w:t>Step 2 — Share issuance to GenApep principals</w:t>
            </w:r>
          </w:p>
        </w:tc>
        <w:tc>
          <w:tcPr>
            <w:tcW w:type="dxa" w:w="1440"/>
          </w:tcPr>
          <w:p>
            <w:r>
              <w:rPr>
                <w:sz w:val="19"/>
              </w:rPr>
              <w:t>Before Dec 2026</w:t>
            </w:r>
          </w:p>
        </w:tc>
        <w:tc>
          <w:tcPr>
            <w:tcW w:type="dxa" w:w="5472"/>
          </w:tcPr>
          <w:p>
            <w:r>
              <w:rPr>
                <w:sz w:val="19"/>
              </w:rPr>
              <w:t>From/through FVH shareholder Mr. Ernie Lee, new FVH shares are issued such that (indicatively, assuming 75% of FVH) Ms. Theresa Jang holds 40% and Mr. Kim holds 35%. Existing FVH shareholders (including Mr. Lee) retain approximately 25% (working assumption). Final percentages, instruments and pricing to be defined in definitive agreements.</w:t>
            </w:r>
          </w:p>
        </w:tc>
      </w:tr>
      <w:tr>
        <w:tc>
          <w:tcPr>
            <w:tcW w:type="dxa" w:w="2448"/>
          </w:tcPr>
          <w:p>
            <w:r>
              <w:rPr>
                <w:b/>
                <w:sz w:val="19"/>
              </w:rPr>
              <w:t>Step 3 — Korean subsidiary &amp; acquisitions</w:t>
            </w:r>
          </w:p>
        </w:tc>
        <w:tc>
          <w:tcPr>
            <w:tcW w:type="dxa" w:w="1440"/>
          </w:tcPr>
          <w:p>
            <w:r>
              <w:rPr>
                <w:sz w:val="19"/>
              </w:rPr>
              <w:t>H2 2026 → Jan 2027</w:t>
            </w:r>
          </w:p>
        </w:tc>
        <w:tc>
          <w:tcPr>
            <w:tcW w:type="dxa" w:w="5472"/>
          </w:tcPr>
          <w:p>
            <w:r>
              <w:rPr>
                <w:sz w:val="19"/>
              </w:rPr>
              <w:t>FVH establishes a wholly-owned Korean subsidiary (“FVH Korea”). FVH Korea acquires 100% of WBI and 100% of Eyesel — together the GenApep business. Consideration structure (share swap / cash mix) and valuations [TBD], supported by independent valuations.</w:t>
            </w:r>
          </w:p>
        </w:tc>
      </w:tr>
      <w:tr>
        <w:tc>
          <w:tcPr>
            <w:tcW w:type="dxa" w:w="2448"/>
          </w:tcPr>
          <w:p>
            <w:r>
              <w:rPr>
                <w:b/>
                <w:sz w:val="19"/>
              </w:rPr>
              <w:t>Step 4 — Restructure complete</w:t>
            </w:r>
          </w:p>
        </w:tc>
        <w:tc>
          <w:tcPr>
            <w:tcW w:type="dxa" w:w="1440"/>
          </w:tcPr>
          <w:p>
            <w:r>
              <w:rPr>
                <w:sz w:val="19"/>
              </w:rPr>
              <w:t>January 2027</w:t>
            </w:r>
          </w:p>
        </w:tc>
        <w:tc>
          <w:tcPr>
            <w:tcW w:type="dxa" w:w="5472"/>
          </w:tcPr>
          <w:p>
            <w:r>
              <w:rPr>
                <w:sz w:val="19"/>
              </w:rPr>
              <w:t>The consolidated group operates as GenApep under listed FVH: FVH (US listed) → FVH Korea (100%) → WBI + Eyesel. Consolidated PCAOB-auditable financials from FY2027.</w:t>
            </w:r>
          </w:p>
        </w:tc>
      </w:tr>
    </w:tbl>
    <w:p>
      <w:pPr>
        <w:spacing w:after="40"/>
      </w:pPr>
    </w:p>
    <w:p>
      <w:pPr>
        <w:spacing w:after="120"/>
      </w:pPr>
      <w:r>
        <w:rPr>
          <w:b/>
          <w:i w:val="0"/>
          <w:sz w:val="21"/>
        </w:rPr>
        <w:t>Resulting structure:  FVH (US listed)  →  FVH Korea (100%)  →  WBI + Eyesel (together, GenApep).</w:t>
      </w:r>
    </w:p>
    <w:tbl>
      <w:tblPr>
        <w:tblStyle w:val="LightGrid-Accent1"/>
        <w:tblW w:type="auto" w:w="0"/>
        <w:jc w:val="center"/>
        <w:tblLook w:firstColumn="1" w:firstRow="1" w:lastColumn="0" w:lastRow="0" w:noHBand="0" w:noVBand="1" w:val="04A0"/>
      </w:tblPr>
      <w:tblGrid>
        <w:gridCol w:w="4320"/>
        <w:gridCol w:w="4320"/>
      </w:tblGrid>
      <w:tr>
        <w:tc>
          <w:tcPr>
            <w:tcW w:type="dxa" w:w="6048"/>
          </w:tcPr>
          <w:p>
            <w:r>
              <w:rPr>
                <w:b/>
                <w:sz w:val="19"/>
              </w:rPr>
              <w:t>Indicative FVH ownership after Step 2</w:t>
            </w:r>
          </w:p>
        </w:tc>
        <w:tc>
          <w:tcPr>
            <w:tcW w:type="dxa" w:w="1728"/>
          </w:tcPr>
          <w:p>
            <w:r>
              <w:rPr>
                <w:b/>
                <w:sz w:val="19"/>
              </w:rPr>
              <w:t>%</w:t>
            </w:r>
          </w:p>
        </w:tc>
      </w:tr>
      <w:tr>
        <w:tc>
          <w:tcPr>
            <w:tcW w:type="dxa" w:w="6048"/>
          </w:tcPr>
          <w:p>
            <w:r>
              <w:rPr>
                <w:b/>
                <w:sz w:val="19"/>
              </w:rPr>
              <w:t>Ms. Theresa Jang</w:t>
            </w:r>
          </w:p>
        </w:tc>
        <w:tc>
          <w:tcPr>
            <w:tcW w:type="dxa" w:w="1728"/>
          </w:tcPr>
          <w:p>
            <w:r>
              <w:rPr>
                <w:sz w:val="19"/>
              </w:rPr>
              <w:t>40%</w:t>
            </w:r>
          </w:p>
        </w:tc>
      </w:tr>
      <w:tr>
        <w:tc>
          <w:tcPr>
            <w:tcW w:type="dxa" w:w="6048"/>
          </w:tcPr>
          <w:p>
            <w:r>
              <w:rPr>
                <w:b/>
                <w:sz w:val="19"/>
              </w:rPr>
              <w:t>Mr. Kim</w:t>
            </w:r>
          </w:p>
        </w:tc>
        <w:tc>
          <w:tcPr>
            <w:tcW w:type="dxa" w:w="1728"/>
          </w:tcPr>
          <w:p>
            <w:r>
              <w:rPr>
                <w:sz w:val="19"/>
              </w:rPr>
              <w:t>35%</w:t>
            </w:r>
          </w:p>
        </w:tc>
      </w:tr>
      <w:tr>
        <w:tc>
          <w:tcPr>
            <w:tcW w:type="dxa" w:w="6048"/>
          </w:tcPr>
          <w:p>
            <w:r>
              <w:rPr>
                <w:b/>
                <w:sz w:val="19"/>
              </w:rPr>
              <w:t>Existing FVH shareholders (incl. Mr. Ernie Lee)</w:t>
            </w:r>
          </w:p>
        </w:tc>
        <w:tc>
          <w:tcPr>
            <w:tcW w:type="dxa" w:w="1728"/>
          </w:tcPr>
          <w:p>
            <w:r>
              <w:rPr>
                <w:sz w:val="19"/>
              </w:rPr>
              <w:t>~25%</w:t>
            </w:r>
          </w:p>
        </w:tc>
      </w:tr>
      <w:tr>
        <w:tc>
          <w:tcPr>
            <w:tcW w:type="dxa" w:w="6048"/>
          </w:tcPr>
          <w:p>
            <w:r>
              <w:rPr>
                <w:b/>
                <w:sz w:val="19"/>
              </w:rPr>
              <w:t>Total</w:t>
            </w:r>
          </w:p>
        </w:tc>
        <w:tc>
          <w:tcPr>
            <w:tcW w:type="dxa" w:w="1728"/>
          </w:tcPr>
          <w:p>
            <w:r>
              <w:rPr>
                <w:b/>
                <w:sz w:val="19"/>
              </w:rPr>
              <w:t>100%</w:t>
            </w:r>
          </w:p>
        </w:tc>
      </w:tr>
    </w:tbl>
    <w:p>
      <w:pPr>
        <w:spacing w:after="40"/>
      </w:pPr>
    </w:p>
    <w:p>
      <w:pPr>
        <w:spacing w:after="120"/>
      </w:pPr>
      <w:r>
        <w:rPr>
          <w:b w:val="0"/>
          <w:i/>
          <w:color w:val="555555"/>
          <w:sz w:val="18"/>
        </w:rPr>
        <w:t>Percentages are indicative (“assuming 75% of FVH”) and will be defined in definitive agreements.</w:t>
      </w:r>
    </w:p>
    <w:p>
      <w:pPr>
        <w:pStyle w:val="Heading2"/>
      </w:pPr>
      <w:r>
        <w:t>4. Post-restructure business plan — consolidation &amp; synergy</w:t>
      </w:r>
    </w:p>
    <w:p>
      <w:pPr>
        <w:pStyle w:val="ListBullet"/>
        <w:spacing w:after="60"/>
      </w:pPr>
      <w:r>
        <w:rPr>
          <w:b/>
        </w:rPr>
        <w:t xml:space="preserve">FVH contribution — GLP-1 Bridge in GI (US) — </w:t>
      </w:r>
      <w:r>
        <w:t>The operating GLP-1 patient-management program detailed in Section 5 — a CPT-reimbursed, recurring-revenue care platform (assessment → care plan → monthly RPM/PCM monitoring) targeting 10,000 enrolled patients by end-2027 — plus the listed vehicle, SEC reporting history and a U.S. clinical channel for the group's products.</w:t>
      </w:r>
    </w:p>
    <w:p>
      <w:pPr>
        <w:pStyle w:val="ListBullet"/>
        <w:spacing w:after="60"/>
      </w:pPr>
      <w:r>
        <w:rPr>
          <w:b/>
        </w:rPr>
        <w:t xml:space="preserve">GLP-1 × GenApep synergy — </w:t>
      </w:r>
      <w:r>
        <w:t>FVH's GLP-1 patient base is the natural U.S. channel for GenApep peptide programs: GI and metabolic support on- and off-therapy, muscle-preservation formulations, and GLP-1-associated hair-loss management — designed by CodeLife.AI, manufactured by Eyesel under GMP.</w:t>
      </w:r>
    </w:p>
    <w:p>
      <w:pPr>
        <w:pStyle w:val="ListBullet"/>
        <w:spacing w:after="60"/>
      </w:pPr>
      <w:r>
        <w:rPr>
          <w:b/>
        </w:rPr>
        <w:t xml:space="preserve">Hair-loss management — </w:t>
      </w:r>
      <w:r>
        <w:t>AI-designed peptide/exosome programs for hair-loss management — an adjacent high-recurrence consumer-medical category, including GLP-1-associated hair loss.</w:t>
      </w:r>
    </w:p>
    <w:p>
      <w:pPr>
        <w:pStyle w:val="ListBullet"/>
        <w:spacing w:after="60"/>
      </w:pPr>
      <w:r>
        <w:rPr>
          <w:b/>
        </w:rPr>
        <w:t xml:space="preserve">Eyesel contribution — </w:t>
      </w:r>
      <w:r>
        <w:t>GMP-certified manufacturing, AI-peptide production capability and ~US$15M existing revenue — the consolidated group's revenue and cash-flow base from day one.</w:t>
      </w:r>
    </w:p>
    <w:p>
      <w:pPr>
        <w:pStyle w:val="ListBullet"/>
        <w:spacing w:after="60"/>
      </w:pPr>
      <w:r>
        <w:rPr>
          <w:b/>
        </w:rPr>
        <w:t xml:space="preserve">WBI contribution — </w:t>
      </w:r>
      <w:r>
        <w:t>CodeLife.AI design engine, IT-EXO/SynExo science and the consented outcomes dataset — the group's differentiation and pipeline engine.</w:t>
      </w:r>
    </w:p>
    <w:p>
      <w:pPr>
        <w:pStyle w:val="ListBullet"/>
        <w:spacing w:after="60"/>
      </w:pPr>
      <w:r>
        <w:rPr>
          <w:b/>
        </w:rPr>
        <w:t xml:space="preserve">GenApep operating engine — </w:t>
      </w:r>
      <w:r>
        <w:t>The vial-based razor-and-blades consumable model (US$7/vial cost, ~78.5% gross margin, EBITDA-positive from first production year 2027) already documented in the GenApep operating financial model.</w:t>
      </w:r>
    </w:p>
    <w:p>
      <w:pPr>
        <w:pStyle w:val="Heading2"/>
      </w:pPr>
      <w:r>
        <w:t>5. FVH — the GLP-1 Bridge program (US)</w:t>
      </w:r>
    </w:p>
    <w:p>
      <w:pPr>
        <w:spacing w:after="120"/>
      </w:pPr>
      <w:r>
        <w:rPr>
          <w:b w:val="0"/>
          <w:i w:val="0"/>
          <w:sz w:val="21"/>
        </w:rPr>
        <w:t>FVH's operating content: a GLP-1 patient-management program (gastro-intestinal &amp; metabolic care around GLP-1 therapy) billed under U.S. CPT/HCPCS codes at Nurse-Practitioner rates (proforma basis: LA County). Source: FVH GLP-1 proforma, July 2026 → December 2027 (fvh-glp1-proforma.xlsx).</w:t>
      </w:r>
    </w:p>
    <w:p>
      <w:pPr>
        <w:pStyle w:val="Heading3"/>
      </w:pPr>
      <w:r>
        <w:t>5.1 Care pathway &amp; reimbursement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9"/>
              </w:rPr>
              <w:t>Code</w:t>
            </w:r>
          </w:p>
        </w:tc>
        <w:tc>
          <w:tcPr>
            <w:tcW w:type="dxa" w:w="1728"/>
          </w:tcPr>
          <w:p>
            <w:r>
              <w:rPr>
                <w:b/>
                <w:sz w:val="19"/>
              </w:rPr>
              <w:t>When</w:t>
            </w:r>
          </w:p>
        </w:tc>
        <w:tc>
          <w:tcPr>
            <w:tcW w:type="dxa" w:w="1584"/>
          </w:tcPr>
          <w:p>
            <w:r>
              <w:rPr>
                <w:b/>
                <w:sz w:val="19"/>
              </w:rPr>
              <w:t>Rate</w:t>
            </w:r>
          </w:p>
        </w:tc>
        <w:tc>
          <w:tcPr>
            <w:tcW w:type="dxa" w:w="3888"/>
          </w:tcPr>
          <w:p>
            <w:r>
              <w:rPr>
                <w:b/>
                <w:sz w:val="19"/>
              </w:rPr>
              <w:t>Service</w:t>
            </w:r>
          </w:p>
        </w:tc>
      </w:tr>
      <w:tr>
        <w:tc>
          <w:tcPr>
            <w:tcW w:type="dxa" w:w="2160"/>
          </w:tcPr>
          <w:p>
            <w:r>
              <w:rPr>
                <w:b/>
                <w:sz w:val="19"/>
              </w:rPr>
              <w:t>99204</w:t>
            </w:r>
          </w:p>
        </w:tc>
        <w:tc>
          <w:tcPr>
            <w:tcW w:type="dxa" w:w="1728"/>
          </w:tcPr>
          <w:p>
            <w:r>
              <w:rPr>
                <w:sz w:val="19"/>
              </w:rPr>
              <w:t>Day 1</w:t>
            </w:r>
          </w:p>
        </w:tc>
        <w:tc>
          <w:tcPr>
            <w:tcW w:type="dxa" w:w="1584"/>
          </w:tcPr>
          <w:p>
            <w:r>
              <w:rPr>
                <w:sz w:val="19"/>
              </w:rPr>
              <w:t>$150.76</w:t>
            </w:r>
          </w:p>
        </w:tc>
        <w:tc>
          <w:tcPr>
            <w:tcW w:type="dxa" w:w="3888"/>
          </w:tcPr>
          <w:p>
            <w:r>
              <w:rPr>
                <w:sz w:val="19"/>
              </w:rPr>
              <w:t>Comprehensive GI &amp; metabolic assessment</w:t>
            </w:r>
          </w:p>
        </w:tc>
      </w:tr>
      <w:tr>
        <w:tc>
          <w:tcPr>
            <w:tcW w:type="dxa" w:w="2160"/>
          </w:tcPr>
          <w:p>
            <w:r>
              <w:rPr>
                <w:b/>
                <w:sz w:val="19"/>
              </w:rPr>
              <w:t>99213</w:t>
            </w:r>
          </w:p>
        </w:tc>
        <w:tc>
          <w:tcPr>
            <w:tcW w:type="dxa" w:w="1728"/>
          </w:tcPr>
          <w:p>
            <w:r>
              <w:rPr>
                <w:sz w:val="19"/>
              </w:rPr>
              <w:t>Week 2</w:t>
            </w:r>
          </w:p>
        </w:tc>
        <w:tc>
          <w:tcPr>
            <w:tcW w:type="dxa" w:w="1584"/>
          </w:tcPr>
          <w:p>
            <w:r>
              <w:rPr>
                <w:sz w:val="19"/>
              </w:rPr>
              <w:t>$89.16</w:t>
            </w:r>
          </w:p>
        </w:tc>
        <w:tc>
          <w:tcPr>
            <w:tcW w:type="dxa" w:w="3888"/>
          </w:tcPr>
          <w:p>
            <w:r>
              <w:rPr>
                <w:sz w:val="19"/>
              </w:rPr>
              <w:t>Labs review, assessment, treatment initiation</w:t>
            </w:r>
          </w:p>
        </w:tc>
      </w:tr>
      <w:tr>
        <w:tc>
          <w:tcPr>
            <w:tcW w:type="dxa" w:w="2160"/>
          </w:tcPr>
          <w:p>
            <w:r>
              <w:rPr>
                <w:b/>
                <w:sz w:val="19"/>
              </w:rPr>
              <w:t>G0506</w:t>
            </w:r>
          </w:p>
        </w:tc>
        <w:tc>
          <w:tcPr>
            <w:tcW w:type="dxa" w:w="1728"/>
          </w:tcPr>
          <w:p>
            <w:r>
              <w:rPr>
                <w:sz w:val="19"/>
              </w:rPr>
              <w:t>Month 1</w:t>
            </w:r>
          </w:p>
        </w:tc>
        <w:tc>
          <w:tcPr>
            <w:tcW w:type="dxa" w:w="1584"/>
          </w:tcPr>
          <w:p>
            <w:r>
              <w:rPr>
                <w:sz w:val="19"/>
              </w:rPr>
              <w:t>$62.44</w:t>
            </w:r>
          </w:p>
        </w:tc>
        <w:tc>
          <w:tcPr>
            <w:tcW w:type="dxa" w:w="3888"/>
          </w:tcPr>
          <w:p>
            <w:r>
              <w:rPr>
                <w:sz w:val="19"/>
              </w:rPr>
              <w:t>Care-plan establishment</w:t>
            </w:r>
          </w:p>
        </w:tc>
      </w:tr>
      <w:tr>
        <w:tc>
          <w:tcPr>
            <w:tcW w:type="dxa" w:w="2160"/>
          </w:tcPr>
          <w:p>
            <w:r>
              <w:rPr>
                <w:b/>
                <w:sz w:val="19"/>
              </w:rPr>
              <w:t>99453</w:t>
            </w:r>
          </w:p>
        </w:tc>
        <w:tc>
          <w:tcPr>
            <w:tcW w:type="dxa" w:w="1728"/>
          </w:tcPr>
          <w:p>
            <w:r>
              <w:rPr>
                <w:sz w:val="19"/>
              </w:rPr>
              <w:t>Month 1</w:t>
            </w:r>
          </w:p>
        </w:tc>
        <w:tc>
          <w:tcPr>
            <w:tcW w:type="dxa" w:w="1584"/>
          </w:tcPr>
          <w:p>
            <w:r>
              <w:rPr>
                <w:sz w:val="19"/>
              </w:rPr>
              <w:t>$22.00</w:t>
            </w:r>
          </w:p>
        </w:tc>
        <w:tc>
          <w:tcPr>
            <w:tcW w:type="dxa" w:w="3888"/>
          </w:tcPr>
          <w:p>
            <w:r>
              <w:rPr>
                <w:sz w:val="19"/>
              </w:rPr>
              <w:t>RPM device (scale) set-up</w:t>
            </w:r>
          </w:p>
        </w:tc>
      </w:tr>
      <w:tr>
        <w:tc>
          <w:tcPr>
            <w:tcW w:type="dxa" w:w="2160"/>
          </w:tcPr>
          <w:p>
            <w:r>
              <w:rPr>
                <w:b/>
                <w:sz w:val="19"/>
              </w:rPr>
              <w:t>99426 + 99454 + 99457</w:t>
            </w:r>
          </w:p>
        </w:tc>
        <w:tc>
          <w:tcPr>
            <w:tcW w:type="dxa" w:w="1728"/>
          </w:tcPr>
          <w:p>
            <w:r>
              <w:rPr>
                <w:sz w:val="19"/>
              </w:rPr>
              <w:t>Monthly (recurring)</w:t>
            </w:r>
          </w:p>
        </w:tc>
        <w:tc>
          <w:tcPr>
            <w:tcW w:type="dxa" w:w="1584"/>
          </w:tcPr>
          <w:p>
            <w:r>
              <w:rPr>
                <w:sz w:val="19"/>
              </w:rPr>
              <w:t>$168.92 / month</w:t>
            </w:r>
          </w:p>
        </w:tc>
        <w:tc>
          <w:tcPr>
            <w:tcW w:type="dxa" w:w="3888"/>
          </w:tcPr>
          <w:p>
            <w:r>
              <w:rPr>
                <w:sz w:val="19"/>
              </w:rPr>
              <w:t>PCM $67.80 + RPM data $52.11 + RPM weight management $49.01 — the MRR engine</w:t>
            </w:r>
          </w:p>
        </w:tc>
      </w:tr>
      <w:tr>
        <w:tc>
          <w:tcPr>
            <w:tcW w:type="dxa" w:w="2160"/>
          </w:tcPr>
          <w:p>
            <w:r>
              <w:rPr>
                <w:b/>
                <w:sz w:val="19"/>
              </w:rPr>
              <w:t>99213</w:t>
            </w:r>
          </w:p>
        </w:tc>
        <w:tc>
          <w:tcPr>
            <w:tcW w:type="dxa" w:w="1728"/>
          </w:tcPr>
          <w:p>
            <w:r>
              <w:rPr>
                <w:sz w:val="19"/>
              </w:rPr>
              <w:t>Quarterly</w:t>
            </w:r>
          </w:p>
        </w:tc>
        <w:tc>
          <w:tcPr>
            <w:tcW w:type="dxa" w:w="1584"/>
          </w:tcPr>
          <w:p>
            <w:r>
              <w:rPr>
                <w:sz w:val="19"/>
              </w:rPr>
              <w:t>$89.16</w:t>
            </w:r>
          </w:p>
        </w:tc>
        <w:tc>
          <w:tcPr>
            <w:tcW w:type="dxa" w:w="3888"/>
          </w:tcPr>
          <w:p>
            <w:r>
              <w:rPr>
                <w:sz w:val="19"/>
              </w:rPr>
              <w:t>Recurring quarterly E/M follow-up</w:t>
            </w:r>
          </w:p>
        </w:tc>
      </w:tr>
    </w:tbl>
    <w:p>
      <w:pPr>
        <w:spacing w:after="40"/>
      </w:pPr>
    </w:p>
    <w:p>
      <w:pPr>
        <w:pStyle w:val="Heading3"/>
      </w:pPr>
      <w:r>
        <w:t>5.2 Program metrics (per proforma)</w:t>
      </w:r>
    </w:p>
    <w:tbl>
      <w:tblPr>
        <w:tblStyle w:val="LightGrid-Accent1"/>
        <w:tblW w:type="auto" w:w="0"/>
        <w:jc w:val="center"/>
        <w:tblLook w:firstColumn="1" w:firstRow="1" w:lastColumn="0" w:lastRow="0" w:noHBand="0" w:noVBand="1" w:val="04A0"/>
      </w:tblPr>
      <w:tblGrid>
        <w:gridCol w:w="4320"/>
        <w:gridCol w:w="4320"/>
      </w:tblGrid>
      <w:tr>
        <w:tc>
          <w:tcPr>
            <w:tcW w:type="dxa" w:w="2304"/>
          </w:tcPr>
          <w:p>
            <w:r>
              <w:rPr>
                <w:b/>
                <w:sz w:val="19"/>
              </w:rPr>
              <w:t>Metric</w:t>
            </w:r>
          </w:p>
        </w:tc>
        <w:tc>
          <w:tcPr>
            <w:tcW w:type="dxa" w:w="7056"/>
          </w:tcPr>
          <w:p>
            <w:r>
              <w:rPr>
                <w:b/>
                <w:sz w:val="19"/>
              </w:rPr>
              <w:t>Value</w:t>
            </w:r>
          </w:p>
        </w:tc>
      </w:tr>
      <w:tr>
        <w:tc>
          <w:tcPr>
            <w:tcW w:type="dxa" w:w="2304"/>
          </w:tcPr>
          <w:p>
            <w:r>
              <w:rPr>
                <w:b/>
                <w:sz w:val="19"/>
              </w:rPr>
              <w:t>Model period</w:t>
            </w:r>
          </w:p>
        </w:tc>
        <w:tc>
          <w:tcPr>
            <w:tcW w:type="dxa" w:w="7056"/>
          </w:tcPr>
          <w:p>
            <w:r>
              <w:rPr>
                <w:sz w:val="19"/>
              </w:rPr>
              <w:t>July 1, 2026 → December 31, 2027 (18 months); accelerating enrollment ramp</w:t>
            </w:r>
          </w:p>
        </w:tc>
      </w:tr>
      <w:tr>
        <w:tc>
          <w:tcPr>
            <w:tcW w:type="dxa" w:w="2304"/>
          </w:tcPr>
          <w:p>
            <w:r>
              <w:rPr>
                <w:b/>
                <w:sz w:val="19"/>
              </w:rPr>
              <w:t>Enrollment</w:t>
            </w:r>
          </w:p>
        </w:tc>
        <w:tc>
          <w:tcPr>
            <w:tcW w:type="dxa" w:w="7056"/>
          </w:tcPr>
          <w:p>
            <w:r>
              <w:rPr>
                <w:sz w:val="19"/>
              </w:rPr>
              <w:t>2,500 patients by Dec-2026; 10,000 cumulative by Dec-2027; ~10% annual attrition</w:t>
            </w:r>
          </w:p>
        </w:tc>
      </w:tr>
      <w:tr>
        <w:tc>
          <w:tcPr>
            <w:tcW w:type="dxa" w:w="2304"/>
          </w:tcPr>
          <w:p>
            <w:r>
              <w:rPr>
                <w:b/>
                <w:sz w:val="19"/>
              </w:rPr>
              <w:t>Active patients</w:t>
            </w:r>
          </w:p>
        </w:tc>
        <w:tc>
          <w:tcPr>
            <w:tcW w:type="dxa" w:w="7056"/>
          </w:tcPr>
          <w:p>
            <w:r>
              <w:rPr>
                <w:sz w:val="19"/>
              </w:rPr>
              <w:t>2,463 avg (2026) → 9,414 peak (Dec-2027)</w:t>
            </w:r>
          </w:p>
        </w:tc>
      </w:tr>
      <w:tr>
        <w:tc>
          <w:tcPr>
            <w:tcW w:type="dxa" w:w="2304"/>
          </w:tcPr>
          <w:p>
            <w:r>
              <w:rPr>
                <w:b/>
                <w:sz w:val="19"/>
              </w:rPr>
              <w:t>Revenue</w:t>
            </w:r>
          </w:p>
        </w:tc>
        <w:tc>
          <w:tcPr>
            <w:tcW w:type="dxa" w:w="7056"/>
          </w:tcPr>
          <w:p>
            <w:r>
              <w:rPr>
                <w:sz w:val="19"/>
              </w:rPr>
              <w:t>US$2.2M (H2-2026) → US$16.7M (2027) — gross reimbursement, per proforma</w:t>
            </w:r>
          </w:p>
        </w:tc>
      </w:tr>
      <w:tr>
        <w:tc>
          <w:tcPr>
            <w:tcW w:type="dxa" w:w="2304"/>
          </w:tcPr>
          <w:p>
            <w:r>
              <w:rPr>
                <w:b/>
                <w:sz w:val="19"/>
              </w:rPr>
              <w:t>Recurring revenue</w:t>
            </w:r>
          </w:p>
        </w:tc>
        <w:tc>
          <w:tcPr>
            <w:tcW w:type="dxa" w:w="7056"/>
          </w:tcPr>
          <w:p>
            <w:r>
              <w:rPr>
                <w:sz w:val="19"/>
              </w:rPr>
              <w:t>MRR US$1.59M/month exiting Dec-2027 (≈ US$19M annualised); ARPU $168.92/patient/month</w:t>
            </w:r>
          </w:p>
        </w:tc>
      </w:tr>
      <w:tr>
        <w:tc>
          <w:tcPr>
            <w:tcW w:type="dxa" w:w="2304"/>
          </w:tcPr>
          <w:p>
            <w:r>
              <w:rPr>
                <w:b/>
                <w:sz w:val="19"/>
              </w:rPr>
              <w:t>Unit value</w:t>
            </w:r>
          </w:p>
        </w:tc>
        <w:tc>
          <w:tcPr>
            <w:tcW w:type="dxa" w:w="7056"/>
          </w:tcPr>
          <w:p>
            <w:r>
              <w:rPr>
                <w:sz w:val="19"/>
              </w:rPr>
              <w:t>≈ US$3,788 average revenue per enrolled patient (proforma LTV basis)</w:t>
            </w:r>
          </w:p>
        </w:tc>
      </w:tr>
    </w:tbl>
    <w:p>
      <w:pPr>
        <w:spacing w:after="40"/>
      </w:pPr>
    </w:p>
    <w:p>
      <w:pPr>
        <w:pStyle w:val="Heading2"/>
      </w:pPr>
      <w:r>
        <w:t>6. Consolidated revenue forecast (illustrative, US$M)</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3600"/>
          </w:tcPr>
          <w:p>
            <w:r>
              <w:rPr>
                <w:b/>
                <w:sz w:val="19"/>
              </w:rPr>
              <w:t>Line</w:t>
            </w:r>
          </w:p>
        </w:tc>
        <w:tc>
          <w:tcPr>
            <w:tcW w:type="dxa" w:w="1152"/>
          </w:tcPr>
          <w:p>
            <w:r>
              <w:rPr>
                <w:b/>
                <w:sz w:val="19"/>
              </w:rPr>
              <w:t>2026</w:t>
            </w:r>
          </w:p>
        </w:tc>
        <w:tc>
          <w:tcPr>
            <w:tcW w:type="dxa" w:w="1152"/>
          </w:tcPr>
          <w:p>
            <w:r>
              <w:rPr>
                <w:b/>
                <w:sz w:val="19"/>
              </w:rPr>
              <w:t>2027</w:t>
            </w:r>
          </w:p>
        </w:tc>
        <w:tc>
          <w:tcPr>
            <w:tcW w:type="dxa" w:w="1152"/>
          </w:tcPr>
          <w:p>
            <w:r>
              <w:rPr>
                <w:b/>
                <w:sz w:val="19"/>
              </w:rPr>
              <w:t>2028</w:t>
            </w:r>
          </w:p>
        </w:tc>
        <w:tc>
          <w:tcPr>
            <w:tcW w:type="dxa" w:w="1152"/>
          </w:tcPr>
          <w:p>
            <w:r>
              <w:rPr>
                <w:b/>
                <w:sz w:val="19"/>
              </w:rPr>
              <w:t>2029</w:t>
            </w:r>
          </w:p>
        </w:tc>
        <w:tc>
          <w:tcPr>
            <w:tcW w:type="dxa" w:w="1152"/>
          </w:tcPr>
          <w:p>
            <w:r>
              <w:rPr>
                <w:b/>
                <w:sz w:val="19"/>
              </w:rPr>
              <w:t>2030</w:t>
            </w:r>
          </w:p>
        </w:tc>
      </w:tr>
      <w:tr>
        <w:tc>
          <w:tcPr>
            <w:tcW w:type="dxa" w:w="3600"/>
          </w:tcPr>
          <w:p>
            <w:r>
              <w:rPr>
                <w:b/>
                <w:sz w:val="19"/>
              </w:rPr>
              <w:t>Eyesel (existing, ~6%/yr)</w:t>
            </w:r>
          </w:p>
        </w:tc>
        <w:tc>
          <w:tcPr>
            <w:tcW w:type="dxa" w:w="1152"/>
          </w:tcPr>
          <w:p>
            <w:r>
              <w:rPr>
                <w:sz w:val="19"/>
              </w:rPr>
              <w:t>15.0</w:t>
            </w:r>
          </w:p>
        </w:tc>
        <w:tc>
          <w:tcPr>
            <w:tcW w:type="dxa" w:w="1152"/>
          </w:tcPr>
          <w:p>
            <w:r>
              <w:rPr>
                <w:sz w:val="19"/>
              </w:rPr>
              <w:t>15.9</w:t>
            </w:r>
          </w:p>
        </w:tc>
        <w:tc>
          <w:tcPr>
            <w:tcW w:type="dxa" w:w="1152"/>
          </w:tcPr>
          <w:p>
            <w:r>
              <w:rPr>
                <w:sz w:val="19"/>
              </w:rPr>
              <w:t>16.9</w:t>
            </w:r>
          </w:p>
        </w:tc>
        <w:tc>
          <w:tcPr>
            <w:tcW w:type="dxa" w:w="1152"/>
          </w:tcPr>
          <w:p>
            <w:r>
              <w:rPr>
                <w:sz w:val="19"/>
              </w:rPr>
              <w:t>17.9</w:t>
            </w:r>
          </w:p>
        </w:tc>
        <w:tc>
          <w:tcPr>
            <w:tcW w:type="dxa" w:w="1152"/>
          </w:tcPr>
          <w:p>
            <w:r>
              <w:rPr>
                <w:sz w:val="19"/>
              </w:rPr>
              <w:t>18.9</w:t>
            </w:r>
          </w:p>
        </w:tc>
      </w:tr>
      <w:tr>
        <w:tc>
          <w:tcPr>
            <w:tcW w:type="dxa" w:w="3600"/>
          </w:tcPr>
          <w:p>
            <w:r>
              <w:rPr>
                <w:b/>
                <w:sz w:val="19"/>
              </w:rPr>
              <w:t>FVH GLP-1 Bridge (proforma → extrap.)</w:t>
            </w:r>
          </w:p>
        </w:tc>
        <w:tc>
          <w:tcPr>
            <w:tcW w:type="dxa" w:w="1152"/>
          </w:tcPr>
          <w:p>
            <w:r>
              <w:rPr>
                <w:sz w:val="19"/>
              </w:rPr>
              <w:t>2.2</w:t>
            </w:r>
          </w:p>
        </w:tc>
        <w:tc>
          <w:tcPr>
            <w:tcW w:type="dxa" w:w="1152"/>
          </w:tcPr>
          <w:p>
            <w:r>
              <w:rPr>
                <w:sz w:val="19"/>
              </w:rPr>
              <w:t>16.7</w:t>
            </w:r>
          </w:p>
        </w:tc>
        <w:tc>
          <w:tcPr>
            <w:tcW w:type="dxa" w:w="1152"/>
          </w:tcPr>
          <w:p>
            <w:r>
              <w:rPr>
                <w:sz w:val="19"/>
              </w:rPr>
              <w:t>25.0</w:t>
            </w:r>
          </w:p>
        </w:tc>
        <w:tc>
          <w:tcPr>
            <w:tcW w:type="dxa" w:w="1152"/>
          </w:tcPr>
          <w:p>
            <w:r>
              <w:rPr>
                <w:sz w:val="19"/>
              </w:rPr>
              <w:t>30.0</w:t>
            </w:r>
          </w:p>
        </w:tc>
        <w:tc>
          <w:tcPr>
            <w:tcW w:type="dxa" w:w="1152"/>
          </w:tcPr>
          <w:p>
            <w:r>
              <w:rPr>
                <w:sz w:val="19"/>
              </w:rPr>
              <w:t>34.0</w:t>
            </w:r>
          </w:p>
        </w:tc>
      </w:tr>
      <w:tr>
        <w:tc>
          <w:tcPr>
            <w:tcW w:type="dxa" w:w="3600"/>
          </w:tcPr>
          <w:p>
            <w:r>
              <w:rPr>
                <w:b/>
                <w:sz w:val="19"/>
              </w:rPr>
              <w:t>GenApep vial model</w:t>
            </w:r>
          </w:p>
        </w:tc>
        <w:tc>
          <w:tcPr>
            <w:tcW w:type="dxa" w:w="1152"/>
          </w:tcPr>
          <w:p>
            <w:r>
              <w:rPr>
                <w:sz w:val="19"/>
              </w:rPr>
              <w:t>0.0</w:t>
            </w:r>
          </w:p>
        </w:tc>
        <w:tc>
          <w:tcPr>
            <w:tcW w:type="dxa" w:w="1152"/>
          </w:tcPr>
          <w:p>
            <w:r>
              <w:rPr>
                <w:sz w:val="19"/>
              </w:rPr>
              <w:t>2.4</w:t>
            </w:r>
          </w:p>
        </w:tc>
        <w:tc>
          <w:tcPr>
            <w:tcW w:type="dxa" w:w="1152"/>
          </w:tcPr>
          <w:p>
            <w:r>
              <w:rPr>
                <w:sz w:val="19"/>
              </w:rPr>
              <w:t>6.4</w:t>
            </w:r>
          </w:p>
        </w:tc>
        <w:tc>
          <w:tcPr>
            <w:tcW w:type="dxa" w:w="1152"/>
          </w:tcPr>
          <w:p>
            <w:r>
              <w:rPr>
                <w:sz w:val="19"/>
              </w:rPr>
              <w:t>11.1</w:t>
            </w:r>
          </w:p>
        </w:tc>
        <w:tc>
          <w:tcPr>
            <w:tcW w:type="dxa" w:w="1152"/>
          </w:tcPr>
          <w:p>
            <w:r>
              <w:rPr>
                <w:sz w:val="19"/>
              </w:rPr>
              <w:t>16.2</w:t>
            </w:r>
          </w:p>
        </w:tc>
      </w:tr>
      <w:tr>
        <w:tc>
          <w:tcPr>
            <w:tcW w:type="dxa" w:w="3600"/>
          </w:tcPr>
          <w:p>
            <w:r>
              <w:rPr>
                <w:b/>
                <w:sz w:val="19"/>
              </w:rPr>
              <w:t>Hair-loss + other new lines</w:t>
            </w:r>
          </w:p>
        </w:tc>
        <w:tc>
          <w:tcPr>
            <w:tcW w:type="dxa" w:w="1152"/>
          </w:tcPr>
          <w:p>
            <w:r>
              <w:rPr>
                <w:sz w:val="19"/>
              </w:rPr>
              <w:t>0.0</w:t>
            </w:r>
          </w:p>
        </w:tc>
        <w:tc>
          <w:tcPr>
            <w:tcW w:type="dxa" w:w="1152"/>
          </w:tcPr>
          <w:p>
            <w:r>
              <w:rPr>
                <w:sz w:val="19"/>
              </w:rPr>
              <w:t>0.0</w:t>
            </w:r>
          </w:p>
        </w:tc>
        <w:tc>
          <w:tcPr>
            <w:tcW w:type="dxa" w:w="1152"/>
          </w:tcPr>
          <w:p>
            <w:r>
              <w:rPr>
                <w:sz w:val="19"/>
              </w:rPr>
              <w:t>1.0</w:t>
            </w:r>
          </w:p>
        </w:tc>
        <w:tc>
          <w:tcPr>
            <w:tcW w:type="dxa" w:w="1152"/>
          </w:tcPr>
          <w:p>
            <w:r>
              <w:rPr>
                <w:sz w:val="19"/>
              </w:rPr>
              <w:t>3.0</w:t>
            </w:r>
          </w:p>
        </w:tc>
        <w:tc>
          <w:tcPr>
            <w:tcW w:type="dxa" w:w="1152"/>
          </w:tcPr>
          <w:p>
            <w:r>
              <w:rPr>
                <w:sz w:val="19"/>
              </w:rPr>
              <w:t>6.0</w:t>
            </w:r>
          </w:p>
        </w:tc>
      </w:tr>
      <w:tr>
        <w:tc>
          <w:tcPr>
            <w:tcW w:type="dxa" w:w="3600"/>
          </w:tcPr>
          <w:p>
            <w:r>
              <w:rPr>
                <w:b/>
                <w:sz w:val="19"/>
              </w:rPr>
              <w:t>Consolidated revenue</w:t>
            </w:r>
          </w:p>
        </w:tc>
        <w:tc>
          <w:tcPr>
            <w:tcW w:type="dxa" w:w="1152"/>
          </w:tcPr>
          <w:p>
            <w:r>
              <w:rPr>
                <w:b/>
                <w:sz w:val="19"/>
              </w:rPr>
              <w:t>17.2</w:t>
            </w:r>
          </w:p>
        </w:tc>
        <w:tc>
          <w:tcPr>
            <w:tcW w:type="dxa" w:w="1152"/>
          </w:tcPr>
          <w:p>
            <w:r>
              <w:rPr>
                <w:b/>
                <w:sz w:val="19"/>
              </w:rPr>
              <w:t>35.0</w:t>
            </w:r>
          </w:p>
        </w:tc>
        <w:tc>
          <w:tcPr>
            <w:tcW w:type="dxa" w:w="1152"/>
          </w:tcPr>
          <w:p>
            <w:r>
              <w:rPr>
                <w:b/>
                <w:sz w:val="19"/>
              </w:rPr>
              <w:t>49.3</w:t>
            </w:r>
          </w:p>
        </w:tc>
        <w:tc>
          <w:tcPr>
            <w:tcW w:type="dxa" w:w="1152"/>
          </w:tcPr>
          <w:p>
            <w:r>
              <w:rPr>
                <w:b/>
                <w:sz w:val="19"/>
              </w:rPr>
              <w:t>62.0</w:t>
            </w:r>
          </w:p>
        </w:tc>
        <w:tc>
          <w:tcPr>
            <w:tcW w:type="dxa" w:w="1152"/>
          </w:tcPr>
          <w:p>
            <w:r>
              <w:rPr>
                <w:b/>
                <w:sz w:val="19"/>
              </w:rPr>
              <w:t>75.1</w:t>
            </w:r>
          </w:p>
        </w:tc>
      </w:tr>
      <w:tr>
        <w:tc>
          <w:tcPr>
            <w:tcW w:type="dxa" w:w="3600"/>
          </w:tcPr>
          <w:p>
            <w:r>
              <w:rPr>
                <w:b/>
                <w:sz w:val="19"/>
              </w:rPr>
              <w:t>Consolidated EBITDA</w:t>
            </w:r>
          </w:p>
        </w:tc>
        <w:tc>
          <w:tcPr>
            <w:tcW w:type="dxa" w:w="1152"/>
          </w:tcPr>
          <w:p>
            <w:r>
              <w:rPr>
                <w:b/>
                <w:sz w:val="19"/>
              </w:rPr>
              <w:t>1.8</w:t>
            </w:r>
          </w:p>
        </w:tc>
        <w:tc>
          <w:tcPr>
            <w:tcW w:type="dxa" w:w="1152"/>
          </w:tcPr>
          <w:p>
            <w:r>
              <w:rPr>
                <w:b/>
                <w:sz w:val="19"/>
              </w:rPr>
              <w:t>6.2</w:t>
            </w:r>
          </w:p>
        </w:tc>
        <w:tc>
          <w:tcPr>
            <w:tcW w:type="dxa" w:w="1152"/>
          </w:tcPr>
          <w:p>
            <w:r>
              <w:rPr>
                <w:b/>
                <w:sz w:val="19"/>
              </w:rPr>
              <w:t>11.1</w:t>
            </w:r>
          </w:p>
        </w:tc>
        <w:tc>
          <w:tcPr>
            <w:tcW w:type="dxa" w:w="1152"/>
          </w:tcPr>
          <w:p>
            <w:r>
              <w:rPr>
                <w:b/>
                <w:sz w:val="19"/>
              </w:rPr>
              <w:t>16.2</w:t>
            </w:r>
          </w:p>
        </w:tc>
        <w:tc>
          <w:tcPr>
            <w:tcW w:type="dxa" w:w="1152"/>
          </w:tcPr>
          <w:p>
            <w:r>
              <w:rPr>
                <w:b/>
                <w:sz w:val="19"/>
              </w:rPr>
              <w:t>21.7</w:t>
            </w:r>
          </w:p>
        </w:tc>
      </w:tr>
    </w:tbl>
    <w:p>
      <w:pPr>
        <w:spacing w:after="40"/>
      </w:pPr>
    </w:p>
    <w:p>
      <w:pPr>
        <w:spacing w:after="120"/>
      </w:pPr>
      <w:r>
        <w:rPr>
          <w:b w:val="0"/>
          <w:i/>
          <w:color w:val="555555"/>
          <w:sz w:val="18"/>
        </w:rPr>
        <w:t>Assumptions: Eyesel base US$15M growing ~6%/yr at ~12% EBITDA margin [assumption]; FVH GLP-1 per company proforma for 2026–2027, extrapolated 2028–2030 at roughly the 2027 enrollment pace with 10% attrition [to be confirmed by FVH], at ~20% EBITDA margin [assumption — proforma is gross reimbursement only]; GenApep vial model per the GenApep operating financial model (78.5% GM, EBITDA-positive 2027); hair-loss and other new lines ramp from 2028 at ~30% contribution [illustrative placeholders].</w:t>
      </w:r>
    </w:p>
    <w:p>
      <w:pPr>
        <w:pStyle w:val="Heading2"/>
      </w:pPr>
      <w:r>
        <w:t>7. Valuation management</w:t>
      </w:r>
    </w:p>
    <w:p>
      <w:pPr>
        <w:pStyle w:val="ListBullet"/>
        <w:spacing w:after="60"/>
      </w:pPr>
      <w:r>
        <w:rPr>
          <w:b/>
        </w:rPr>
        <w:t xml:space="preserve">Entry reference points — </w:t>
      </w:r>
      <w:r>
        <w:t>GenApep JV previously framed at US$6M pre-money for a US$1M kickoff (device/consumables lens); Eyesel contributes ~US$15M revenue; FVH contributes an operating GLP-1 program at a US$19M annualised MRR run-rate exiting 2027 (proforma). Acquisition valuations for WBI and Eyesel [TBD] with independent support.</w:t>
      </w:r>
    </w:p>
    <w:p>
      <w:pPr>
        <w:pStyle w:val="ListBullet"/>
        <w:spacing w:after="60"/>
      </w:pPr>
      <w:r>
        <w:rPr>
          <w:b/>
        </w:rPr>
        <w:t xml:space="preserve">Method for the listed company — </w:t>
      </w:r>
      <w:r>
        <w:t>Sponsor-led comparables: specialty peptide / medical-aesthetics / CDMO peers for the Korean business, and recurring-revenue digital-health / care-management peers for the FVH GLP-1 platform (indicative placeholder ranges: 3–6× revenue or 10–15× EBITDA — to be validated by the IPO sponsor), cross-checked with DCF on the consolidated plan.</w:t>
      </w:r>
    </w:p>
    <w:p>
      <w:pPr>
        <w:pStyle w:val="ListBullet"/>
        <w:spacing w:after="60"/>
      </w:pPr>
      <w:r>
        <w:rPr>
          <w:b/>
        </w:rPr>
        <w:t xml:space="preserve">Value-creation levers — </w:t>
      </w:r>
      <w:r>
        <w:t>Consolidated growth (US$15M Eyesel base + FVH GLP-1 ramp + GenApep ramp + hair-loss optionality), gross-margin expansion toward the ~78.5% consumable model, recurring-revenue mix (care-management MRR + consumable reorders), and liquidity/uplisting premium as reporting history builds.</w:t>
      </w:r>
    </w:p>
    <w:p>
      <w:pPr>
        <w:pStyle w:val="ListBullet"/>
        <w:spacing w:after="60"/>
      </w:pPr>
      <w:r>
        <w:rPr>
          <w:b/>
        </w:rPr>
        <w:t xml:space="preserve">Governance &amp; fairness — </w:t>
      </w:r>
      <w:r>
        <w:t>Ms. Jang and Mr. Kim would stand on both sides of the acquisitions (as FVH shareholders and as WBI/Eyesel principals). The parties will use independent valuations / fairness opinions, disinterested-director or shareholder approval where applicable, and full related-party disclosure in SEC filings.</w:t>
      </w:r>
    </w:p>
    <w:p>
      <w:pPr>
        <w:pStyle w:val="Heading2"/>
      </w:pPr>
      <w:r>
        <w:t>8. Conditions precedent &amp; key risks</w:t>
      </w:r>
    </w:p>
    <w:p>
      <w:pPr>
        <w:pStyle w:val="ListNumber"/>
        <w:spacing w:after="60"/>
      </w:pPr>
      <w:r>
        <w:t>FVH successfully maintaining and extending its SEC listing/reporting status into 2027 — the governing condition of this MOU.</w:t>
      </w:r>
    </w:p>
    <w:p>
      <w:pPr>
        <w:pStyle w:val="ListNumber"/>
        <w:spacing w:after="60"/>
      </w:pPr>
      <w:r>
        <w:t>Satisfactory mutual due diligence (corporate, financial, IP, regulatory, tax) on FVH, WBI and Eyesel — including confirmation of FVH's EDGAR filing history and the assumptions of the GLP-1 proforma (reimbursement rates, enrollment, attrition).</w:t>
      </w:r>
    </w:p>
    <w:p>
      <w:pPr>
        <w:pStyle w:val="ListNumber"/>
        <w:spacing w:after="60"/>
      </w:pPr>
      <w:r>
        <w:t>Definitive agreements: share-issuance agreement, share-purchase/exchange agreements, shareholder agreements.</w:t>
      </w:r>
    </w:p>
    <w:p>
      <w:pPr>
        <w:pStyle w:val="ListNumber"/>
        <w:spacing w:after="60"/>
      </w:pPr>
      <w:r>
        <w:t>PCAOB-standard audits of Eyesel and WBI sufficient for SEC consolidated reporting.</w:t>
      </w:r>
    </w:p>
    <w:p>
      <w:pPr>
        <w:pStyle w:val="ListNumber"/>
        <w:spacing w:after="60"/>
      </w:pPr>
      <w:r>
        <w:t>Korean regulatory, foreign-direct-investment and tax clearances for FVH Korea and the acquisitions.</w:t>
      </w:r>
    </w:p>
    <w:p>
      <w:pPr>
        <w:pStyle w:val="ListNumber"/>
        <w:spacing w:after="60"/>
      </w:pPr>
      <w:r>
        <w:t>U.S. healthcare-regulatory compliance of the GLP-1 program (billing/coding, telehealth and RPM/PCM rules, state scope-of-practice).</w:t>
      </w:r>
    </w:p>
    <w:p>
      <w:pPr>
        <w:pStyle w:val="ListNumber"/>
        <w:spacing w:after="60"/>
      </w:pPr>
      <w:r>
        <w:t>Board and shareholder approvals of each party, including the current shareholders of WBI.</w:t>
      </w:r>
    </w:p>
    <w:p>
      <w:pPr>
        <w:pStyle w:val="ListNumber"/>
        <w:spacing w:after="60"/>
      </w:pPr>
      <w:r>
        <w:t>Independent valuations / fairness opinions for the related-party acquisitions.</w:t>
      </w:r>
    </w:p>
    <w:p>
      <w:pPr>
        <w:pStyle w:val="ListNumber"/>
        <w:spacing w:after="60"/>
      </w:pPr>
      <w:r>
        <w:t>No assurance of financing, listing venue, uplisting or valuation is given or implied.</w:t>
      </w:r>
    </w:p>
    <w:p>
      <w:pPr>
        <w:pStyle w:val="Heading2"/>
      </w:pPr>
      <w:r>
        <w:t>9. Indicative timeline</w:t>
      </w:r>
    </w:p>
    <w:tbl>
      <w:tblPr>
        <w:tblStyle w:val="LightGrid-Accent1"/>
        <w:tblW w:type="auto" w:w="0"/>
        <w:jc w:val="center"/>
        <w:tblLook w:firstColumn="1" w:firstRow="1" w:lastColumn="0" w:lastRow="0" w:noHBand="0" w:noVBand="1" w:val="04A0"/>
      </w:tblPr>
      <w:tblGrid>
        <w:gridCol w:w="4320"/>
        <w:gridCol w:w="4320"/>
      </w:tblGrid>
      <w:tr>
        <w:tc>
          <w:tcPr>
            <w:tcW w:type="dxa" w:w="2016"/>
          </w:tcPr>
          <w:p>
            <w:r>
              <w:rPr>
                <w:b/>
                <w:sz w:val="19"/>
              </w:rPr>
              <w:t>Window</w:t>
            </w:r>
          </w:p>
        </w:tc>
        <w:tc>
          <w:tcPr>
            <w:tcW w:type="dxa" w:w="7344"/>
          </w:tcPr>
          <w:p>
            <w:r>
              <w:rPr>
                <w:b/>
                <w:sz w:val="19"/>
              </w:rPr>
              <w:t>Milestones</w:t>
            </w:r>
          </w:p>
        </w:tc>
      </w:tr>
      <w:tr>
        <w:tc>
          <w:tcPr>
            <w:tcW w:type="dxa" w:w="2016"/>
          </w:tcPr>
          <w:p>
            <w:r>
              <w:rPr>
                <w:b/>
                <w:sz w:val="19"/>
              </w:rPr>
              <w:t>Q3–Q4 2026</w:t>
            </w:r>
          </w:p>
        </w:tc>
        <w:tc>
          <w:tcPr>
            <w:tcW w:type="dxa" w:w="7344"/>
          </w:tcPr>
          <w:p>
            <w:r>
              <w:rPr>
                <w:sz w:val="19"/>
              </w:rPr>
              <w:t>Three-party discussion on this MOU; due diligence; definitive agreements; PCAOB audit preparation; FVH SEC status maintenance. FVH GLP-1 program enrolling from Jul-2026 (2,500 patients by Dec-2026).</w:t>
            </w:r>
          </w:p>
        </w:tc>
      </w:tr>
      <w:tr>
        <w:tc>
          <w:tcPr>
            <w:tcW w:type="dxa" w:w="2016"/>
          </w:tcPr>
          <w:p>
            <w:r>
              <w:rPr>
                <w:b/>
                <w:sz w:val="19"/>
              </w:rPr>
              <w:t>Before Dec 2026</w:t>
            </w:r>
          </w:p>
        </w:tc>
        <w:tc>
          <w:tcPr>
            <w:tcW w:type="dxa" w:w="7344"/>
          </w:tcPr>
          <w:p>
            <w:r>
              <w:rPr>
                <w:sz w:val="19"/>
              </w:rPr>
              <w:t>FVH share issuance completed — Theresa Jang 40% / Mr. Kim 35% (indicative).</w:t>
            </w:r>
          </w:p>
        </w:tc>
      </w:tr>
      <w:tr>
        <w:tc>
          <w:tcPr>
            <w:tcW w:type="dxa" w:w="2016"/>
          </w:tcPr>
          <w:p>
            <w:r>
              <w:rPr>
                <w:b/>
                <w:sz w:val="19"/>
              </w:rPr>
              <w:t>H2 2026</w:t>
            </w:r>
          </w:p>
        </w:tc>
        <w:tc>
          <w:tcPr>
            <w:tcW w:type="dxa" w:w="7344"/>
          </w:tcPr>
          <w:p>
            <w:r>
              <w:rPr>
                <w:sz w:val="19"/>
              </w:rPr>
              <w:t>FVH Korea incorporated; acquisition agreements for WBI and Eyesel signed.</w:t>
            </w:r>
          </w:p>
        </w:tc>
      </w:tr>
      <w:tr>
        <w:tc>
          <w:tcPr>
            <w:tcW w:type="dxa" w:w="2016"/>
          </w:tcPr>
          <w:p>
            <w:r>
              <w:rPr>
                <w:b/>
                <w:sz w:val="19"/>
              </w:rPr>
              <w:t>Jan 2027</w:t>
            </w:r>
          </w:p>
        </w:tc>
        <w:tc>
          <w:tcPr>
            <w:tcW w:type="dxa" w:w="7344"/>
          </w:tcPr>
          <w:p>
            <w:r>
              <w:rPr>
                <w:sz w:val="19"/>
              </w:rPr>
              <w:t>Restructure complete — WBI and Eyesel consolidated under FVH Korea; group operates as GenApep.</w:t>
            </w:r>
          </w:p>
        </w:tc>
      </w:tr>
      <w:tr>
        <w:tc>
          <w:tcPr>
            <w:tcW w:type="dxa" w:w="2016"/>
          </w:tcPr>
          <w:p>
            <w:r>
              <w:rPr>
                <w:b/>
                <w:sz w:val="19"/>
              </w:rPr>
              <w:t>FY2027</w:t>
            </w:r>
          </w:p>
        </w:tc>
        <w:tc>
          <w:tcPr>
            <w:tcW w:type="dxa" w:w="7344"/>
          </w:tcPr>
          <w:p>
            <w:r>
              <w:rPr>
                <w:sz w:val="19"/>
              </w:rPr>
              <w:t>First consolidated year: ~US$35M revenue (illustrative); GenApep production ramp from Feb-2027; FVH GLP-1 program scaling to 10,000 patients; GLP-1-bridge and hair-loss synergy programs formalised.</w:t>
            </w:r>
          </w:p>
        </w:tc>
      </w:tr>
      <w:tr>
        <w:tc>
          <w:tcPr>
            <w:tcW w:type="dxa" w:w="2016"/>
          </w:tcPr>
          <w:p>
            <w:r>
              <w:rPr>
                <w:b/>
                <w:sz w:val="19"/>
              </w:rPr>
              <w:t>2028+</w:t>
            </w:r>
          </w:p>
        </w:tc>
        <w:tc>
          <w:tcPr>
            <w:tcW w:type="dxa" w:w="7344"/>
          </w:tcPr>
          <w:p>
            <w:r>
              <w:rPr>
                <w:sz w:val="19"/>
              </w:rPr>
              <w:t>Compounded growth with synergy lines; reporting history and scale toward an uplisting path [venue TBD].</w:t>
            </w:r>
          </w:p>
        </w:tc>
      </w:tr>
    </w:tbl>
    <w:p>
      <w:pPr>
        <w:spacing w:after="40"/>
      </w:pPr>
    </w:p>
    <w:p>
      <w:pPr>
        <w:pStyle w:val="Heading2"/>
      </w:pPr>
      <w:r>
        <w:t>10. Non-binding nature &amp; confidentiality</w:t>
      </w:r>
    </w:p>
    <w:p>
      <w:pPr>
        <w:spacing w:after="120"/>
      </w:pPr>
      <w:r>
        <w:rPr>
          <w:b w:val="0"/>
          <w:i w:val="0"/>
          <w:sz w:val="21"/>
        </w:rPr>
        <w:t>This MOU is non-binding except for confidentiality and governing-law clauses in the executed version. Each party bears its own costs. The parties intend to negotiate definitive agreements in good faith. Contents are confidential to the parties, their advisers, IPO sponsors, potential investors and the current shareholders of WBI under duty of confidence.</w:t>
      </w:r>
    </w:p>
    <w:p>
      <w:pPr>
        <w:pStyle w:val="Heading2"/>
      </w:pPr>
      <w:r>
        <w:t>11. Signatures (draft)</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1440"/>
          </w:tcPr>
          <w:p>
            <w:r>
              <w:rPr>
                <w:b/>
                <w:sz w:val="19"/>
              </w:rPr>
              <w:t>Party</w:t>
            </w:r>
          </w:p>
        </w:tc>
        <w:tc>
          <w:tcPr>
            <w:tcW w:type="dxa" w:w="2592"/>
          </w:tcPr>
          <w:p>
            <w:r>
              <w:rPr>
                <w:b/>
                <w:sz w:val="19"/>
              </w:rPr>
              <w:t>Signature</w:t>
            </w:r>
          </w:p>
        </w:tc>
        <w:tc>
          <w:tcPr>
            <w:tcW w:type="dxa" w:w="3600"/>
          </w:tcPr>
          <w:p>
            <w:r>
              <w:rPr>
                <w:b/>
                <w:sz w:val="19"/>
              </w:rPr>
              <w:t>Name / Title</w:t>
            </w:r>
          </w:p>
        </w:tc>
        <w:tc>
          <w:tcPr>
            <w:tcW w:type="dxa" w:w="1440"/>
          </w:tcPr>
          <w:p>
            <w:r>
              <w:rPr>
                <w:b/>
                <w:sz w:val="19"/>
              </w:rPr>
              <w:t>Date</w:t>
            </w:r>
          </w:p>
        </w:tc>
      </w:tr>
      <w:tr>
        <w:tc>
          <w:tcPr>
            <w:tcW w:type="dxa" w:w="1440"/>
          </w:tcPr>
          <w:p>
            <w:r>
              <w:rPr>
                <w:b/>
                <w:sz w:val="19"/>
              </w:rPr>
              <w:t>FVH</w:t>
            </w:r>
          </w:p>
        </w:tc>
        <w:tc>
          <w:tcPr>
            <w:tcW w:type="dxa" w:w="2592"/>
          </w:tcPr>
          <w:p>
            <w:r>
              <w:rPr>
                <w:sz w:val="19"/>
              </w:rPr>
            </w:r>
          </w:p>
        </w:tc>
        <w:tc>
          <w:tcPr>
            <w:tcW w:type="dxa" w:w="3600"/>
          </w:tcPr>
          <w:p>
            <w:r>
              <w:rPr>
                <w:sz w:val="19"/>
              </w:rPr>
              <w:t>[Mr. Ernie Lee — TBD]</w:t>
            </w:r>
          </w:p>
        </w:tc>
        <w:tc>
          <w:tcPr>
            <w:tcW w:type="dxa" w:w="1440"/>
          </w:tcPr>
          <w:p>
            <w:r>
              <w:rPr>
                <w:sz w:val="19"/>
              </w:rPr>
            </w:r>
          </w:p>
        </w:tc>
      </w:tr>
      <w:tr>
        <w:tc>
          <w:tcPr>
            <w:tcW w:type="dxa" w:w="1440"/>
          </w:tcPr>
          <w:p>
            <w:r>
              <w:rPr>
                <w:b/>
                <w:sz w:val="19"/>
              </w:rPr>
              <w:t>WBI</w:t>
            </w:r>
          </w:p>
        </w:tc>
        <w:tc>
          <w:tcPr>
            <w:tcW w:type="dxa" w:w="2592"/>
          </w:tcPr>
          <w:p>
            <w:r>
              <w:rPr>
                <w:sz w:val="19"/>
              </w:rPr>
            </w:r>
          </w:p>
        </w:tc>
        <w:tc>
          <w:tcPr>
            <w:tcW w:type="dxa" w:w="3600"/>
          </w:tcPr>
          <w:p>
            <w:r>
              <w:rPr>
                <w:sz w:val="19"/>
              </w:rPr>
              <w:t>[TBD]</w:t>
            </w:r>
          </w:p>
        </w:tc>
        <w:tc>
          <w:tcPr>
            <w:tcW w:type="dxa" w:w="1440"/>
          </w:tcPr>
          <w:p>
            <w:r>
              <w:rPr>
                <w:sz w:val="19"/>
              </w:rPr>
            </w:r>
          </w:p>
        </w:tc>
      </w:tr>
      <w:tr>
        <w:tc>
          <w:tcPr>
            <w:tcW w:type="dxa" w:w="1440"/>
          </w:tcPr>
          <w:p>
            <w:r>
              <w:rPr>
                <w:b/>
                <w:sz w:val="19"/>
              </w:rPr>
              <w:t>Eyesel</w:t>
            </w:r>
          </w:p>
        </w:tc>
        <w:tc>
          <w:tcPr>
            <w:tcW w:type="dxa" w:w="2592"/>
          </w:tcPr>
          <w:p>
            <w:r>
              <w:rPr>
                <w:sz w:val="19"/>
              </w:rPr>
            </w:r>
          </w:p>
        </w:tc>
        <w:tc>
          <w:tcPr>
            <w:tcW w:type="dxa" w:w="3600"/>
          </w:tcPr>
          <w:p>
            <w:r>
              <w:rPr>
                <w:sz w:val="19"/>
              </w:rPr>
              <w:t>[Mr. Kim — TBD]</w:t>
            </w:r>
          </w:p>
        </w:tc>
        <w:tc>
          <w:tcPr>
            <w:tcW w:type="dxa" w:w="1440"/>
          </w:tcPr>
          <w:p>
            <w:r>
              <w:rPr>
                <w:sz w:val="19"/>
              </w:rPr>
            </w:r>
          </w:p>
        </w:tc>
      </w:tr>
    </w:tbl>
    <w:p>
      <w:pPr>
        <w:spacing w:after="40"/>
      </w:pPr>
    </w:p>
    <w:p>
      <w:pPr>
        <w:spacing w:after="120"/>
        <w:jc w:val="center"/>
      </w:pPr>
      <w:r>
        <w:rPr>
          <w:b w:val="0"/>
          <w:i/>
          <w:color w:val="555555"/>
          <w:sz w:val="17"/>
        </w:rPr>
        <w:t>Prepared as a draft framework to open discussion. All terms subject to change.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3355"/>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335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335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