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3A5F"/>
          <w:sz w:val="52"/>
        </w:rPr>
        <w:t>GENAPEP</w:t>
      </w:r>
    </w:p>
    <w:p>
      <w:pPr>
        <w:spacing w:after="40"/>
        <w:jc w:val="center"/>
      </w:pPr>
      <w:r>
        <w:rPr>
          <w:b w:val="0"/>
          <w:i w:val="0"/>
          <w:color w:val="555555"/>
          <w:sz w:val="28"/>
        </w:rPr>
        <w:t>Multi-Market Revenue Model — Conservative / Base / Upside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Same Korean-developed personalised product family, exported across markets. Illustrative.</w:t>
      </w:r>
    </w:p>
    <w:p>
      <w:pPr>
        <w:spacing w:after="40"/>
      </w:pPr>
      <w:r>
        <w:rPr>
          <w:b/>
          <w:i w:val="0"/>
          <w:sz w:val="21"/>
        </w:rPr>
        <w:t>Same product, more markets.</w:t>
      </w:r>
    </w:p>
    <w:p>
      <w:pPr>
        <w:spacing w:after="120"/>
      </w:pPr>
      <w:r>
        <w:rPr>
          <w:b w:val="0"/>
          <w:i w:val="0"/>
          <w:sz w:val="21"/>
        </w:rPr>
        <w:t>One product family — the applicator device + CodeLife-configured peptide/exosome kit developed for Korean physicians — is exported as-is (personalisation by physician purpose within the same approved envelope; no per-market product development). Unit economics are identical everywhere; scenarios flex only the clinic ramp, price and utilisation.</w:t>
      </w:r>
    </w:p>
    <w:p>
      <w:pPr>
        <w:pStyle w:val="Heading2"/>
      </w:pPr>
      <w:r>
        <w:t>Scenario assumptions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  <w:sz w:val="19"/>
              </w:rPr>
              <w:t>Lever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Conservative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Upside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Markets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11 (China excluded)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Clinic ramp vs base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0.62x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1.00x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1.30x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Kit EXW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$30.00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$32.50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$35.00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Kit gross margin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65.0%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66.2%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67.1%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Device GM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35%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42%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Kits/clinic/yr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1,200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1,400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1,500</w:t>
            </w:r>
          </w:p>
        </w:tc>
      </w:tr>
    </w:tbl>
    <w:p>
      <w:pPr>
        <w:spacing w:after="40"/>
      </w:pPr>
    </w:p>
    <w:p>
      <w:pPr>
        <w:pStyle w:val="Heading2"/>
      </w:pPr>
      <w:r>
        <w:t>Scenario comparison — Total revenue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2,058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8,148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19,449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34,992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4,120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16,421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40,299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75,122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6,084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24,463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60,090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112,174</w:t>
            </w:r>
          </w:p>
        </w:tc>
      </w:tr>
    </w:tbl>
    <w:p>
      <w:pPr>
        <w:spacing w:after="40"/>
      </w:pPr>
    </w:p>
    <w:p>
      <w:pPr>
        <w:pStyle w:val="Heading2"/>
      </w:pPr>
      <w:r>
        <w:t>Scenario comparison — EBITDA ($000s)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-1,550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-902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3,299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10,324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-400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3,585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15,145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33,030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428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7,576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26,205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55,483</w:t>
            </w:r>
          </w:p>
        </w:tc>
      </w:tr>
    </w:tbl>
    <w:p>
      <w:pPr>
        <w:spacing w:after="40"/>
      </w:pPr>
    </w:p>
    <w:p>
      <w:pPr>
        <w:pStyle w:val="Heading2"/>
      </w:pPr>
      <w:r>
        <w:t>2030 snapshot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Clinics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Blended GM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Gross profit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EBITDA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1,167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$35.0M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63.8%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$22.3M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$10.3M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2,020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$75.1M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65.3%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$49.0M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$33.0M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2,626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$112.2M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66.4%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$74.5M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$55.5M</w:t>
            </w:r>
          </w:p>
        </w:tc>
      </w:tr>
    </w:tbl>
    <w:p>
      <w:pPr>
        <w:spacing w:after="40"/>
      </w:pPr>
    </w:p>
    <w:p>
      <w:pPr>
        <w:pStyle w:val="Heading2"/>
      </w:pPr>
      <w:r>
        <w:t>Base case — cumulative clinics by market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Korea (anchor)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550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Hong Kong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Vietnam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110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180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Singapore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85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Thailand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220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Malaysia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130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Indonesia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150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Philippines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Saudi Arabia (SFDA)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UAE (MOHAP)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95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Taiwan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90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China (Hainan-&gt;NMPA)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160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515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1170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2020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18"/>
        </w:rPr>
        <w:t>Read-through: the Conservative case (China excluded, slower ramp, lower price) lands near the Korea-only base (~$35M vs $39.9M/2030) but across 11 markets (less single-country risk); Base ~doubles it; Upside roughly triples it — all on the same product, so the swing is distribution reach, not R&amp;D. Per-market ramps are assumptions pending anchor-clinic evidence; kit regulatory class varies by market; distribution is cold-chain-free (ambient/2–8 °C stabilised format).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