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(in-session retention 85.4% in the 65-80 band), with 15 of 23 initial dropouts returning voluntarily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highlight w:val="yellow"/>
        </w:rPr>
        <w:t xml:space="preserve"> [AUTHOR CHECK: confirm the Figure 1.1 graphic was regenerated for the title-aligned caption and carries no later-chapter construct names.]</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The coexistence of a recorded score increase and non-return motivates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what does this add to an application of acceptance and gamification perspectives?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supports evaluation of subsequent innovation?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FIAS,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to examine whether engagement in a separate, decoupled implementation is consistent with the frame-sensitive explanation generated after Stage 2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0.0% (25–44) vs 39.0% (65–80), Fisher's exact p &lt; 0.0001;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 xml:space="preserve">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w:t>
      </w:r>
      <w:r>
        <w:rPr>
          <w:highlight w:val="yellow"/>
        </w:rPr>
      </w:r>
      <w:r/>
      <w:r>
        <w:rPr>
          <w:highlight w:val="yellow"/>
        </w:rPr>
        <w:t>[AUTHOR CHECK - probable reading to confirm: the 'before' value is the standard FRA assessment taken at invitation/enrolment, before game play began. Also supply, if known, how many residents were invited before thirty joined - the majority's refusal at invitation, by residents who knew the FRA well, is itself a recorded observation of anticipatory avoidance (cf. §4.1A) and belongs in the recruitment-flow account.]</w:t>
      </w:r>
      <w:r>
        <w:t xml:space="preserve"> Two consequences are stated plainly: the post-measurement time varies across participants - it is each participant's last play, not a fixed end-of-window date - so pre/post changes span different exposure durations; and for single-session participants the recorded change derives from within that single session. No claim of uniform eight-week change is made.</w:t>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trajectory display (L5), the coin-reward loop and the staff coaching protocol (L6).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(L2)</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(L5)</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(L6)</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reported retention was 85.4% in the 65–80 band, ten of sixteen initial dropouts returned, and a majority expressed regular-use intention. These observations demonstrate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reported retention was 85.4% and stated regular-use intention was 56.1%, a difference of 29.3 percentage points. These are marginal proportions for different constructs: observed retention and hypothetical future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to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commentReference w:id="5"/>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Under the title Gamification as Proactive Approach for Continuous Improvement and Innovation Enhancement, this programme investigates how a gamified health-technology innovation can respond when a technically available service does not sustain voluntary use. Fall-risk assessment provides the bounded engineering case. The proactive intervention point is an adverse or difficult experience before disengagement becomes established. Continuous improvement has two distinct objects: the participant's supported learning and the engineering team's revision of the intervention. Innovation enhancement is expressed through the proposed integration of gameplay, measurement, truthful progress feedback and a documented redesign process on an existing technological platform.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in-session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demonstrates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innovation contribution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V39 -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(s6.12, H.6); (13) member-checks for Dr Choy's and Dr Lau's summaries; (14) screenshots to re-send as files (dated invitations, Choy/Expert P/Lau WhatsApp chains,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