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tab/>
        <w:t>208</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136</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play with stated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on the revised build;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whether the Stage-3B collection falls within the approved scope requires a determination against the approved protocol or an amendment, and until that determination is on file it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collected.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(§8.7, §8.8).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as recorded; the per-respondent response file is not archived (Appendix G, item G.1), so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5.6.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Figure 5.7.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(§6.4),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the failure and the stop were observed by an assistant beside them; for others they were inferred from the reported results - a run ending in failure, which was possible before the zero-failure mode was in use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with its zero-failure mode, first created on 13 July 2026 -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some returners played the archived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Five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and the 120 include the distributors' own records, played on two builds with no per-participant record of which. Their bearing differs by figure. The 93.3% and 85.4% figures for continued or resumed play describe the compiled cohort only: without a denominator they are not participation or uptake rates, and because a single later play counted as a return, they show that play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with the main period of play in late July the window for a return was a few weeks. None of these figures supports a causal estimate of decoupling, a comparison between builds, or a separation of distributors from the players they recruited; each supports only the descriptive statement that, in this compiled cohort,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knowledge evolution in calendar order, 2023 - October 2026. The Stage 3B row records that study to its 15 October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(continued).</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which locates the design target for this class of service in engagement after difficulty rather than in initial acceptance. Second, a deployed dual-purpose mechanic in which one centre-of-pressure stream drives play and a silent assessment pipeline, so that measurement is carried inside play without a verdict on the play screen (§5.3). Third, a recorded contrast in which the same game, with participant-facing clinical cues removed,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keep the verdict off the play surface unless it is needed there,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2.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