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End-of-window retention was 93.3% overall and 85.4% in the 65-80 band among the 120 participants whose returned files were compiled (returned dropouts counted as retained;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are the participants' returned materials.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A participant-level compilation of the returns into the logbook (Appendix G, item G.3) could not be completed before submission, so per-participant observation timelines are not available and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de-identified Stage-3 distribution and return e-mail index (item G.5), which remains to be compiled from the retained e-mails;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could not be completed before submission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are the returned e-mails, which carried the game results in mixed formats (exported CSV files or copied or typed text) together with the questionnaire responses; they are held in the records of the author and the research assistants.</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