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permanent post-failure abandonment.</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 informed consent.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disengaged at or before three game cycles, 26.7% (8/30; 95% CI 14.2-44.4) exited after a single session, and no disengaged participant re-engaged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becomes permanent.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and permanent attrition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permanent abandonment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The psychological cost outweighs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not only lowers interest but can produce an identity-driven negative reaction.</w:t>
      </w:r>
    </w:p>
    <w:p>
      <w:pPr>
        <w:pStyle w:val="Heading3"/>
      </w:pPr>
      <w:r>
        <w:t>Behaviour-Change Lens: COM-B</w:t>
      </w:r>
    </w:p>
    <w:p>
      <w:r>
        <w:t>In COM-B terms [28], the adaptive difficulty engine manages capability and on-site deployment provides opportunity; the FIAS pattern lives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 At the start of a session an elderly participant typically holds an open belief state about what the outcome might mean (high entropy). A failure can collapse that state toward a single conviction — 'this technology is not for me' (low entropy) — after which positive feedback must travel through a channel already dominated by negative information, including negative accounts circulating among residents. No entropy quantities are computed in this study; the confirmatory study will elicit outcome probability distributions before and after sessions so that entropy over those distributions can serve as a measure of belief openness.</w:t>
      </w:r>
    </w:p>
    <w:p>
      <w:pPr>
        <w:pStyle w:val="Heading3"/>
      </w:pPr>
      <w:r>
        <w:t>Research Gap</w:t>
      </w:r>
    </w:p>
    <w:p>
      <w:r>
        <w:t>No existing framework covers the full arc from initial adoption through failure to permanent abandonment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permanently abandon a gamified FRA after first failure: 70.0% low engagement (95% CI 52.1-83.3%), 26.7% single-session exit (95% CI 14.2-44.4%), and zero re-engagement among all 21 disengaged participants (95% CI 0.0-15.5%) over eight weeks — including three participants whose recorded balance index improved in their only session. Second, it offers a mechanistic account linking self-efficacy collapse at first failure with subsequent permanent abandonment driven by loss aversion, with four falsifiable predictions (H1-H4). Third, it presents a framework for failure-aware coaching in health-assessment gamification, including an entropy-constraint concept, observable risk signals and an intervention specification congruent with COM-B.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Ethical approval was obtained from the relevant institutional ethics sub-committee, and the study was conducted in accordance with the Declaration of Helsinki. Participants received written information sheets in Mandarin and Cantonese covering the research objective, session routine, data protection and the unconditional right to refuse or withdraw. For participants unable to read, a non-involved caregiver relayed the information verbally; verbal consent was recorded and signed for by the caregiver witness. Trained personnel remained present throughout sessions, with non-slip flooring and grab rails in reach. Eligibility required being fall-free for the preceding two weeks and having no medical condition deemed inappropriate by care staff; cognitive impairment affecting comprehension was grounds for exclusion. Any fall, near-fall or dizziness would trigger immediate stoppage, referral and adverse-event recording; no adverse events occurred.</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[32]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fall-risk markers identified at initial assessment. Over eight weeks, each resident was exposed to both the standard FRA and the gamified FRA. This was a within-participant observational study of dropout patterns, not a randomised controlled trial.</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session cycles completed</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session cycles completed</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dropping below neutral after the first cycle; no improvement across three consecutive cycles; and participants attributing difficulty to age or physical deterioration. In COM-B terms, coaching addresses reflective motivation through reframing, and staff activation adds social opportunity.</w:t>
      </w:r>
    </w:p>
    <w:p>
      <w:pPr>
        <w:pStyle w:val="Heading2"/>
      </w:pPr>
      <w:r>
        <w:t>Data Collection and Measures</w:t>
      </w:r>
    </w:p>
    <w:p>
      <w:r>
        <w:t>Each session involved: baseline FRA index on the InBody machine; performance on the gamified task; a five-point satisfaction rating; and self-reported symptom change at follow-up. Five variables were collected per participant: V1 cycles completed; V2 pre/post FRA index; V3 symptom change; V4 satisfaction; V5 age and gender.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self-reported improvement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was confirmed at 70.0% (95% CI 52.1-83.3%) and the single-session exit rate at 26.7% (95% CI 14.2-44.4%); (4) the satisfaction association with sustained engagement was confirmed (9/9 versus 11/21; Fisher's exact p = 0.013).</w:t>
      </w:r>
    </w:p>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Clinical Outcomes</w:t>
      </w:r>
    </w:p>
    <w:p>
      <w:r>
        <w:rPr>
          <w:i/>
          <w:sz w:val="18"/>
        </w:rPr>
        <w:t>Table 2. FRA index outcomes,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Self-reported improvement</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2 reports outcomes for the nine participants who sustained engagement (≥ 4 cycles).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3. FRA index outcomes,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Self-reported improvement</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reported satisfaction or perceived improvement, against 100% of sustained participants — satisfaction and sustained engagement are strongly associated (Fisher's exact p = 0.013).</w:t>
      </w:r>
    </w:p>
    <w:p>
      <w:pPr>
        <w:pStyle w:val="Heading2"/>
      </w:pPr>
      <w:r>
        <w:t>The Abandonment Pattern</w:t>
      </w:r>
    </w:p>
    <w:p>
      <w:r>
        <w:rPr>
          <w:i/>
          <w:sz w:val="18"/>
        </w:rPr>
        <w:t>Table 4.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The most telling figure is the zero re-engagement count: of the 21 participants who disengaged, not one returned within the eight-week window. This absolute permanence distinguishes the pattern from typical usage attrition, in which some users return [7]. The 26.7% single-session exit rate marks the first session as the highest-risk point (Figure 3). No time-to-event model is reported: the archive preserves cycle counts, not timestamps. The evidential core of the pattern is carried by the three directly observed quantities in Table 4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disengaged at or before three cycles, including eight single-session exits; six formed the F4 abandonment cluster, of whom three recorded an improved FRA index in their only session and still never returned. No re-engagement after disengagement was observed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abandoned early necessarily scores high, and the clustering of the F4 group at the top of the scale is partly true by construction. Every evidential statement in this paper rests on directly observed behaviour — single-session exit, non-return, and the divergence between recorded score direction and return.</w:t>
      </w:r>
    </w:p>
    <w:p>
      <w:r>
        <w:rPr>
          <w:i/>
          <w:sz w:val="18"/>
        </w:rPr>
        <w:t>Table 5.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 Dissatisfied OR (1 cycle AND no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Cycles ≤ 2 AND no improvement AND satisfaction ≤ Neutral</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6.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r>
        <w:t>A nine-question semi-structured interview protocol was designed for F4-cluster participants, to probe within days of an abandoned session whether the decision to stop was immediate or deliberate (Table 7);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w:t>
      </w:r>
    </w:p>
    <w:p>
      <w:r>
        <w:rPr>
          <w:i/>
          <w:sz w:val="18"/>
        </w:rPr>
        <w:t>Table 7.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subset who sustained engagement, yes: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disengaged at or before three cycles, 26.7% after one session. It is absolute within the window: none of 21 disengaged participants returned (95% CI 0.0-15.5%), unlike ordinary usage attrition [7]. And it is not accounted for by dissatisfaction alone: although satisfaction and engagement are strongly associated (p = 0.013), three F4 participants improved on the recorded index in their only session and still never returned. Practical obstacles — usability, staffing, cost, scheduling — do not explain a pattern in which the technology was free, supervised, on site, and in documented cases measurably working for the person who walked away. The evidence is consistent with a psychological mechanism attached to the meaning of failure.</w:t>
      </w:r>
    </w:p>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permanent dropout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p>
    <w:p>
      <w:pPr>
        <w:pStyle w:val="Heading2"/>
      </w:pPr>
      <w:r>
        <w:t>Design Implications for Practitioners</w:t>
      </w:r>
    </w:p>
    <w:p>
      <w:r>
        <w:t>Four principles follow, three grounded in the present findings and one awaiting confirmation.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FIAS risk signals during sessions (satisfaction below neutral after the first cycle;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A game with no real-world stakes confines the meaning of failure to the game domain: one loses a life and tries again. When game performance and clinical assessment are coupled to the same physical action, a failure event reduces belief entropy in both domains at once — the game and the participant's beliefs about their own health. This is the entropy constraint: a structural property of any system coupling play and assessment. Beliefs about health and self are far more resistant to reopening than game beliefs, and if the endowment analysis above is correct, a newly settled negative conviction ('this technology is not for me') will itself be defended as a possession. Domain reframing aims to confine failure's meaning to the game domain in one step. This framework guides the confirmatory design; no quantitative entropy claim is made here.</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single-session exit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For participants who sustained engagement, gamification helped: +6.9 FRA index points (95% CI 4.5-9.3; dz = 2.22), with all nine satisfied or very satisfied. But 70.0% never passed three cycles, 26.7% stopped after their first session, no participant returned after disengaging — and three participants whose recorded index improved in their only session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'A study of utilisation of Fall Risk Assessment among elderly users: A critical review through TAM and Octalysis frameworks with gamification approach,' accepted for publication (SS-293).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