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40"/>
        <w:jc w:val="center"/>
      </w:pPr>
      <w:r>
        <w:rPr>
          <w:b/>
          <w:i w:val="0"/>
          <w:color w:val="1F3A5F"/>
          <w:sz w:val="68"/>
        </w:rPr>
        <w:t>SYNAPEP</w:t>
      </w:r>
    </w:p>
    <w:p>
      <w:pPr>
        <w:spacing w:after="480"/>
        <w:jc w:val="center"/>
      </w:pPr>
      <w:r>
        <w:rPr>
          <w:b w:val="0"/>
          <w:i w:val="0"/>
          <w:color w:val="555555"/>
          <w:sz w:val="36"/>
        </w:rPr>
        <w:t>Business Plan &amp; Valuation</w:t>
      </w:r>
    </w:p>
    <w:p>
      <w:pPr>
        <w:spacing w:after="40"/>
        <w:jc w:val="center"/>
      </w:pPr>
      <w:r>
        <w:rPr>
          <w:b w:val="0"/>
          <w:i/>
          <w:sz w:val="24"/>
        </w:rPr>
        <w:t>AI-designed peptide / protein actives + SynExo synthetic recombinant exosomes</w:t>
      </w:r>
    </w:p>
    <w:p>
      <w:pPr>
        <w:spacing w:after="800"/>
        <w:jc w:val="center"/>
      </w:pPr>
      <w:r>
        <w:rPr>
          <w:b w:val="0"/>
          <w:i w:val="0"/>
          <w:color w:val="555555"/>
          <w:sz w:val="22"/>
        </w:rPr>
        <w:t>Powered by IT-EXO® (immune-tolerant stealth exosomes) and ai.peptide / CodeLife.AI</w:t>
      </w:r>
    </w:p>
    <w:p>
      <w:pPr>
        <w:spacing w:after="40"/>
        <w:jc w:val="center"/>
      </w:pPr>
      <w:r>
        <w:rPr>
          <w:b/>
          <w:i w:val="0"/>
          <w:sz w:val="22"/>
        </w:rPr>
        <w:t>Joint Venture: WBI (Wellbiz International) 70%  ·  Eyesel (manufacturing) 30%</w:t>
      </w:r>
    </w:p>
    <w:p>
      <w:pPr>
        <w:spacing w:after="800"/>
        <w:jc w:val="center"/>
      </w:pPr>
      <w:r>
        <w:rPr>
          <w:b w:val="0"/>
          <w:i w:val="0"/>
          <w:color w:val="555555"/>
          <w:sz w:val="20"/>
        </w:rPr>
        <w:t>Draft v0.3  ·  Prepared 5 June 2026</w:t>
      </w:r>
    </w:p>
    <w:p>
      <w:pPr>
        <w:spacing w:after="120"/>
        <w:jc w:val="center"/>
      </w:pPr>
      <w:r>
        <w:rPr>
          <w:b w:val="0"/>
          <w:i/>
          <w:color w:val="555555"/>
          <w:sz w:val="17"/>
        </w:rPr>
        <w:t>CONFIDENTIAL — for internal planning and discussion only. Illustrative projections, not an offer of securities and not investment, legal, or tax advice.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spacing w:after="120"/>
      </w:pPr>
      <w:r>
        <w:rPr>
          <w:b w:val="0"/>
          <w:i w:val="0"/>
          <w:sz w:val="21"/>
        </w:rPr>
        <w:t>Synapep is a new company commercializing Synexo technology — the SynExo synthetic recombinant exosome platform plus AI-designed peptide/protein actives. It is built on two core technologies: IT-EXO® (the immune-tolerant, HLA-G "stealth" exosome that lets results compound without immune decline) and ai.peptide / CodeLife.AI (the AI platform that designs peptides, proteins, and exosome cargo and optimizes targeting).</w:t>
      </w:r>
    </w:p>
    <w:p>
      <w:pPr>
        <w:spacing w:after="120"/>
      </w:pPr>
      <w:r>
        <w:rPr>
          <w:b w:val="0"/>
          <w:i w:val="0"/>
          <w:sz w:val="21"/>
        </w:rPr>
        <w:t>After a 6–9 month preparation phase (lab setup, −80 °C cold-chain and process qualification, QA, first cosmetic registrations), Synapep will be ready for sales in February 2027. The initial portfolio is 5–6 vial / skin-booster products with a combined capacity of 50,000–100,000 vials per month at a USD 30–35 ex-factory price. The route to market is aesthetic / cosmeceutical first (fast skin-booster pathway), with medical (wound healing, regeneration) indications following on the FDA/KFDA timeline — sold OEM / white-label so the customer holds the registration.</w:t>
      </w:r>
    </w:p>
    <w:p>
      <w:pPr>
        <w:spacing w:after="40"/>
      </w:pPr>
      <w:r>
        <w:rPr>
          <w:b/>
          <w:i w:val="0"/>
          <w:sz w:val="21"/>
        </w:rPr>
        <w:t>Structure &amp; scope.</w:t>
      </w:r>
    </w:p>
    <w:p>
      <w:pPr>
        <w:spacing w:after="120"/>
      </w:pPr>
      <w:r>
        <w:rPr>
          <w:b w:val="0"/>
          <w:i w:val="0"/>
          <w:sz w:val="21"/>
        </w:rPr>
        <w:t>Synapep is a joint venture — WBI 70% (contributes the Synexo IP: IT-EXO / SynExo / CodeLife.AI, plus R&amp;D) and Eyesel 30% (the manufacturing entity). Synapep therefore owns/co-owns the platform and controls its own production. It is valued standalone at the ex-factory line; downstream distributors (e.g. NeuNova USA) are separate, non-consolidated entities and are excluded from this valuation.</w:t>
      </w:r>
    </w:p>
    <w:p>
      <w:pPr>
        <w:spacing w:after="40"/>
      </w:pPr>
      <w:r>
        <w:rPr>
          <w:b/>
          <w:i w:val="0"/>
          <w:sz w:val="21"/>
        </w:rPr>
        <w:t>Headline economics.</w:t>
      </w:r>
    </w:p>
    <w:p>
      <w:pPr>
        <w:pStyle w:val="ListBullet"/>
      </w:pPr>
      <w:r>
        <w:rPr>
          <w:b/>
        </w:rPr>
        <w:t>Margin:</w:t>
      </w:r>
      <w:r>
        <w:t xml:space="preserve"> ~66% ex-factory gross margin (material cost confirmed &lt; $5/vial; modeled $4.50).</w:t>
      </w:r>
    </w:p>
    <w:p>
      <w:pPr>
        <w:pStyle w:val="ListBullet"/>
      </w:pPr>
      <w:r>
        <w:rPr>
          <w:b/>
        </w:rPr>
        <w:t>Revenue:</w:t>
      </w:r>
      <w:r>
        <w:t xml:space="preserve"> $4.8M (2027) → $19.5M (2028) → $29.3M (2029) → $39.0M (2030).</w:t>
      </w:r>
    </w:p>
    <w:p>
      <w:pPr>
        <w:pStyle w:val="ListBullet"/>
      </w:pPr>
      <w:r>
        <w:rPr>
          <w:b/>
        </w:rPr>
        <w:t>Profitability:</w:t>
      </w:r>
      <w:r>
        <w:t xml:space="preserve"> EBITDA-positive in the launch year; ~$11M EBITDA by 2029.</w:t>
      </w:r>
    </w:p>
    <w:p>
      <w:pPr>
        <w:spacing w:after="40"/>
      </w:pPr>
      <w:r>
        <w:rPr>
          <w:b/>
          <w:i w:val="0"/>
          <w:sz w:val="21"/>
        </w:rPr>
        <w:t>The ask.</w:t>
      </w:r>
    </w:p>
    <w:p>
      <w:pPr>
        <w:spacing w:after="120"/>
      </w:pPr>
      <w:r>
        <w:rPr>
          <w:b w:val="0"/>
          <w:i w:val="0"/>
          <w:sz w:val="21"/>
        </w:rPr>
        <w:t>USD 1.0M to kick off, at a recommended $5–7M pre-money ($6M midpoint → $1M ≈ 14.3%). Use of funds: $500K Synapep Lab initial investment + $600K running capital through launch.</w:t>
      </w:r>
    </w:p>
    <w:p>
      <w:pPr>
        <w:pStyle w:val="Heading1"/>
      </w:pPr>
      <w:r>
        <w:t>2. The Opportunity</w:t>
      </w:r>
    </w:p>
    <w:p>
      <w:pPr>
        <w:spacing w:after="120"/>
      </w:pPr>
      <w:r>
        <w:rPr>
          <w:b w:val="0"/>
          <w:i w:val="0"/>
          <w:sz w:val="21"/>
        </w:rPr>
        <w:t>Conventional exosome therapeutics face three bottlenecks the Synexo stack is built to solve:</w:t>
      </w:r>
    </w:p>
    <w:p>
      <w:pPr>
        <w:pStyle w:val="ListBullet"/>
      </w:pPr>
      <w:r>
        <w:rPr>
          <w:b/>
        </w:rPr>
        <w:t>Immune rejection / instability —</w:t>
      </w:r>
      <w:r>
        <w:t xml:space="preserve"> human-derived exosomes are unstable, costly, and carry rejection risk. IT-EXO® answers this with surface HLA-G acting as an immune "stealth shield," so efficacy compounds over time instead of declining.</w:t>
      </w:r>
    </w:p>
    <w:p>
      <w:pPr>
        <w:pStyle w:val="ListBullet"/>
      </w:pPr>
      <w:r>
        <w:rPr>
          <w:b/>
        </w:rPr>
        <w:t>Inconsistent supply —</w:t>
      </w:r>
      <w:r>
        <w:t xml:space="preserve"> SynExo is a synthetic recombinant platform with standardized specs (~20B particles/mL, 30–150 nm, &gt;95% purity, &gt;60% encapsulation), designed for scalable, reproducible production.</w:t>
      </w:r>
    </w:p>
    <w:p>
      <w:pPr>
        <w:pStyle w:val="ListBullet"/>
      </w:pPr>
      <w:r>
        <w:rPr>
          <w:b/>
        </w:rPr>
        <w:t>Slow, expensive design —</w:t>
      </w:r>
      <w:r>
        <w:t xml:space="preserve"> ai.peptide / CodeLife.AI designs peptides/proteins and exosome cargo computationally and simulates loading/targeting, compressing the R&amp;D cycle.</w:t>
      </w:r>
    </w:p>
    <w:p>
      <w:pPr>
        <w:spacing w:after="120"/>
      </w:pPr>
      <w:r>
        <w:rPr>
          <w:b w:val="0"/>
          <w:i w:val="0"/>
          <w:sz w:val="21"/>
        </w:rPr>
        <w:t>The combination — stealth (IT-EXO) × synthetic delivery (SynExo) × AI design (ai.peptide) — is the moat: a technology + data flywheel wrapped around a capital-light, vial-based manufacturing operation.</w:t>
      </w:r>
    </w:p>
    <w:p>
      <w:pPr>
        <w:pStyle w:val="Heading2"/>
      </w:pPr>
      <w:r>
        <w:t>Core technologies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</w:tcPr>
          <w:p>
            <w:r/>
            <w:r>
              <w:rPr>
                <w:b/>
                <w:sz w:val="19"/>
              </w:rPr>
              <w:t>Platform</w:t>
            </w:r>
          </w:p>
        </w:tc>
        <w:tc>
          <w:tcPr>
            <w:tcW w:type="dxa" w:w="6912"/>
          </w:tcPr>
          <w:p>
            <w:r/>
            <w:r>
              <w:rPr>
                <w:b/>
                <w:sz w:val="19"/>
              </w:rPr>
              <w:t>What it is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SynExo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Synthetic recombinant exosome (salmon-derived) carrying plasmid-DNA cargo (EGF/bFGF/VEGF) and mRNA; the host cell transiently expresses the healing proteins. 12-month stability at −80 °C (cold chain).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IT-EXO®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Immune-tolerant layer: surface HLA-G engages ILT2/ILT4/KIR2DL4 to suppress NK/T-cell attack (IL-1β ~1.8→0.8 ng/mL, TNF-α ~0.7→0.4 ng/mL; &gt;95% cell viability). Differentiator: no efficacy decline, effects compound.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ai.peptide / CodeLife.AI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AI platform designing peptides/proteins for functional cosmetics and optimizing exosome cargo, loading efficiency, and targeting.</w:t>
            </w:r>
          </w:p>
        </w:tc>
      </w:tr>
    </w:tbl>
    <w:p>
      <w:pPr>
        <w:spacing w:after="40"/>
      </w:pPr>
    </w:p>
    <w:p>
      <w:pPr>
        <w:pStyle w:val="Heading1"/>
      </w:pPr>
      <w:r>
        <w:t>3. Product &amp; Intellectual Property</w:t>
      </w:r>
    </w:p>
    <w:p>
      <w:pPr>
        <w:spacing w:after="40"/>
      </w:pPr>
      <w:r>
        <w:rPr>
          <w:b/>
          <w:i w:val="0"/>
          <w:sz w:val="21"/>
        </w:rPr>
        <w:t>Portfolio (5–6 SKUs — vials / skin boosters / ampoules).</w:t>
      </w:r>
    </w:p>
    <w:p>
      <w:pPr>
        <w:spacing w:after="120"/>
      </w:pPr>
      <w:r>
        <w:rPr>
          <w:b w:val="0"/>
          <w:i w:val="0"/>
          <w:sz w:val="21"/>
        </w:rPr>
        <w:t>Likely lines, to confirm: ① aesthetic skin-booster (rejuvenation/collagen), ② scalp/hair regeneration, ③ wound-healing/repair, ④ post-procedure recovery, ⑤ targeted AI-peptide active, ⑥ custom-cargo SynExo. Together they fill the 50,000–100,000 vials/month line capacity.</w:t>
      </w:r>
    </w:p>
    <w:p>
      <w:pPr>
        <w:spacing w:after="40"/>
      </w:pPr>
      <w:r>
        <w:rPr>
          <w:b/>
          <w:i w:val="0"/>
          <w:sz w:val="21"/>
        </w:rPr>
        <w:t>Intellectual property (held by WBI, contributed into the JV — confirm scope).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</w:tcPr>
          <w:p>
            <w:r/>
            <w:r>
              <w:rPr>
                <w:b/>
                <w:sz w:val="19"/>
              </w:rPr>
              <w:t>Asset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Ref / number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SynExo HLA-G (Korea)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P25E10C1475 (filed 2025-11-11)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Application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SynExo HLA-G (PCT)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X25E10C0258 (2025-11-18)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PCT application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Safe-Browning shampoo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KR 10-2025-0191060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Application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Ion-microneedling device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KR 10-2654857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Registered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Sophora Japonica stem cell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KR 10-1080297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Registered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SynExo HLA-G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Journal-ready manuscript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Publication pending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21"/>
        </w:rPr>
        <w:t>Credibility to leverage: endorsement by Prof. Cho Hangrae (President, Korean Dermatological Society); NET (New Excellent Technology) government award; MORIMANA clinical claim of +19% hair thickness and −66% scalp flakiness in 8 weeks; use by leading Korean clinics.</w:t>
      </w:r>
    </w:p>
    <w:p>
      <w:pPr>
        <w:pStyle w:val="Heading1"/>
      </w:pPr>
      <w:r>
        <w:t>4. Go-to-Market</w:t>
      </w:r>
    </w:p>
    <w:p>
      <w:pPr>
        <w:pStyle w:val="ListBullet"/>
      </w:pPr>
      <w:r>
        <w:rPr>
          <w:b/>
        </w:rPr>
        <w:t>Channel — OEM / white-label.</w:t>
      </w:r>
      <w:r>
        <w:t xml:space="preserve"> Synapep sells bulk/vialled product ex-factory (EXW) to independent distributors, partner brands, aesthetic clinics, and med-spas who relabel and hold the registration. These are arm's-length customers buying at the $30–35 EXW price; their downstream margin is not Synapep's and is excluded from the valuation. (NeuNova USA, a separate non-consolidated entity, is one potential US distributor.)</w:t>
      </w:r>
    </w:p>
    <w:p>
      <w:pPr>
        <w:pStyle w:val="ListBullet"/>
      </w:pPr>
      <w:r>
        <w:rPr>
          <w:b/>
        </w:rPr>
        <w:t>Ramp —</w:t>
      </w:r>
      <w:r>
        <w:t xml:space="preserve"> the constraint in 2027 is customer acquisition/qualification, not capacity. The model ramps from 2K vials in Feb 2027 to a 28K/month exit run-rate by Dec 2027, then 50K (2028) → 75K (2029) → 100K (2030).</w:t>
      </w:r>
    </w:p>
    <w:p>
      <w:pPr>
        <w:pStyle w:val="ListBullet"/>
      </w:pPr>
      <w:r>
        <w:rPr>
          <w:b/>
        </w:rPr>
        <w:t>Pricing —</w:t>
      </w:r>
      <w:r>
        <w:t xml:space="preserve"> $30–35/vial EXW; large OEM contracts may price nearer the $30 floor, still at ~65% gross margin.</w:t>
      </w:r>
    </w:p>
    <w:p>
      <w:pPr>
        <w:pStyle w:val="Heading1"/>
      </w:pPr>
      <w:r>
        <w:t>5. Operations &amp; Timeline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84"/>
          </w:tcPr>
          <w:p>
            <w:r/>
            <w:r>
              <w:rPr>
                <w:b/>
                <w:sz w:val="19"/>
              </w:rPr>
              <w:t>Phase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Window</w:t>
            </w:r>
          </w:p>
        </w:tc>
        <w:tc>
          <w:tcPr>
            <w:tcW w:type="dxa" w:w="5328"/>
          </w:tcPr>
          <w:p>
            <w:r/>
            <w:r>
              <w:rPr>
                <w:b/>
                <w:sz w:val="19"/>
              </w:rPr>
              <w:t>Milestones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Preparation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Jul 2026 – Jan 2027 (6–9 mo)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Lab build-out, −80 °C cold-chain &amp; fill-finish qualification, QA/QC, first cosmetic registrations, hire core team, finalize JV/IP terms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Launch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Feb 2027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First commercial sales (cosmetic skin-booster line); 2–3 products live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Ramp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2027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Add remaining products; reach 28K/mo exit run-rate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Scale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2028–2030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50K → 75K → 100K vials/month; begin FDA/KFDA medical pathway; likely Series A in 2028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Cold chain matters: SynExo is stable 12 months at −80 °C. Ultra-cold storage, validated shipping, and stability/QC are real cost and logistics lines — budgeted within the manufacturing cost formula (confirm with Eyesel).</w:t>
      </w:r>
    </w:p>
    <w:p>
      <w:pPr>
        <w:pStyle w:val="Heading1"/>
      </w:pPr>
      <w:r>
        <w:t>6. Financial Model</w:t>
      </w:r>
    </w:p>
    <w:p>
      <w:pPr>
        <w:spacing w:after="120"/>
      </w:pPr>
      <w:r>
        <w:rPr>
          <w:b w:val="0"/>
          <w:i w:val="0"/>
          <w:sz w:val="21"/>
        </w:rPr>
        <w:t>Base case: EXW $32.50 (midpoint of $30–35), material cost $4.50/vial (confirmed &lt; $5). All figures USD; illustrative projections.</w:t>
      </w:r>
    </w:p>
    <w:p>
      <w:pPr>
        <w:pStyle w:val="Heading2"/>
      </w:pPr>
      <w:r>
        <w:t>6.1 Unit economics (per vial)</w:t>
      </w:r>
    </w:p>
    <w:p>
      <w:pPr>
        <w:spacing w:after="120"/>
      </w:pPr>
      <w:r>
        <w:rPr>
          <w:b w:val="0"/>
          <w:i/>
          <w:sz w:val="19"/>
        </w:rPr>
        <w:t>Cost formula (as given): COGS = (10% × EXW) + material cost + (10% × EXW) = 20% × EXW + material.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</w:tcPr>
          <w:p>
            <w:r/>
            <w:r>
              <w:rPr>
                <w:b/>
                <w:sz w:val="19"/>
              </w:rPr>
              <w:t>Line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$ / vial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19"/>
              </w:rPr>
              <w:t>Ex-factory price (EXW)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32.50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19"/>
              </w:rPr>
              <w:t>– Manufacturing (10% × EXW)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3.25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19"/>
              </w:rPr>
              <w:t>– Material cost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4.50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19"/>
              </w:rPr>
              <w:t>– Second 10% (10% × EXW)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3.25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19"/>
              </w:rPr>
              <w:t>= COGS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11.00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19"/>
              </w:rPr>
              <w:t>Gross profit / vial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21.50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19"/>
              </w:rPr>
              <w:t>Gross margin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66.2%</w:t>
            </w:r>
          </w:p>
        </w:tc>
      </w:tr>
    </w:tbl>
    <w:p>
      <w:pPr>
        <w:spacing w:after="40"/>
      </w:pPr>
    </w:p>
    <w:p>
      <w:pPr>
        <w:pStyle w:val="Heading2"/>
      </w:pPr>
      <w:r>
        <w:t>6.2 Annual P&amp;L ($ thousands)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04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2026 prep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2027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2028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2029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Vials sold (000s)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148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600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900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1,200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Revenue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4,810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19,500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29,250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39,000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COGS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1,628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6,600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9,900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13,200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Gross profit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3,182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12,900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19,350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25,800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Gross margin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66.2%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66.2%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66.2%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66.2%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OpEx (assumption)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700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2,400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5,800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8,000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9,800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EBITDA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(700)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782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7,100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11,350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16,000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EBITDA margin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16.3%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36.4%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38.8%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41.0%</w:t>
            </w:r>
          </w:p>
        </w:tc>
      </w:tr>
    </w:tbl>
    <w:p>
      <w:pPr>
        <w:spacing w:after="40"/>
      </w:pPr>
    </w:p>
    <w:p>
      <w:pPr>
        <w:pStyle w:val="Heading2"/>
      </w:pPr>
      <w:r>
        <w:t>6.3 Scenarios (full-year 2029)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584"/>
          </w:tcPr>
          <w:p>
            <w:r/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9"/>
              </w:rPr>
              <w:t>EXW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Material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Vials/yr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Revenue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GP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9"/>
              </w:rPr>
              <w:t>GM%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Conservative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$30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$5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720,000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$21.6M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$14.0M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65.0%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Base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$32.50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$4.50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900,000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$29.25M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$19.35M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66.2%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Upside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$35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$3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1,080,000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$37.8M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$25.4M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67.1%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The confirmed sub-$5 material cost means even the conservative scenario clears 65% gross margin — downside is driven by volume/ramp, not unit economics.</w:t>
      </w:r>
    </w:p>
    <w:p>
      <w:pPr>
        <w:pStyle w:val="Heading1"/>
      </w:pPr>
      <w:r>
        <w:t>7. Valuation</w:t>
      </w:r>
    </w:p>
    <w:p>
      <w:pPr>
        <w:spacing w:after="120"/>
      </w:pPr>
      <w:r>
        <w:rPr>
          <w:b w:val="0"/>
          <w:i w:val="0"/>
          <w:sz w:val="21"/>
        </w:rPr>
        <w:t>Synapep is a pre-revenue JV that owns/co-owns the Synexo platform, raising $1.0M to kick off. It is valued standalone at the ex-factory line.</w:t>
      </w:r>
    </w:p>
    <w:p>
      <w:pPr>
        <w:spacing w:after="40"/>
      </w:pPr>
      <w:r>
        <w:rPr>
          <w:b/>
          <w:i w:val="0"/>
          <w:sz w:val="21"/>
        </w:rPr>
        <w:t>Two numbers:</w:t>
      </w:r>
    </w:p>
    <w:p>
      <w:pPr>
        <w:pStyle w:val="ListBullet"/>
      </w:pPr>
      <w:r>
        <w:rPr>
          <w:b/>
        </w:rPr>
        <w:t>Price this round at —</w:t>
      </w:r>
      <w:r>
        <w:t xml:space="preserve"> $5–7M pre-money / $6–8M post-money — $1.0M buys ~13–17%. Stepped up from a bare-licence shell because, as a JV, Synapep holds the IP (patents filed), runs in-house manufacturing (Eyesel), earns ~66% margins, and has Feb-2027 revenue.</w:t>
      </w:r>
    </w:p>
    <w:p>
      <w:pPr>
        <w:pStyle w:val="ListBullet"/>
      </w:pPr>
      <w:r>
        <w:rPr>
          <w:b/>
        </w:rPr>
        <w:t>The prize if it executes —</w:t>
      </w:r>
      <w:r>
        <w:t xml:space="preserve"> a risk-unadjusted enterprise value of ~$30–40M by 2030–31 on the base case, plus platform-licensing optionality. Upside story, not today's price.</w:t>
      </w:r>
    </w:p>
    <w:p>
      <w:pPr>
        <w:pStyle w:val="Heading2"/>
      </w:pPr>
      <w:r>
        <w:t>7.1 Three methods (they reconcile)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Method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Un-risk-adjusted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Risk-adjusted (JV, ~20%)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Today's round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Seed convention (owns IP)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$5–7M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direct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DCF (40% discount, 8× EBITDA exit)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~$35M EV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~$6–7M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matches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Forward revenue/EBITDA multiple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$25–37M (PV of EV)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$5–8M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matches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1"/>
        </w:rPr>
        <w:t>Recommendation: price the $1.0M kickoff at $5–7M pre-money ($6–8M post), $6M midpoint.</w:t>
      </w:r>
    </w:p>
    <w:p>
      <w:pPr>
        <w:pStyle w:val="Heading2"/>
      </w:pPr>
      <w:r>
        <w:t>7.2 Illustrative post-raise cap table (pre-money $6.0M)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Holder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Contribution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Founder %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% post-raise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WBI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Synexo IP (IT-EXO/SynExo/CodeLife.AI) + R&amp;D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70.0%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60.0%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Eyesel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Manufacturing entity (production, fill-finish, QA)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30.0%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25.7%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Kickoff investor(s)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$1.0M cash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14.3%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Total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100%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100%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At $6.0M pre / $7.0M post, $1.0M buys 14.3%. NeuNova (US distribution) sits outside this cap table.</w:t>
      </w:r>
    </w:p>
    <w:p>
      <w:pPr>
        <w:pStyle w:val="Heading1"/>
      </w:pPr>
      <w:r>
        <w:t>8. Key Risks</w:t>
      </w:r>
    </w:p>
    <w:p>
      <w:pPr>
        <w:pStyle w:val="ListBullet"/>
      </w:pPr>
      <w:r>
        <w:rPr>
          <w:b/>
        </w:rPr>
        <w:t xml:space="preserve">IP contribution terms — </w:t>
      </w:r>
      <w:r>
        <w:t>largely resolved by the JV (WBI contributes IP into Synapep), but the scope (fields, territories, exclusivity, reserved rights/royalties) must be documented.</w:t>
      </w:r>
    </w:p>
    <w:p>
      <w:pPr>
        <w:pStyle w:val="ListBullet"/>
      </w:pPr>
      <w:r>
        <w:rPr>
          <w:b/>
        </w:rPr>
        <w:t xml:space="preserve">Customer concentration &amp; ramp — </w:t>
      </w:r>
      <w:r>
        <w:t>with an OEM model, revenue depends on a few anchor distributors/brands; landing the first 2–3 accounts is make-or-break in 2027.</w:t>
      </w:r>
    </w:p>
    <w:p>
      <w:pPr>
        <w:pStyle w:val="ListBullet"/>
      </w:pPr>
      <w:r>
        <w:rPr>
          <w:b/>
        </w:rPr>
        <w:t xml:space="preserve">Regulatory — </w:t>
      </w:r>
      <w:r>
        <w:t>the cosmetic skin-booster pathway is fast, but exosome regulation is evolving; the medical line needs FDA/KFDA work. Keep cosmetic and medical claims separated.</w:t>
      </w:r>
    </w:p>
    <w:p>
      <w:pPr>
        <w:pStyle w:val="ListBullet"/>
      </w:pPr>
      <w:r>
        <w:rPr>
          <w:b/>
        </w:rPr>
        <w:t xml:space="preserve">Cold chain / ops — </w:t>
      </w:r>
      <w:r>
        <w:t>−80 °C storage and validated shipping add cost and failure modes; under-budgeting fill-finish and stability is a classic exosome pitfall.</w:t>
      </w:r>
    </w:p>
    <w:p>
      <w:pPr>
        <w:pStyle w:val="ListBullet"/>
      </w:pPr>
      <w:r>
        <w:rPr>
          <w:b/>
        </w:rPr>
        <w:t xml:space="preserve">Capital adequacy — </w:t>
      </w:r>
      <w:r>
        <w:t>$1M kicks off; scaling to the modeled $29–39M revenue likely needs a 2028 Series A.</w:t>
      </w:r>
    </w:p>
    <w:p>
      <w:pPr>
        <w:pStyle w:val="ListBullet"/>
      </w:pPr>
      <w:r>
        <w:rPr>
          <w:b/>
        </w:rPr>
        <w:t xml:space="preserve">Margin — </w:t>
      </w:r>
      <w:r>
        <w:t>largely de-risked: confirmed sub-$5 material cost keeps gross margin in a tight ~64–71% band even at the $30 EXW floor.</w:t>
      </w:r>
    </w:p>
    <w:p>
      <w:pPr>
        <w:pStyle w:val="Heading1"/>
      </w:pPr>
      <w:r>
        <w:t>9. What Would Make This Plan Investment-Grade</w:t>
      </w:r>
    </w:p>
    <w:p>
      <w:pPr>
        <w:pStyle w:val="ListBullet"/>
      </w:pPr>
      <w:r>
        <w:rPr>
          <w:b/>
        </w:rPr>
        <w:t xml:space="preserve">Document the IP-contribution scope </w:t>
      </w:r>
      <w:r>
        <w:t>WBI assigns into the JV — the biggest single driver.</w:t>
      </w:r>
    </w:p>
    <w:p>
      <w:pPr>
        <w:pStyle w:val="ListBullet"/>
      </w:pPr>
      <w:r>
        <w:rPr>
          <w:b/>
        </w:rPr>
        <w:t xml:space="preserve">Name the core team </w:t>
      </w:r>
      <w:r>
        <w:t>(the advisor bench already has real credibility).</w:t>
      </w:r>
    </w:p>
    <w:p>
      <w:pPr>
        <w:pStyle w:val="ListBullet"/>
      </w:pPr>
      <w:r>
        <w:rPr>
          <w:b/>
        </w:rPr>
        <w:t xml:space="preserve">Confirm the 5–6 SKUs, </w:t>
      </w:r>
      <w:r>
        <w:t>their volumes/prices, and an anchor-customer pipeline.</w:t>
      </w:r>
    </w:p>
    <w:p>
      <w:pPr>
        <w:pStyle w:val="ListBullet"/>
      </w:pPr>
      <w:r>
        <w:rPr>
          <w:b/>
        </w:rPr>
        <w:t xml:space="preserve">Confirm material cost </w:t>
      </w:r>
      <w:r>
        <w:t>and that cold-chain/fill-finish are inside the COGS formula.</w:t>
      </w:r>
    </w:p>
    <w:p/>
    <w:p>
      <w:pPr>
        <w:spacing w:after="120"/>
      </w:pPr>
      <w:r>
        <w:rPr>
          <w:b w:val="0"/>
          <w:i/>
          <w:color w:val="555555"/>
          <w:sz w:val="18"/>
        </w:rPr>
        <w:t>Appendix — source materials (WBI/NeuNova/SynExo documents and patent filings) are held in the user's Google Drive; key figures in this document are grounded in those files. OpEx is an internal assumption pending a headcount/spend plan.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