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  <w:jc w:val="center"/>
      </w:pPr>
      <w:r>
        <w:rPr>
          <w:b/>
          <w:i w:val="0"/>
          <w:color w:val="1F3A5F"/>
          <w:sz w:val="68"/>
        </w:rPr>
        <w:t>SYNAPEP</w:t>
      </w:r>
    </w:p>
    <w:p>
      <w:pPr>
        <w:spacing w:after="480"/>
        <w:jc w:val="center"/>
      </w:pPr>
      <w:r>
        <w:rPr>
          <w:b w:val="0"/>
          <w:i w:val="0"/>
          <w:color w:val="555555"/>
          <w:sz w:val="36"/>
        </w:rPr>
        <w:t>Business Plan &amp; Valuation</w:t>
      </w:r>
    </w:p>
    <w:p>
      <w:pPr>
        <w:spacing w:after="40"/>
        <w:jc w:val="center"/>
      </w:pPr>
      <w:r>
        <w:rPr>
          <w:b w:val="0"/>
          <w:i/>
          <w:sz w:val="24"/>
        </w:rPr>
        <w:t>AI-personalised regenerative aesthetic medicine — physician-configured peptide treatments</w:t>
      </w:r>
    </w:p>
    <w:p>
      <w:pPr>
        <w:spacing w:after="800"/>
        <w:jc w:val="center"/>
      </w:pPr>
      <w:r>
        <w:rPr>
          <w:b w:val="0"/>
          <w:i w:val="0"/>
          <w:color w:val="555555"/>
          <w:sz w:val="22"/>
        </w:rPr>
        <w:t>Powered by CodeLife.AI (proprietary model) · IT-EXO® · SynExo</w:t>
      </w:r>
    </w:p>
    <w:p>
      <w:pPr>
        <w:spacing w:after="40"/>
        <w:jc w:val="center"/>
      </w:pPr>
      <w:r>
        <w:rPr>
          <w:b/>
          <w:i w:val="0"/>
          <w:sz w:val="22"/>
        </w:rPr>
        <w:t>Joint Venture: WBI (Wellbiz International) 70%  ·  Eyesel (manufacturing) 30%</w:t>
      </w:r>
    </w:p>
    <w:p>
      <w:pPr>
        <w:spacing w:after="800"/>
        <w:jc w:val="center"/>
      </w:pPr>
      <w:r>
        <w:rPr>
          <w:b w:val="0"/>
          <w:i w:val="0"/>
          <w:color w:val="555555"/>
          <w:sz w:val="20"/>
        </w:rPr>
        <w:t>Draft v0.4  ·  Prepared 6 June 2026</w:t>
      </w: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CONFIDENTIAL — for internal planning and discussion only. Illustrative projections, not an offer of securities and not investment, legal, or tax advice.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delivers AI-personalised regenerative aesthetic treatments. Physicians use CodeLife.AI — our proprietary aesthetic-medicine model — to configure peptide-based microneedling and intramuscular (IM) treatment kits to each clinical purpose, delivered as registered medical devices and powered by IT-EXO® (immune-tolerant stealth exosomes) and SynExo (synthetic recombinant exosomes).</w:t>
      </w:r>
    </w:p>
    <w:p>
      <w:pPr>
        <w:spacing w:after="120"/>
      </w:pPr>
      <w:r>
        <w:rPr>
          <w:b w:val="0"/>
          <w:i w:val="0"/>
          <w:sz w:val="21"/>
        </w:rPr>
        <w:t>The wedge is a razor-and-blades business — an applicator device placed in clinics plus recurring personalised treatment kits (~$30–35 ex-factory). The durable asset is the AI engine and the data it compounds: peptides engineered to outperform generalised, off-the-shelf products, validated by our own AI quality-and-analytics tools. The long-run vision is a data-science company in aesthetic medicine built on our own large model.</w:t>
      </w:r>
    </w:p>
    <w:p>
      <w:pPr>
        <w:spacing w:after="40"/>
      </w:pPr>
      <w:r>
        <w:rPr>
          <w:b/>
          <w:i w:val="0"/>
          <w:sz w:val="21"/>
        </w:rPr>
        <w:t>Why now / why this works.</w:t>
      </w:r>
    </w:p>
    <w:p>
      <w:pPr>
        <w:pStyle w:val="ListBullet"/>
      </w:pPr>
      <w:r>
        <w:rPr>
          <w:b/>
        </w:rPr>
        <w:t>Large, growing market:</w:t>
      </w:r>
      <w: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</w:pPr>
      <w:r>
        <w:rPr>
          <w:b/>
        </w:rPr>
        <w:t>Regulatory speed:</w:t>
      </w:r>
      <w:r>
        <w:t xml:space="preserve"> Korea MFDS "modified device" path (same intended use / mechanism / raw materials → ~3 months), then Hong Kong's light, voluntary MDACS listing. Personalised by purpose, not per individual, so variants stay inside a registered family.</w:t>
      </w:r>
    </w:p>
    <w:p>
      <w:pPr>
        <w:pStyle w:val="ListBullet"/>
      </w:pPr>
      <w:r>
        <w:rPr>
          <w:b/>
        </w:rPr>
        <w:t>New category:</w:t>
      </w:r>
      <w:r>
        <w:t xml:space="preserve"> AI-personalised regenerative devices sit beside (not replace) HA fillers and botox.</w:t>
      </w:r>
    </w:p>
    <w:p>
      <w:pPr>
        <w:spacing w:after="40"/>
      </w:pPr>
      <w:r>
        <w:rPr>
          <w:b/>
          <w:i w:val="0"/>
          <w:sz w:val="21"/>
        </w:rPr>
        <w:t>Structure &amp; scope.</w:t>
      </w:r>
    </w:p>
    <w:p>
      <w:pPr>
        <w:spacing w:after="120"/>
      </w:pPr>
      <w:r>
        <w:rPr>
          <w:b w:val="0"/>
          <w:i w:val="0"/>
          <w:sz w:val="21"/>
        </w:rPr>
        <w:t>JV — WBI 70% (IP: CodeLife.AI / IT-EXO / SynExo + R&amp;D) and Eyesel 30% (manufacturing). Valued standalone at the ex-factory line; distributors are separate, non-consolidated.</w:t>
      </w:r>
    </w:p>
    <w:p>
      <w:pPr>
        <w:spacing w:after="40"/>
      </w:pPr>
      <w:r>
        <w:rPr>
          <w:b/>
          <w:i w:val="0"/>
          <w:sz w:val="21"/>
        </w:rPr>
        <w:t>Economics &amp; ask.</w:t>
      </w:r>
    </w:p>
    <w:p>
      <w:pPr>
        <w:spacing w:after="120"/>
      </w:pPr>
      <w:r>
        <w:rPr>
          <w:b w:val="0"/>
          <w:i w:val="0"/>
          <w:sz w:val="21"/>
        </w:rPr>
        <w:t>~65% blended gross margin; revenue $5.3M (2027) → $20.3M (2028) → $30.2M (2029) → $39.9M (2030); EBITDA-positive in the launch year. Raising $1.0M to kick off at $5–7M pre-money ($6M midpoint → $1M ≈ 14.3%). The AI/data-platform thesis underpins a premium, institutional-AI Series A in 2028.</w:t>
      </w:r>
    </w:p>
    <w:p>
      <w:pPr>
        <w:pStyle w:val="Heading1"/>
      </w:pPr>
      <w:r>
        <w:t>2. Technology &amp; the AI Moat</w:t>
      </w:r>
    </w:p>
    <w:p>
      <w:pPr>
        <w:spacing w:after="120"/>
      </w:pPr>
      <w:r>
        <w:rPr>
          <w:b w:val="0"/>
          <w:i w:val="0"/>
          <w:sz w:val="21"/>
        </w:rPr>
        <w:t>Three pillars — the AI pillar is the spine; devices and kits are the wedge and the data-capture layer.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Pillar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What it is / why it matters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1 — AI engine &amp; data flywheel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CodeLife.AI designs personalised peptides engineered to OUTPERFORM generalised products (differentiator is performance, not just personalisation). A proprietary AI quality-&amp;-analytics suite validates every batch/variant and improves the model from each treatment — a compounding data flywheel. Built as physician decision-support within a cleared envelope to manage SaMD exposure.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2 — Devices &amp; kits (revenue wedge)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An applicator device placed/sold to clinics (also the data-capture endpoint) plus recurring personalised treatment kits (~$30–35 ex-factory), CodeLife-configured within an approved device family.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3 — Data monetisation (future upside)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Licensing the model/insights, physician outcome analytics, and R&amp;D partnerships — the institutional-AI-investor story. Not in the base P&amp;L.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CodeLife.AI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IT-EXO®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SynExo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Synthetic recombinant exosome (salmon-derived) carrying growth-factor/peptide cargo; ~20B particles/mL, 30–150 nm, &gt;95% purity; 12-month stability at −80 °C.</w:t>
            </w:r>
          </w:p>
        </w:tc>
      </w:tr>
    </w:tbl>
    <w:p>
      <w:pPr>
        <w:spacing w:after="40"/>
      </w:pPr>
    </w:p>
    <w:p>
      <w:pPr>
        <w:pStyle w:val="Heading1"/>
      </w:pPr>
      <w:r>
        <w:t>3. Vision — From Devices to a Data-Science Company</w:t>
      </w:r>
    </w:p>
    <w:p>
      <w:pPr>
        <w:spacing w:after="120"/>
      </w:pPr>
      <w:r>
        <w:rPr>
          <w:b w:val="0"/>
          <w:i w:val="0"/>
          <w:sz w:val="21"/>
        </w:rPr>
        <w:t>Devices and kits are the wedge that puts CodeLife into clinics and starts the data flywheel. As personalised treatments and outcomes accumulate, Synapep builds a proprietary aesthetic-medicine dataset and its own large model — the durable, compounding asset. The endpoint is a data-science company in aesthetic medicine: AI-designed, outcome-validated, continuously improving — and fundable by institutional AI investors.</w:t>
      </w:r>
    </w:p>
    <w:p>
      <w:pPr>
        <w:pStyle w:val="Heading1"/>
      </w:pPr>
      <w:r>
        <w:t>4. Regulatory Strategy (Korea → Hong Kong)</w:t>
      </w:r>
    </w:p>
    <w:p>
      <w:pPr>
        <w:pStyle w:val="ListBullet"/>
      </w:pPr>
      <w:r>
        <w:rPr>
          <w:b/>
        </w:rPr>
        <w:t>Korea (MFDS) first —</w:t>
      </w:r>
      <w:r>
        <w:t xml:space="preserve"> register the microneedling/topical applicator + kit as a device family; CodeLife variants register as "modified devices" (same intended use / mechanism / raw materials) on the fast path (Class I ≈ 15 business days; Class II "modified" via conformity bodies; ~3 months realistic).</w:t>
      </w:r>
    </w:p>
    <w:p>
      <w:pPr>
        <w:pStyle w:val="ListBullet"/>
      </w:pPr>
      <w:r>
        <w:rPr>
          <w:b/>
        </w:rPr>
        <w:t>Hong Kong next —</w:t>
      </w:r>
      <w:r>
        <w:t xml:space="preserve"> light, voluntary MDACS listing; move while the voluntary window is open (a statutory framework is coming).</w:t>
      </w:r>
    </w:p>
    <w:p>
      <w:pPr>
        <w:pStyle w:val="ListBullet"/>
      </w:pPr>
      <w:r>
        <w:rPr>
          <w:b/>
        </w:rPr>
        <w:t>Keep the fast path valid —</w:t>
      </w:r>
      <w:r>
        <w:t xml:space="preserve"> personalise via device parameters (delivery, depth, concentration within an approved range, a menu of pre-cleared options), NOT by changing the active molecule, which would break the "same raw materials" test.</w:t>
      </w:r>
    </w:p>
    <w:p>
      <w:pPr>
        <w:pStyle w:val="ListBullet"/>
      </w:pPr>
      <w:r>
        <w:rPr>
          <w:b/>
        </w:rPr>
        <w:t>Two tracks —</w:t>
      </w:r>
      <w:r>
        <w:t xml:space="preserve"> microneedling/topical line carries the device fast-path; the IM injectable line runs on a separate drug/cosmetic pathway (see Risks).</w:t>
      </w:r>
    </w:p>
    <w:p>
      <w:pPr>
        <w:pStyle w:val="Heading1"/>
      </w:pPr>
      <w:r>
        <w:t>5. Go-to-Market</w:t>
      </w:r>
    </w:p>
    <w:p>
      <w:pPr>
        <w:pStyle w:val="ListBullet"/>
      </w:pPr>
      <w:r>
        <w:rPr>
          <w:b/>
        </w:rPr>
        <w:t>Customers —</w:t>
      </w:r>
      <w:r>
        <w:t xml:space="preserve"> aesthetic/derm physicians &amp; clinics — Korea first, then Hong Kong.</w:t>
      </w:r>
    </w:p>
    <w:p>
      <w:pPr>
        <w:pStyle w:val="ListBullet"/>
      </w:pPr>
      <w:r>
        <w:rPr>
          <w:b/>
        </w:rPr>
        <w:t>Model —</w:t>
      </w:r>
      <w:r>
        <w:t xml:space="preserve"> place/sell the applicator device, then earn recurring revenue on personalised kits; CodeLife + outcome data make the relationship sticky.</w:t>
      </w:r>
    </w:p>
    <w:p>
      <w:pPr>
        <w:pStyle w:val="ListBullet"/>
      </w:pPr>
      <w:r>
        <w:rPr>
          <w:b/>
        </w:rPr>
        <w:t>Build —</w:t>
      </w:r>
      <w:r>
        <w:t xml:space="preserve"> a focused clinical/KOL salesforce in two concentrated markets; physician advocates and head-to-head efficacy data drive adoption.</w:t>
      </w:r>
    </w:p>
    <w:p>
      <w:pPr>
        <w:pStyle w:val="Heading1"/>
      </w:pPr>
      <w:r>
        <w:t>6. AI &amp; Data-Science Build Plan &amp; Costs</w:t>
      </w:r>
    </w:p>
    <w:p>
      <w:pPr>
        <w:spacing w:after="120"/>
      </w:pPr>
      <w:r>
        <w:rPr>
          <w:b w:val="0"/>
          <w:i w:val="0"/>
          <w:sz w:val="21"/>
        </w:rPr>
        <w:t>How Pillar 1 (the moat) gets built — and what it costs. All AI/data spend below is a subset of the OpEx "R&amp;D incl. AI" line, not additional.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5760"/>
          </w:tcPr>
          <w:p>
            <w:r>
              <w:rPr>
                <w:b/>
                <w:sz w:val="19"/>
              </w:rPr>
              <w:t>Deliverables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1 — Foundation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Data schema + device-side capture pipeline (consented inputs, settings, images); CodeLife v1 configuration engine within the approved envelope; AI-QA tooling (batch/variant validation, anomaly detection).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 — Data flywheel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2027–28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Live outcome capture from clinics; models linking formulation/device parameters → outcomes; proprietary dataset compounds; physician dashboards (beta).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3 — Own large model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2029–30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Train a proprietary aesthetic-medicine model on multimodal data (images + formulations + outcomes); ship physician outcome-analytics products (Pillar 3 upside).</w:t>
            </w:r>
          </w:p>
        </w:tc>
      </w:tr>
    </w:tbl>
    <w:p>
      <w:pPr>
        <w:spacing w:after="40"/>
      </w:pPr>
    </w:p>
    <w:p>
      <w:pPr>
        <w:pStyle w:val="Heading2"/>
      </w:pPr>
      <w:r>
        <w:t>6.1 Team &amp; cost (AI/data subset of OpEx, 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9"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AI/data FTE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Personnel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Compute &amp; data ops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Total AI spend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(Total OpEx)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(700)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(2,600)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1,300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(6,000)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(8,200)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(10,000)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Core roles: ML/AI lead (peptide design + model strategy), data/ML engineers, data-platform/MLOps, clinical-data/annotation, regulatory-aware ML (SaMD). Recruit the ML/AI lead and a data engineer first (2026); scale annotation and MLOps as clinic data arrives.</w:t>
      </w:r>
    </w:p>
    <w:p>
      <w:pPr>
        <w:spacing w:after="120"/>
      </w:pPr>
      <w:r>
        <w:rPr>
          <w:b w:val="0"/>
          <w:i w:val="0"/>
          <w:sz w:val="21"/>
        </w:rPr>
        <w:t>Data moat: every CodeLife-configured treatment generates consented inputs, device parameters and (where permitted) outcome data via the applicator device. More treatments → better models → peptides that outperform generalised products → more clinics → more data. The dataset, not the code, is the durable moat — and the line item that turns Synapep from a medtech story (Lens A) into an AI/data-company story (Lens B). Governance: consent, de-identification, Korea/HK data-protection compliance, physician in the loop.</w:t>
      </w:r>
    </w:p>
    <w:p>
      <w:pPr>
        <w:pStyle w:val="Heading1"/>
      </w:pPr>
      <w:r>
        <w:t>7. Financial Model</w:t>
      </w:r>
    </w:p>
    <w:p>
      <w:pPr>
        <w:spacing w:after="120"/>
      </w:pPr>
      <w:r>
        <w:rPr>
          <w:b w:val="0"/>
          <w:i w:val="0"/>
          <w:sz w:val="21"/>
        </w:rPr>
        <w:t>Bottom-up by clinics (~100–125 kits/clinic/month at maturity). Kit unit economics: COGS = 20%×EXW + $4.50 material = $11.00 at $32.50 → GP $21.50, 66.2%. Device ASP $3,000 at 40% GM. All figures USD; illustrative.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7.1 P&amp;L ($ thousands)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revenue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5,260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20,250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30,150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39,900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gross profit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3,362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13,200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19,710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26,160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OpEx (sales, reg, R&amp;D incl. AI, G&amp;A)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16,160</w:t>
            </w:r>
          </w:p>
        </w:tc>
      </w:tr>
    </w:tbl>
    <w:p>
      <w:pPr>
        <w:spacing w:after="40"/>
      </w:pPr>
    </w:p>
    <w:p>
      <w:pPr>
        <w:pStyle w:val="Heading2"/>
      </w:pPr>
      <w:r>
        <w:t>7.2 Scenarios (2029)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Pillar-3 data monetisation (model/insight licensing, outcome analytics) is excluded from the base P&amp;L and treated as upside.</w:t>
      </w:r>
    </w:p>
    <w:p>
      <w:pPr>
        <w:pStyle w:val="Heading1"/>
      </w:pPr>
      <w:r>
        <w:t>8. Valuation — Two Lenses</w:t>
      </w:r>
    </w:p>
    <w:p>
      <w:pPr>
        <w:spacing w:after="40"/>
      </w:pPr>
      <w:r>
        <w:rPr>
          <w:b/>
          <w:i w:val="0"/>
          <w:sz w:val="21"/>
        </w:rPr>
        <w:t>Lens A — device + consumables business (the floor; sets the kickoff price).</w:t>
      </w:r>
    </w:p>
    <w:p>
      <w:pPr>
        <w:spacing w:after="120"/>
      </w:pPr>
      <w:r>
        <w:rPr>
          <w:b w:val="0"/>
          <w:i w:val="0"/>
          <w:sz w:val="21"/>
        </w:rPr>
        <w:t>Recommend $5–7M pre-money / $6–8M post, $6M midpoint → $1.0M buys ~14.3%. Three methods reconcile: seed convention for an IP-owning JV ($5–7M); DCF (40% discount, 8× EBITDA exit) ≈ $35M un-risk-adjusted EV → ~$5–7M risk-adjusted; forward multiple. Recurring medical consumables + regulatory moat support the upper half and a higher revenue multiple (3–6×).</w:t>
      </w:r>
    </w:p>
    <w:p>
      <w:pPr>
        <w:spacing w:after="40"/>
      </w:pPr>
      <w:r>
        <w:rPr>
          <w:b/>
          <w:i w:val="0"/>
          <w:sz w:val="21"/>
        </w:rPr>
        <w:t>Lens B — AI / data-science company (the prize; attracts institutional AI capital).</w:t>
      </w:r>
    </w:p>
    <w:p>
      <w:pPr>
        <w:spacing w:after="120"/>
      </w:pPr>
      <w:r>
        <w:rPr>
          <w:b w:val="0"/>
          <w:i w:val="0"/>
          <w:sz w:val="21"/>
        </w:rPr>
        <w:t>With a proprietary model, an AI-QA/analytics suite, and a compounding data flywheel, the comparables shift from medtech to AI/data platforms — much higher multiples. This does not change the $1M kickoff price (priced on Lens A) but raises the valuation ceiling and reframes the 2028 Series A as a premium, institutional AI round.</w:t>
      </w:r>
    </w:p>
    <w:p>
      <w:pPr>
        <w:pStyle w:val="Heading2"/>
      </w:pPr>
      <w:r>
        <w:t>8.1 Cap table (post-raise, $6.0M pre-money)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IP (CodeLife.AI/IT-EXO/SynExo) + R&amp;D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Recommendation: price the kickoff on Lens A ($6M midpoint); pitch Lens B as the prize and the Series A thesis. Optionally test institutional-AI appetite for a larger round.</w:t>
      </w:r>
    </w:p>
    <w:p>
      <w:pPr>
        <w:pStyle w:val="Heading1"/>
      </w:pPr>
      <w:r>
        <w:t>9. Key Risks</w:t>
      </w:r>
    </w:p>
    <w:p>
      <w:pPr>
        <w:pStyle w:val="ListBullet"/>
      </w:pPr>
      <w:r>
        <w:rPr>
          <w:b/>
        </w:rPr>
        <w:t xml:space="preserve">Device-vs-drug classification (#1) — </w:t>
      </w:r>
      <w:r>
        <w:t>an IM injectable peptide is very likely a drug/biologic, not a device, in Korea and HK. Lead the device fast-path with the microneedling/topical line + applicator system; run the IM/injectable line on a separate track.</w:t>
      </w:r>
    </w:p>
    <w:p>
      <w:pPr>
        <w:pStyle w:val="ListBullet"/>
      </w:pPr>
      <w:r>
        <w:rPr>
          <w:b/>
        </w:rPr>
        <w:t xml:space="preserve">"Same raw materials" constraint — </w:t>
      </w:r>
      <w:r>
        <w:t>personalise via device parameters within an approved envelope; changing the active molecule can break the fast path.</w:t>
      </w:r>
    </w:p>
    <w:p>
      <w:pPr>
        <w:pStyle w:val="ListBullet"/>
      </w:pPr>
      <w:r>
        <w:rPr>
          <w:b/>
        </w:rPr>
        <w:t xml:space="preserve">AI substantiation — </w:t>
      </w:r>
      <w:r>
        <w:t>the "outperforms generalised products" and data-moat claims need head-to-head efficacy evidence and a real ML capability/dataset behind the "own large model."</w:t>
      </w:r>
    </w:p>
    <w:p>
      <w:pPr>
        <w:pStyle w:val="ListBullet"/>
      </w:pPr>
      <w:r>
        <w:rPr>
          <w:b/>
        </w:rPr>
        <w:t xml:space="preserve">SaMD exposure — </w:t>
      </w:r>
      <w:r>
        <w:t>CodeLife may be regulated as Software as a Medical Device; keep the physician in the loop within a cleared envelope.</w:t>
      </w:r>
    </w:p>
    <w:p>
      <w:pPr>
        <w:pStyle w:val="ListBullet"/>
      </w:pPr>
      <w:r>
        <w:rPr>
          <w:b/>
        </w:rPr>
        <w:t xml:space="preserve">Incumbents — </w:t>
      </w:r>
      <w:r>
        <w:t>HA/botox (~$5–6.5B, still growing) are not displaced — position as a new adjacent category.</w:t>
      </w:r>
    </w:p>
    <w:p>
      <w:pPr>
        <w:pStyle w:val="ListBullet"/>
      </w:pPr>
      <w:r>
        <w:rPr>
          <w:b/>
        </w:rPr>
        <w:t xml:space="preserve">Capital adequacy — </w:t>
      </w:r>
      <w:r>
        <w:t>$1M kicks off; multi-market registration + clinical salesforce + AI team likely need a 2028 Series A.</w:t>
      </w:r>
    </w:p>
    <w:p>
      <w:pPr>
        <w:pStyle w:val="Heading1"/>
      </w:pPr>
      <w:r>
        <w:t>10. What Would Make This Investment-Grade</w:t>
      </w:r>
    </w:p>
    <w:p>
      <w:pPr>
        <w:pStyle w:val="ListBullet"/>
      </w:pPr>
      <w:r>
        <w:rPr>
          <w:b/>
        </w:rPr>
        <w:t xml:space="preserve">Confirm the regulatory split </w:t>
      </w:r>
      <w:r>
        <w:t>— microneedling/topical (device fast-path) vs IM injectable (drug).</w:t>
      </w:r>
    </w:p>
    <w:p>
      <w:pPr>
        <w:pStyle w:val="ListBullet"/>
      </w:pPr>
      <w:r>
        <w:rPr>
          <w:b/>
        </w:rPr>
        <w:t xml:space="preserve">Produce head-to-head efficacy data </w:t>
      </w:r>
      <w:r>
        <w:t>(AI-personalised vs generalised) and define the AI/data team and dataset plan behind the "own large model."</w:t>
      </w:r>
    </w:p>
    <w:p>
      <w:pPr>
        <w:pStyle w:val="ListBullet"/>
      </w:pPr>
      <w:r>
        <w:rPr>
          <w:b/>
        </w:rPr>
        <w:t xml:space="preserve">Document the IP-contribution scope </w:t>
      </w:r>
      <w:r>
        <w:t>WBI assigns into the JV.</w:t>
      </w:r>
    </w:p>
    <w:p>
      <w:pPr>
        <w:pStyle w:val="ListBullet"/>
      </w:pPr>
      <w:r>
        <w:rPr>
          <w:b/>
        </w:rPr>
        <w:t xml:space="preserve">Confirm device ASP/GM, clinic ramp, kits/clinic/month; </w:t>
      </w:r>
      <w:r>
        <w:t>name the core team and an anchor-clinic pipeline in Korea/HK.</w:t>
      </w:r>
    </w:p>
    <w:p/>
    <w:p>
      <w:pPr>
        <w:spacing w:after="120"/>
      </w:pPr>
      <w:r>
        <w:rPr>
          <w:b w:val="0"/>
          <w:i/>
          <w:color w:val="555555"/>
          <w:sz w:val="18"/>
        </w:rPr>
        <w:t>Sources — medical aesthetics market: MarketsandMarkets, P&amp;S Intelligence, DataM. Korea MFDS modified-device path: Emergo by UL, ElendiLabs, MedDeviceGuide. Hong Kong MDACS: mdd.gov.hk, Asia Actual. Botox/HA: Future Market Insights, Allied Market Research, Grand View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