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198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231</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243</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245</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241</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242</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but used a separately built,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the prompt template is deposited (item G.7), while the model version and run-time settings of the deployed configuration, and which of the two versions was deployed,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Which version was deployed, whether the v2 server was reachable at the centre, and the model version and run-time settings are not on record, so no operational claim is made for the model call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which of the two versions was deployed, whether the v2 server was reachable at the centre,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which version was deployed, whether the server was reachable at the centre,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which version was deployed is not on record;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Not on record: which version was deployed, whether the v2 server was reachable at the centre,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 of the Stage-2 game, 15 January 2025 (docs/thesis/evidence/stage2_game_screen_recording_2025-01-15/; three files, the original and two re-exports of 7 September 2025; 1534 × 862, 38 s; SHA-256 in the folder). Supplied by the author on 4 October 2026 as "the Stage 2 game video". It shows the ability-assessment form being completed (a 60-year-old male test profile) and the 3D game running; no participant, camera view or FRA station appears, and which of v1 or v2 is running cannot be read from it. It establishes which game was deployed (item G.7), five months before the June–August 2025 deployment.</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written assent to the consent form completed on his behalf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