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formal characterisation of the Stage-2 consent arrangement and the approval reference are being completed with the university's Human Subjects Ethics Sub-Committee.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