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B3355"/>
          <w:sz w:val="52"/>
        </w:rPr>
        <w:t>GENAPEP</w:t>
      </w:r>
    </w:p>
    <w:p>
      <w:pPr>
        <w:spacing w:after="40"/>
        <w:jc w:val="center"/>
      </w:pPr>
      <w:r>
        <w:rPr>
          <w:b w:val="0"/>
          <w:i w:val="0"/>
          <w:color w:val="555555"/>
          <w:sz w:val="28"/>
        </w:rPr>
        <w:t>IPO Plan v2 — September 2026 Revision &amp; Viability Assessment</w:t>
      </w:r>
    </w:p>
    <w:p>
      <w:pPr>
        <w:spacing w:after="40"/>
        <w:jc w:val="center"/>
      </w:pPr>
      <w:r>
        <w:rPr>
          <w:b/>
          <w:i w:val="0"/>
          <w:color w:val="C0392B"/>
          <w:sz w:val="18"/>
        </w:rPr>
        <w:t>PRIVATE &amp; CONFIDENTIAL — for the boards of WBI and Eyesel. Not for release to FirstVitals or any third party. Supersedes the route strategy and all FirstVitals representations of the draft IPO-framework MOU.</w:t>
      </w:r>
    </w:p>
    <w:p>
      <w:pPr>
        <w:spacing w:after="200"/>
        <w:jc w:val="center"/>
      </w:pPr>
      <w:r>
        <w:rPr>
          <w:b w:val="0"/>
          <w:i/>
          <w:color w:val="555555"/>
          <w:sz w:val="17"/>
        </w:rPr>
        <w:t>Prepared 16 September 2026 on the evidence listed in Section 1. Non-binding; not legal, tax, accounting or securities advice; regulatory statements require written confirmation by counsel. FX shown at both ₩1,400/$ and ₩1,500/$ where material.</w:t>
      </w:r>
    </w:p>
    <w:p>
      <w:pPr>
        <w:pStyle w:val="Heading2"/>
      </w:pPr>
      <w:r>
        <w:t>1. Why this revision — the new evidence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4464"/>
          </w:tcPr>
          <w:p>
            <w:r>
              <w:rPr>
                <w:b/>
                <w:sz w:val="18"/>
              </w:rPr>
              <w:t>What it establishes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18"/>
              </w:rPr>
              <w:t>Eyesel statutory income statement FY2025/FY2024 (제19기/제18기)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Verified financials of Eyesel — closes the open Eyesel-data item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18"/>
              </w:rPr>
              <w:t>Eyesel retained-earnings appropriation statement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₩10.36B unappropriated retained earnings; ₩300M FY2024-cycle dividend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18"/>
              </w:rPr>
              <w:t>Due Diligence Strategic Report on FirstVitals (Hayley Zen → WBI, 2026-09-03)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FirstVitals history, pivot, Reg A+ status, Rule 3-05 analysis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18"/>
              </w:rPr>
              <w:t>FirstVitals/ProteusDx cap table (2026-09-02, generated by Ernest Lee)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Ownership 94.63% one holder; $500K lifetime capital; 7.5M-share unissued pool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18"/>
              </w:rPr>
              <w:t>Strategy meeting summary (Sidney Tam org.; EyeSel Mr Kim, Theresa Jang)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US-vs-Korea routes, $2M bridge math, FirstVitals claims as pitched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1"/>
        </w:rPr>
        <w:t>Bottom line: the Eyesel data gap closes favourably; the FirstVitals premise of the draft IPO MOU is contradicted by FirstVitals' own cap table and the DD record. Stage 1 (the WBI × Eyesel JV) is strengthened; Route B fails as pitched; Route A remains the default and a Korea listing is promoted to a formal parallel track.</w:t>
      </w:r>
    </w:p>
    <w:p>
      <w:pPr>
        <w:pStyle w:val="Heading2"/>
      </w:pPr>
      <w:r>
        <w:t>2. FirstVitals — claimed vs verified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Claim in prior documents / the meeting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“SEC filer since Dec 2024 / listed vehicle / maintains reporting status”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CONTRADICTED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EDGAR shows a Form 1-A Reg A+ Tier 2 crowdfunding offering (target up to $20.74M, KoreConX portal, Andes Capital intermediary). No S-1. A Reg A+ issuer is NOT an Exchange Act reporting company absent Form 8-A/Form 10.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Operating GLP-1 Bridge program ($2.2M’26 → $16.7M’27; MRR $1.59M/mo)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CONTRADICTED as operating revenue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FirstVitals abandoned its RPM/CCM services in the 2024 pivot to ProteusDx (GI capsule-endoscopy AI, Phase-1 pilot, pre-revenue per its own internal papers). The proforma is an unvalidated plan; zero verified enrollment or claims data.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“Medicare network contracts” / “GLP-1 technology”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UNVERIFIED / CONTRADICTED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History was Hawaii MEDICAID, and those services were abandoned; no GLP-1 content in the internal papers. Posture: demand the contracts be produced.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“$75M valuation cap”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UNSUPPORTABLE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Lifetime capital raised = one $500K convertible note; pre-revenue; no priced round or institutional investor. ($75M is the Reg A+ Tier 2 REGULATORY ceiling per 12 months — the likely source of the number; the current offering targets $20.74M.)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“List in the US by mid-2027”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CONTRADICTED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SEC Rule 3-05: acquiring WBI+Eyesel (combined FY2025A ~$10.9M revenue) into a pre-revenue registrant is significant at the maximum tier → up to 2 years PCAOB-audited US GAAP financials of the Korean companies in any S-1 (or Form 1-A Part F/S) → 12–18 months minimum. Even the Reg A+→Form 8-A direct-listing path fails exchange initial-listing standards and Nasdaq’s 2-year operating-history rule for Reg A issuers [counsel to confirm].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Implied FVH value $10–13M (draft MOU) / $5–10–13M scenarios (briefing)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OVERSTATED ≥ 5×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Assessed supportable planning value: ~$0–2M, possibly negative after the $500K convertible note (terms unverified) and contingent exposures (retail-offering compliance, FDA/telehealth marketing gap). Basis: pre-revenue per the DD report and the counterparty's own cap table — pending Form 1-K/1-SA confirmation (gate-zero). Benchmark: a clean new US topco costs well under $100K.</w:t>
            </w:r>
          </w:p>
        </w:tc>
      </w:tr>
    </w:tbl>
    <w:p>
      <w:pPr>
        <w:spacing w:after="40"/>
      </w:pPr>
    </w:p>
    <w:p>
      <w:pPr>
        <w:pStyle w:val="Heading3"/>
      </w:pPr>
      <w:r>
        <w:t>Structural traps in the FirstVitals cap table</w:t>
      </w:r>
    </w:p>
    <w:p>
      <w:pPr>
        <w:pStyle w:val="ListBullet"/>
        <w:spacing w:after="60"/>
      </w:pPr>
      <w:r>
        <w:t>Ownership: 6,341,625 shares outstanding; Ernest Gin Lee 6,001,000 = 94.63%; eight friends-and-family holders; no preferred; no institutional money. Entity-name chain unresolved: “First Vital Health and Wellness Inc” (draft MOU) vs “FirstVital(s), Inc.” (DD) vs “ProteusDx” (cap-table title) — the counterparty of record must be tied to the 1-A filer before anything is signed.</w:t>
      </w:r>
    </w:p>
    <w:p>
      <w:pPr>
        <w:pStyle w:val="ListBullet"/>
        <w:spacing w:after="60"/>
      </w:pPr>
      <w:r>
        <w:t>The 7,500,000-share 2024 Omnibus pool (54.18% of 13,841,625 fully diluted, zero issued) is the controlling trap: the draft MOU’s “75%” computed on outstanding shares falls to 57.9% fully diluted if the pool is granted — a unilateral 17-point haircut controlled by the FVH-side board. Any term sheet must make pool cancellation (or a hard cap with block consent) a condition precedent.</w:t>
      </w:r>
    </w:p>
    <w:p>
      <w:pPr>
        <w:pStyle w:val="ListBullet"/>
        <w:spacing w:after="60"/>
      </w:pPr>
      <w:r>
        <w:t>The $500K convertible note is a gate-zero document, not a footnote: holder identity (if Lee or an affiliate, it is self-dealing paper), drawn amount, discount/cap, maturity and default status must be produced. A low-cap note can out-dilute even the option pool.</w:t>
      </w:r>
    </w:p>
    <w:p>
      <w:pPr>
        <w:pStyle w:val="ListBullet"/>
        <w:spacing w:after="60"/>
      </w:pPr>
      <w:r>
        <w:t>The cap table is self-generated by the counterparty (Ernest Lee, 2026-09-02) and unaudited. If Reg A+ retail money was actually received, the cap table is materially wrong; if not, the offering has raised ~nothing against its $20.74M target. The Form 1-K/1-SA filings resolve which — obtain them.</w:t>
      </w:r>
    </w:p>
    <w:p>
      <w:pPr>
        <w:pStyle w:val="Heading2"/>
      </w:pPr>
      <w:r>
        <w:t>3. Eyesel — verified statutory financials (FY2025 / FY2024)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FY2025 (@₩1,400/₩1,500)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FY2024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Revenue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₩10,460.2M = $7.47M/$6.97M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₩9,468.4M = $6.76M/$6.31M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+10.5% YoY; exports ₩5,294.0M = 50.6% of sales, +19.5% YoY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Gross profit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₩4,995.2M (47.8%)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₩5,104.9M (53.9%)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-6.1pp mix/price compression ≈ ₩642M margin effect at FY2025 volume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Operating profit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₩1,841.2M = $1.32M (17.6%)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₩2,660.8M = $1.90M (28.1%)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-30.8%: commissions +₩393.5M (10.5× — DD the counterparty), salaries +₩342.5M, depreciation +₩108.7M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Net income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₩2,048.1M = $1.46M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₩2,724.5M = $1.95M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FY2025 incl. one-off ₩301.2M PP&amp;E disposal gain; ETR only 4.1% (SME/R&amp;D credits)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Retained earnings c/f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₩10,358.8M = $7.40M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₩8,310.2M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₩300M cash dividend in FY2024 cycle; FY2025 proposal: zero dividend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The 51:49 basis HOLDS and the equalisation condition can be closed: FY2025 revenue vs the $8.0M peg = -6.6% @₩1,400 and -12.8% @₩1,500 — inside the 15% band at both conventions. Record the statutory figures on the face of Amendment No. 1 and declare the condition satisfied.</w:t>
      </w:r>
    </w:p>
    <w:p>
      <w:pPr>
        <w:pStyle w:val="ListBullet"/>
        <w:spacing w:after="60"/>
      </w:pPr>
      <w:r>
        <w:t>Two drafting locks before signing: (a) FIX THE FX CONVENTION (KRW-denominated peg or a stated rate) — above ₩1,538/$ the same actuals breach the band; (b) PIN THE REFERENCE PERIOD to FY2025 statutory — FY2024 revenue @₩1,400 is -15.5% vs the peg, i.e., OUTSIDE the band on a different period selection.</w:t>
      </w:r>
    </w:p>
    <w:p>
      <w:pPr>
        <w:pStyle w:val="ListBullet"/>
        <w:spacing w:after="60"/>
      </w:pPr>
      <w:r>
        <w:t>On earnings the 51% is conservative: Eyesel is ~2.2× WBI on revenue, ~8.4× on net income and ~10.7× on operating profit (WBI’s ₩172.3M OP is an implied figure — verify against the NTS filing before any board table). A value-proportional re-test would move the split TOWARD Eyesel; WBI’s 49% is properly defended on forward contribution (MM Studio ramp, AI-peptide/DPW technology, US execution), not on trailing numbers.</w:t>
      </w:r>
    </w:p>
    <w:p>
      <w:pPr>
        <w:pStyle w:val="ListBullet"/>
        <w:spacing w:after="60"/>
      </w:pPr>
      <w:r>
        <w:t>The “~$15M Eyesel revenue” figure in the draft IPO MOU lineage is contradicted (~2× overstatement) and is purged from all documents in this revision.</w:t>
      </w:r>
    </w:p>
    <w:p>
      <w:pPr>
        <w:pStyle w:val="ListBullet"/>
        <w:spacing w:after="60"/>
      </w:pPr>
      <w:r>
        <w:t>Eyesel is the group’s auditable profit anchor — but its books are on the K-SME standard, the longest conversion path to PCAOB US GAAP/IFRS. Its board must see a costed audit quote before the Q4-2026 engagement; and retained earnings are not cash — obtain the balance sheet (interest income fell ₩153.5M→₩62.2M while depreciation tripled, implying cash was deployed into capex/property).</w:t>
      </w:r>
    </w:p>
    <w:p>
      <w:pPr>
        <w:pStyle w:val="Heading2"/>
      </w:pPr>
      <w:r>
        <w:t>4. WBI — the standardized figure set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  <w:sz w:val="18"/>
              </w:rPr>
              <w:t>Figure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WBI FY2025 actual (NTS-certified)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₩4,802.7M ≈ $3.43M @1,400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The only verified WBI revenue figure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WBI-side 2026 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$7.59M (core $4.69M + MM Studio $2.90M)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Requires ~2.2× in-year growth — evidence pack needed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Combined WBI+Eyesel FY2025A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₩15,262.9M ≈ $10.90M @1,400 / $10.18M @1,500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The correct Rule 3-05 numerator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“$11.7M 2026 WBI exosome revenue” (DD report)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DOES NOT RECONCILE — correct at source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3.4× the FY2025 actual; candidate sources of the error: combined FY2025A $10.2–10.9M (@₩1,500/₩1,400) or the JV plan's 2025 combined PLANNING figure $11.43M. Do not circulate the DD until fixed.</w:t>
            </w:r>
          </w:p>
        </w:tc>
      </w:tr>
    </w:tbl>
    <w:p>
      <w:pPr>
        <w:spacing w:after="40"/>
      </w:pPr>
    </w:p>
    <w:p>
      <w:pPr>
        <w:pStyle w:val="Heading2"/>
      </w:pPr>
      <w:r>
        <w:t>5. The three routes — revised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Reality on the new evidence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Position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 — Own US listing (GenApep Holdings F-1)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Foreign private issuer: IFRS-as-issued, confidential DRS, EGC 2-year financials. Audits Q4-2026→late-2027; DRS end-2027/early-2028; pricing H2-2028 with the ~$20M primary raise at pricing.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DEFAULT — and now also the FASTEST US path. Conditional on: sponsor pre-money for the $2M bridge demonstrably above ~$25–35M (at ~$18M pre, WBI holders are underwater vs their $89.75 basis), US opex discipline, US CEO identified.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B — Combine with FirstVitals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Not a reporting company; combination confers no listing status and raises no capital; pre-revenue per DD/cap table (1-K/1-SA confirmation pending); Rule 3-05 audit wall applies identically; US GAAP (not IFRS); reverse-merger seasoning on any exchange application; 54.18%-FD unissued pool; zero operational synergy (DD: “financial splicing”).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REJECT AS PITCHED — RECONSTRUCT AS A MANAGEMENT PARTNERSHIP (§5b). The entity's verified value stands (~$0–2M), but the real asset is the operator: Ernie Lee as US CEO/President + board seat with KPI-gated 3–7% group equity replacing the 7.5M pool; the entity at verified value through Addendum A block entry — under either route.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 — Korea listing (KOSDAQ)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Eyesel’s verified profitability (₩1.84B OP, ₩10.36B retained earnings, dividend history) fits KOSDAQ profit tracks on trailing numbers; K-IFRS conversion instead of US GAAP; no $300–500K/yr US opex, no US CEO problem; eliminates the Korean cross-border swap-tax/FX problem for BOTH shareholder bodies.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PROMOTE to a formally developed parallel track. Cash timing comparable to Route A (H2-2028/2029); the credible fallback that disciplines every US-sponsor valuation conversation.</w:t>
            </w:r>
          </w:p>
        </w:tc>
      </w:tr>
    </w:tbl>
    <w:p>
      <w:pPr>
        <w:spacing w:after="40"/>
      </w:pPr>
    </w:p>
    <w:p>
      <w:pPr>
        <w:pStyle w:val="Heading2"/>
      </w:pPr>
      <w:r>
        <w:t>5b. Management, talent &amp; governance — the dimension beyond finance</w:t>
      </w:r>
    </w:p>
    <w:p>
      <w:pPr>
        <w:pStyle w:val="ListBullet"/>
        <w:spacing w:after="60"/>
      </w:pPr>
      <w:r>
        <w:rPr>
          <w:b/>
        </w:rPr>
        <w:t xml:space="preserve">The problem is real and documented — </w:t>
      </w:r>
      <w:r>
        <w:t>Running a US-listed company needs a credible local CEO/President, finance/IR capability and post-listing support. The strategy meeting's own record: Korean issuers listed in 2023–24 are struggling; “IPO preparation is a new beginning rather than an end goal”; US operations cost $300–500K/yr; and the only internal US-CEO candidates discussed were family members of the principals — a governance gap, not a bench. A purely financial reading of Route B missed this dimension.</w:t>
      </w:r>
    </w:p>
    <w:p>
      <w:pPr>
        <w:pStyle w:val="ListBullet"/>
        <w:spacing w:after="60"/>
      </w:pPr>
      <w:r>
        <w:rPr>
          <w:b/>
        </w:rPr>
        <w:t xml:space="preserve">What Ernie Lee verifiably brings — beyond the entity — </w:t>
      </w:r>
      <w:r>
        <w:t>~12 years operating an actual US healthcare-services company (Hawaii RPM/CCM, 2010–2022) with Medicaid billing/compliance experience; first-hand SEC process experience (took the company through a Reg A+ offering); standing US corporate/regulatory infrastructure; and a claimed US investor/sponsor network. This is precisely the capability set Route A lacks — the entity is thin, but the operator is not.</w:t>
      </w:r>
    </w:p>
    <w:p>
      <w:pPr>
        <w:pStyle w:val="ListBullet"/>
        <w:spacing w:after="60"/>
      </w:pPr>
      <w:r>
        <w:rPr>
          <w:b/>
        </w:rPr>
        <w:t xml:space="preserve">What still needs verification — </w:t>
      </w:r>
      <w:r>
        <w:t>Management references and background; the 2024 “dispute between previous shareholders” that preceded the pivot; the investor-network claims; and the internal-papers-vs-public-website narrative gap — a management-integrity question that must be answered before he fronts a listed group. Gate-zero is EXTENDED to cover these; it does not disappear.</w:t>
      </w:r>
    </w:p>
    <w:p>
      <w:pPr>
        <w:pStyle w:val="Heading3"/>
      </w:pPr>
      <w:r>
        <w:t>The Management Partnership structure (adopted)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7488"/>
          </w:tcPr>
          <w:p>
            <w:r>
              <w:rPr>
                <w:b/>
                <w:sz w:val="18"/>
              </w:rPr>
              <w:t>Terms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Ernie Lee as US CEO/President of the group's US operations plus a board seat on the listed company — accountable for listing execution and post-listing management.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8"/>
              </w:rPr>
              <w:t>Incentive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KPI-gated equity of the GROUP: 3–7% (negotiation band), vesting on objective milestones — reporting compliance achieved, exchange listing completed, capital actually raised, US revenue milestones. Replaces the FVH-side 7.5M-share pool entirely.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The FVH entity enters at independently verified value (~$0–2M, fairness opinion) through block entry — or is retained as the group's US operating subsidiary. People priced as management; the entity priced as an entity.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8"/>
              </w:rPr>
              <w:t>Governance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The equity is DISCLOSED management compensation with KPIs — defensible in SEC filings and to both shareholder bodies — rather than acquisition consideration routed to individuals. Every GenApep shareholder still rides through pro rata.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8"/>
              </w:rPr>
              <w:t>Route-independence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The partnership attaches to EITHER route: under Route A, Ernie leads US operations for GenApep's own F-1 — curing Route A's biggest weakness; under Route B, it converts a shell purchase into a governed partnership.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19"/>
        </w:rPr>
        <w:t>Cost of the partnership, quantified: a 5% KPI grant dilutes every holder pro rata — WBI shareholders 45.3% → ~43.1% of the group (44.0% at 3%, 42.2% at 7%). At the Route-A $100M post scenario that is ~$13–14 per WBI share — a modest price for removing the execution risk that otherwise conditions the whole US plan.</w:t>
      </w:r>
    </w:p>
    <w:p>
      <w:pPr>
        <w:pStyle w:val="Heading2"/>
      </w:pPr>
      <w:r>
        <w:t>6. The revised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When</w:t>
            </w:r>
          </w:p>
        </w:tc>
        <w:tc>
          <w:tcPr>
            <w:tcW w:type="dxa" w:w="5472"/>
          </w:tcPr>
          <w:p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1. Sign Amendment No. 1 — with two locks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Eyesel’s verified FY2025 closes the equalisation condition (inside the 15% band). Add: FX convention fixed; reference period pinned to FY2025 statutory; no-leakage/permitted-distributions covenant from signing to closing; written board confirmation of the Eyesel principal (Mr Kim per the meeting vs Mr. Park per the 12-Aug MOU).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2. Execute the $2M bridge — route-independent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By end-2026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The only financing that addresses the mid-2028 pressure point. Define the receiving entity (the holdco once formed). Accept ~10% dilution only if no sponsor validates a higher pre-money; walk-away floor ~$25M pre.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3. Appoint the PCAOB-registered auditor — dual-scoped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Q4 2026 (≤3.5 months away)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IFRS primary basis with a costed US GAAP option — keeps Routes A and C open at lowest conversion cost. Obtain a fee quote for the K-SME→IFRS/US GAAP conversion of Eyesel BEFORE engagement; the audit is the critical path under every route.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4. FirstVitals gate-zero — before any term discussion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Before/at the Ernie Lee meetings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CIK + full EDGAR index; 1-A qualification status and amounts ACTUALLY sold; Form 8-A/Form 10 check; Form 1-K/1-SA cash-runway review; the $500K note (holder, terms, default status); entity-name chain to the 1-A filer; reconcile the internal-papers-vs-public-website narrative gap under NDA; then a written US securities-counsel memorandum (reporting status, shell classification/Rule 144(i), seasoning rules).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5. Stage-1 execution unchanged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Q3-2026 → Q1–Q2 2027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Cayman holdco + GenApep Korea; definitive SHA + sweat-pool KPI schedule; share exchange Q1–Q2 2027 through the holdco block (one collective Korean FX filing, one taxable event at pre-listing value). Note: the draft MOU’s “issue 75% before Dec 2026” was never executable against this tax-compliant sequence.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6. Route decision at the gate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When gates report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Route A default; Route C developed in parallel with a KOSDAQ readiness memo; Route B only on the repriced, verified, pool-cancelled basis through Addendum A (block entry, fairness opinion, disinterested approval).</w:t>
            </w:r>
          </w:p>
        </w:tc>
      </w:tr>
    </w:tbl>
    <w:p>
      <w:pPr>
        <w:spacing w:after="40"/>
      </w:pPr>
    </w:p>
    <w:p>
      <w:pPr>
        <w:pStyle w:val="Heading2"/>
      </w:pPr>
      <w:r>
        <w:t>7. Viability from the WBI seat</w:t>
      </w:r>
    </w:p>
    <w:p>
      <w:pPr>
        <w:pStyle w:val="Heading3"/>
      </w:pPr>
      <w:r>
        <w:t>Per-share outcomes (basis $89.75; 111,448 shares)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$/share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8"/>
              </w:rPr>
              <w:t>Today (basis)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$89.75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111,448 shares (incl. 5% placement 5,572) ≈ $10.0M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8"/>
              </w:rPr>
              <w:t>Route A @ $100M post ($80M pre + $20M raise)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$264–285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45.3% × 65–70% retained after bridge+IPO dilution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8"/>
              </w:rPr>
              <w:t>Route A @ $40–50M post (sponsor-conservative)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$106–142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Sponsor validation of the valuation is the load-bearing condition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8"/>
              </w:rPr>
              <w:t>Route A @ ~$18M pre (forced bridge)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~$73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UNDERWATER vs basis — the walk-away scenario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8"/>
              </w:rPr>
              <w:t>Route C (KOSDAQ) @ 15–25× combined NI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$98–167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₩2,291M combined FY2025A NI; no US opex/GAAP drag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8"/>
              </w:rPr>
              <w:t>Route B @ honest FVH ~$1M, pool cancelled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~$316*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*Not dilution-comparable: assumes the same $80M cap with NO financing dilution and FVH contingencies at zero — read as an upper bound only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8"/>
              </w:rPr>
              <w:t>Route B @ FVH $10M / @ claimed $75M cap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$253 / $103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dollar conceded to FVH above verified value is a direct transfer from GenApep shareholders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8"/>
              </w:rPr>
              <w:t>Management-partnership cost (5% KPI grant)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≈ -$13–14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Pro-rata dilution at the $100M Route-A scenario — the price of closing the US-management gap (§5b)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 xml:space="preserve">Ranked: 1st Route A + Management Partnership, 2nd Route C, 3rd Route B as pitched (reject; reconstruct per §5b) — </w:t>
      </w:r>
      <w:r>
        <w:t>Route A is the only route where WBI’s 45.3% compounds into ~30% of a listed company on the JV’s own story. Its viability hinges on two facts to force into the open now: a sponsor term sheet above ~$25–35M pre-money, and the funding bridge across mid-2028. Route C is the disciplined fallback with $98–167/share and far lower cost. Route B as pitched (at $75M-cap framing) takes WBI holders to ~14% and ~$103/share — a value transfer to a 94.63% single holder. THE MANAGEMENT DIMENSION CHANGES THE CALCULUS: Route A's biggest condition is not money but the absence of a US management team — the Management Partnership (§5b) closes that gap for ~2–3 points of pro-rata dilution at the 5% midpoint (~$13–14/share at the $100M scenario), materially raising Route A's probability of success.</w:t>
      </w:r>
    </w:p>
    <w:p>
      <w:pPr>
        <w:pStyle w:val="ListBullet"/>
        <w:spacing w:after="60"/>
      </w:pPr>
      <w:r>
        <w:rPr>
          <w:b/>
        </w:rPr>
        <w:t xml:space="preserve">Symmetric verification duty — </w:t>
      </w:r>
      <w:r>
        <w:t>Eyesel now holds statutory verification; WBI’s 49% rests on an implied OP figure, a 2026 plan needing ~2.2× in-year growth, and an MM Studio ramp with no cited contract evidence. Produce WBI’s evidence pack (NTS filing, H1-2026 actuals, MM Studio contracts/pipeline) before Eyesel demands it.</w:t>
      </w:r>
    </w:p>
    <w:p>
      <w:pPr>
        <w:pStyle w:val="ListBullet"/>
        <w:spacing w:after="60"/>
      </w:pPr>
      <w:r>
        <w:rPr>
          <w:b/>
        </w:rPr>
        <w:t xml:space="preserve">Shareholder-correction duty — </w:t>
      </w:r>
      <w:r>
        <w:t>The Chinese one-pager already circulated to WBI shareholders carries the ~$10M FVH verified-value scenario and the $16.7M GLP-1 forecast — both now overstated. Issue a dated corrective supplement to identified recipients (with a recipient log and a board minute), and check reliance around the recent 5,572-share placement at $89.75. Sponsors/investors who received the draft IPO MOU receive the same correction.</w:t>
      </w:r>
    </w:p>
    <w:p>
      <w:pPr>
        <w:pStyle w:val="Heading2"/>
      </w:pPr>
      <w:r>
        <w:t>8. Viability from the Eyesel seat</w:t>
      </w:r>
    </w:p>
    <w:p>
      <w:pPr>
        <w:pStyle w:val="ListBullet"/>
        <w:spacing w:after="60"/>
      </w:pPr>
      <w:r>
        <w:rPr>
          <w:b/>
        </w:rPr>
        <w:t xml:space="preserve">Ranked: 1st reject the FVH equity combination; 2nd proceed with Stage 1 only with the protection package; keep the BATNA visible — </w:t>
      </w:r>
      <w:r>
        <w:t>Eyesel does not need this deal to survive — profitable, cash-generative, ₩10.36B retained earnings, and a strong BATNA as GenApep’s contract manufacturer (the $4/vial bottoming fee) capturing margin with none of the merger costs. What Eyesel lacks is growth and a story (FY2025 OP -31%): WBI’s MM Studio ramp, the AI-peptide/DPW technology and a listing are the honest rationale. The FVH combination asks Eyesel’s profits to fund a crowdfunding-stage company that is pre-revenue per the DD (1-K confirmation pending) — US opex alone equals 23–38% of Eyesel’s FY2025 operating profit. The Management Partnership (§5b) answers Eyesel's sharpest objection from the other side: if the group DOES go to the US, a verified, KPI-accountable US operator is what prevents that opex from being burned by an inexperienced team — Eyesel's protections (reserved matters, spend cap, external funding of US costs) apply to him as to anyone.</w:t>
      </w:r>
    </w:p>
    <w:p>
      <w:pPr>
        <w:pStyle w:val="ListBullet"/>
        <w:spacing w:after="60"/>
      </w:pPr>
      <w:r>
        <w:rPr>
          <w:b/>
        </w:rPr>
        <w:t xml:space="preserve">The Eyesel protection package (conditions to Stage 1) — </w:t>
      </w:r>
      <w:r>
        <w:t>Board majority matching 51% + reserved matters (route decision, any pool/option grant, related-party deals, US spend cap); dividend continuity (~₩300M/yr historic level) until listing proceeds; Eyesel cash ring-fenced — no upstream loans/guarantees; US costs funded exclusively from the external $2M raise; PCAOB audit fee capped and board-approved; chain-of-title CP satisfied before WBI technology value is credited; written Korean tax/FX opinion (one collective holdco filing, no dry tax for Eyesel’s shareholders) before any exchange.</w:t>
      </w:r>
    </w:p>
    <w:p>
      <w:pPr>
        <w:pStyle w:val="ListBullet"/>
        <w:spacing w:after="60"/>
      </w:pPr>
      <w:r>
        <w:rPr>
          <w:b/>
        </w:rPr>
        <w:t xml:space="preserve">Walk-away conditions — </w:t>
      </w:r>
      <w:r>
        <w:t>No Route B step unless: FirstVitals proves reporting-company status on EDGAR, the 7.5M pool is cancelled or hard-capped, FVH enters at independently verified value with a fairness opinion, and every share flows pro rata to shareholder bodies (never 35% to any individual). DD the ₩435.0M FY2025 sales-commission counterparty before signing; disclose the DD report and cap table to the full Eyesel board (it has so far heard only the contradicted pitch, second-hand).</w:t>
      </w:r>
    </w:p>
    <w:p>
      <w:pPr>
        <w:pStyle w:val="Heading2"/>
      </w:pPr>
      <w:r>
        <w:t>9. Governance &amp; conflicts (to be minuted)</w:t>
      </w:r>
    </w:p>
    <w:p>
      <w:pPr>
        <w:pStyle w:val="ListNumber"/>
        <w:spacing w:after="60"/>
      </w:pPr>
      <w:r>
        <w:t>Sidney Tam’s conflict must be squarely governed: he organized the meeting recommending FirstVitals, is the sole source of every now-contradicted FVH claim ($75M cap, GLP-1 technology, Medicare contracts), is a named sweat-pool beneficiary and is understood to hold the FA mandate and the Third-Director designation [confirm against the signed JV instruments]. Route-B advocacy and FVH verification must move to independent advisers; his recusal (Clause 3.6/3.8 machinery) applies to the route decision.</w:t>
      </w:r>
    </w:p>
    <w:p>
      <w:pPr>
        <w:pStyle w:val="ListNumber"/>
        <w:spacing w:after="60"/>
      </w:pPr>
      <w:r>
        <w:t>Theresa Jang’s dual role: CEO-designate and, under the superseded draft MOU, personal recipient of 40% of FVH — the largest beneficiary of Route B as drafted — while acting as information conduit to the Eyesel principal. The block-entry rule (no individual allocations as ACQUISITION CONSIDERATION) and full disclosure resolve this; record it. Principle now adopted: individual equity is legitimate when it is disclosed, KPI-gated MANAGEMENT COMPENSATION (as in the §5b partnership) — never as undisclosed deal consideration.</w:t>
      </w:r>
    </w:p>
    <w:p>
      <w:pPr>
        <w:pStyle w:val="ListNumber"/>
        <w:spacing w:after="60"/>
      </w:pPr>
      <w:r>
        <w:t>“Brian” participates throughout the meeting record but appears on no attendee list, cap table or MOU — identify his role and mandate before board documents rely on his positions.</w:t>
      </w:r>
    </w:p>
    <w:p>
      <w:pPr>
        <w:pStyle w:val="ListNumber"/>
        <w:spacing w:after="60"/>
      </w:pPr>
      <w:r>
        <w:t>DD provenance and good faith: the DD report is addressed to WBI only (author Hayley Zen — confirm mandate). Correct the $11.7M figure, then share the corrected report and the cap-table findings with the Eyesel board; a JV partner sitting on contradicting diligence is itself a good-faith problem.</w:t>
      </w:r>
    </w:p>
    <w:p>
      <w:pPr>
        <w:pStyle w:val="ListNumber"/>
        <w:spacing w:after="60"/>
      </w:pPr>
      <w:r>
        <w:t>Do not sign, extend or reference the draft IPO-framework MOU: its Step-1 condition precedent can never be satisfied as written (no reporting status to “maintain”), its §5 GLP-1 “operating program” belongs to an abandoned service line, and its consolidated forecast carries $2.2M→$34M of unvalidated FVH revenue. It is formally superseded by this Plan v2.</w:t>
      </w:r>
    </w:p>
    <w:p>
      <w:pPr>
        <w:pStyle w:val="Heading2"/>
      </w:pPr>
      <w:r>
        <w:t>10. Verdict — possibility &amp; viability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5184"/>
          </w:tcPr>
          <w:p>
            <w:r>
              <w:rPr>
                <w:b/>
                <w:sz w:val="18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Stage 1 JV (WBI × Eyesel)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VIABLE — strengthened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Eyesel’s verified financials close the data gap inside the equalisation band; 51:49 is defensible on evidence from both seats; proceed with the two drafting locks and the Eyesel protection package.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Route A (own F-1)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VIABLE — conditional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The default and fastest US path. Load-bearing conditions: sponsor pre-money &gt; ~$25–35M, the $2M end-2026 bridge, US CEO and opex discipline. Test at the sponsor conversations; if the sponsor holds ~$18M, Route A destroys WBI value and Route C takes over.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Route B (FirstVitals)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NOT VIABLE AS PITCHED — VIABLE AS RECONSTRUCTED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As pitched ($75M framing, individual allocations, pool overhang) it fails on the verified record: no reporting status, pre-revenue per DD (1-K pending), no capital, no synergy, no time saving. Reconstructed as a Management Partnership (§5b) — Ernie as US CEO with 3–7% KPI equity, entity at ~$0–2M verified value — it becomes a live option that also strengthens Route A.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Route C (KOSDAQ)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VIABLE — develop now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Meets profit tracks on Eyesel’s trailing actuals; solves the Korean tax/FX problem for both shareholder bodies; the fallback that protects the group’s negotiating position everywhere else.</w:t>
            </w:r>
          </w:p>
        </w:tc>
      </w:tr>
    </w:tbl>
    <w:p>
      <w:pPr>
        <w:spacing w:after="40"/>
      </w:pPr>
    </w:p>
    <w:p>
      <w:pPr>
        <w:pStyle w:val="Heading2"/>
      </w:pPr>
      <w:r>
        <w:t>11. Action 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When</w:t>
            </w:r>
          </w:p>
        </w:tc>
        <w:tc>
          <w:tcPr>
            <w:tcW w:type="dxa" w:w="7344"/>
          </w:tcPr>
          <w:p>
            <w:r>
              <w:rPr>
                <w:b/>
                <w:sz w:val="18"/>
              </w:rPr>
              <w:t>Actions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Now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Sign Amendment No. 1 with the FX/reference-period locks + no-leakage covenant + principal confirmation; board minute superseding the draft IPO MOU; issue the one-pager corrective supplement.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This week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FirstVitals gate-zero document requests (EDGAR index, 1-A status &amp; amounts sold, 1-K/1-SA, note terms, entity chain); correct the DD report’s $11.7M; share corrected DD with the Eyesel board.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Before/at the Ernie Lee meetings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Written US securities-counsel memo (reporting status, shell/Rule 144(i), seasoning); no valuation terms until gate-zero reports — but DO table the Management-Partnership term sheet: role, KPI schedule, 3–7% band, entity at verified value, 7.5M-pool cancellation (§5b).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By Q4 2026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Auditor appointed (IFRS primary, costed US GAAP option, capped fee); WBI evidence pack (NTS filing, H1-2026 actuals, MM Studio contracts); Eyesel balance sheet + commission-counterparty DD.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By end-2026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$2M bridge closed into the holdco; KOSDAQ readiness memo (Route C) delivered to both boards.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Q1–Q2 2027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Share exchange through the holdco block; route decision when sponsor + gate-zero + KOSDAQ memos are all on the table.</w:t>
            </w:r>
          </w:p>
        </w:tc>
      </w:tr>
    </w:tbl>
    <w:p>
      <w:pPr>
        <w:spacing w:after="40"/>
      </w:pPr>
    </w:p>
    <w:p>
      <w:pPr>
        <w:spacing w:after="120"/>
        <w:jc w:val="center"/>
      </w:pPr>
      <w:r>
        <w:rPr>
          <w:b w:val="0"/>
          <w:i/>
          <w:color w:val="555555"/>
          <w:sz w:val="17"/>
        </w:rPr>
        <w:t>Analysis basis: 5-perspective multi-agent review with adversarial verification (16 September 2026). Items marked [counsel to confirm] or 'implied' require primary verification before board reliance.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3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3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3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