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6. Engagement pattern (N = 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 (95% CI)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engagement (≤ 3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21/30, 70.0% (52.1–83.3%)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Sustained (≥ 4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9/30, 30.0%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Single-session exits (1 cycle)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8/30, 26.7% (14.2–44.4%)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Re-engagement after disengagement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0/21, 0.0% (0.0–15.5%)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