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an initially promising health-technology intervention encounters difficulty. The empirical setting is gamified Fall Risk Assessment (FRA) with older adults. The central problem is continued voluntary engagement after an adverse experience, rather than initial acceptance alone. A three-stage field programme examines this problem and develops a proposed adaptive-learning framework. Gamification supplies the participatory setting and feedback opportunities; adaptation is a candidate design mechanism through which difficulty can inform the next interaction and the next design revision. These roles connect the thesis title to the adaptive system without assuming that adaptation itself establishes improvement.</w:t>
      </w:r>
    </w:p>
    <w:p w14:paraId="4BEDA2C7" w14:textId="77777777" w:rsidR="0062437E" w:rsidRDefault="00000000">
      <w:pPr>
        <w:jc w:val="both"/>
      </w:pPr>
      <w:r>
        <w:t>Stage 1 surveyed 200 residents from a population of 280 at a Guangzhou care facility and identified retrospective accounts of adverse first experiences followed by non-return. Stage 2 prospectively observed thirty residents using an AI-assisted skiing game in which weight-shift control also contributed to FRA measurement.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desktop game. End-of-window retention was 93.3% overall and 85.4% in the 65-80 band among the 120 participants whose returned files were compiled (returned dropouts counted as retained; the invitation denominator is unknown and the timing rule separating a return from an ordinary interval between sessions is not reconstructable from the aggregate record),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 adaptive support (difficulty adjustment with coaching) against static presentation, crossed with zero-failure against game-over failure modes — was built and distributed during the programme; its design, builds and returns received to the close of its clean-run window on 15 October 2026 are documented descriptively in Appendix I and are not used to test the adaptive-learning proposition, which is carried forward as discussion and future study.</w:t>
      </w:r>
      <w:commentRangeEnd w:id="1"/>
      <w:r>
        <w:rPr>
          <w:rStyle w:val="CommentReference"/>
        </w:rPr>
        <w:commentReference w:id="1"/>
      </w:r>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xiii</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Why the Empty Station Is an Industry Problem, Not a Local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4</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7</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8</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9</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10</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11</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13</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13</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14</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14</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14</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15</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15</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15</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16</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16</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17</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17</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18</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18</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18</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19</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19</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20</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20</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21</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21</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22</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22</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23</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23</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23</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23</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24</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25</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25</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26</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26</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27</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27</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28</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28</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28</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29</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34</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34</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34</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37</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39</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40</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42</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44</w:t>
      </w:r>
    </w:p>
    <w:p>
      <w:pPr>
        <w:pStyle w:val="TOC2"/>
        <w:keepNext w:val="0"/>
        <w:keepLines/>
        <w:tabs>
          <w:tab w:pos="8496" w:val="right" w:leader="dot"/>
        </w:tabs>
        <w:spacing w:before="0" w:after="80" w:line="276" w:lineRule="auto"/>
        <w:ind w:right="374"/>
      </w:pPr>
      <w:r>
        <w:rPr>
          <w:rFonts w:ascii="Times New Roman" w:hAnsi="Times New Roman"/>
          <w:sz w:val="22"/>
        </w:rPr>
        <w:t>4.1 Purpose</w:t>
        <w:tab/>
        <w:t>44</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44</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48</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49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50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51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51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52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52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54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54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55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55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59</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60</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63</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64</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65</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66</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66</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The Claude Code-Assisted Workflow</w:t>
        <w:tab/>
        <w:t>67</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69</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71</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71</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75</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77</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79</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80</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80</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82</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82</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82</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83</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83</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84</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88</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89</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89</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91</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92</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93</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93</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94</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95</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95</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95</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96</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98</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100</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100</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100</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101</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101</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103</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103</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104</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106</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107</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107</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(in development)</w:t>
        <w:tab/>
        <w:t>107</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108</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108</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109</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110</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110</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113</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116</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116</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116</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117</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117</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117</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117</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117</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118</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118</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119</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119</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120</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120</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121</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122</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122</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122</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123</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123</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123</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123</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126</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128</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128</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128</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129</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133</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134</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136</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137</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138</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138</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139</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140</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140</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142</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144</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144</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145</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145</w:t>
      </w:r>
    </w:p>
    <w:p>
      <w:pPr>
        <w:pStyle w:val="TOC1"/>
        <w:keepNext w:val="0"/>
        <w:keepLines/>
        <w:tabs>
          <w:tab w:pos="8496" w:val="right" w:leader="dot"/>
        </w:tabs>
        <w:spacing w:before="0" w:after="80" w:line="276" w:lineRule="auto"/>
        <w:ind w:right="374"/>
      </w:pPr>
      <w:r>
        <w:rPr>
          <w:rFonts w:ascii="Times New Roman" w:hAnsi="Times New Roman"/>
          <w:sz w:val="22"/>
        </w:rPr>
        <w:t>References</w:t>
        <w:tab/>
        <w:t>148</w:t>
      </w:r>
    </w:p>
    <w:p>
      <w:pPr>
        <w:pStyle w:val="TOC1"/>
        <w:keepNext w:val="0"/>
        <w:keepLines/>
        <w:tabs>
          <w:tab w:pos="8496" w:val="right" w:leader="dot"/>
        </w:tabs>
        <w:spacing w:before="0" w:after="80" w:line="276" w:lineRule="auto"/>
        <w:ind w:right="374"/>
      </w:pPr>
      <w:r>
        <w:rPr>
          <w:rFonts w:ascii="Times New Roman" w:hAnsi="Times New Roman"/>
          <w:sz w:val="22"/>
        </w:rPr>
        <w:t>Appendices</w:t>
        <w:tab/>
        <w:t>155</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156</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156</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157</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158</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158</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160</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160</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160</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161</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161</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162</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162</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163</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165</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166</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15 October 2026 Cut-off</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11</w:t>
      </w:r>
      <w:r>
        <w:rPr/>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w:t>
        <w:tab/>
        <w:t>38</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46</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47</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56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61</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w:t>
        <w:tab/>
        <w:t>62</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w:t>
        <w:tab/>
        <w:t>63</w:t>
      </w:r>
    </w:p>
    <w:p>
      <w:pPr>
        <w:pStyle w:val="TOC1"/>
        <w:keepNext w:val="0"/>
        <w:keepLines/>
        <w:tabs>
          <w:tab w:pos="8496" w:val="right" w:leader="dot"/>
        </w:tabs>
        <w:spacing w:before="0" w:after="80" w:line="276" w:lineRule="auto"/>
        <w:ind w:right="374"/>
      </w:pPr>
      <w:r>
        <w:rPr>
          <w:rFonts w:ascii="Times New Roman" w:hAnsi="Times New Roman"/>
          <w:sz w:val="22"/>
        </w:rPr>
        <w:t>Figure 5.2. Five-layer architecture of the gamified FRA system</w:t>
        <w:tab/>
        <w:t>64</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70</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for the Stage-2 cohort (N = 30), by engagement group</w:t>
        <w:tab/>
        <w:t>74</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w:t>
        <w:tab/>
        <w:t>75</w:t>
      </w:r>
    </w:p>
    <w:p>
      <w:pPr>
        <w:pStyle w:val="TOC1"/>
        <w:keepNext w:val="0"/>
        <w:keepLines/>
        <w:tabs>
          <w:tab w:pos="8496" w:val="right" w:leader="dot"/>
        </w:tabs>
        <w:spacing w:before="0" w:after="80" w:line="276" w:lineRule="auto"/>
        <w:ind w:right="374"/>
      </w:pPr>
      <w:r>
        <w:rPr>
          <w:rFonts w:ascii="Times New Roman" w:hAnsi="Times New Roman"/>
          <w:sz w:val="22"/>
        </w:rPr>
        <w:t>Figure 5.6. Distribution of provisional FIAS composite scores across all 30 participants</w:t>
        <w:tab/>
        <w:t>78</w:t>
      </w:r>
    </w:p>
    <w:p>
      <w:pPr>
        <w:pStyle w:val="TOC1"/>
        <w:keepNext w:val="0"/>
        <w:keepLines/>
        <w:tabs>
          <w:tab w:pos="8496" w:val="right" w:leader="dot"/>
        </w:tabs>
        <w:spacing w:before="0" w:after="80" w:line="276" w:lineRule="auto"/>
        <w:ind w:right="374"/>
      </w:pPr>
      <w:r>
        <w:rPr>
          <w:rFonts w:ascii="Times New Roman" w:hAnsi="Times New Roman"/>
          <w:sz w:val="22"/>
        </w:rPr>
        <w:t>Figure 5.7. Observed non-return and candidate explanatory pathways</w:t>
        <w:tab/>
        <w:t>80</w:t>
      </w:r>
    </w:p>
    <w:p>
      <w:pPr>
        <w:pStyle w:val="TOC1"/>
        <w:keepNext w:val="0"/>
        <w:keepLines/>
        <w:tabs>
          <w:tab w:pos="8496" w:val="right" w:leader="dot"/>
        </w:tabs>
        <w:spacing w:before="0" w:after="80" w:line="276" w:lineRule="auto"/>
        <w:ind w:right="374"/>
      </w:pPr>
      <w:r>
        <w:rPr>
          <w:rFonts w:ascii="Times New Roman" w:hAnsi="Times New Roman"/>
          <w:sz w:val="22"/>
        </w:rPr>
        <w:t>Figure 6.1. Stage-3 retention and observed non-return at the end of the study window by age band (N = 120).</w:t>
        <w:tab/>
        <w:t>87</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88</w:t>
      </w:r>
    </w:p>
    <w:p>
      <w:pPr>
        <w:pStyle w:val="TOC1"/>
        <w:keepNext w:val="0"/>
        <w:keepLines/>
        <w:tabs>
          <w:tab w:pos="8496" w:val="right" w:leader="dot"/>
        </w:tabs>
        <w:spacing w:before="0" w:after="80" w:line="276" w:lineRule="auto"/>
        <w:ind w:right="374"/>
      </w:pPr>
      <w:r>
        <w:rPr>
          <w:rFonts w:ascii="Times New Roman" w:hAnsi="Times New Roman"/>
          <w:sz w:val="22"/>
        </w:rPr>
        <w:t>Figure 6.3. Retention and regular-use intention by age band</w:t>
        <w:tab/>
        <w:t>91</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104</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112</w:t>
      </w:r>
    </w:p>
    <w:p>
      <w:pPr>
        <w:pStyle w:val="TOC1"/>
        <w:keepNext w:val="0"/>
        <w:keepLines/>
        <w:tabs>
          <w:tab w:pos="8496" w:val="right" w:leader="dot"/>
        </w:tabs>
        <w:spacing w:before="0" w:after="80" w:line="276" w:lineRule="auto"/>
        <w:ind w:right="374"/>
      </w:pPr>
      <w:r>
        <w:rPr>
          <w:rFonts w:ascii="Times New Roman" w:hAnsi="Times New Roman"/>
          <w:sz w:val="22"/>
        </w:rPr>
        <w:t>Figure 9.2. Proposed person-conditioned adaptive loop</w:t>
        <w:tab/>
        <w:t>144</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20</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31</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33</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37</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calendar order, July 2024 – October 2026, with the chapter that reports each</w:t>
        <w:tab/>
        <w:t>39</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49</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elderly FRA users.</w:t>
        <w:tab/>
        <w:t>50</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51</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FRA COP signal is integrated into gameplay (extract; full specification in Game_States_and_Parameters.xlsx).</w:t>
        <w:tab/>
        <w:t>57</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65</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72</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mapped onto the game's technical characteristics</w:t>
        <w:tab/>
        <w:t>76</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84</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85</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86</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94</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96</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102</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103</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106</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113</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calendar order, 2023 - October 2026</w:t>
        <w:tab/>
        <w:t>132</w:t>
      </w:r>
    </w:p>
    <w:p>
      <w:pPr>
        <w:pStyle w:val="TOC1"/>
        <w:keepNext w:val="0"/>
        <w:keepLines/>
        <w:tabs>
          <w:tab w:pos="8496" w:val="right" w:leader="dot"/>
        </w:tabs>
        <w:spacing w:before="0" w:after="80" w:line="276" w:lineRule="auto"/>
        <w:ind w:right="374"/>
      </w:pPr>
      <w:r>
        <w:rPr>
          <w:rFonts w:ascii="Times New Roman" w:hAnsi="Times New Roman"/>
          <w:sz w:val="22"/>
        </w:rPr>
        <w:t>Table 9.3. The sequence from empirical observations to candidate explanations and a proposed engineering response</w:t>
        <w:tab/>
        <w:t>136</w:t>
      </w:r>
    </w:p>
    <w:p>
      <w:pPr>
        <w:pStyle w:val="TOC1"/>
        <w:keepNext w:val="0"/>
        <w:keepLines/>
        <w:tabs>
          <w:tab w:pos="8496" w:val="right" w:leader="dot"/>
        </w:tabs>
        <w:spacing w:before="0" w:after="80" w:line="276" w:lineRule="auto"/>
        <w:ind w:right="374"/>
      </w:pPr>
      <w:r>
        <w:rPr>
          <w:rFonts w:ascii="Times New Roman" w:hAnsi="Times New Roman"/>
          <w:sz w:val="22"/>
        </w:rPr>
        <w:t>Table 9.2. Deployed Stage-2 adaptation configuration versus a proposed person-conditioned extension</w:t>
        <w:tab/>
        <w:t>142</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 xml:space="preserve">The station's own history sharpens the puzzle. The FRA had been installed roughly twelve years before this research began </w:t>
      </w:r>
      <w:r>
        <w:rPr/>
      </w:r>
      <w:r/>
      <w:r>
        <w:rPr/>
      </w:r>
      <w:r/>
      <w:r>
        <w:rPr/>
      </w:r>
      <w:r/>
      <w:r>
        <w:rPr/>
      </w:r>
      <w:r/>
      <w:r>
        <w:rPr/>
      </w:r>
      <w:r>
        <w:t>, and its decade of near-silence sat oddly beside the platform's standing in its Korean home market, where the system was introduced with an active clinical research base - a community validation study of 289 older adults at a Seoul senior welfare centre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archived headline records from this survey provide the programme's descriptive problem signature; they are reported and analysed in Chapter 4.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level progression and adaptive difficulty in the skiing game under the coupled clinical condition;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and distributed by e-mail, and participants played on their own computers, using a trackpad or arrow keys, or a foot-pad sensor where one was available. The skiing mechanic, session structure and five-attempt rule were retained in the ported build; the pressure-panel apparatus, the clinical setting and in-person supervision were not, and in-run difficulty adaptation operated through the build's built-in rule agent rather than the Stage-2 large-language-model layer (Appendix E).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voluntary return by age band, endorsement of the coordination-challenge frame,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15 October 2026, the close of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F4 interview protocol (designed,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e-mailed HTML build of the game on their own computers. The action-research cycle therefore involved continuity of problem setting and design learning, not a single repeated cohort across all three stages. The principal theoretical revisions were the renaming and re-specification of the initial FIDS conjecture in the light of the Stage-2 field evidence (Chapter 4),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retention with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V39 revised conceptual figure associated with source paragraph 320; empirical and proposed components distinguished."/>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on their own computers.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15 October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to the 15 October 2026 cut-off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share a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baseline survey reported in Chapter 4 supplies the corresponding population-level signature. The Stage-1 survey, reported in Chapter 4,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with their subgroup denominators, are reported in Chapter 4 (Table 4.1).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demonstrated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Stage-2 difficulty system's 80 per cent and 40 per cent success thresholds (§5.3.5)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 trackpad, arrow keys or, where available, a foot-pad sensor,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Session telemetry, recorded performance,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unsupervised on participants' own computers, with a trackpad or arrow keys, or a foot-pad sensor where one was available.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elderly chronic disease (4 August 2026, telephone, approximately 30 minutes, Cantonese and English). Each expert gave written consent on a nine-statement form with an explicit identification election: three authorised named attribution and one elected pseudonymity; where an interview preceded its signed form, the record states both dates plainly. The researcher's notes are the primary records; each consultation summary is returned to its participant for validation (member checking).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is 15 October 2026, the close of the frozen edition's clean-run window.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retention–intention discrepancy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15 October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V39 revised conceptual figure associated with source paragraph 435; empirical and proposed components distinguished."/>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 validation</w:t>
            </w:r>
          </w:p>
        </w:tc>
        <w:tc>
          <w:tcPr>
            <w:tcW w:type="dxa" w:w="2584"/>
          </w:tcPr>
          <w:p>
            <w:r>
              <w:t>2023–2024</w:t>
            </w:r>
          </w:p>
        </w:tc>
        <w:tc>
          <w:tcPr>
            <w:tcW w:type="dxa" w:w="1994"/>
          </w:tcPr>
          <w:p>
            <w:r>
              <w:t>Chapter 5, Appendix G.8</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15 October 2026 cut-off; no results form part of the thesis evidence and the study is not used as the adaptive-learning test</w:t>
            </w:r>
          </w:p>
        </w:tc>
        <w:tc>
          <w:tcPr>
            <w:tcW w:type="dxa" w:w="2584"/>
          </w:tcPr>
          <w:p>
            <w:r>
              <w:rPr/>
              <w:t>August–October 2026 (9-August build distributed 10–12 August; 13-August revision not distributed to the August cohort, a copy re-sent 15 September; frozen study edition 15 September; clean-run window closing at the thesis cut-off of 15 October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FigureCaption"/>
        <w:keepNext/>
        <w:keepLines/>
        <w:jc w:val="center"/>
      </w:pPr>
      <w:r>
        <w:t>Table 3.1A. Programme timeline: programme activities in calendar order, July 2024 – October 2026, with the chapter that reports each; the Stage-3B row is stated at the thesis cut-off of 15 October 2026. The research programme closes in October 2026.</w:t>
      </w:r>
    </w:p>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15 October 2026 cut-off (§8.8; Appendix I); the examiner's report of 15 September 2026 asks that this be verified against the approved protocol or an amendment, so whether the Stage-3B collection falls within the approved scope is recorded as an open item of the ethics record (Appendix I.7). The application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yet part of the record.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covering the Stage 1–3 procedures as conducted and described in this section; whether it also covers the Stage-3B collection is the open item stated above.</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administered form and anchors await archival confirmation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game's results file and the questionnaire responses constituted consent to their use in the research. No written consent instrument was administered in Stage 3, and this is acknowledged as a limitation of the remote design. Identities were separated from the analysed records at compilation: the analysis sheets retain only a participant code, age band, gender and education, and the distribution and return e-mails are retained in the author's records, with a de-identified index forming Appendix G, item G.5.</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15 October 2026 cut-off in §8.8 and Appendix I.</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retention–intention discrepancy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retention–intention discrepancy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15 October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for presentation and publication at the 10th International Conference on Management Engineering, Software Engineering and Service Sciences (ICMSS 2026), Wuhan, China, 20-22 March 2026; Conference Publishing Services (CPS), submitted to IEEE Xplore (Ei Compendex/Scopus indexing).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same platform is shown under game control in Figure 5.1A.</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the programme's central finding is that utilisation collapses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and as future work (s8.7, s8.8).</w:t>
      </w:r>
    </w:p>
    <w:p>
      <w:pPr>
        <w:jc w:val="both"/>
      </w:pPr>
      <w:r>
        <w:t>Three features of the station's operating practice at the facility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its rigour visibly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Earlier drafts described the interviewed sample as aged 65–88, but no per-respondent Stage-1 response file has yet been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until the response file is archived.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are computed on all 200 respondents.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is listed as Appendix G, item G.1).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elderly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elderly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inversion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The vendor-derived engagement figure mentioned in earlier drafts is not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and as an input to the FRA measurement pathway described in §4.1A. This links gameplay and assessment at the physical interaction while allowing their outputs to be presented differently. Stage 3 retained a skiing-game concept but used a remote desktop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V39 revised conceptual figure associated with source paragraph 502; empirical and proposed components distinguished."/>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linked the pressure-panel game with FRA measurement; Stage 3 used a decoupled desktop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 xml:space="preserve">The integration is mediated by a small set of design parameters that have been frozen in a project-internal data file (Game_States_and_Parameters.xlsx; archived alongside this 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COP shifts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COP shift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proxy for the COP-derived stability index used by FRA Step 1.</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COP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elderly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integration are described in detail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COP-derived game telemetry, the silent FRA pipeline,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with sub-centimetre spatial resolution and sub-second temporal resolution. The panel was 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No equivalence or validation study was conducted to establish that either role left the other unimpaired. The dual role is recorded as a design property — both functions read the same vendor-calibrated COP stream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represents Centre-of-Pressure control;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specified as a LangChain runtime calling a large-language-model endpoint to adjust obstacle density and skier speed at five-minute intervals using a prompt template anchored to the user's recent success rate (raise difficulty above 80%, lower below 40%); its operational status in the deployed Stage-2 build is to be recorded in the build-lineage matrix (Appendix G, item G.0A; §5.3.5), and no operational claim is made for it until that row is entered.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as specified. The '80% / 40%' values in the L2 box are the controller's rule thresholds (step up above an 80% success rate, ease off below 40%), not a measured flow state. The solid arrows show the layer stack order only; the dashed line marks the COP-derived data path from L0 to the clinician-side L4 output, and the data movement between layers is described in §5.3.4. The dual-purpose mechanic links Layer 0 (sensor input) and Layer 4 (clinical output) through the gameplay layers without exposing clinical numbers to the user during play.</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is specified to adjust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 The Stage-3B component-study builds carried the same 80%/40% thresholds in a local rule agent for their adaptive arm (Appendix I); no comparison is computed from the returns in that record and no confirmatory analysis is reported, so the thresholds' effects on performance, burden and return remain unexamined. Which of the six stages operated live in the deployed Stage-2 build, which were exercised only against synthetic profiles (§5.3.7, §5.3.9), and which remain proposed (§5.3.10) is recorded per build generation in the build-lineage matrix (Appendix G, item G.0A) as it is completed, together with the G.7 endpoint record; where a function's operational status is not yet documented there, no operational claim is made for it.</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(COP shift)</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 xml:space="preserve">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a trackpad or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jc w:val="both"/>
      </w:pPr>
      <w:r>
        <w:t xml:space="preserve">A chronology note is required for the auditability of this account. Development of the skiing games began in 2023, taking the manufacturer's installed games as the starting point (§5.3.8), whereas Claude Code became available as a research preview only in February 2025. The AI-assisted workflow described in this section therefore applies to the build generations engineered from 2025 onward; the earliest prototypes predate it. </w:t>
      </w:r>
      <w:r>
        <w:rPr/>
        <w:t>Per-generation development dates and tooling are recorded in the build-lineage matrix (Appendix G, item G.0A) as it is completed; where a generation's tooling is not yet documented there, no tooling claim is made for it.</w:t>
      </w:r>
    </w:p>
    <w:p>
      <w:pPr>
        <w:pStyle w:val="Normal"/>
        <w:jc w:val="both"/>
      </w:pPr>
      <w:r>
        <w:rPr>
          <w:szCs w:val="22"/>
          <w:lang w:val="en-US" w:eastAsia="en-US" w:bidi="ar-SA"/>
          <w:rFonts w:ascii="Times New Roman" w:hAnsi="Times New Roman" w:eastAsia="Times New Roman" w:cs="Times New Roman"/>
          <w:sz w:val="24"/>
        </w:rPr>
        <w:t>Before any custom code was written, the platform-to-game input coupling was validated on an off-the-shelf scaffold. In the earliest development phase the balance platform was connected to the open-source Tux Racer skiing game — a 3D title in which a penguin slides belly-down over a snow slope collecting fish — so that weight-shift steering could be demonstrated end-to-end before the study game existed.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proving the input coupling before engineering effort was committed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15 October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(aged 36 and 53) are retained in the archive but not analysed in this thesis,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(§5.5)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dual-purpose mechanic routes the pressure-panel signal into the FRA measurement pathway (§5.2A), every play produced assessment output, and the system displayed the balance-test indexes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without the game link, and then played the FRA through the game, so the archive holds one assessment-mode index and one game-mode index per participant, both generated automatically by the same measurement engine from the same centre-of-pressure pathway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administered form and anchors await archival confirmation (Appendix C), cross-tabulated against observed engagement; it is a descriptive association under an as-yet-unverified instrument,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because its categorical cross-tabulation is not specified in the present summary.</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clinician-side output of the game-linked pipeline;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game-derived final value, which rests on the shared measurement pathway described in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These margins do not identify how many participants simultaneously recorded a score increase and were reported as showing no symptom improvement.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15 October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examination-driven verification;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exact administered wording of the instrument awaits verification against the paper forms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an outstanding author record and is not reproduced in this thesis: Appendix B states the scheme's structure only and defers the item-level codebook, weights and thresholds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5.6. Distribution of provisional FIAS composite scores across all 30 participants. The composite includes engagement-outcome attributes, so the separation of the F4 cluster is expected by construction; the figure is descriptive case identification, not evidence (§5.6).</w:t>
      </w:r>
      <w:bookmarkEnd w:id="89"/>
    </w:p>
    <w:p>
      <w:pPr>
        <w:pStyle w:val="Normal"/>
        <w:jc w:val="both"/>
      </w:pPr>
      <w:r>
        <w:rPr>
          <w:szCs w:val="22"/>
          <w:lang w:val="en-US" w:eastAsia="en-US" w:bidi="ar-SA"/>
          <w:rFonts w:ascii="Times New Roman" w:hAnsi="Times New Roman" w:eastAsia="Times New Roman" w:cs="Times New Roman"/>
          <w:sz w:val="24"/>
        </w:rPr>
        <w:t>The empty interval between scores 5 and 9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pPr>
        <w:pStyle w:val="Normal"/>
        <w:keepNext/>
        <w:spacing w:before="160" w:after="40"/>
        <w:jc w:val="center"/>
      </w:pPr>
      <w:r>
        <w:drawing>
          <wp:inline>
            <wp:extent cx="5358384" cy="3302502"/>
            <wp:docPr id="36" name="Picture 36" descr="V39 revised conceptual figure associated with source paragraph 585; empirical and proposed components distinguished."/>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5.7.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15 October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coordination-endorsement item is a check on recognition of the intended participant-facing frame;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120 results files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the same archived build (which has no touch controls); the number of such sessions and the participants concerned were not recorded, so assistance cannot be linked to individual records. Of the 120 participants, 48 were male and 72 female, and all reported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distribution and return e-mail record (Appendix G, item G.5) is the designated vehicle for that invitation-and-return accounting; its de-identified index of dates, channels and returned files remains to be compiled from the retained e-mails.</w:t>
      </w:r>
    </w:p>
    <w:p>
      <w:pPr>
        <w:pStyle w:val="Normal"/>
        <w:jc w:val="both"/>
      </w:pPr>
      <w:r>
        <w:rPr>
          <w:szCs w:val="22"/>
          <w:lang w:val="en-US" w:eastAsia="en-US" w:bidi="ar-SA"/>
          <w:rFonts w:ascii="Times New Roman" w:hAnsi="Times New Roman" w:eastAsia="Times New Roman" w:cs="Times New Roman"/>
          <w:sz w:val="24"/>
        </w:rPr>
        <w:t>Stage-3 data collection is complete. The participant-level records are the participants' returned materials: each participant e-mailed back the results file logged by the HTML build (a CSV including the session score and game-logged data) together with their questionnaire responses. Three outcome definitions are used throughout this chapter. The classifications follow a failure-then-stop rule stated by the author (30 September 2026): initial dropout denotes a participant who stopped playing after a failure or a game over; the aggregate register labels this outcome 'dropped out before completing 5 attempts'. Some participants received an earlier version of the build in which a run could end in a game over, while most played the archived build with its zero-failure mode; which participants received which version was not recorded.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after that failure.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The participant-level compilation into the logbook (Appendix G, item G.3), whose telemetry schema includes a session-date field, is the vehicle for stating that rule and per-participant observation timelines from the returned files, where those files record session dates; until it is complete, the dropout and return counts are reported as compiled, subject to this definitional limit. Observed non-return denotes an initial dropout who never played again inside the study window, and end-of-window retention is its complement over the cohort: a participant who dropped out initially and later returned counts as retained. The single term end-of-window retention is used throughout this chapter for that construct. The chapter reports the aggregate record compiled from the returned files. The data logbook (Appendix G, item G.3) compiles the participant-level records from the returned files received to date; its reconciliation sheet recomputes every indicator from the participant-level entries, so the compilation can be verified against the record.</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at end of Stage-3 window</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Overall retention</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end-of-window retention was 85.4% in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retention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Retention</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Coordination-challenge endorsement reached 71.7% (86 of 120), indicating that most participants perceived the intended frame. Regular-use intention reached 63.3% overall and 56.1% in the 65-80 band. No comparison is made with the Stage-2 motivational-orientation classification, which has been withdrawn (§5.5). The Stage-3 item is best interpreted as a manipulation check, whereas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(framing manipulation check)</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coordination endorsement tests whether the participant recognised the presented activity as a coordination challenge. It is a frame-recognition measure and is not read as a measure of motivational orientation.</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145587"/>
            <wp:docPr id="26" name="Picture 26"/>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14558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retention and observed non-return at the end of the study window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was regenerated directly from the counts reported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end-of-window retention was 85.4% and stated regular-use intention was 56.1%, a difference of 29.3 percentage points. These are marginal proportions for different constructs: observed retention and hypothetical future intention. Because retention as defined includes recovered dropouts (§6.4), the 29.3-point contrast is between end-of-window engagement and stated intention, not between uninterrupted play and intention. They do not reveal which retained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retention–intention discrepancy.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15 October 2026 cut-off is documented in §8.8 without any adaptive-learning result.</w:t>
      </w:r>
    </w:p>
    <w:p>
      <w:pPr>
        <w:pStyle w:val="Normal"/>
        <w:keepNext/>
        <w:spacing w:before="160" w:after="40"/>
        <w:jc w:val="center"/>
      </w:pPr>
      <w:r>
        <w:drawing>
          <wp:inline>
            <wp:extent cx="5303520" cy="3074293"/>
            <wp:docPr id="27" name="Picture 27"/>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07429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End-of-window retention and regular-use intention by age band. In the 65–80 band the marginal proportions differ by 29.3 percentage points; the figure does not show an individual-level transition from retention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elderly behaviour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retention-intention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end-of-window retention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end-of-window-retention–intention difference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retention–intention discrepancy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elderly chronic-disease patients,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elderly people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he played the decoupled build itself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independently corroborated the verdict-fear reading from their own practice: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highlight w:val="yellow"/>
        </w:rPr>
        <w:t>[AUTHOR INPUT NEEDED: member-check endorsement of the second-consultation summary is in progress (review form issued); the doctoral researcher's attribution election is pending (treated pseudonymously until received); Dr Lau's product-development convergence is withheld pending his sensitivity election; his own played-the-game feedback remains to be recorded; exact session date to confirm.]</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retention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includes a partial difficulty-adjustment implementation.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retention–intention difference.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carried a partial calibration implementation, yet non-return occurred while the frame and target links were untreated; and the Stage-3 package addressed the target link — not alone, but within a multi-component redesign that simultaneously changed platform, setting, supervision and cohort (§6.3) — and was associated with restored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zero-failure presentation appears above as the element P1 and P3 share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retention–intention difference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in Stage 2;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15 October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remains subject to the documentary records identified elsewhere in the thesis.</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V39 revised conceptual figure associated with source paragraph 684; empirical and proposed components distinguished."/>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yet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a researcher self-test, near ceiling and on course forms whose equivalence was not established (§8.8; Appendix 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(in development)</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yet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V39 revised conceptual figure associated with source paragraph 718; empirical and proposed components distinguished."/>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elders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voluntary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retention mechanism for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8.1 maps this design space.</w:t>
      </w:r>
    </w:p>
    <w:p>
      <w:pPr>
        <w:keepNext/>
        <w:jc w:val="center"/>
      </w:pPr>
      <w:r>
        <w:drawing>
          <wp:inline>
            <wp:extent cx="5120640" cy="3995517"/>
            <wp:docPr id="39" name="Picture 39"/>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8.1.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without a recorded symptom-improvement entry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coordination-frame endorsement as a manipulation check; 63.3% regular-use intention overall; and a descriptive 29.3-percentage-point difference between session retention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on participants' own computers rather than on the 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the pressure panel, whereas in Stage 3 most steered with a trackpad or arrow keys (§6.3).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15 October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15 October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voluntary participation with no consequence for refusal; and difficulty curves calibrated so that even the worst-balance participant could complete an opening session.</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achieved sustained end-of-window participation in its cohort,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15 October 2026, the close of the clean-run window, and compiled in Appendix I.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with any further returns received by 15 October 2026 entered in Appendix I (Table I.4) on the same descriptive terms.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(recorded in the thesis repository),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the record is stated at the close of the clean-run window rather than at 26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de-identified Stage-2 participant dataset (Appendix G, item G.2); the Stage-3 data logbook with its codebook, participant-level sheets, aggregate results and reconciliation harness (item G.3); the photographic and screenshot record (items G.4 and G.6); the AI prompt-template archive with the deployed endpoint and run-time settings (item G.7); the labelled synthetic pipeline-test workbook (item G.8); the further supplementary items listed in Appendix G; and the instrument documentation of Appendices A, C and D, whose completeness the third boundary below states exactly. Pending, and tracked in the Appendix G source-to-result manifest (item G.0) and build-lineage matrix (item G.0A) until the corresponding archive records land, are the cleaned Stage-1 survey response file (item G.1); the de-identified Stage-3 distribution and return e-mail index (item G.5), which remains to be compiled from the retained e-mails; the completed manifest and lineage rows themselves — including code versions, hardware, input devices and the cleaning and derivation scripts behind each output table — together with the Stage-2 session-level telemetry and AI-call logs, which will either be archived with items G.2 and G.7 or have their non-retention stated in one disclosed sentence; the archival scans of the completed Stage-2 interview forms and after-game questionnaire sheets (Appendix C); and the written consent for the item G.10 demonstration videos. The Stage-3B record to its 15 October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dataset was collected in full, and the aggregate results reported in Chapter 6 were compiled from the participant-level records. The archived logbook holds the aggregates together with a reconciliation harness that checks every participant-level entry against them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(item G.7). Stage-2 play took place at the centre and was recorded by hand;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remain to be filed;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two of eight reported symptom improvement; none returned. These are separate descriptive margins and do not imply that the same participants met both improvement criteria.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e-mailed HTML port of the game on their own computers.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Coordination endorsement is interpreted as a manipulation check, not as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to the 15 October 2026 cut-off comprises one verified return, five researcher-solicited returns excluded on verification, the clean-run returns listed in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 validation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retention–intention difference</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August–October 2026 (stated at the 15 October 2026 cut-off)</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with any later returns to 15 October 2026 in Appendix I;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Planned programme close and thesis completion</w:t>
            </w:r>
          </w:p>
        </w:tc>
        <w:tc>
          <w:tcPr>
            <w:tcW w:type="dxa" w:w="2460"/>
          </w:tcPr>
          <w:p>
            <w:r>
              <w:t>-</w:t>
            </w:r>
          </w:p>
        </w:tc>
        <w:tc>
          <w:tcPr>
            <w:tcW w:type="dxa" w:w="3422"/>
          </w:tcPr>
          <w:p>
            <w:r>
              <w:t>Planned 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pStyle w:val="FigureCaption"/>
        <w:keepNext/>
        <w:keepLines/>
        <w:jc w:val="center"/>
      </w:pPr>
      <w:r>
        <w:t>Table 9.1. The programme diary: knowledge evolution in calendar order, 2023 - October 2026. The Stage 3B row records that study to its 15 October 2026 cut-off (§8.8; Appendix I).</w:t>
      </w:r>
    </w:p>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9.3).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end-of-window retention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to the 15 October 2026 cut-off (§8.8; Appendix I); separate framing comparison proposed</w:t>
            </w:r>
          </w:p>
        </w:tc>
        <w:tc>
          <w:tcPr>
            <w:tcW w:w="1796" w:type="dxa"/>
          </w:tcPr>
          <w:p>
            <w:r>
              <w:t>Proposed; complete framework and progress specification not yet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FigureCaption"/>
        <w:keepNext/>
        <w:keepLines/>
      </w:pPr>
      <w:r>
        <w:t>Table 9.3. The sequence from empirical observations to candidate explanations and a proposed engineering response. Each entry identifies its evidence and evidential status; the sequence does not establish a causal chain.</w:t>
      </w:r>
    </w:p>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end-of-window retention (returned dropouts counted as retained)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 endorsement remains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to the 15 October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documented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to the 15 October 2026 cut-off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[Vendor press release: connected-device data collection with transmission to remote caregivers when values fall outside the normal range; used to identify functions, not to establish effectiveness].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the validation analysis is therefore reported separately from the scoring rules.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now documented from the author's entry-and-results record (received and archived 10 September 2026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forms (including that exemplar) and of the after-game questionnaire sheets remain to be filed.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These conversations informed the learn-to-earn design orientation of §5.2.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 build's logged results file. The Stage-3B component study used a four-item in-build questionnaire whose D2 item ('I would be willing to play this game regularly.') differs in wording from the Stage-3 D2; its one pre-specified contrast, defined on that item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ported HTML build of the L1 game layer on participants' own computers: L0 was replaced by trackpad or arrow-key input (or a foot-pad sensor where available),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InBody pressure-panel sensor stream; calibrated by InBody engineers; centre-of-pressure (COP) sampled at vendor-default rate.</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(as specified): LangChain orchestration over large-language-model API calls (deployed endpoint recorded in Appendix G, item G.7);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Per-session JSON event log including COP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in place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available at the staff console at all times.</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end-of-window retention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 xml:space="preserve">G.0 Source-to-result manifest. </w:t>
      </w:r>
      <w:r>
        <w:rPr>
          <w:highlight w:val="yellow"/>
        </w:rPr>
        <w:t>[AUTHOR INPUT NEEDED - to be completed when the records arrive: one row per claimed artifact - source file, collection date, anonymised participant IDs covered, cleaning/derivation script, output table it feeds, access location, verification status. Every deposited item must actually be accessible to examiners; results that cannot be reconstructed from a manifest row are withdrawn or qualified. Synthetic pipeline-test records remain labelled and wholly separate (G.8). Stage-3B artifacts (items G.12–G.13; Appendix I) enter the manifest as descriptive-record rows: they feed no result table outside Appendix I, whose tables are descriptive record only.]</w:t>
      </w:r>
    </w:p>
    <w:p>
      <w:pPr>
        <w:jc w:val="both"/>
      </w:pPr>
      <w:r>
        <w:t>G.0A Build-lineage matrix. [AUTHOR INPUT NEEDED: one version-controlled row per build generation - 2024 control demonstration, deployed Stage-2 build, Stage-3 HTML port, v2.x successor builds - recording dates, code version/hash, hardware, input devices, adaptation mechanism (static / rule agent / LLM, with the G.7 endpoint record), logging capability versus retained logs, and which participants used which build. Resolves the s5.3.9 chronology note and the Table 7.2 hardware description.] The v3.x Stage-3B row is entered here from the version-controlled repository record. Dates and identifiers: mini-protocol drafted and amended 8 August 2026; the single-file bilingual build v3.0 first committed 9 August 2026 (06:09); the five deployed device copies (Alpine3B_DEV1–DEV5.html) committed 9 August 2026 (07:09), adding the randomised 2×2 assignment (adaptive/static × zero-failure/game-over); the pre-specified analysis hierarchy committed 9 August 2026 (07:20); recruitment pitch sent 9 August 2026 (15:42); distributions 10–12 August 2026; first verified participant return 15 August 2026; v3.1 revisions (gains-only scoring, run-end CSV export, input-mode logging) committed 13 August 2026; study edition frozen 15 September 2026 (build stamp Alpine_Coordination_Game_v3.1s_Stage3B_FROZEN20260915; twenty distributor-tagged copies D01–D20, hosted on GitHub Pages; clean-run window 15 September–15 October 2026; Appendix I). The Pro v4.1 self-test edition (Batch 01, 19–20 September 2026) is recorded as a separate Pro development entry — researcher self-test only, not the frozen study build (Appendix I.5). Hardware and input: participants' own phones and computers running the distributed HTML file, with keyboard/arrow-key and touch input and a WeChat in-app browser mode. Functionality present, from code inspection of the deployed copies: the adaptive arm runs the build's built-in rule agent (step up above an 80% avoid rate, ease off below 40%) with coaching enabled — an adaptive-support package rather than difficulty adjustment alone; an optional model-call path exists but is off by default, the file embeds no API credential, and the code falls back to the rule agent when a call fails — each difficulty decision is logged with its source (rules, model or fallback); the static arm holds a fixed ×0.85 multiplier with coaching suppressed. Logging capability versus retained logs: each copy writes enrolment, per-run state and questionnaire records locally in the participant's browser and returns nothing automatically — records reach the study only through the participant's own export (message-text return with copy and file-save fallbacks; the 13 August v3.1 revision added a run-end CSV export) — so the retained logs are the returns on record to the 15 October 2026 cut-off: one verified return (15 August 2026), five returns received 15 September 2026 and excluded on verification, and the clean-run returns listed in Appendix I (Table I.4). The participant-to-device-copy mapping is recorded for those returns only; no further mapping is claimed.</w:t>
      </w:r>
      <w:r>
        <w:rPr>
          <w:highlight w:val="yellow"/>
        </w:rPr>
      </w:r>
    </w:p>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the stated cut-off: bound with the thesis, pending (tracked in items G.0 and G.0A and in §8.9), or not retained.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 xml:space="preserve">G.1  Cleaned Stage-1 survey response file (CSV).</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elderly participants plus two younger staff test plays; stable pseudonymous IDs S2-P001–S2-P030 and S2-C001/S2-C002 per the Stage-2 ID register, received 11 September 2026): gender, age, pre/post recorded FRA index, presenting symptoms, completed game cycles, therapist-reported symptom change, satisfaction and verification flag. The analysis file is the source for every Stage-2 statistic in §5.5 and for Figure 5.4. Play was recorded by hand at the centre; the game software's electronic session records were not kept (§8.9).</w:t>
      </w:r>
    </w:p>
    <w:p>
      <w:pPr>
        <w:pStyle w:val="Normal"/>
        <w:jc w:val="both"/>
      </w:pPr>
      <w:r>
        <w:rPr>
          <w:szCs w:val="22"/>
          <w:lang w:val="en-US" w:eastAsia="en-US" w:bidi="ar-SA"/>
          <w:rFonts w:ascii="Times New Roman" w:hAnsi="Times New Roman" w:eastAsia="Times New Roman" w:cs="Times New Roman"/>
          <w:sz w:val="24"/>
        </w:rPr>
        <w:t xml:space="preserve">G.3  Stage-3 data logbook (Stage3_Data_Logbook_120cases_with_Reconciliation.xlsx): codebook with provenance note, participant/telemetry/questionnaire/outcome sheets for IDs 3001–3120, the aggregate results (Preliminary_Summary sheet) and a live Reconciliation sheet. Stage-3 data collection is complete; participant-level entries are compiled from the primary records of the remote deployment — the participants' returned e-mails, each carrying the HTML build's logged results file (CSV) and the questionnaire responses — with each entry checked by the reconciliation sheet.</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and return e-mail record (de-identified index of dates, channels and returned files).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AI prompt-template archive used in Layer 2 (system and user prompts, versions and settings).</w:t>
      </w:r>
    </w:p>
    <w:p>
      <w:pPr>
        <w:jc w:val="both"/>
      </w:pPr>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study aggregates. It is archived solely as a pipeline-verification artifact, in the same spirit as the synthetic centre-of-pressure traces of §5.3.9, and contains no data from any human participant.</w:t>
      </w:r>
    </w:p>
    <w:p>
      <w:pPr/>
      <w:r>
        <w:t>G.9  HUR SmartBalance vendor brochure (the author's industry documentation supporting the §4.1A platform-lineage account).</w:t>
      </w:r>
    </w:p>
    <w:p>
      <w:pPr/>
      <w:r>
        <w:t>G.10  The two development-office demonstration videos of 27 August 2024 (platform-to-game coupling on the off-the-shelf scaffold; source of the Figure 5.1A frame), with the control person's written consent (pending - author checklist, item 9).</w:t>
      </w:r>
    </w:p>
    <w:p>
      <w:pPr/>
      <w:r>
        <w:t>G.11  Expert interview guide (Expert_Interview_Guide_2026.docx), the semi-structured guide used across the consultation panel; reproduced compactly as Appendix H.5.</w:t>
      </w:r>
    </w:p>
    <w:p>
      <w:pPr/>
      <w:r>
        <w:t>G.12  Stage-3B component-study record to the 15 October 2026 cut-off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clean-run returns from 29 September 2026, with SHA-256); the verification findings for the five excluded returns of 15 September 2026; and the dated decision record of 26 September 2026 with its amendment of 29 September 2026 setting the cut-off at 15 October 2026.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 September 2026), and each Batch 01 file matches the reports run for run.</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confirmed that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elderly behaviour, supported the FIDS-to-FIAS construction and the adaptive-learning proposition, and confirmed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elderly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highlight w:val="yellow"/>
        </w:rPr>
        <w:t>[AUTHOR INPUT NEEDED - H.6 completion: second-consultation record (game feedback with date and build; Mirror-project paragraph subject to Dr Lau's clearance; member-check outcome).]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elderly patients, concentrated in chronic disease. He practises naturopathic and complementary medicine and is not a registered medical practitioner under the Medical Registration Ordinance; his contribution is practice-based insight into elderly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panel's only record needing no dual-dating;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highlight w:val="yellow"/>
        </w:rPr>
        <w:t>[AUTHOR INPUT NEEDED - H.7: member-check outcome (send Dr Choy his summary for validation).]</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elderly.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15 October 2026 Cut-off</w:t>
      </w:r>
    </w:p>
    <w:p>
      <w:pPr>
        <w:pStyle w:val="Heading3"/>
      </w:pPr>
      <w:r>
        <w:t>I.1 · Status and Scope</w:t>
      </w:r>
    </w:p>
    <w:p>
      <w:pPr/>
      <w:r>
        <w:t>This appendix records the Stage-3B component study as it stands at a stated cut-off, 15 October 2026, the close of the frozen edition's clean-run window. It is a descriptive record, not a results chapter. The examiner-style report of 15 September 2026 on V42 stated that "the completed thesis can present a settled account of this ongoing programme at a stated cut-off" and that open results cells and author-input stubs should be removed if the study remains outside the evidence base; the author's decision of 26 September 2026 (recorded in the thesis repository as a dated decision note, Appendix G item G.12) took that course, and the author's amendment of 29 September 2026 set the cut-off at the close of the clean-run window.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stated at the cut-off of 15 October 2026, which coincides with the close of the frozen edition's clean-run window (15 September – 15 October 2026); the window is not extended, and any return received after it is archived as received and could be reported only as a dated addendum outside the thesis evidence base. The returns listed in this version are those received to 29 September 2026; Table I.4 is completed at the cut-off with any further returns received by 15 October 2026, on the same descriptive terms and without any arm comparison. Nothing in this appendix feeds a result table in the main text.</w:t>
      </w:r>
    </w:p>
    <w:p>
      <w:pPr>
        <w:pStyle w:val="FigureCaption"/>
      </w:pPr>
      <w:r>
        <w:t>Table I.1. Status of the Stage-3B record to the 15 October 2026 cut-off (returns received to 29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window 15 Sep–15 Oct 2026 closes at the thesis cut-off; later returns to 15 Oct entered in Table I.4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As the examiner noted,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PENDING_ITEMS.md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 V42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29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(6ef4f3f per PENDING_ITEMS A10b)</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sets the thesis cut-off at the close of the clean-run window</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15 Oct 2026</w:t>
            </w:r>
          </w:p>
        </w:tc>
        <w:tc>
          <w:tcPr>
            <w:tcW w:type="dxa" w:w="1872"/>
          </w:tcPr>
          <w:p>
            <w:r>
              <w:rPr>
                <w:sz w:val="15"/>
              </w:rPr>
              <w:t>cut-off</w:t>
            </w:r>
          </w:p>
        </w:tc>
        <w:tc>
          <w:tcPr>
            <w:tcW w:type="dxa" w:w="2880"/>
          </w:tcPr>
          <w:p>
            <w:r>
              <w:rPr>
                <w:sz w:val="15"/>
              </w:rPr>
              <w:t>Clean-run window closes; thesis cut-off</w:t>
            </w:r>
          </w:p>
        </w:tc>
        <w:tc>
          <w:tcPr>
            <w:tcW w:type="dxa" w:w="1872"/>
          </w:tcPr>
          <w:p>
            <w:r>
              <w:rPr>
                <w:sz w:val="15"/>
              </w:rPr>
              <w:t>—</w:t>
            </w:r>
          </w:p>
        </w:tc>
        <w:tc>
          <w:tcPr>
            <w:tcW w:type="dxa" w:w="1440"/>
          </w:tcPr>
          <w:p>
            <w:r>
              <w:rPr>
                <w:sz w:val="15"/>
              </w:rPr>
              <w:t>Final clean-run count entered in Table I.4</w:t>
            </w:r>
          </w:p>
        </w:tc>
      </w:tr>
    </w:tbl>
    <w:p>
      <w:pPr/>
      <w:r/>
    </w:p>
    <w:p>
      <w:pPr>
        <w:jc w:val="center"/>
      </w:pPr>
      <w:r>
        <w:drawing>
          <wp:inline>
            <wp:extent cx="5486400" cy="2821577"/>
            <wp:docPr id="41" name="Picture 41"/>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21577"/>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window and the thesis cut-off close on 15 October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to be stripped and are not reproduced here.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author records not yet on file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to 29 September 2026, completed at the 15 October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(to be stripped from the archive copy)</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(to be stripped from the archive copy)</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to be recorded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to be recorded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r>
        <w:tc>
          <w:tcPr>
            <w:tcW w:type="dxa" w:w="1080"/>
          </w:tcPr>
          <w:p>
            <w:r>
              <w:rPr>
                <w:sz w:val="15"/>
              </w:rPr>
              <w:t>Further clean-run returns</w:t>
            </w:r>
          </w:p>
        </w:tc>
        <w:tc>
          <w:tcPr>
            <w:tcW w:type="dxa" w:w="1440"/>
          </w:tcPr>
          <w:p>
            <w:r>
              <w:rPr>
                <w:sz w:val="15"/>
              </w:rPr>
              <w:t>by 15 Oct 2026</w:t>
            </w:r>
          </w:p>
        </w:tc>
        <w:tc>
          <w:tcPr>
            <w:tcW w:type="dxa" w:w="1728"/>
          </w:tcPr>
          <w:p>
            <w:r>
              <w:rPr>
                <w:sz w:val="15"/>
              </w:rPr>
              <w:t>Frozen study edition</w:t>
            </w:r>
          </w:p>
        </w:tc>
        <w:tc>
          <w:tcPr>
            <w:tcW w:type="dxa" w:w="864"/>
          </w:tcPr>
          <w:p>
            <w:r>
              <w:rPr>
                <w:sz w:val="15"/>
              </w:rPr>
              <w:t>D01–D20</w:t>
            </w:r>
          </w:p>
        </w:tc>
        <w:tc>
          <w:tcPr>
            <w:tcW w:type="dxa" w:w="1008"/>
          </w:tcPr>
          <w:p>
            <w:r>
              <w:rPr>
                <w:sz w:val="15"/>
              </w:rPr>
              <w:t>—</w:t>
            </w:r>
          </w:p>
        </w:tc>
        <w:tc>
          <w:tcPr>
            <w:tcW w:type="dxa" w:w="1944"/>
          </w:tcPr>
          <w:p>
            <w:r>
              <w:rPr>
                <w:sz w:val="15"/>
              </w:rPr>
              <w:t>Mode A distributor-forwarded or Mode B participant e-mail (rule)</w:t>
            </w:r>
          </w:p>
        </w:tc>
        <w:tc>
          <w:tcPr>
            <w:tcW w:type="dxa" w:w="2016"/>
          </w:tcPr>
          <w:p>
            <w:r>
              <w:rPr>
                <w:sz w:val="15"/>
              </w:rPr>
              <w:t>Entered at the 15 October 2026 cut-off on the same descriptive terms</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yet part of the record.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ethics-scope gate for Stage 3B was closed in the working record on the basis that the approval period covers the window and the memo carries no completion or no-new-collection statement. The examiner's report, however, asks that the scope be verified against the approved protocol or an amendment, observing that "the chronology alone proves neither approval nor non-approval". Whether the Stage-3B collection falls within the approved scope or requires an amendment is therefore recorded as an open item of the ethics record (§3.4), and no clarification or amendment is on file at 29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and are to be stripped from the archive copies.</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an open clarification that does not affect the return's authenticity. The synthetic demonstration dataset under docs/thesis/stage3b/demo/ is watermarked SYNTHETIC and is never evidence.</w:t>
      </w:r>
    </w:p>
    <w:p>
      <w:pPr/>
      <w:r>
        <w:t>Outstanding deposits and author records at 29 September 2026 (tracked in the working file, entry A15):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15 October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p>
      <w:pPr>
        <w:pStyle w:val="Heading1"/>
        <w:pageBreakBefore/>
      </w:pPr>
      <w:r>
        <w:rPr>
          <w:color w:val="000000"/>
        </w:rPr>
        <w:t>Author completion checklist</w:t>
      </w:r>
    </w:p>
    <w:p>
      <w:pPr>
        <w:pageBreakBefore/>
      </w:pPr>
      <w:r>
        <w:rPr>
          <w:color w:val="000000"/>
        </w:rPr>
        <w:t>V44 - 27 September 2026 (consistency patch with Paper 3 R7). Three factual corrections from the Stage-3 record: §3.2 and §6.4 no longer state that the game's instructions carried no medical or fall-prevention language — the participant invitation on file (a 4 August 2026 reconstruction) opens with falls and balance training and discloses the FRA origin, so the decoupling is stated as artefact-level; §6.4 states the author's account of 27 September 2026 that supervision was not required and that some older participants had a research assistant beside them to help operate a tablet (sessions not recorded individually); §3.4 names the invitation alongside the distribution e-mails as the consent channel, with the reconstruction caveat. Open decision (author and supervisor): Paper 3 R7 withdraws the end-of-window retention figure and reports only compiled classifications, whereas §6.4–§6.5, Tables 6.1–6.3, §9.3 and the abstract still report retention 93.3%/85.4% as a compiled classification with its timing caveat; the two documents differ in claim level, not in counts.</w:t>
      </w:r>
    </w:p>
    <w:p>
      <w:pPr>
        <w:pageBreakBefore/>
      </w:pPr>
      <w:r>
        <w:rPr>
          <w:color w:val="000000"/>
        </w:rPr>
        <w:t>V45 - 29 September 2026 (author's account of Stage-3 distribution, mirrored from Paper 3 R7). §6.4 now records that distribution was carried out by research assistants recruited and briefed by the author; that most participants received the build by e-mail with a written introduction; that some older participants played on a pre-installed iPad with an external keyboard and a research assistant beside them to help operate the device; that keyboard or foot-pad control was retained in Stage 3A to keep control demands closer to the Stage-2 station; that twenty distributors were each asked to find about ten players (invitations not counted; 120 files received); that no Stage-3A participant had played the game before; and that touch input was introduced only in Stage 3B, whose build asks about prior play because some Stage-3B players had played the Stage-3A game. These are the author's statements of 27–29 September 2026; no per-participant device record exists. Also added to §9.12, at the author's request (29 September 2026): a two-paragraph closing statement of the contribution (exploratory account of engagement; Stage-3B design as an implemented means of investigating learning from gameplay experience; future research requirements), with the Pro records labelled as researcher self-test.</w:t>
      </w:r>
    </w:p>
    <w:p>
      <w:pPr>
        <w:pageBreakBefore/>
      </w:pPr>
      <w:r>
        <w:rPr>
          <w:color w:val="000000"/>
        </w:rPr>
        <w:t>V46 - 29 September 2026 (Stage-3B cut-off moved to 15 October 2026). The author's amendment of 29 September 2026 sets the thesis cut-off for the Stage-3B record at the close of the frozen edition's clean-run window, 15 October 2026, in place of 26 September 2026; the decision that Stage 3B is not used as the test of adaptive learning is unchanged. The first three clean-run returns (BVSU69, B7GRDA, BZ323A; 29 September 2026; D01; game-over mode) are entered in §8.8, Appendix I (Tables I.1, I.3, I.4; Figure I.1 redrawn) and Table 9.1. Passages that stated "no clean-run returns" now state that no comparison is computed from the returns, so they remain true at the cut-off. One completion step remains after 15 October 2026: any further returns are entered in Table I.4 and the counts in §8.8 and Appendix I.4 are updated, on the same descriptive terms. The choice between the Batch 01 and Paper 3 R8 sets of Pro v4.1 exports (Appendix I.5) is pending the author's decision and is not changed here.</w:t>
      </w:r>
    </w:p>
    <w:p>
      <w:pPr>
        <w:pageBreakBefore/>
      </w:pPr>
      <w:r>
        <w:rPr>
          <w:color w:val="000000"/>
        </w:rPr>
        <w:t>V47 - 29 September 2026 (Pro record counts all seven codes). By the author's decision of 29 September 2026, the Stage-3B Pro v4.1 record counts all seven stored codes: the five summarised in the Batch 01 reports of 20 September 2026 and two whose exports reached the record on 29 September 2026 (PFWU9V, PXG3R9), because the exports were received by different routes and on different dates and the reports were written before all of them had arrived. Appendix I.5 reproduces the Batch 01 figures as reported and adds seven-code totals (53 runs, 16 visits, 12 decisions, six paired checks); Tables I.1, I.3 and I.5–I.10, Table I.12 and Figures I.2–I.3 are updated, and §8.8 and item G.13 follow. The exploratory statistics of Table I.11 remain as reproduced from the addendum, with the added pair described but no statistic recomputed. Raw exports for PT8FJC, PEVNZ8 and PZTPCG remain outstanding (I.7).</w:t>
      </w:r>
    </w:p>
    <w:p>
      <w:pPr>
        <w:pageBreakBefore/>
      </w:pPr>
      <w:r>
        <w:rPr>
          <w:color w:val="000000"/>
        </w:rPr>
        <w:t>V48 - 29 September 2026 (raw Pro exports deposited). The raw exports for PT8FJC and PZTPCG were received and archived with SHA-256; with P8P2Z9 and PU5K58 they reproduce the Batch 01 report figures run for run, including PT8FJC's three player overrides and one local-rule decision. Raw exports are now on file for six of the seven codes; PEVNZ8 remains outstanding (I.7; item G.13; Table I.1). No count changes.</w:t>
      </w:r>
    </w:p>
    <w:p>
      <w:pPr>
        <w:pageBreakBefore/>
      </w:pPr>
      <w:r>
        <w:rPr>
          <w:color w:val="000000"/>
        </w:rPr>
        <w:t>V49 - 30 September 2026 (all Pro exports on file; fourth clean-run return). The raw PEVNZ8 export was received and matches the Batch 01 report, so raw exports are now on file for all seven Pro codes. The author's account that the codes were played by volunteers and their families or friends recruited for selected age groups is entered beside the software's self-test label (I.5, I.7, §8.8, item G.13, Table I.12), and that use is placed within the open ethics-scope item. A fourth clean-run return, B59AGN (29 September 2026; D01; arm B; zero-failure mode; three sessions), is entered in §8.8, Appendix I (Tables I.1, I.3, I.4; Figure I.1 redrawn) and Table 9.1. Re-sent copies of BVSU69, B7GRDA and BZ323A were byte-identical to the archived files.</w:t>
      </w:r>
    </w:p>
    <w:p>
      <w:pPr>
        <w:pageBreakBefore/>
      </w:pPr>
      <w:r>
        <w:rPr>
          <w:color w:val="000000"/>
        </w:rPr>
        <w:t>V50 - 30 September 2026 (ethics-application wording corrected). §3.4 and Appendix I.7 no longer attribute to the submitted ethics application a Part B stating that no new experimental deployment was planned. That wording came from a pre-submission draft of the research proposal and protocol held in the repository (5 August 2026), not from the application as submitted, and the author confirms the submitted application did not contain it. The Stage-3B scope question remains an open item, now resting on the examiner's request of 15 September 2026 that coverage be verified against the approved protocol or an amendment.</w:t>
      </w:r>
    </w:p>
    <w:p>
      <w:pPr>
        <w:pageBreakBefore/>
      </w:pPr>
      <w:r>
        <w:rPr>
          <w:color w:val="000000"/>
        </w:rPr>
        <w:t>V51 - 30 September 2026 (housekeeping). Appendix G.13 and I.7 now state that raw exports for all seven Pro codes are archived and that only the derived workbooks and extraction scripts named in the Batch 01 reports are not deposited; stray yellow highlighting removed from §1.1, §5.5 and §8.8. The remaining author records are listed in Thesis_Submission_Worksheet_to_15Oct2026.xlsx.</w:t>
      </w:r>
    </w:p>
    <w:p>
      <w:pPr>
        <w:pageBreakBefore/>
      </w:pPr>
      <w:r>
        <w:rPr>
          <w:color w:val="000000"/>
        </w:rPr>
        <w:t>V52 - 30 September 2026 (author's answers to the submission worksheet). §6.4 states the failure-then-stop rule behind the Stage-3 dropout and return classifications and records that some players received an earlier build with a game over, unrecorded per player. Appendix D and §8.9 record the author's confirmation of the two-item, five-point instrument, its scoring and its timing, and disclose the shorter item labels in the aggregate summary. §8.9 and G.2 state that Stage-2 play was recorded by hand and the software's electronic logs were not kept. §5.5 and G.2 cite the Stage-2 files on record. The retention figures are kept by the author's decision.</w:t>
      </w:r>
    </w:p>
    <w:p>
      <w:pPr>
        <w:pageBreakBefore/>
      </w:pPr>
      <w:r>
        <w:rPr>
          <w:color w:val="000000"/>
        </w:rPr>
        <w:t>V53 - 30 September 2026 (fifth clean-run return; purpose of the coordination item). B53Y2F, played on 16 September 2026 on distributor copy D13 (arm B, zero-failure mode, two sessions) and received on 30 September 2026 as a copy converted from a rich-text document, is entered in §8.8, Appendix I (Tables I.1, I.3, I.4; Figure I.1 redrawn) and Table 9.1; it is the earliest clean-run play on record. Appendix D records the author's statement that the coordination item was included to check whether players recognised the game as exercising the eye-leg coordination the FRA measures, as a perception measure only.</w:t>
      </w:r>
    </w:p>
    <w:p>
      <w:pPr>
        <w:pageBreakBefore/>
      </w:pPr>
      <w:r>
        <w:rPr>
          <w:color w:val="000000"/>
        </w:rPr>
        <w:t>V55 - 30 September 2026 (F4 membership; supersedes V54). §5.6 names the six F4 participants as identified by the author: S2-P006, S2-P007, S2-P011, S2-P015, S2-P026 and S2-P028, checked against the Stage-2 ID register and dataset. All six played a single session; S2-P006, S2-P007 and S2-P015 are the three with a positive index change, and S2-P015 is the record that failed verification. V54 had named S2-P027 and S2-P029 in error. The composite scoring rule remains an outstanding author record.</w:t>
      </w:r>
    </w:p>
    <w:p>
      <w:pPr>
        <w:pageBreakBefore/>
      </w:pPr>
      <w:r>
        <w:rPr>
          <w:color w:val="000000"/>
        </w:rPr>
        <w:t>V56 - 30 September 2026 (Stage-3 timeline corrected). On the research assistant's account relayed by the author, Stage-3 recruitment began on 3 April 2026, most participants played after the recruitment deadline, and returns - especially from the 65-80 band - continued until July 2026, when they were compiled and processed. §3.2, §6.4, Table 3.1A and Table 9.1 no longer give March-April 2026 as the collection period.</w:t>
      </w:r>
    </w:p>
    <w:p>
      <w:pPr>
        <w:pageBreakBefore/>
      </w:pPr>
      <w:r>
        <w:rPr>
          <w:color w:val="000000"/>
        </w:rPr>
        <w:t>V57 - 30 September 2026 (invitation date disclosed). §3.2 and §6.4 record that the invitation reconstruction on file is headed 'From March to April 2026', whereas the research assistant reports that recruitment began on 3 April 2026.</w:t>
      </w:r>
    </w:p>
    <w:p>
      <w:pPr>
        <w:pageBreakBefore/>
      </w:pPr>
      <w:r>
        <w:rPr>
          <w:color w:val="000000"/>
        </w:rPr>
        <w:t>V43 - 26 September 2026 (pivot pass; V42 closed 14 September 2026). This pass actions the author's decision of 26 September 2026 to conclude the thesis on the FIAS finding of Stages 1–3A and to treat adaptive learning as a discussion and future-study direction, and it actions the textual items of the updated examination report of 15 September 2026. Stage 3B is reported as a descriptive component-study record at the 26 September 2026 cut-off (new Appendix I with Tables I.1–I.12 and Figures I.1–I.3; Appendix G items G.12–G.13; the G.0A lineage row extended to the frozen study edition of 15 September 2026 and the Pro v4.1 self-test); no confirmatory analysis is reported and no Stage-3B results cell or author-input stub remains in §8.8, Table 3.1A or Table 9.1; passages that promised Stage-3B results or made the adaptive-learning claim depend on them are reframed to the record (§1.8–§1.9, §1.13–§1.14, §2.3.4, §2.6.2C, Tables 2.1–2.3, §3.2, Table 3.1, Table 3.1A, §3.4–§3.6, §5.3.5, §5.3.10, §5.5A, §6.1, §6.8, §7.4, §7.5, §7.9, §8.5.8, §8.6, §8.8–§8.9, §9.1–§9.2, Table 9.1, Table 9.3, §9.5, §9.8A–§9.10, §9.12, Appendices D, E and G); the study is described as pre-specified (repository-dated) throughout and its adaptive arm as a support package. Examiner textual items closed in this pass: §3.4 satisfaction/symptom provenance and Stage-1 consent; §3.4 Stage-3B ethics scope stated as an open item of the record; §5.2A instrument sentence; §5.5–§5.6 terminology and the Appendix B rule statement; §5.6 and §8.6B co-occurrence wording; Table 5.3 coin-loop cell; §2.3.5 sentence repair; §6.4 attempts-versus-sessions unit; abstract and Figures 6.1–6.2 retention qualification; §7.4 taxonomy over-defence; §7.9 adaptive-learning proposition and GrandPad verdict-exposure narrowing (text, Figure 8.1 caption and artwork); §8.5.9 ordinary-attrition wording; Figures 5.1B, 5.2, 5.4 and 5.5 captions with the Figure 5.2 and 5.5 artwork regenerated from the archived counts; Appendix E as-specified labelling; Appendix G status statement; the fused NBS reference split and the Tha et al. entry marked as advance online. The Stage-3B protocol sign-off is no longer a thesis dependency. The remaining marks are confined to items (a), (b), (c) and (e) of the V42 entry below; item (d) is closed. Final production adds Appendix I to the regenerated ToC, List of Figures and List of Tables.</w:t>
      </w:r>
    </w:p>
    <w:p>
      <w:r>
        <w:rPr>
          <w:highlight w:val="yellow"/>
        </w:rPr>
        <w:t>V42 - 14 September 2026 (V41 earlier the same day; V40 closed 10 September 2026). This pass actions the updated examination report of 14 September 2026: 45 verified text corrections (Stage-1 conditional denominators; the withdrawn 65-88 Stage-1 age range; H1 and §5.5 index-claim calibration; Kim et al. scoping; §6.4 dropout-definition timing limit; §6.10 design-only framing; ethics-terminology alignment with the archived memo and the two-part application structure; Stage-3B in-build consent; §8.9 restated to match the actual deposit; G.4/G.6 photographic-record accuracy; G.0A v3.x build row entered from the repository record; §5.3.1/§5.3.5/E.3 capability-versus-evidence distinctions; §5.6/§7.4/§8.3/§8.5.9 interpretation framing with the §8.3 joint count 3-of-8 read from the archived record; §1.3 corrected to 310.31 million (NBS 2025) with the reference added; §1.4 service-design reframing; §7.9 GrandPad configuration-specific comparison; Stage-3B consistency in Table 3.1A, §3.4 and §8.5.8; §7.9 heading aligned to the contents entry). Figure 8.1's caption and painted artwork are additionally recalibrated to the intended-design-target framing, with the GrandPad functions verified at vendor source (2020 connected-device announcement; 2021 PACE/Element Care release) and the dated vendor references added.  This pass merges the author's 14 September edits, embeds the Stage-3B status in §8.8 and Table 9.1 (designed after Stage 3A; pre-specified, repository-dated 8–9 August 2026; collection commenced August 2026; superseded in V43 by the descriptive record at the 26 September 2026 cut-off, Appendix I), and adds the Stage-3A designation note in §6.1. The examination-driven revision cycle continues; the items below remain open at the stated cut-off. The remaining yellow marks in this document are confined to: (a) the Stage-2 instrument scans and as-administered wording confirmation (Appendix C; the s3.4 reconciliation and the interview-instrument wording are RESOLVED via the Stage-2 ID register and entry workbook, 11 Sep 2026) and the D1-D2 response scale and bilingual wording (Appendix D); (b) Stage-2 game telemetry and AI-call logs (G.2/G.7 - archive or one disclosed not-retained sentence); (c) consent-gated panel items that close on receipt of the signed member-check and elections (s6.12, H.6, H.7); (d) none for Stage 3B — its cells in §8.8 and Table 9.1 are closed as a descriptive record at the 26 September 2026 cut-off (Appendix I), with no results cell left open; and (e) the Appendix G manifest and build-lineage stubs (G.0, G.0A), which complete as the archive records land. External gates tracked in the working file PENDING_ITEMS.md, outside this document: the SS-293 camera-ready consent check, the supervisor's report and the Stage-3B protocol sign-off (no longer a thesis dependency: no Stage-3B confirmatory analysis is reported). Final production remains as one pass: regenerate the ToC, List of Figures and List of Tables as Word fields (Figure 2.1, Figure 8.1 and the tables added since V37 enter the lists there), regularise figure numbering, remove this page together with every remaining mark, and proofread.</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